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405765</wp:posOffset>
            </wp:positionH>
            <wp:positionV relativeFrom="page">
              <wp:posOffset>671195</wp:posOffset>
            </wp:positionV>
            <wp:extent cx="69983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8335" cy="16510"/>
                    </a:xfrm>
                    <a:prstGeom prst="rect">
                      <a:avLst/>
                    </a:prstGeom>
                    <a:noFill/>
                  </pic:spPr>
                </pic:pic>
              </a:graphicData>
            </a:graphic>
          </wp:anchor>
        </w:drawing>
        <w:t>UNITED STATES</w:t>
      </w:r>
    </w:p>
    <w:p>
      <w:pPr>
        <w:spacing w:after="0" w:line="3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9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53" w:lineRule="exact"/>
        <w:rPr>
          <w:sz w:val="24"/>
          <w:szCs w:val="24"/>
          <w:color w:val="auto"/>
        </w:rPr>
      </w:pPr>
    </w:p>
    <w:p>
      <w:pPr>
        <w:ind w:left="1060" w:hanging="501"/>
        <w:spacing w:after="0"/>
        <w:tabs>
          <w:tab w:leader="none" w:pos="10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ANNUAL REPORT PURSUANT TO SECTION 13 OR 15(d) OF THE SECURITIES EXCHANGE ACT OF</w:t>
      </w:r>
    </w:p>
    <w:p>
      <w:pPr>
        <w:ind w:left="5720"/>
        <w:spacing w:after="0"/>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1934</w:t>
      </w:r>
    </w:p>
    <w:p>
      <w:pPr>
        <w:spacing w:after="0" w:line="231" w:lineRule="exact"/>
        <w:rPr>
          <w:sz w:val="24"/>
          <w:szCs w:val="24"/>
          <w:color w:val="auto"/>
        </w:rPr>
      </w:pPr>
    </w:p>
    <w:p>
      <w:pPr>
        <w:ind w:left="3960"/>
        <w:spacing w:after="0"/>
        <w:tabs>
          <w:tab w:leader="none" w:pos="6500" w:val="left"/>
        </w:tabs>
        <w:rPr>
          <w:sz w:val="20"/>
          <w:szCs w:val="20"/>
          <w:color w:val="auto"/>
        </w:rPr>
      </w:pPr>
      <w:r>
        <w:rPr>
          <w:rFonts w:ascii="Times New Roman" w:cs="Times New Roman" w:eastAsia="Times New Roman" w:hAnsi="Times New Roman"/>
          <w:sz w:val="16"/>
          <w:szCs w:val="16"/>
          <w:b w:val="1"/>
          <w:bCs w:val="1"/>
          <w:color w:val="auto"/>
        </w:rPr>
        <w:t>For the Fiscal Year Ended:</w:t>
      </w:r>
      <w:r>
        <w:rPr>
          <w:sz w:val="20"/>
          <w:szCs w:val="20"/>
          <w:color w:val="auto"/>
        </w:rPr>
        <w:tab/>
      </w:r>
      <w:r>
        <w:rPr>
          <w:rFonts w:ascii="Times New Roman" w:cs="Times New Roman" w:eastAsia="Times New Roman" w:hAnsi="Times New Roman"/>
          <w:sz w:val="15"/>
          <w:szCs w:val="15"/>
          <w:b w:val="1"/>
          <w:bCs w:val="1"/>
          <w:color w:val="auto"/>
        </w:rPr>
        <w:t>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3670935</wp:posOffset>
            </wp:positionH>
            <wp:positionV relativeFrom="paragraph">
              <wp:posOffset>17780</wp:posOffset>
            </wp:positionV>
            <wp:extent cx="17633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3395" cy="8255"/>
                    </a:xfrm>
                    <a:prstGeom prst="rect">
                      <a:avLst/>
                    </a:prstGeom>
                    <a:noFill/>
                  </pic:spPr>
                </pic:pic>
              </a:graphicData>
            </a:graphic>
          </wp:anchor>
        </w:drawing>
      </w:r>
    </w:p>
    <w:p>
      <w:pPr>
        <w:spacing w:after="0" w:line="19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43" w:lineRule="exact"/>
        <w:rPr>
          <w:sz w:val="24"/>
          <w:szCs w:val="24"/>
          <w:color w:val="auto"/>
        </w:rPr>
      </w:pPr>
    </w:p>
    <w:p>
      <w:pPr>
        <w:ind w:left="1020" w:hanging="461"/>
        <w:spacing w:after="0"/>
        <w:tabs>
          <w:tab w:leader="none" w:pos="10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ind w:left="5560"/>
        <w:spacing w:after="0"/>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OF 1934</w:t>
      </w:r>
    </w:p>
    <w:p>
      <w:pPr>
        <w:spacing w:after="0" w:line="322"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3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w:t>
            </w:r>
          </w:p>
        </w:tc>
        <w:tc>
          <w:tcPr>
            <w:tcW w:w="3800" w:type="dxa"/>
            <w:vAlign w:val="bottom"/>
            <w:tcBorders>
              <w:bottom w:val="single" w:sz="8" w:color="auto"/>
            </w:tcBorders>
          </w:tcPr>
          <w:p>
            <w:pPr>
              <w:spacing w:after="0"/>
              <w:rPr>
                <w:sz w:val="18"/>
                <w:szCs w:val="18"/>
                <w:color w:val="auto"/>
              </w:rPr>
            </w:pPr>
          </w:p>
        </w:tc>
      </w:tr>
      <w:tr>
        <w:trPr>
          <w:trHeight w:val="321"/>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Commission File Number:</w:t>
            </w:r>
          </w:p>
        </w:tc>
        <w:tc>
          <w:tcPr>
            <w:tcW w:w="3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001-11954</w:t>
            </w:r>
          </w:p>
        </w:tc>
        <w:tc>
          <w:tcPr>
            <w:tcW w:w="4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(Vornado Realty Trust)</w:t>
            </w:r>
          </w:p>
        </w:tc>
      </w:tr>
      <w:tr>
        <w:trPr>
          <w:trHeight w:val="204"/>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Commission File Number:</w:t>
            </w:r>
          </w:p>
        </w:tc>
        <w:tc>
          <w:tcPr>
            <w:tcW w:w="80" w:type="dxa"/>
            <w:vAlign w:val="bottom"/>
            <w:tcBorders>
              <w:top w:val="single" w:sz="8" w:color="auto"/>
              <w:bottom w:val="single" w:sz="8" w:color="auto"/>
            </w:tcBorders>
          </w:tcPr>
          <w:p>
            <w:pPr>
              <w:spacing w:after="0"/>
              <w:rPr>
                <w:sz w:val="17"/>
                <w:szCs w:val="17"/>
                <w:color w:val="auto"/>
              </w:rPr>
            </w:pPr>
          </w:p>
        </w:tc>
        <w:tc>
          <w:tcPr>
            <w:tcW w:w="3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001-34482</w:t>
            </w:r>
          </w:p>
        </w:tc>
        <w:tc>
          <w:tcPr>
            <w:tcW w:w="462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(Vornado Realty L.P.)</w:t>
            </w:r>
          </w:p>
        </w:tc>
      </w:tr>
    </w:tbl>
    <w:p>
      <w:pPr>
        <w:spacing w:after="0" w:line="274"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24"/>
          <w:szCs w:val="24"/>
          <w:b w:val="1"/>
          <w:bCs w:val="1"/>
          <w:color w:val="auto"/>
        </w:rPr>
        <w:t>Vornado Realty Trust</w:t>
      </w:r>
    </w:p>
    <w:p>
      <w:pPr>
        <w:spacing w:after="0" w:line="44"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4"/>
          <w:szCs w:val="24"/>
          <w:b w:val="1"/>
          <w:bCs w:val="1"/>
          <w:color w:val="auto"/>
        </w:rPr>
        <w:t>Vornado Realty L.P.</w:t>
      </w:r>
    </w:p>
    <w:p>
      <w:pPr>
        <w:spacing w:after="0" w:line="33"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6"/>
          <w:szCs w:val="16"/>
          <w:color w:val="auto"/>
        </w:rPr>
        <w:t>(Exact name of registrants as specified in its charter)</w:t>
      </w:r>
    </w:p>
    <w:p>
      <w:pPr>
        <w:spacing w:after="0" w:line="351" w:lineRule="exact"/>
        <w:rPr>
          <w:sz w:val="24"/>
          <w:szCs w:val="24"/>
          <w:color w:val="auto"/>
        </w:rPr>
      </w:pPr>
    </w:p>
    <w:tbl>
      <w:tblPr>
        <w:tblLayout w:type="fixed"/>
        <w:tblInd w:w="240" w:type="dxa"/>
        <w:tblCellMar>
          <w:top w:w="0" w:type="dxa"/>
          <w:left w:w="0" w:type="dxa"/>
          <w:bottom w:w="0" w:type="dxa"/>
          <w:right w:w="0" w:type="dxa"/>
        </w:tblCellMar>
      </w:tblPr>
      <w:tr>
        <w:trPr>
          <w:trHeight w:val="210"/>
        </w:trPr>
        <w:tc>
          <w:tcPr>
            <w:tcW w:w="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Vornado Realty Trust</w:t>
            </w:r>
          </w:p>
        </w:tc>
        <w:tc>
          <w:tcPr>
            <w:tcW w:w="100" w:type="dxa"/>
            <w:vAlign w:val="bottom"/>
          </w:tcPr>
          <w:p>
            <w:pPr>
              <w:spacing w:after="0"/>
              <w:rPr>
                <w:sz w:val="18"/>
                <w:szCs w:val="18"/>
                <w:color w:val="auto"/>
              </w:rPr>
            </w:pPr>
          </w:p>
        </w:tc>
        <w:tc>
          <w:tcPr>
            <w:tcW w:w="4480" w:type="dxa"/>
            <w:vAlign w:val="bottom"/>
            <w:tcBorders>
              <w:bottom w:val="single" w:sz="8" w:color="auto"/>
            </w:tcBorders>
          </w:tcPr>
          <w:p>
            <w:pPr>
              <w:jc w:val="center"/>
              <w:ind w:left="162"/>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center"/>
              <w:ind w:right="1124"/>
              <w:spacing w:after="0"/>
              <w:rPr>
                <w:sz w:val="20"/>
                <w:szCs w:val="20"/>
                <w:color w:val="auto"/>
              </w:rPr>
            </w:pPr>
            <w:r>
              <w:rPr>
                <w:rFonts w:ascii="Times New Roman" w:cs="Times New Roman" w:eastAsia="Times New Roman" w:hAnsi="Times New Roman"/>
                <w:sz w:val="16"/>
                <w:szCs w:val="16"/>
                <w:b w:val="1"/>
                <w:bCs w:val="1"/>
                <w:color w:val="auto"/>
                <w:w w:val="98"/>
              </w:rPr>
              <w:t>22-1657560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tcPr>
          <w:p>
            <w:pPr>
              <w:jc w:val="center"/>
              <w:ind w:left="162"/>
              <w:spacing w:after="0"/>
              <w:rPr>
                <w:sz w:val="20"/>
                <w:szCs w:val="20"/>
                <w:color w:val="auto"/>
              </w:rPr>
            </w:pPr>
            <w:r>
              <w:rPr>
                <w:rFonts w:ascii="Times New Roman" w:cs="Times New Roman" w:eastAsia="Times New Roman" w:hAnsi="Times New Roman"/>
                <w:sz w:val="16"/>
                <w:szCs w:val="16"/>
                <w:color w:val="auto"/>
                <w:w w:val="98"/>
              </w:rPr>
              <w:t>(State or other jurisdiction of incorporation or organization)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w w:val="97"/>
              </w:rPr>
              <w:t>(I.R.S. Employer Identification Number)</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Vornado Realty L.P.</w:t>
            </w:r>
          </w:p>
        </w:tc>
        <w:tc>
          <w:tcPr>
            <w:tcW w:w="100" w:type="dxa"/>
            <w:vAlign w:val="bottom"/>
          </w:tcPr>
          <w:p>
            <w:pPr>
              <w:spacing w:after="0"/>
              <w:rPr>
                <w:sz w:val="22"/>
                <w:szCs w:val="22"/>
                <w:color w:val="auto"/>
              </w:rPr>
            </w:pPr>
          </w:p>
        </w:tc>
        <w:tc>
          <w:tcPr>
            <w:tcW w:w="4480" w:type="dxa"/>
            <w:vAlign w:val="bottom"/>
            <w:tcBorders>
              <w:bottom w:val="single" w:sz="8" w:color="auto"/>
            </w:tcBorders>
          </w:tcPr>
          <w:p>
            <w:pPr>
              <w:jc w:val="center"/>
              <w:ind w:left="16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3"/>
          </w:tcPr>
          <w:p>
            <w:pPr>
              <w:jc w:val="center"/>
              <w:ind w:right="1124"/>
              <w:spacing w:after="0"/>
              <w:rPr>
                <w:sz w:val="20"/>
                <w:szCs w:val="20"/>
                <w:color w:val="auto"/>
              </w:rPr>
            </w:pPr>
            <w:r>
              <w:rPr>
                <w:rFonts w:ascii="Times New Roman" w:cs="Times New Roman" w:eastAsia="Times New Roman" w:hAnsi="Times New Roman"/>
                <w:sz w:val="16"/>
                <w:szCs w:val="16"/>
                <w:b w:val="1"/>
                <w:bCs w:val="1"/>
                <w:color w:val="auto"/>
                <w:w w:val="98"/>
              </w:rPr>
              <w:t>13-3925979</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tcPr>
          <w:p>
            <w:pPr>
              <w:jc w:val="center"/>
              <w:ind w:left="162"/>
              <w:spacing w:after="0"/>
              <w:rPr>
                <w:sz w:val="20"/>
                <w:szCs w:val="20"/>
                <w:color w:val="auto"/>
              </w:rPr>
            </w:pPr>
            <w:r>
              <w:rPr>
                <w:rFonts w:ascii="Times New Roman" w:cs="Times New Roman" w:eastAsia="Times New Roman" w:hAnsi="Times New Roman"/>
                <w:sz w:val="16"/>
                <w:szCs w:val="16"/>
                <w:color w:val="auto"/>
                <w:w w:val="98"/>
              </w:rPr>
              <w:t>(State or other jurisdiction of incorporation or organization)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w w:val="97"/>
              </w:rPr>
              <w:t>(I.R.S. Employer Identification Number)</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9"/>
        </w:trPr>
        <w:tc>
          <w:tcPr>
            <w:tcW w:w="80" w:type="dxa"/>
            <w:vAlign w:val="bottom"/>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888 Seventh Avenue,   New York,   New York</w:t>
            </w:r>
          </w:p>
        </w:tc>
        <w:tc>
          <w:tcPr>
            <w:tcW w:w="1540" w:type="dxa"/>
            <w:vAlign w:val="bottom"/>
            <w:tcBorders>
              <w:bottom w:val="single" w:sz="8" w:color="auto"/>
            </w:tcBorders>
            <w:gridSpan w:val="4"/>
          </w:tcPr>
          <w:p>
            <w:pPr>
              <w:jc w:val="right"/>
              <w:ind w:right="1041"/>
              <w:spacing w:after="0"/>
              <w:rPr>
                <w:sz w:val="20"/>
                <w:szCs w:val="20"/>
                <w:color w:val="auto"/>
              </w:rPr>
            </w:pPr>
            <w:r>
              <w:rPr>
                <w:rFonts w:ascii="Times New Roman" w:cs="Times New Roman" w:eastAsia="Times New Roman" w:hAnsi="Times New Roman"/>
                <w:sz w:val="16"/>
                <w:szCs w:val="16"/>
                <w:b w:val="1"/>
                <w:bCs w:val="1"/>
                <w:color w:val="auto"/>
                <w:w w:val="99"/>
              </w:rPr>
              <w:t>10019</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20" w:type="dxa"/>
            <w:vAlign w:val="bottom"/>
            <w:gridSpan w:val="5"/>
          </w:tcPr>
          <w:p>
            <w:pPr>
              <w:jc w:val="right"/>
              <w:ind w:right="1341"/>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80" w:type="dxa"/>
            <w:vAlign w:val="bottom"/>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2"/>
          </w:tcPr>
          <w:p>
            <w:pPr>
              <w:jc w:val="right"/>
              <w:ind w:right="782"/>
              <w:spacing w:after="0"/>
              <w:rPr>
                <w:sz w:val="20"/>
                <w:szCs w:val="20"/>
                <w:color w:val="auto"/>
              </w:rPr>
            </w:pPr>
            <w:r>
              <w:rPr>
                <w:rFonts w:ascii="Times New Roman" w:cs="Times New Roman" w:eastAsia="Times New Roman" w:hAnsi="Times New Roman"/>
                <w:sz w:val="16"/>
                <w:szCs w:val="16"/>
                <w:b w:val="1"/>
                <w:bCs w:val="1"/>
                <w:color w:val="auto"/>
              </w:rPr>
              <w:t>(212) 894-7000</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20" w:type="dxa"/>
            <w:vAlign w:val="bottom"/>
            <w:gridSpan w:val="5"/>
          </w:tcPr>
          <w:p>
            <w:pPr>
              <w:jc w:val="right"/>
              <w:ind w:right="1261"/>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7"/>
        </w:trPr>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20" w:type="dxa"/>
            <w:vAlign w:val="bottom"/>
            <w:gridSpan w:val="5"/>
          </w:tcPr>
          <w:p>
            <w:pPr>
              <w:jc w:val="right"/>
              <w:ind w:right="1221"/>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46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Registrant</w:t>
            </w:r>
          </w:p>
        </w:tc>
        <w:tc>
          <w:tcPr>
            <w:tcW w:w="100" w:type="dxa"/>
            <w:vAlign w:val="bottom"/>
          </w:tcPr>
          <w:p>
            <w:pPr>
              <w:spacing w:after="0"/>
              <w:rPr>
                <w:sz w:val="14"/>
                <w:szCs w:val="14"/>
                <w:color w:val="auto"/>
              </w:rPr>
            </w:pPr>
          </w:p>
        </w:tc>
        <w:tc>
          <w:tcPr>
            <w:tcW w:w="4480" w:type="dxa"/>
            <w:vAlign w:val="bottom"/>
            <w:vMerge w:val="restart"/>
          </w:tcPr>
          <w:p>
            <w:pPr>
              <w:jc w:val="center"/>
              <w:ind w:right="482"/>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24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4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Registered</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Vornado Realty Trust</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580" w:type="dxa"/>
            <w:vAlign w:val="bottom"/>
            <w:tcBorders>
              <w:top w:val="single" w:sz="8" w:color="auto"/>
            </w:tcBorders>
            <w:gridSpan w:val="2"/>
          </w:tcPr>
          <w:p>
            <w:pPr>
              <w:jc w:val="center"/>
              <w:ind w:right="382"/>
              <w:spacing w:after="0"/>
              <w:rPr>
                <w:sz w:val="20"/>
                <w:szCs w:val="20"/>
                <w:color w:val="auto"/>
              </w:rPr>
            </w:pPr>
            <w:r>
              <w:rPr>
                <w:rFonts w:ascii="Times New Roman" w:cs="Times New Roman" w:eastAsia="Times New Roman" w:hAnsi="Times New Roman"/>
                <w:sz w:val="16"/>
                <w:szCs w:val="16"/>
                <w:color w:val="auto"/>
                <w:w w:val="98"/>
              </w:rPr>
              <w:t>Common Shares of beneficial interest, $.04 par value per share</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color w:val="auto"/>
                <w:w w:val="97"/>
              </w:rPr>
              <w:t>VNO</w:t>
            </w:r>
          </w:p>
        </w:tc>
        <w:tc>
          <w:tcPr>
            <w:tcW w:w="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c>
          <w:tcPr>
            <w:tcW w:w="0" w:type="dxa"/>
            <w:vAlign w:val="bottom"/>
          </w:tcPr>
          <w:p>
            <w:pPr>
              <w:spacing w:after="0"/>
              <w:rPr>
                <w:sz w:val="1"/>
                <w:szCs w:val="1"/>
                <w:color w:val="auto"/>
              </w:rPr>
            </w:pPr>
          </w:p>
        </w:tc>
      </w:tr>
      <w:tr>
        <w:trPr>
          <w:trHeight w:val="161"/>
        </w:trPr>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80" w:type="dxa"/>
            <w:vAlign w:val="bottom"/>
          </w:tcPr>
          <w:p>
            <w:pPr>
              <w:jc w:val="center"/>
              <w:ind w:right="502"/>
              <w:spacing w:after="0" w:line="161" w:lineRule="exact"/>
              <w:rPr>
                <w:sz w:val="20"/>
                <w:szCs w:val="20"/>
                <w:color w:val="auto"/>
              </w:rPr>
            </w:pPr>
            <w:r>
              <w:rPr>
                <w:rFonts w:ascii="Times New Roman" w:cs="Times New Roman" w:eastAsia="Times New Roman" w:hAnsi="Times New Roman"/>
                <w:sz w:val="16"/>
                <w:szCs w:val="16"/>
                <w:color w:val="auto"/>
                <w:w w:val="98"/>
              </w:rPr>
              <w:t>Cumulative Redeemable Preferred Shares of beneficial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tcPr>
          <w:p>
            <w:pPr>
              <w:jc w:val="center"/>
              <w:ind w:right="482"/>
              <w:spacing w:after="0"/>
              <w:rPr>
                <w:sz w:val="20"/>
                <w:szCs w:val="20"/>
                <w:color w:val="auto"/>
              </w:rPr>
            </w:pPr>
            <w:r>
              <w:rPr>
                <w:rFonts w:ascii="Times New Roman" w:cs="Times New Roman" w:eastAsia="Times New Roman" w:hAnsi="Times New Roman"/>
                <w:sz w:val="16"/>
                <w:szCs w:val="16"/>
                <w:color w:val="auto"/>
                <w:w w:val="97"/>
              </w:rPr>
              <w:t>interest, liquidation preference $25.00 per share: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246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w w:val="95"/>
              </w:rPr>
              <w:t>Vornado Realty Trust</w:t>
            </w:r>
          </w:p>
        </w:tc>
        <w:tc>
          <w:tcPr>
            <w:tcW w:w="100" w:type="dxa"/>
            <w:vAlign w:val="bottom"/>
          </w:tcPr>
          <w:p>
            <w:pPr>
              <w:spacing w:after="0"/>
              <w:rPr>
                <w:sz w:val="18"/>
                <w:szCs w:val="18"/>
                <w:color w:val="auto"/>
              </w:rPr>
            </w:pPr>
          </w:p>
        </w:tc>
        <w:tc>
          <w:tcPr>
            <w:tcW w:w="4480" w:type="dxa"/>
            <w:vAlign w:val="bottom"/>
          </w:tcPr>
          <w:p>
            <w:pPr>
              <w:jc w:val="center"/>
              <w:ind w:right="482"/>
              <w:spacing w:after="0"/>
              <w:rPr>
                <w:sz w:val="20"/>
                <w:szCs w:val="20"/>
                <w:color w:val="auto"/>
              </w:rPr>
            </w:pPr>
            <w:r>
              <w:rPr>
                <w:rFonts w:ascii="Times New Roman" w:cs="Times New Roman" w:eastAsia="Times New Roman" w:hAnsi="Times New Roman"/>
                <w:sz w:val="16"/>
                <w:szCs w:val="16"/>
                <w:color w:val="auto"/>
                <w:w w:val="97"/>
              </w:rPr>
              <w:t>5.40% Series 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21"/>
              <w:spacing w:after="0"/>
              <w:rPr>
                <w:sz w:val="20"/>
                <w:szCs w:val="20"/>
                <w:color w:val="auto"/>
              </w:rPr>
            </w:pPr>
            <w:r>
              <w:rPr>
                <w:rFonts w:ascii="Times New Roman" w:cs="Times New Roman" w:eastAsia="Times New Roman" w:hAnsi="Times New Roman"/>
                <w:sz w:val="16"/>
                <w:szCs w:val="16"/>
                <w:color w:val="auto"/>
              </w:rPr>
              <w:t>VNO/PL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46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w w:val="95"/>
              </w:rPr>
              <w:t>Vornado Realty Trust</w:t>
            </w:r>
          </w:p>
        </w:tc>
        <w:tc>
          <w:tcPr>
            <w:tcW w:w="100" w:type="dxa"/>
            <w:vAlign w:val="bottom"/>
          </w:tcPr>
          <w:p>
            <w:pPr>
              <w:spacing w:after="0"/>
              <w:rPr>
                <w:sz w:val="18"/>
                <w:szCs w:val="18"/>
                <w:color w:val="auto"/>
              </w:rPr>
            </w:pPr>
          </w:p>
        </w:tc>
        <w:tc>
          <w:tcPr>
            <w:tcW w:w="4480" w:type="dxa"/>
            <w:vAlign w:val="bottom"/>
          </w:tcPr>
          <w:p>
            <w:pPr>
              <w:jc w:val="center"/>
              <w:ind w:right="482"/>
              <w:spacing w:after="0"/>
              <w:rPr>
                <w:sz w:val="20"/>
                <w:szCs w:val="20"/>
                <w:color w:val="auto"/>
              </w:rPr>
            </w:pPr>
            <w:r>
              <w:rPr>
                <w:rFonts w:ascii="Times New Roman" w:cs="Times New Roman" w:eastAsia="Times New Roman" w:hAnsi="Times New Roman"/>
                <w:sz w:val="16"/>
                <w:szCs w:val="16"/>
                <w:color w:val="auto"/>
                <w:w w:val="97"/>
              </w:rPr>
              <w:t>5.25% Series 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21"/>
              <w:spacing w:after="0"/>
              <w:rPr>
                <w:sz w:val="20"/>
                <w:szCs w:val="20"/>
                <w:color w:val="auto"/>
              </w:rPr>
            </w:pPr>
            <w:r>
              <w:rPr>
                <w:rFonts w:ascii="Times New Roman" w:cs="Times New Roman" w:eastAsia="Times New Roman" w:hAnsi="Times New Roman"/>
                <w:sz w:val="16"/>
                <w:szCs w:val="16"/>
                <w:color w:val="auto"/>
                <w:w w:val="99"/>
              </w:rPr>
              <w:t>VNO/PM</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46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w w:val="95"/>
              </w:rPr>
              <w:t>Vornado Realty Trust</w:t>
            </w:r>
          </w:p>
        </w:tc>
        <w:tc>
          <w:tcPr>
            <w:tcW w:w="100" w:type="dxa"/>
            <w:vAlign w:val="bottom"/>
          </w:tcPr>
          <w:p>
            <w:pPr>
              <w:spacing w:after="0"/>
              <w:rPr>
                <w:sz w:val="18"/>
                <w:szCs w:val="18"/>
                <w:color w:val="auto"/>
              </w:rPr>
            </w:pPr>
          </w:p>
        </w:tc>
        <w:tc>
          <w:tcPr>
            <w:tcW w:w="4480" w:type="dxa"/>
            <w:vAlign w:val="bottom"/>
          </w:tcPr>
          <w:p>
            <w:pPr>
              <w:jc w:val="center"/>
              <w:ind w:right="502"/>
              <w:spacing w:after="0"/>
              <w:rPr>
                <w:sz w:val="20"/>
                <w:szCs w:val="20"/>
                <w:color w:val="auto"/>
              </w:rPr>
            </w:pPr>
            <w:r>
              <w:rPr>
                <w:rFonts w:ascii="Times New Roman" w:cs="Times New Roman" w:eastAsia="Times New Roman" w:hAnsi="Times New Roman"/>
                <w:sz w:val="16"/>
                <w:szCs w:val="16"/>
                <w:color w:val="auto"/>
                <w:w w:val="97"/>
              </w:rPr>
              <w:t>5.25% Series 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21"/>
              <w:spacing w:after="0"/>
              <w:rPr>
                <w:sz w:val="20"/>
                <w:szCs w:val="20"/>
                <w:color w:val="auto"/>
              </w:rPr>
            </w:pPr>
            <w:r>
              <w:rPr>
                <w:rFonts w:ascii="Times New Roman" w:cs="Times New Roman" w:eastAsia="Times New Roman" w:hAnsi="Times New Roman"/>
                <w:sz w:val="16"/>
                <w:szCs w:val="16"/>
                <w:color w:val="auto"/>
                <w:w w:val="97"/>
              </w:rPr>
              <w:t>VNO/PN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46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w w:val="95"/>
              </w:rPr>
              <w:t>Vornado Realty Trust</w:t>
            </w:r>
          </w:p>
        </w:tc>
        <w:tc>
          <w:tcPr>
            <w:tcW w:w="100" w:type="dxa"/>
            <w:vAlign w:val="bottom"/>
          </w:tcPr>
          <w:p>
            <w:pPr>
              <w:spacing w:after="0"/>
              <w:rPr>
                <w:sz w:val="18"/>
                <w:szCs w:val="18"/>
                <w:color w:val="auto"/>
              </w:rPr>
            </w:pPr>
          </w:p>
        </w:tc>
        <w:tc>
          <w:tcPr>
            <w:tcW w:w="4480" w:type="dxa"/>
            <w:vAlign w:val="bottom"/>
          </w:tcPr>
          <w:p>
            <w:pPr>
              <w:jc w:val="center"/>
              <w:ind w:right="502"/>
              <w:spacing w:after="0"/>
              <w:rPr>
                <w:sz w:val="20"/>
                <w:szCs w:val="20"/>
                <w:color w:val="auto"/>
              </w:rPr>
            </w:pPr>
            <w:r>
              <w:rPr>
                <w:rFonts w:ascii="Times New Roman" w:cs="Times New Roman" w:eastAsia="Times New Roman" w:hAnsi="Times New Roman"/>
                <w:sz w:val="16"/>
                <w:szCs w:val="16"/>
                <w:color w:val="auto"/>
                <w:w w:val="97"/>
              </w:rPr>
              <w:t>4.45% Series 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21"/>
              <w:spacing w:after="0"/>
              <w:rPr>
                <w:sz w:val="20"/>
                <w:szCs w:val="20"/>
                <w:color w:val="auto"/>
              </w:rPr>
            </w:pPr>
            <w:r>
              <w:rPr>
                <w:rFonts w:ascii="Times New Roman" w:cs="Times New Roman" w:eastAsia="Times New Roman" w:hAnsi="Times New Roman"/>
                <w:sz w:val="16"/>
                <w:szCs w:val="16"/>
                <w:color w:val="auto"/>
                <w:w w:val="97"/>
              </w:rPr>
              <w:t>VNO/PO</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c>
          <w:tcPr>
            <w:tcW w:w="0" w:type="dxa"/>
            <w:vAlign w:val="bottom"/>
          </w:tcPr>
          <w:p>
            <w:pPr>
              <w:spacing w:after="0"/>
              <w:rPr>
                <w:sz w:val="1"/>
                <w:szCs w:val="1"/>
                <w:color w:val="auto"/>
              </w:rPr>
            </w:pPr>
          </w:p>
        </w:tc>
      </w:tr>
    </w:tbl>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73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w:t>
            </w:r>
          </w:p>
        </w:tc>
      </w:tr>
      <w:tr>
        <w:trPr>
          <w:trHeight w:val="204"/>
        </w:trPr>
        <w:tc>
          <w:tcPr>
            <w:tcW w:w="540" w:type="dxa"/>
            <w:vAlign w:val="bottom"/>
          </w:tcPr>
          <w:p>
            <w:pPr>
              <w:spacing w:after="0"/>
              <w:rPr>
                <w:sz w:val="17"/>
                <w:szCs w:val="17"/>
                <w:color w:val="auto"/>
              </w:rPr>
            </w:pPr>
          </w:p>
        </w:tc>
        <w:tc>
          <w:tcPr>
            <w:tcW w:w="3340" w:type="dxa"/>
            <w:vAlign w:val="bottom"/>
          </w:tcPr>
          <w:p>
            <w:pPr>
              <w:jc w:val="center"/>
              <w:ind w:left="1704"/>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r>
      <w:tr>
        <w:trPr>
          <w:trHeight w:val="23"/>
        </w:trPr>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360" w:type="dxa"/>
            <w:vAlign w:val="bottom"/>
            <w:gridSpan w:val="2"/>
          </w:tcPr>
          <w:p>
            <w:pPr>
              <w:spacing w:after="0"/>
              <w:rPr>
                <w:sz w:val="2"/>
                <w:szCs w:val="2"/>
                <w:color w:val="auto"/>
              </w:rPr>
            </w:pPr>
          </w:p>
        </w:tc>
      </w:tr>
      <w:tr>
        <w:trPr>
          <w:trHeight w:val="150"/>
        </w:trPr>
        <w:tc>
          <w:tcPr>
            <w:tcW w:w="540" w:type="dxa"/>
            <w:vAlign w:val="bottom"/>
          </w:tcPr>
          <w:p>
            <w:pPr>
              <w:spacing w:after="0"/>
              <w:rPr>
                <w:sz w:val="13"/>
                <w:szCs w:val="13"/>
                <w:color w:val="auto"/>
              </w:rPr>
            </w:pPr>
          </w:p>
        </w:tc>
        <w:tc>
          <w:tcPr>
            <w:tcW w:w="3340" w:type="dxa"/>
            <w:vAlign w:val="bottom"/>
            <w:tcBorders>
              <w:top w:val="single" w:sz="8" w:color="auto"/>
            </w:tcBorders>
          </w:tcPr>
          <w:p>
            <w:pPr>
              <w:jc w:val="center"/>
              <w:ind w:left="1724"/>
              <w:spacing w:after="0" w:line="151" w:lineRule="exact"/>
              <w:rPr>
                <w:sz w:val="20"/>
                <w:szCs w:val="20"/>
                <w:color w:val="auto"/>
              </w:rPr>
            </w:pPr>
            <w:r>
              <w:rPr>
                <w:rFonts w:ascii="Times New Roman" w:cs="Times New Roman" w:eastAsia="Times New Roman" w:hAnsi="Times New Roman"/>
                <w:sz w:val="16"/>
                <w:szCs w:val="16"/>
                <w:color w:val="auto"/>
                <w:w w:val="95"/>
              </w:rPr>
              <w:t>Vornado Realty Trust</w:t>
            </w:r>
          </w:p>
        </w:tc>
        <w:tc>
          <w:tcPr>
            <w:tcW w:w="1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14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6"/>
                <w:szCs w:val="16"/>
                <w:color w:val="auto"/>
                <w:w w:val="98"/>
              </w:rPr>
              <w:t>Series A Convertible Preferred Shares of beneficial interest, liquidation</w:t>
            </w:r>
          </w:p>
        </w:tc>
        <w:tc>
          <w:tcPr>
            <w:tcW w:w="220" w:type="dxa"/>
            <w:vAlign w:val="bottom"/>
          </w:tcPr>
          <w:p>
            <w:pPr>
              <w:spacing w:after="0"/>
              <w:rPr>
                <w:sz w:val="13"/>
                <w:szCs w:val="13"/>
                <w:color w:val="auto"/>
              </w:rPr>
            </w:pPr>
          </w:p>
        </w:tc>
      </w:tr>
      <w:tr>
        <w:trPr>
          <w:trHeight w:val="206"/>
        </w:trPr>
        <w:tc>
          <w:tcPr>
            <w:tcW w:w="5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preference $50.00 per share</w:t>
            </w:r>
          </w:p>
        </w:tc>
      </w:tr>
      <w:tr>
        <w:trPr>
          <w:trHeight w:val="209"/>
        </w:trPr>
        <w:tc>
          <w:tcPr>
            <w:tcW w:w="540" w:type="dxa"/>
            <w:vAlign w:val="bottom"/>
          </w:tcPr>
          <w:p>
            <w:pPr>
              <w:spacing w:after="0"/>
              <w:rPr>
                <w:sz w:val="18"/>
                <w:szCs w:val="18"/>
                <w:color w:val="auto"/>
              </w:rPr>
            </w:pPr>
          </w:p>
        </w:tc>
        <w:tc>
          <w:tcPr>
            <w:tcW w:w="3340" w:type="dxa"/>
            <w:vAlign w:val="bottom"/>
          </w:tcPr>
          <w:p>
            <w:pPr>
              <w:jc w:val="center"/>
              <w:ind w:left="1724"/>
              <w:spacing w:after="0"/>
              <w:rPr>
                <w:sz w:val="20"/>
                <w:szCs w:val="20"/>
                <w:color w:val="auto"/>
              </w:rPr>
            </w:pPr>
            <w:r>
              <w:rPr>
                <w:rFonts w:ascii="Times New Roman" w:cs="Times New Roman" w:eastAsia="Times New Roman" w:hAnsi="Times New Roman"/>
                <w:sz w:val="16"/>
                <w:szCs w:val="16"/>
                <w:color w:val="auto"/>
                <w:w w:val="95"/>
              </w:rPr>
              <w:t>Vornado Realty L.P.</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7"/>
              </w:rPr>
              <w:t>Class A Units of Limited Partnership Interest</w:t>
            </w:r>
          </w:p>
        </w:tc>
      </w:tr>
      <w:tr>
        <w:trPr>
          <w:trHeight w:val="666"/>
        </w:trPr>
        <w:tc>
          <w:tcPr>
            <w:tcW w:w="5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56" w:right="239" w:bottom="1440" w:gutter="0" w:footer="0" w:header="0"/>
        </w:sectPr>
      </w:pPr>
    </w:p>
    <w:bookmarkStart w:id="1" w:name="page2"/>
    <w:bookmarkEnd w:id="1"/>
    <w:p>
      <w:pPr>
        <w:ind w:left="1480"/>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50" w:lineRule="exact"/>
        <w:rPr>
          <w:sz w:val="20"/>
          <w:szCs w:val="20"/>
          <w:color w:val="auto"/>
        </w:rPr>
      </w:pPr>
    </w:p>
    <w:p>
      <w:pPr>
        <w:ind w:left="2960"/>
        <w:spacing w:after="0" w:line="196" w:lineRule="exact"/>
        <w:tabs>
          <w:tab w:leader="none" w:pos="5280" w:val="left"/>
          <w:tab w:leader="none" w:pos="8100" w:val="left"/>
        </w:tabs>
        <w:rPr>
          <w:sz w:val="20"/>
          <w:szCs w:val="20"/>
          <w:color w:val="auto"/>
        </w:rPr>
      </w:pPr>
      <w:r>
        <w:rPr>
          <w:rFonts w:ascii="Times New Roman" w:cs="Times New Roman" w:eastAsia="Times New Roman" w:hAnsi="Times New Roman"/>
          <w:sz w:val="17"/>
          <w:szCs w:val="17"/>
          <w:color w:val="auto"/>
        </w:rPr>
        <w:t xml:space="preserve">Vornado Realty Trust: Yes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5"/>
          <w:szCs w:val="15"/>
          <w:color w:val="auto"/>
          <w:highlight w:val="black"/>
        </w:rPr>
        <w:t>☐</w:t>
      </w:r>
      <w:r>
        <w:rPr>
          <w:rFonts w:ascii="Times New Roman" w:cs="Times New Roman" w:eastAsia="Times New Roman" w:hAnsi="Times New Roman"/>
          <w:sz w:val="17"/>
          <w:szCs w:val="17"/>
          <w:color w:val="auto"/>
        </w:rPr>
        <w:t xml:space="preserve"> Vornado Realty L.P.: Yes </w:t>
      </w:r>
      <w:r>
        <w:rPr>
          <w:rFonts w:ascii="MS PGothic" w:cs="MS PGothic" w:eastAsia="MS PGothic" w:hAnsi="MS PGothic"/>
          <w:sz w:val="15"/>
          <w:szCs w:val="15"/>
          <w:color w:val="auto"/>
          <w:highlight w:val="black"/>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5"/>
          <w:szCs w:val="15"/>
          <w:color w:val="auto"/>
        </w:rPr>
        <w:t>☑</w:t>
      </w:r>
    </w:p>
    <w:p>
      <w:pPr>
        <w:spacing w:after="0" w:line="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w:t>
      </w:r>
    </w:p>
    <w:p>
      <w:pPr>
        <w:spacing w:after="0" w:line="50" w:lineRule="exact"/>
        <w:rPr>
          <w:sz w:val="20"/>
          <w:szCs w:val="20"/>
          <w:color w:val="auto"/>
        </w:rPr>
      </w:pPr>
    </w:p>
    <w:p>
      <w:pPr>
        <w:ind w:left="2960"/>
        <w:spacing w:after="0" w:line="196" w:lineRule="exact"/>
        <w:tabs>
          <w:tab w:leader="none" w:pos="5280" w:val="left"/>
          <w:tab w:leader="none" w:pos="8100" w:val="left"/>
        </w:tabs>
        <w:rPr>
          <w:sz w:val="20"/>
          <w:szCs w:val="20"/>
          <w:color w:val="auto"/>
        </w:rPr>
      </w:pPr>
      <w:r>
        <w:rPr>
          <w:rFonts w:ascii="Times New Roman" w:cs="Times New Roman" w:eastAsia="Times New Roman" w:hAnsi="Times New Roman"/>
          <w:sz w:val="17"/>
          <w:szCs w:val="17"/>
          <w:color w:val="auto"/>
        </w:rPr>
        <w:t xml:space="preserve">Vornado Realty Trust: Yes </w:t>
      </w:r>
      <w:r>
        <w:rPr>
          <w:rFonts w:ascii="MS PGothic" w:cs="MS PGothic" w:eastAsia="MS PGothic" w:hAnsi="MS PGothic"/>
          <w:sz w:val="15"/>
          <w:szCs w:val="15"/>
          <w:color w:val="auto"/>
          <w:highlight w:val="black"/>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 xml:space="preserve"> Vornado Realty L.P.: Yes </w:t>
      </w:r>
      <w:r>
        <w:rPr>
          <w:rFonts w:ascii="MS PGothic" w:cs="MS PGothic" w:eastAsia="MS PGothic" w:hAnsi="MS PGothic"/>
          <w:sz w:val="15"/>
          <w:szCs w:val="15"/>
          <w:color w:val="auto"/>
          <w:highlight w:val="black"/>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5"/>
          <w:szCs w:val="15"/>
          <w:color w:val="auto"/>
        </w:rPr>
        <w:t>☑</w:t>
      </w:r>
    </w:p>
    <w:p>
      <w:pPr>
        <w:spacing w:after="0" w:line="83" w:lineRule="exact"/>
        <w:rPr>
          <w:sz w:val="20"/>
          <w:szCs w:val="20"/>
          <w:color w:val="auto"/>
        </w:rPr>
      </w:pPr>
    </w:p>
    <w:p>
      <w:pPr>
        <w:jc w:val="center"/>
        <w:ind w:right="20"/>
        <w:spacing w:after="0" w:line="272"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259"/>
        <w:spacing w:after="0" w:line="196" w:lineRule="exact"/>
        <w:tabs>
          <w:tab w:leader="none" w:pos="240" w:val="left"/>
          <w:tab w:leader="none" w:pos="260" w:val="left"/>
        </w:tabs>
        <w:rPr>
          <w:sz w:val="20"/>
          <w:szCs w:val="20"/>
          <w:color w:val="auto"/>
        </w:rPr>
      </w:pPr>
      <w:r>
        <w:rPr>
          <w:rFonts w:ascii="Times New Roman" w:cs="Times New Roman" w:eastAsia="Times New Roman" w:hAnsi="Times New Roman"/>
          <w:sz w:val="17"/>
          <w:szCs w:val="17"/>
          <w:color w:val="auto"/>
        </w:rPr>
        <w:t xml:space="preserve">Vornado Realty Trust: Yes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5"/>
          <w:szCs w:val="15"/>
          <w:color w:val="auto"/>
          <w:highlight w:val="black"/>
        </w:rPr>
        <w:t>☐</w:t>
      </w:r>
      <w:r>
        <w:rPr>
          <w:rFonts w:ascii="Times New Roman" w:cs="Times New Roman" w:eastAsia="Times New Roman" w:hAnsi="Times New Roman"/>
          <w:sz w:val="17"/>
          <w:szCs w:val="17"/>
          <w:color w:val="auto"/>
        </w:rPr>
        <w:t xml:space="preserve"> Vornado Realty L.P.: 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5"/>
          <w:szCs w:val="15"/>
          <w:color w:val="auto"/>
          <w:highlight w:val="black"/>
        </w:rPr>
        <w:t>☐</w:t>
      </w:r>
    </w:p>
    <w:p>
      <w:pPr>
        <w:spacing w:after="0" w:line="83" w:lineRule="exact"/>
        <w:rPr>
          <w:sz w:val="20"/>
          <w:szCs w:val="20"/>
          <w:color w:val="auto"/>
        </w:rPr>
      </w:pPr>
    </w:p>
    <w:p>
      <w:pPr>
        <w:jc w:val="center"/>
        <w:spacing w:after="0" w:line="279"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2940"/>
        <w:spacing w:after="0" w:line="196" w:lineRule="exact"/>
        <w:tabs>
          <w:tab w:leader="none" w:pos="5260" w:val="left"/>
          <w:tab w:leader="none" w:pos="8080" w:val="left"/>
        </w:tabs>
        <w:rPr>
          <w:sz w:val="20"/>
          <w:szCs w:val="20"/>
          <w:color w:val="auto"/>
        </w:rPr>
      </w:pPr>
      <w:r>
        <w:rPr>
          <w:rFonts w:ascii="Times New Roman" w:cs="Times New Roman" w:eastAsia="Times New Roman" w:hAnsi="Times New Roman"/>
          <w:sz w:val="17"/>
          <w:szCs w:val="17"/>
          <w:color w:val="auto"/>
        </w:rPr>
        <w:t xml:space="preserve">Vornado Realty Trust: Yes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5"/>
          <w:szCs w:val="15"/>
          <w:color w:val="auto"/>
          <w:highlight w:val="black"/>
        </w:rPr>
        <w:t>☐</w:t>
      </w:r>
      <w:r>
        <w:rPr>
          <w:rFonts w:ascii="Times New Roman" w:cs="Times New Roman" w:eastAsia="Times New Roman" w:hAnsi="Times New Roman"/>
          <w:sz w:val="17"/>
          <w:szCs w:val="17"/>
          <w:color w:val="auto"/>
        </w:rPr>
        <w:t xml:space="preserve"> Vornado Realty L.P.: 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5"/>
          <w:szCs w:val="15"/>
          <w:color w:val="auto"/>
          <w:highlight w:val="black"/>
        </w:rPr>
        <w:t>☐</w:t>
      </w:r>
    </w:p>
    <w:p>
      <w:pPr>
        <w:spacing w:after="0" w:line="83" w:lineRule="exact"/>
        <w:rPr>
          <w:sz w:val="20"/>
          <w:szCs w:val="20"/>
          <w:color w:val="auto"/>
        </w:rPr>
      </w:pPr>
    </w:p>
    <w:p>
      <w:pPr>
        <w:jc w:val="center"/>
        <w:ind w:right="2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Vornado Realty Trust:</w:t>
      </w:r>
    </w:p>
    <w:p>
      <w:pPr>
        <w:spacing w:after="0" w:line="67" w:lineRule="exact"/>
        <w:rPr>
          <w:sz w:val="20"/>
          <w:szCs w:val="20"/>
          <w:color w:val="auto"/>
        </w:rPr>
      </w:pPr>
    </w:p>
    <w:tbl>
      <w:tblPr>
        <w:tblLayout w:type="fixed"/>
        <w:tblInd w:w="1660" w:type="dxa"/>
        <w:tblCellMar>
          <w:top w:w="0" w:type="dxa"/>
          <w:left w:w="0" w:type="dxa"/>
          <w:bottom w:w="0" w:type="dxa"/>
          <w:right w:w="0" w:type="dxa"/>
        </w:tblCellMar>
      </w:tblPr>
      <w:tr>
        <w:trPr>
          <w:trHeight w:val="223"/>
        </w:trPr>
        <w:tc>
          <w:tcPr>
            <w:tcW w:w="26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Large Accelerated Filer</w:t>
            </w:r>
          </w:p>
        </w:tc>
        <w:tc>
          <w:tcPr>
            <w:tcW w:w="1600" w:type="dxa"/>
            <w:vAlign w:val="bottom"/>
          </w:tcPr>
          <w:p>
            <w:pPr>
              <w:ind w:left="1340"/>
              <w:spacing w:after="0" w:line="171" w:lineRule="exact"/>
              <w:rPr>
                <w:sz w:val="20"/>
                <w:szCs w:val="20"/>
                <w:color w:val="auto"/>
              </w:rPr>
            </w:pPr>
            <w:r>
              <w:rPr>
                <w:rFonts w:ascii="MS PGothic" w:cs="MS PGothic" w:eastAsia="MS PGothic" w:hAnsi="MS PGothic"/>
                <w:sz w:val="17"/>
                <w:szCs w:val="17"/>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Accelerated Filer</w:t>
            </w:r>
          </w:p>
        </w:tc>
      </w:tr>
      <w:tr>
        <w:trPr>
          <w:trHeight w:val="223"/>
        </w:trPr>
        <w:tc>
          <w:tcPr>
            <w:tcW w:w="26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Non-Accelerated Filer</w:t>
            </w:r>
          </w:p>
        </w:tc>
        <w:tc>
          <w:tcPr>
            <w:tcW w:w="1600" w:type="dxa"/>
            <w:vAlign w:val="bottom"/>
          </w:tcPr>
          <w:p>
            <w:pPr>
              <w:ind w:left="1340"/>
              <w:spacing w:after="0" w:line="171" w:lineRule="exact"/>
              <w:rPr>
                <w:sz w:val="20"/>
                <w:szCs w:val="20"/>
                <w:color w:val="auto"/>
              </w:rPr>
            </w:pPr>
            <w:r>
              <w:rPr>
                <w:rFonts w:ascii="MS PGothic" w:cs="MS PGothic" w:eastAsia="MS PGothic" w:hAnsi="MS PGothic"/>
                <w:sz w:val="17"/>
                <w:szCs w:val="17"/>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Smaller Reporting Company</w:t>
            </w:r>
          </w:p>
        </w:tc>
      </w:tr>
      <w:tr>
        <w:trPr>
          <w:trHeight w:val="294"/>
        </w:trPr>
        <w:tc>
          <w:tcPr>
            <w:tcW w:w="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00" w:type="dxa"/>
            <w:vAlign w:val="bottom"/>
          </w:tcPr>
          <w:p>
            <w:pPr>
              <w:ind w:left="1340"/>
              <w:spacing w:after="0" w:line="171" w:lineRule="exact"/>
              <w:rPr>
                <w:sz w:val="20"/>
                <w:szCs w:val="20"/>
                <w:color w:val="auto"/>
              </w:rPr>
            </w:pPr>
            <w:r>
              <w:rPr>
                <w:rFonts w:ascii="MS PGothic" w:cs="MS PGothic" w:eastAsia="MS PGothic" w:hAnsi="MS PGothic"/>
                <w:sz w:val="17"/>
                <w:szCs w:val="17"/>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Emerging Growth Company</w:t>
            </w:r>
          </w:p>
        </w:tc>
      </w:tr>
    </w:tbl>
    <w:p>
      <w:pPr>
        <w:spacing w:after="0" w:line="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Vornado Realty L.P.:</w:t>
      </w:r>
    </w:p>
    <w:p>
      <w:pPr>
        <w:spacing w:after="0" w:line="67" w:lineRule="exact"/>
        <w:rPr>
          <w:sz w:val="20"/>
          <w:szCs w:val="20"/>
          <w:color w:val="auto"/>
        </w:rPr>
      </w:pPr>
    </w:p>
    <w:tbl>
      <w:tblPr>
        <w:tblLayout w:type="fixed"/>
        <w:tblInd w:w="1660" w:type="dxa"/>
        <w:tblCellMar>
          <w:top w:w="0" w:type="dxa"/>
          <w:left w:w="0" w:type="dxa"/>
          <w:bottom w:w="0" w:type="dxa"/>
          <w:right w:w="0" w:type="dxa"/>
        </w:tblCellMar>
      </w:tblPr>
      <w:tr>
        <w:trPr>
          <w:trHeight w:val="223"/>
        </w:trPr>
        <w:tc>
          <w:tcPr>
            <w:tcW w:w="26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Large Accelerated Filer</w:t>
            </w:r>
          </w:p>
        </w:tc>
        <w:tc>
          <w:tcPr>
            <w:tcW w:w="1600" w:type="dxa"/>
            <w:vAlign w:val="bottom"/>
          </w:tcPr>
          <w:p>
            <w:pPr>
              <w:ind w:left="1340"/>
              <w:spacing w:after="0" w:line="171" w:lineRule="exact"/>
              <w:rPr>
                <w:sz w:val="20"/>
                <w:szCs w:val="20"/>
                <w:color w:val="auto"/>
              </w:rPr>
            </w:pPr>
            <w:r>
              <w:rPr>
                <w:rFonts w:ascii="MS PGothic" w:cs="MS PGothic" w:eastAsia="MS PGothic" w:hAnsi="MS PGothic"/>
                <w:sz w:val="17"/>
                <w:szCs w:val="17"/>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Accelerated Filer</w:t>
            </w:r>
          </w:p>
        </w:tc>
      </w:tr>
      <w:tr>
        <w:trPr>
          <w:trHeight w:val="223"/>
        </w:trPr>
        <w:tc>
          <w:tcPr>
            <w:tcW w:w="26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Non-Accelerated Filer</w:t>
            </w:r>
          </w:p>
        </w:tc>
        <w:tc>
          <w:tcPr>
            <w:tcW w:w="1600" w:type="dxa"/>
            <w:vAlign w:val="bottom"/>
          </w:tcPr>
          <w:p>
            <w:pPr>
              <w:ind w:left="1340"/>
              <w:spacing w:after="0" w:line="171" w:lineRule="exact"/>
              <w:rPr>
                <w:sz w:val="20"/>
                <w:szCs w:val="20"/>
                <w:color w:val="auto"/>
              </w:rPr>
            </w:pPr>
            <w:r>
              <w:rPr>
                <w:rFonts w:ascii="MS PGothic" w:cs="MS PGothic" w:eastAsia="MS PGothic" w:hAnsi="MS PGothic"/>
                <w:sz w:val="17"/>
                <w:szCs w:val="17"/>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Smaller Reporting Company</w:t>
            </w:r>
          </w:p>
        </w:tc>
      </w:tr>
      <w:tr>
        <w:trPr>
          <w:trHeight w:val="294"/>
        </w:trPr>
        <w:tc>
          <w:tcPr>
            <w:tcW w:w="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00" w:type="dxa"/>
            <w:vAlign w:val="bottom"/>
          </w:tcPr>
          <w:p>
            <w:pPr>
              <w:ind w:left="1340"/>
              <w:spacing w:after="0" w:line="171" w:lineRule="exact"/>
              <w:rPr>
                <w:sz w:val="20"/>
                <w:szCs w:val="20"/>
                <w:color w:val="auto"/>
              </w:rPr>
            </w:pPr>
            <w:r>
              <w:rPr>
                <w:rFonts w:ascii="MS PGothic" w:cs="MS PGothic" w:eastAsia="MS PGothic" w:hAnsi="MS PGothic"/>
                <w:sz w:val="17"/>
                <w:szCs w:val="17"/>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Emerging Growth Company</w:t>
            </w:r>
          </w:p>
        </w:tc>
      </w:tr>
    </w:tbl>
    <w:p>
      <w:pPr>
        <w:spacing w:after="0" w:line="85" w:lineRule="exact"/>
        <w:rPr>
          <w:sz w:val="20"/>
          <w:szCs w:val="20"/>
          <w:color w:val="auto"/>
        </w:rPr>
      </w:pPr>
    </w:p>
    <w:p>
      <w:pPr>
        <w:jc w:val="center"/>
        <w:ind w:right="20"/>
        <w:spacing w:after="0" w:line="279"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jc w:val="center"/>
        <w:spacing w:after="0" w:line="196" w:lineRule="exact"/>
        <w:rPr>
          <w:sz w:val="20"/>
          <w:szCs w:val="20"/>
          <w:color w:val="auto"/>
        </w:rPr>
      </w:pPr>
      <w:r>
        <w:rPr>
          <w:rFonts w:ascii="Times New Roman" w:cs="Times New Roman" w:eastAsia="Times New Roman" w:hAnsi="Times New Roman"/>
          <w:sz w:val="17"/>
          <w:szCs w:val="17"/>
          <w:color w:val="auto"/>
        </w:rPr>
        <w:t xml:space="preserve">Vornado Realty Trust: </w:t>
      </w:r>
      <w:r>
        <w:rPr>
          <w:rFonts w:ascii="MS PGothic" w:cs="MS PGothic" w:eastAsia="MS PGothic" w:hAnsi="MS PGothic"/>
          <w:sz w:val="15"/>
          <w:szCs w:val="15"/>
          <w:color w:val="auto"/>
          <w:highlight w:val="black"/>
        </w:rPr>
        <w:t>☐</w:t>
      </w:r>
      <w:r>
        <w:rPr>
          <w:rFonts w:ascii="Times New Roman" w:cs="Times New Roman" w:eastAsia="Times New Roman" w:hAnsi="Times New Roman"/>
          <w:sz w:val="17"/>
          <w:szCs w:val="17"/>
          <w:color w:val="auto"/>
        </w:rPr>
        <w:t xml:space="preserve"> Vornado Realty L.P.: </w:t>
      </w:r>
      <w:r>
        <w:rPr>
          <w:rFonts w:ascii="MS PGothic" w:cs="MS PGothic" w:eastAsia="MS PGothic" w:hAnsi="MS PGothic"/>
          <w:sz w:val="15"/>
          <w:szCs w:val="15"/>
          <w:color w:val="auto"/>
          <w:highlight w:val="black"/>
        </w:rPr>
        <w:t>☐</w:t>
      </w:r>
    </w:p>
    <w:p>
      <w:pPr>
        <w:spacing w:after="0" w:line="83"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ind w:left="3840"/>
        <w:spacing w:after="0" w:line="196" w:lineRule="exact"/>
        <w:rPr>
          <w:sz w:val="20"/>
          <w:szCs w:val="20"/>
          <w:color w:val="auto"/>
        </w:rPr>
      </w:pPr>
      <w:r>
        <w:rPr>
          <w:rFonts w:ascii="Times New Roman" w:cs="Times New Roman" w:eastAsia="Times New Roman" w:hAnsi="Times New Roman"/>
          <w:sz w:val="17"/>
          <w:szCs w:val="17"/>
          <w:color w:val="auto"/>
        </w:rPr>
        <w:t xml:space="preserve">Vornado Realty Trust: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 xml:space="preserve"> Vornado Realty L.P.: </w:t>
      </w:r>
      <w:r>
        <w:rPr>
          <w:rFonts w:ascii="MS PGothic" w:cs="MS PGothic" w:eastAsia="MS PGothic" w:hAnsi="MS PGothic"/>
          <w:sz w:val="15"/>
          <w:szCs w:val="15"/>
          <w:color w:val="auto"/>
        </w:rPr>
        <w:t>☑</w:t>
      </w:r>
    </w:p>
    <w:p>
      <w:pPr>
        <w:spacing w:after="0" w:line="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If securities are registered pursuant to Section 12(b) of the Act, indicate by check mark whether the financial statements of the registrant included in the filing</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reflect the correction of an error to previously issued financial statements.</w:t>
      </w:r>
    </w:p>
    <w:p>
      <w:pPr>
        <w:spacing w:after="0" w:line="32" w:lineRule="exact"/>
        <w:rPr>
          <w:sz w:val="20"/>
          <w:szCs w:val="20"/>
          <w:color w:val="auto"/>
        </w:rPr>
      </w:pPr>
    </w:p>
    <w:p>
      <w:pPr>
        <w:jc w:val="center"/>
        <w:spacing w:after="0" w:line="196" w:lineRule="exact"/>
        <w:rPr>
          <w:sz w:val="20"/>
          <w:szCs w:val="20"/>
          <w:color w:val="auto"/>
        </w:rPr>
      </w:pPr>
      <w:r>
        <w:rPr>
          <w:rFonts w:ascii="Times New Roman" w:cs="Times New Roman" w:eastAsia="Times New Roman" w:hAnsi="Times New Roman"/>
          <w:sz w:val="17"/>
          <w:szCs w:val="17"/>
          <w:color w:val="auto"/>
        </w:rPr>
        <w:t xml:space="preserve">Vornado Realty Trust: </w:t>
      </w:r>
      <w:r>
        <w:rPr>
          <w:rFonts w:ascii="MS PGothic" w:cs="MS PGothic" w:eastAsia="MS PGothic" w:hAnsi="MS PGothic"/>
          <w:sz w:val="15"/>
          <w:szCs w:val="15"/>
          <w:color w:val="auto"/>
          <w:highlight w:val="black"/>
        </w:rPr>
        <w:t>☐</w:t>
      </w:r>
      <w:r>
        <w:rPr>
          <w:rFonts w:ascii="Times New Roman" w:cs="Times New Roman" w:eastAsia="Times New Roman" w:hAnsi="Times New Roman"/>
          <w:sz w:val="17"/>
          <w:szCs w:val="17"/>
          <w:color w:val="auto"/>
        </w:rPr>
        <w:t xml:space="preserve"> Vornado Realty L.P.: </w:t>
      </w:r>
      <w:r>
        <w:rPr>
          <w:rFonts w:ascii="MS PGothic" w:cs="MS PGothic" w:eastAsia="MS PGothic" w:hAnsi="MS PGothic"/>
          <w:sz w:val="15"/>
          <w:szCs w:val="15"/>
          <w:color w:val="auto"/>
          <w:highlight w:val="black"/>
        </w:rPr>
        <w:t>☐</w:t>
      </w:r>
    </w:p>
    <w:p>
      <w:pPr>
        <w:spacing w:after="0" w:line="83" w:lineRule="exact"/>
        <w:rPr>
          <w:sz w:val="20"/>
          <w:szCs w:val="20"/>
          <w:color w:val="auto"/>
        </w:rPr>
      </w:pPr>
    </w:p>
    <w:p>
      <w:pPr>
        <w:ind w:left="1860" w:right="60" w:hanging="1501"/>
        <w:spacing w:after="0" w:line="279" w:lineRule="auto"/>
        <w:rPr>
          <w:sz w:val="20"/>
          <w:szCs w:val="20"/>
          <w:color w:val="auto"/>
        </w:rPr>
      </w:pPr>
      <w:r>
        <w:rPr>
          <w:rFonts w:ascii="Times New Roman" w:cs="Times New Roman" w:eastAsia="Times New Roman" w:hAnsi="Times New Roman"/>
          <w:sz w:val="17"/>
          <w:szCs w:val="17"/>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 w:lineRule="exact"/>
        <w:rPr>
          <w:sz w:val="20"/>
          <w:szCs w:val="20"/>
          <w:color w:val="auto"/>
        </w:rPr>
      </w:pPr>
    </w:p>
    <w:p>
      <w:pPr>
        <w:jc w:val="center"/>
        <w:spacing w:after="0" w:line="196" w:lineRule="exact"/>
        <w:rPr>
          <w:sz w:val="20"/>
          <w:szCs w:val="20"/>
          <w:color w:val="auto"/>
        </w:rPr>
      </w:pPr>
      <w:r>
        <w:rPr>
          <w:rFonts w:ascii="Times New Roman" w:cs="Times New Roman" w:eastAsia="Times New Roman" w:hAnsi="Times New Roman"/>
          <w:sz w:val="17"/>
          <w:szCs w:val="17"/>
          <w:color w:val="auto"/>
        </w:rPr>
        <w:t xml:space="preserve">Vornado Realty Trust: </w:t>
      </w:r>
      <w:r>
        <w:rPr>
          <w:rFonts w:ascii="MS PGothic" w:cs="MS PGothic" w:eastAsia="MS PGothic" w:hAnsi="MS PGothic"/>
          <w:sz w:val="15"/>
          <w:szCs w:val="15"/>
          <w:color w:val="auto"/>
          <w:highlight w:val="black"/>
        </w:rPr>
        <w:t>☐</w:t>
      </w:r>
      <w:r>
        <w:rPr>
          <w:rFonts w:ascii="Times New Roman" w:cs="Times New Roman" w:eastAsia="Times New Roman" w:hAnsi="Times New Roman"/>
          <w:sz w:val="17"/>
          <w:szCs w:val="17"/>
          <w:color w:val="auto"/>
        </w:rPr>
        <w:t xml:space="preserve"> Vornado Realty L.P.: </w:t>
      </w:r>
      <w:r>
        <w:rPr>
          <w:rFonts w:ascii="MS PGothic" w:cs="MS PGothic" w:eastAsia="MS PGothic" w:hAnsi="MS PGothic"/>
          <w:sz w:val="15"/>
          <w:szCs w:val="15"/>
          <w:color w:val="auto"/>
          <w:highlight w:val="black"/>
        </w:rPr>
        <w:t>☐</w:t>
      </w:r>
    </w:p>
    <w:p>
      <w:pPr>
        <w:spacing w:after="0" w:line="8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50" w:lineRule="exact"/>
        <w:rPr>
          <w:sz w:val="20"/>
          <w:szCs w:val="20"/>
          <w:color w:val="auto"/>
        </w:rPr>
      </w:pPr>
    </w:p>
    <w:p>
      <w:pPr>
        <w:ind w:left="2960"/>
        <w:spacing w:after="0" w:line="196" w:lineRule="exact"/>
        <w:tabs>
          <w:tab w:leader="none" w:pos="5280" w:val="left"/>
          <w:tab w:leader="none" w:pos="8100" w:val="left"/>
        </w:tabs>
        <w:rPr>
          <w:sz w:val="20"/>
          <w:szCs w:val="20"/>
          <w:color w:val="auto"/>
        </w:rPr>
      </w:pPr>
      <w:r>
        <w:rPr>
          <w:rFonts w:ascii="Times New Roman" w:cs="Times New Roman" w:eastAsia="Times New Roman" w:hAnsi="Times New Roman"/>
          <w:sz w:val="17"/>
          <w:szCs w:val="17"/>
          <w:color w:val="auto"/>
        </w:rPr>
        <w:t xml:space="preserve">Vornado Realty Trust: Yes </w:t>
      </w:r>
      <w:r>
        <w:rPr>
          <w:rFonts w:ascii="MS PGothic" w:cs="MS PGothic" w:eastAsia="MS PGothic" w:hAnsi="MS PGothic"/>
          <w:sz w:val="15"/>
          <w:szCs w:val="15"/>
          <w:color w:val="auto"/>
          <w:highlight w:val="black"/>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 xml:space="preserve"> Vornado Realty L.P.: Yes </w:t>
      </w:r>
      <w:r>
        <w:rPr>
          <w:rFonts w:ascii="MS PGothic" w:cs="MS PGothic" w:eastAsia="MS PGothic" w:hAnsi="MS PGothic"/>
          <w:sz w:val="15"/>
          <w:szCs w:val="15"/>
          <w:color w:val="auto"/>
          <w:highlight w:val="black"/>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5"/>
          <w:szCs w:val="15"/>
          <w:color w:val="auto"/>
        </w:rPr>
        <w:t>☑</w:t>
      </w:r>
    </w:p>
    <w:p>
      <w:pPr>
        <w:spacing w:after="0" w:line="83" w:lineRule="exact"/>
        <w:rPr>
          <w:sz w:val="20"/>
          <w:szCs w:val="20"/>
          <w:color w:val="auto"/>
        </w:rPr>
      </w:pPr>
    </w:p>
    <w:p>
      <w:pPr>
        <w:jc w:val="center"/>
        <w:ind w:right="20"/>
        <w:spacing w:after="0" w:line="289" w:lineRule="auto"/>
        <w:rPr>
          <w:sz w:val="20"/>
          <w:szCs w:val="20"/>
          <w:color w:val="auto"/>
        </w:rPr>
      </w:pPr>
      <w:r>
        <w:rPr>
          <w:rFonts w:ascii="Times New Roman" w:cs="Times New Roman" w:eastAsia="Times New Roman" w:hAnsi="Times New Roman"/>
          <w:sz w:val="17"/>
          <w:szCs w:val="17"/>
          <w:color w:val="auto"/>
        </w:rPr>
        <w:t>The aggregate market value of the voting and non-voting common shares held by non-affiliates of Vornado Realty Trust, i.e. by persons other than officers and trustees of Vornado Realty Trust, was $4,651,296,000 at June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of December 31, 2024, there were 190,846,580 common shares of beneficial interest outstanding of Vornado Realty Trust.</w:t>
      </w:r>
    </w:p>
    <w:p>
      <w:pPr>
        <w:spacing w:after="0" w:line="66" w:lineRule="exact"/>
        <w:rPr>
          <w:sz w:val="20"/>
          <w:szCs w:val="20"/>
          <w:color w:val="auto"/>
        </w:rPr>
      </w:pPr>
    </w:p>
    <w:p>
      <w:pPr>
        <w:jc w:val="center"/>
        <w:ind w:right="20"/>
        <w:spacing w:after="0" w:line="276" w:lineRule="auto"/>
        <w:rPr>
          <w:sz w:val="20"/>
          <w:szCs w:val="20"/>
          <w:color w:val="auto"/>
        </w:rPr>
      </w:pPr>
      <w:r>
        <w:rPr>
          <w:rFonts w:ascii="Times New Roman" w:cs="Times New Roman" w:eastAsia="Times New Roman" w:hAnsi="Times New Roman"/>
          <w:sz w:val="17"/>
          <w:szCs w:val="17"/>
          <w:color w:val="auto"/>
        </w:rPr>
        <w:t>There is no public market for the Class A units of limited partnership interest of Vornado Realty L.P. Based on the June 30, 2024 closing share price of Vornado Realty Trust’s common shares, which are issuable upon redemption of the Class A units, the aggregate market value of the Class A units held by non-affiliates of Vornado Realty L.P., i.e. by persons other than Vornado Realty Trust and its officers and trustees, was $317,537,000 as of June 30, 2024.</w:t>
      </w:r>
    </w:p>
    <w:p>
      <w:pPr>
        <w:spacing w:after="0" w:line="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u w:val="single" w:color="auto"/>
          <w:color w:val="auto"/>
        </w:rPr>
        <w:t>Documents Incorporated by Reference</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r>
        <w:rPr>
          <w:rFonts w:ascii="Times New Roman" w:cs="Times New Roman" w:eastAsia="Times New Roman" w:hAnsi="Times New Roman"/>
          <w:sz w:val="17"/>
          <w:szCs w:val="17"/>
          <w:color w:val="auto"/>
        </w:rPr>
        <w:t>: Portions of Proxy Statement for Annual Meeting of Vornado Realty Trust’s Shareholders to be held on May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516255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88265</wp:posOffset>
            </wp:positionV>
            <wp:extent cx="713613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40" w:top="1038"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26"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This report combines the Annual Reports on Form 10-K for the fiscal year ended December 31, 2024 of Vornado Realty Trust and Vornado Realty L.P. Unless stated otherwise or the context otherwise requires, references to “Vornado” refer to Vornado Realty Trust, a Maryland real estate investment trust (“REIT”), and references to the “Operating Partnership” and “VRLP” refer to Vornado Realty L.P., a Delaware limited partnership. References to the “Company,” “we,” “us” and “our” mean, collectively, Vornado, the Operating Partnership and those subsidiaries consolidated by Vornado.</w:t>
      </w:r>
    </w:p>
    <w:p>
      <w:pPr>
        <w:spacing w:after="0" w:line="1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Operating Partnership is the entity through which we conduct substantially all of our business and own, either directly or through subsidiaries, substantially all of our assets. Vornado is the sole general partner and also a 91.4% limited partner of the Operating Partnership. As the sole general partner of the Operating Partnership, Vornado has exclusive control of the Operating Partnership’s day-to-day management.</w:t>
      </w:r>
    </w:p>
    <w:p>
      <w:pPr>
        <w:spacing w:after="0" w:line="7"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Under the limited partnership agreement of the Operating Partnership, unitholders may present their Class A units for redemption at any time (subject to restrictions agreed upon at the time of issuance of the units that may restrict such right for a period of time). Class A units may be tendered for redemption to the Operating Partnership for cash; Vornado, at its option, may assume that obligation and pay the holder either cash or Vornado common shares on a one-for-one basis. Because the number of Vornado common shares outstanding at all times equals the number of Class A units owned by Vornado, the redemption value of each Class A unit is equivalent to the market value of one Vornado common share, and the distribution to a Class A unitholder is equal to the dividend paid to a Vornado common shareholder. This one-for-one exchange ratio is subject to specified adjustments to prevent dilution. Vornado generally expects that it will elect to issue its common shares in connection with each such presentation for redemption rather than having the Operating Partnership pay cash. With each such exchange or redemption, Vornado’s percentage ownership in the Operating Partnership will increase. In addition, whenever Vornado issues common shares other than to acquire Class A units of the Operating Partnership, Vornado must contribute any net proceeds it receives to the Operating Partnership and the Operating Partnership must issue to Vornado an equivalent number of Class A units of the Operating Partnership. This structure is commonly referred to as an umbrella partnership REIT, or UPREIT.</w:t>
      </w:r>
    </w:p>
    <w:p>
      <w:pPr>
        <w:spacing w:after="0" w:line="19"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The Company believes that combining the Annual Reports on Form 10-K of Vornado and the Operating Partnership into this single report provides the following benefits:</w:t>
      </w:r>
    </w:p>
    <w:p>
      <w:pPr>
        <w:spacing w:after="0" w:line="1" w:lineRule="exact"/>
        <w:rPr>
          <w:sz w:val="20"/>
          <w:szCs w:val="20"/>
          <w:color w:val="auto"/>
        </w:rPr>
      </w:pPr>
    </w:p>
    <w:p>
      <w:pPr>
        <w:ind w:left="480" w:hanging="318"/>
        <w:spacing w:after="0" w:line="268" w:lineRule="auto"/>
        <w:tabs>
          <w:tab w:leader="none" w:pos="47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enhances investors’ understanding of Vornado and the Operating Partnership by enabling investors to view the business as a whole in the same manner as management views and operates the business;</w:t>
      </w:r>
    </w:p>
    <w:p>
      <w:pPr>
        <w:ind w:left="480" w:hanging="318"/>
        <w:spacing w:after="0" w:line="257" w:lineRule="auto"/>
        <w:tabs>
          <w:tab w:leader="none" w:pos="47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eliminates duplicative disclosure and provides a more streamlined and readable presentation because a substantial portion of the disclosure applies to both Vornado and the Operating Partnership; and</w:t>
      </w:r>
    </w:p>
    <w:p>
      <w:pPr>
        <w:ind w:left="480" w:hanging="318"/>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creates time and cost efficiencies in the preparation of one combined report instead of two separate reports.</w:t>
      </w:r>
    </w:p>
    <w:p>
      <w:pPr>
        <w:spacing w:after="0" w:line="48"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The Company believes it is important to understand the few differences between Vornado and the Operating Partnership in the context of how Vornado and the Operating Partnership operate as a consolidated company. The financial results of the Operating Partnership are consolidated into the financial statements of Vornado. Vornado does not have any significant assets, liabilities or operations, other than its investment in the Operating Partnership. The Operating Partnership, not Vornado, generally executes all significant business relationships other than transactions involving the securities of Vornado. The Operating Partnership holds substantially all of the assets of Vornado. The Operating Partnership conducts the operations of the business and is structured as a partnership with no publicly traded equity. Except for the net proceeds from equity offerings by Vornado, which are contributed to the capital of the Operating Partnership in exchange for Class A units of partnership in the Operating Partnership, and the net proceeds of debt offerings by Vornado, which are contributed to the Operating Partnership in exchange for debt securities of the Operating Partnership, as applicable, the Operating Partnership generates all remaining capital required by the Company’s business. These sources may include working capital, net cash provided by operating activities, borrowings under the revolving credit facilities, the issuance of secured and unsecured debt and equity securities and proceeds received from the disposition of certain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595630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3" w:name="page4"/>
    <w:bookmarkEnd w:id="3"/>
    <w:p>
      <w:pPr>
        <w:ind w:firstLine="314"/>
        <w:spacing w:after="0" w:line="289" w:lineRule="auto"/>
        <w:rPr>
          <w:sz w:val="20"/>
          <w:szCs w:val="20"/>
          <w:color w:val="auto"/>
        </w:rPr>
      </w:pPr>
      <w:r>
        <w:rPr>
          <w:rFonts w:ascii="Times New Roman" w:cs="Times New Roman" w:eastAsia="Times New Roman" w:hAnsi="Times New Roman"/>
          <w:sz w:val="17"/>
          <w:szCs w:val="17"/>
          <w:color w:val="auto"/>
        </w:rPr>
        <w:t>To help investors better understand the key differences between Vornado and the Operating Partnership, certain information for Vornado and the Operating Partnership in this report has been separated, as set forth below:</w:t>
      </w:r>
    </w:p>
    <w:p>
      <w:pPr>
        <w:spacing w:after="0" w:line="1" w:lineRule="exact"/>
        <w:rPr>
          <w:sz w:val="20"/>
          <w:szCs w:val="20"/>
          <w:color w:val="auto"/>
        </w:rPr>
      </w:pPr>
    </w:p>
    <w:p>
      <w:pPr>
        <w:ind w:left="1100" w:hanging="466"/>
        <w:spacing w:after="0"/>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5. Market for Registrant’s Common Equity, Related Stockholder Matters and Issuer Purchases of Equity Securities;</w:t>
      </w:r>
    </w:p>
    <w:p>
      <w:pPr>
        <w:spacing w:after="0" w:line="32" w:lineRule="exact"/>
        <w:rPr>
          <w:rFonts w:ascii="Times New Roman" w:cs="Times New Roman" w:eastAsia="Times New Roman" w:hAnsi="Times New Roman"/>
          <w:sz w:val="17"/>
          <w:szCs w:val="17"/>
          <w:color w:val="auto"/>
        </w:rPr>
      </w:pPr>
    </w:p>
    <w:p>
      <w:pPr>
        <w:ind w:left="1100" w:hanging="466"/>
        <w:spacing w:after="0" w:line="257" w:lineRule="auto"/>
        <w:tabs>
          <w:tab w:leader="none" w:pos="10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7. Management’s Discussion and Analysis of Financial Condition and Results of Operations includes information specific to each entity, where applicable; and</w:t>
      </w:r>
    </w:p>
    <w:p>
      <w:pPr>
        <w:ind w:left="1100" w:hanging="466"/>
        <w:spacing w:after="0" w:line="257" w:lineRule="auto"/>
        <w:tabs>
          <w:tab w:leader="none" w:pos="10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8. Financial Statements and Supplementary Data which includes the following specific disclosures for Vornado Realty Trust and Vornado Realty L.P.:</w:t>
      </w:r>
    </w:p>
    <w:p>
      <w:pPr>
        <w:ind w:left="2040" w:hanging="463"/>
        <w:spacing w:after="0"/>
        <w:tabs>
          <w:tab w:leader="none" w:pos="204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 9. Redeemable Noncontrolling Interests</w:t>
      </w:r>
    </w:p>
    <w:p>
      <w:pPr>
        <w:spacing w:after="0" w:line="14" w:lineRule="exact"/>
        <w:rPr>
          <w:rFonts w:ascii="Times New Roman" w:cs="Times New Roman" w:eastAsia="Times New Roman" w:hAnsi="Times New Roman"/>
          <w:sz w:val="17"/>
          <w:szCs w:val="17"/>
          <w:color w:val="auto"/>
        </w:rPr>
      </w:pPr>
    </w:p>
    <w:p>
      <w:pPr>
        <w:ind w:left="2040" w:hanging="463"/>
        <w:spacing w:after="0"/>
        <w:tabs>
          <w:tab w:leader="none" w:pos="204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 10. Shareholders' Equity/Partners' Capital</w:t>
      </w:r>
    </w:p>
    <w:p>
      <w:pPr>
        <w:spacing w:after="0" w:line="14" w:lineRule="exact"/>
        <w:rPr>
          <w:rFonts w:ascii="Times New Roman" w:cs="Times New Roman" w:eastAsia="Times New Roman" w:hAnsi="Times New Roman"/>
          <w:sz w:val="17"/>
          <w:szCs w:val="17"/>
          <w:color w:val="auto"/>
        </w:rPr>
      </w:pPr>
    </w:p>
    <w:p>
      <w:pPr>
        <w:ind w:left="2040" w:hanging="463"/>
        <w:spacing w:after="0"/>
        <w:tabs>
          <w:tab w:leader="none" w:pos="204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 11. Stock-based Compensation</w:t>
      </w:r>
    </w:p>
    <w:p>
      <w:pPr>
        <w:spacing w:after="0" w:line="14" w:lineRule="exact"/>
        <w:rPr>
          <w:rFonts w:ascii="Times New Roman" w:cs="Times New Roman" w:eastAsia="Times New Roman" w:hAnsi="Times New Roman"/>
          <w:sz w:val="17"/>
          <w:szCs w:val="17"/>
          <w:color w:val="auto"/>
        </w:rPr>
      </w:pPr>
    </w:p>
    <w:p>
      <w:pPr>
        <w:ind w:left="2040" w:hanging="463"/>
        <w:spacing w:after="0"/>
        <w:tabs>
          <w:tab w:leader="none" w:pos="204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 12. Income (Loss) Per Share and Per Class A Unit</w:t>
      </w:r>
    </w:p>
    <w:p>
      <w:pPr>
        <w:spacing w:after="0" w:line="4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This report also includes separate Part II, Item 9A. Controls and Procedures sections and separate Exhibits 31 and 32 certifications for each of Vornado and the Operating Partnership in order to establish that the requisite certifications have been made and that Vornado and the Operating Partnership are compliant with Rule 13a-15 or Rule 15d-15 of the Securities Exchange Act of 1934 and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585470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20" w:type="dxa"/>
            <w:vAlign w:val="bottom"/>
            <w:gridSpan w:val="2"/>
          </w:tcPr>
          <w:p>
            <w:pPr>
              <w:ind w:left="2540"/>
              <w:spacing w:after="0"/>
              <w:rPr>
                <w:sz w:val="20"/>
                <w:szCs w:val="20"/>
                <w:color w:val="auto"/>
              </w:rPr>
            </w:pPr>
            <w:r>
              <w:rPr>
                <w:rFonts w:ascii="Times New Roman" w:cs="Times New Roman" w:eastAsia="Times New Roman" w:hAnsi="Times New Roman"/>
                <w:sz w:val="17"/>
                <w:szCs w:val="17"/>
                <w:b w:val="1"/>
                <w:bCs w:val="1"/>
                <w:color w:val="auto"/>
              </w:rPr>
              <w:t>INDEX</w:t>
            </w:r>
          </w:p>
        </w:tc>
        <w:tc>
          <w:tcPr>
            <w:tcW w:w="1360" w:type="dxa"/>
            <w:vAlign w:val="bottom"/>
          </w:tcPr>
          <w:p>
            <w:pPr>
              <w:spacing w:after="0"/>
              <w:rPr>
                <w:sz w:val="19"/>
                <w:szCs w:val="19"/>
                <w:color w:val="auto"/>
              </w:rPr>
            </w:pPr>
          </w:p>
        </w:tc>
      </w:tr>
      <w:tr>
        <w:trPr>
          <w:trHeight w:val="301"/>
        </w:trPr>
        <w:tc>
          <w:tcPr>
            <w:tcW w:w="1720" w:type="dxa"/>
            <w:vAlign w:val="bottom"/>
          </w:tcPr>
          <w:p>
            <w:pPr>
              <w:spacing w:after="0"/>
              <w:rPr>
                <w:sz w:val="24"/>
                <w:szCs w:val="24"/>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rPr>
              <w:t>Item</w:t>
            </w:r>
          </w:p>
        </w:tc>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Information:</w:t>
            </w:r>
          </w:p>
        </w:tc>
        <w:tc>
          <w:tcPr>
            <w:tcW w:w="136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Page Number</w:t>
            </w:r>
          </w:p>
        </w:tc>
      </w:tr>
      <w:tr>
        <w:trPr>
          <w:trHeight w:val="137"/>
        </w:trPr>
        <w:tc>
          <w:tcPr>
            <w:tcW w:w="17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r>
      <w:tr>
        <w:trPr>
          <w:trHeight w:val="22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Business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1A.</w:t>
            </w: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 Factors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1B.</w:t>
            </w: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Unresolved Staff Comments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24</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1C.</w:t>
            </w: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Cybersecurity</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25</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Properties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26</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Legal Proceedings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Mine Safety Disclosures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70"/>
        </w:trPr>
        <w:tc>
          <w:tcPr>
            <w:tcW w:w="17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b w:val="1"/>
                <w:bCs w:val="1"/>
                <w:color w:val="auto"/>
              </w:rPr>
              <w:t>PART II.</w:t>
            </w:r>
          </w:p>
        </w:tc>
        <w:tc>
          <w:tcPr>
            <w:tcW w:w="114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4"/>
                <w:szCs w:val="14"/>
                <w:color w:val="auto"/>
              </w:rPr>
            </w:pPr>
          </w:p>
        </w:tc>
        <w:tc>
          <w:tcPr>
            <w:tcW w:w="692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Market for Registrant’s Common Equity, Related Stockholder Matters and Issuer Purchases of</w:t>
            </w:r>
          </w:p>
        </w:tc>
        <w:tc>
          <w:tcPr>
            <w:tcW w:w="1360" w:type="dxa"/>
            <w:vAlign w:val="bottom"/>
            <w:shd w:val="clear" w:color="auto" w:fill="CCEEFF"/>
          </w:tcPr>
          <w:p>
            <w:pPr>
              <w:spacing w:after="0"/>
              <w:rPr>
                <w:sz w:val="14"/>
                <w:szCs w:val="14"/>
                <w:color w:val="auto"/>
              </w:rPr>
            </w:pPr>
          </w:p>
        </w:tc>
      </w:tr>
      <w:tr>
        <w:trPr>
          <w:trHeight w:val="236"/>
        </w:trPr>
        <w:tc>
          <w:tcPr>
            <w:tcW w:w="17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Reserved</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33</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34</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7A.</w:t>
            </w: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Statements and Supplementary Data</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59</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and Disagreements with Accountants on Accounting and Financial Disclosure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113</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9A.</w:t>
            </w: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Controls and Procedures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113</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9B.</w:t>
            </w: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Information</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117</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9C.</w:t>
            </w: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Disclosure Regarding Foreign Jurisdictions That Prevent Inspections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117</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PART III.</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Directors, Executive Officers and Corporate Governance</w:t>
            </w:r>
            <w:r>
              <w:rPr>
                <w:rFonts w:ascii="Times New Roman" w:cs="Times New Roman" w:eastAsia="Times New Roman" w:hAnsi="Times New Roman"/>
                <w:sz w:val="22"/>
                <w:szCs w:val="22"/>
                <w:b w:val="1"/>
                <w:bCs w:val="1"/>
                <w:color w:val="auto"/>
                <w:vertAlign w:val="superscript"/>
              </w:rPr>
              <w:t>(1)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117</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Executive Compensation</w:t>
            </w:r>
            <w:r>
              <w:rPr>
                <w:rFonts w:ascii="Times New Roman" w:cs="Times New Roman" w:eastAsia="Times New Roman" w:hAnsi="Times New Roman"/>
                <w:sz w:val="22"/>
                <w:szCs w:val="22"/>
                <w:b w:val="1"/>
                <w:bCs w:val="1"/>
                <w:color w:val="auto"/>
                <w:vertAlign w:val="superscript"/>
              </w:rPr>
              <w:t>(1)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117</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70"/>
        </w:trPr>
        <w:tc>
          <w:tcPr>
            <w:tcW w:w="172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4"/>
                <w:szCs w:val="14"/>
                <w:color w:val="auto"/>
              </w:rPr>
            </w:pPr>
          </w:p>
        </w:tc>
        <w:tc>
          <w:tcPr>
            <w:tcW w:w="692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Security Ownership of Certain Beneficial Owners and Management and Related Stockholder</w:t>
            </w:r>
          </w:p>
        </w:tc>
        <w:tc>
          <w:tcPr>
            <w:tcW w:w="1360" w:type="dxa"/>
            <w:vAlign w:val="bottom"/>
            <w:shd w:val="clear" w:color="auto" w:fill="CCEEFF"/>
          </w:tcPr>
          <w:p>
            <w:pPr>
              <w:spacing w:after="0"/>
              <w:rPr>
                <w:sz w:val="14"/>
                <w:szCs w:val="14"/>
                <w:color w:val="auto"/>
              </w:rPr>
            </w:pPr>
          </w:p>
        </w:tc>
      </w:tr>
      <w:tr>
        <w:trPr>
          <w:trHeight w:val="236"/>
        </w:trPr>
        <w:tc>
          <w:tcPr>
            <w:tcW w:w="17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920" w:type="dxa"/>
            <w:vAlign w:val="bottom"/>
            <w:gridSpan w:val="2"/>
            <w:shd w:val="clear" w:color="auto" w:fill="CCEEFF"/>
          </w:tcPr>
          <w:p>
            <w:pPr>
              <w:ind w:left="20"/>
              <w:spacing w:after="0" w:line="236" w:lineRule="exact"/>
              <w:rPr>
                <w:sz w:val="20"/>
                <w:szCs w:val="20"/>
                <w:color w:val="auto"/>
              </w:rPr>
            </w:pPr>
            <w:r>
              <w:rPr>
                <w:rFonts w:ascii="Times New Roman" w:cs="Times New Roman" w:eastAsia="Times New Roman" w:hAnsi="Times New Roman"/>
                <w:sz w:val="17"/>
                <w:szCs w:val="17"/>
                <w:color w:val="auto"/>
              </w:rPr>
              <w:t>Matters</w:t>
            </w:r>
            <w:r>
              <w:rPr>
                <w:rFonts w:ascii="Times New Roman" w:cs="Times New Roman" w:eastAsia="Times New Roman" w:hAnsi="Times New Roman"/>
                <w:sz w:val="22"/>
                <w:szCs w:val="22"/>
                <w:b w:val="1"/>
                <w:bCs w:val="1"/>
                <w:color w:val="auto"/>
                <w:vertAlign w:val="superscript"/>
              </w:rPr>
              <w:t>(1)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118</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Certain Relationships and Related Transactions, and Director Independence</w:t>
            </w:r>
            <w:r>
              <w:rPr>
                <w:rFonts w:ascii="Times New Roman" w:cs="Times New Roman" w:eastAsia="Times New Roman" w:hAnsi="Times New Roman"/>
                <w:sz w:val="22"/>
                <w:szCs w:val="22"/>
                <w:b w:val="1"/>
                <w:bCs w:val="1"/>
                <w:color w:val="auto"/>
                <w:vertAlign w:val="superscript"/>
              </w:rPr>
              <w:t>(1)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118</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Principal Accountant Fees and Services</w:t>
            </w:r>
            <w:r>
              <w:rPr>
                <w:rFonts w:ascii="Times New Roman" w:cs="Times New Roman" w:eastAsia="Times New Roman" w:hAnsi="Times New Roman"/>
                <w:sz w:val="22"/>
                <w:szCs w:val="22"/>
                <w:b w:val="1"/>
                <w:bCs w:val="1"/>
                <w:color w:val="auto"/>
                <w:vertAlign w:val="superscript"/>
              </w:rPr>
              <w:t>(1)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118</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Exhibits and Financial Statement Schedules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118</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Form 10-K Summary</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127</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Signatures</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128</w:t>
            </w:r>
          </w:p>
        </w:tc>
      </w:tr>
      <w:tr>
        <w:trPr>
          <w:trHeight w:val="211"/>
        </w:trPr>
        <w:tc>
          <w:tcPr>
            <w:tcW w:w="28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tc>
        <w:tc>
          <w:tcPr>
            <w:tcW w:w="1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jc w:val="both"/>
        <w:ind w:left="320" w:hanging="315"/>
        <w:spacing w:after="0" w:line="264" w:lineRule="auto"/>
        <w:tabs>
          <w:tab w:leader="none" w:pos="314"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These items are omitted in whole or in part because Vornado, the Operating Partnership’s sole general partner, will file a definitive Proxy Statement pursuant to Regulation 14A under the Securities Exchange Act of 1934 with the Securities and Exchange Commission no later than 120 days after December 31, 2024, portions of which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5" w:name="page6"/>
    <w:bookmarkEnd w:id="5"/>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87" w:lineRule="exact"/>
        <w:rPr>
          <w:sz w:val="20"/>
          <w:szCs w:val="20"/>
          <w:color w:val="auto"/>
        </w:rPr>
      </w:pPr>
    </w:p>
    <w:p>
      <w:pPr>
        <w:jc w:val="both"/>
        <w:ind w:firstLine="314"/>
        <w:spacing w:after="0" w:line="216" w:lineRule="exact"/>
        <w:rPr>
          <w:sz w:val="20"/>
          <w:szCs w:val="20"/>
          <w:color w:val="auto"/>
        </w:rPr>
      </w:pPr>
      <w:r>
        <w:rPr>
          <w:rFonts w:ascii="Times New Roman" w:cs="Times New Roman" w:eastAsia="Times New Roman" w:hAnsi="Times New Roman"/>
          <w:sz w:val="17"/>
          <w:szCs w:val="17"/>
          <w:color w:val="auto"/>
        </w:rPr>
        <w:t>Certain statements contained herein constitute forward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looking statements as such term is defined in Section 27A of the Securities Act of 1933, as amended, and Section 21E of the Securities Exchange Act of 1934, as amended. Forward-looking statements are not guarantees of future performance. They represent our intentions, plans, expectations and beliefs and are subject to numerous assumptions, risks and uncertainties. Our future results, financial condition and business may differ materially from those expressed in these forward-looking statements. You can find many of these statements by looking for words such as “approximates,” “believes,” “expects,” “anticipates,” “estimates,” “intends,” “plans,” “would,” “may” or other similar expressions in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We also note the following forward-looking statements: in the case of our development and redevelopment projects, the estimated completion date, estimated project cost and cost to complete; estimates of future rents, estimates of future capital expenditures, dividends to common and preferred shareholders and operating partnership distributions. Many of the factors that will determine the outcome of these and our other forward-looking statements are beyond our ability to control or predict. For further discussion of factors that could materially affect the outcome of our forward-looking statements, see “Item 1A. Risk Factors” in this Annual Report on Form 10-K.</w:t>
      </w:r>
    </w:p>
    <w:p>
      <w:pPr>
        <w:spacing w:after="0" w:line="3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For these statements, we claim the protection of the safe harbor for forward-looking statements contained in the Private Securities Litigation Reform Act of 1995. You are cautioned not to place undue reliance on our forward-looking statements, which speak only as of the date of this Annual Report on Form 10-K or the date of any document incorporated by reference.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occurring after the date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6" w:name="page7"/>
    <w:bookmarkEnd w:id="6"/>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w:t>
        <w:tab/>
        <w:t>BUSINESS</w:t>
      </w:r>
    </w:p>
    <w:p>
      <w:pPr>
        <w:spacing w:after="0" w:line="34" w:lineRule="exact"/>
        <w:rPr>
          <w:sz w:val="20"/>
          <w:szCs w:val="20"/>
          <w:color w:val="auto"/>
        </w:rPr>
      </w:pPr>
    </w:p>
    <w:p>
      <w:pPr>
        <w:jc w:val="both"/>
        <w:ind w:firstLine="314"/>
        <w:spacing w:after="0" w:line="223" w:lineRule="exact"/>
        <w:rPr>
          <w:sz w:val="20"/>
          <w:szCs w:val="20"/>
          <w:color w:val="auto"/>
        </w:rPr>
      </w:pPr>
      <w:r>
        <w:rPr>
          <w:rFonts w:ascii="Times New Roman" w:cs="Times New Roman" w:eastAsia="Times New Roman" w:hAnsi="Times New Roman"/>
          <w:sz w:val="17"/>
          <w:szCs w:val="17"/>
          <w:color w:val="auto"/>
        </w:rPr>
        <w:t>Vornado is a fully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integrated REIT and conducts its business through, and substantially all of its interests in properties are held by, the Operating Partnership, a Delaware limited partnership. Accordingly, Vornado’s cash flow and ability to pay dividends to its shareholders are dependent upon the cash flow of the Operating Partnership and the ability of its direct and indirect subsidiaries to first satisfy their obligations to creditors. Vornado is the sole general partner of and owned approximately 91.4% of the common limited partnership interest in the Operating Partnership as of December 31, 2024.</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currently own all or portions of:</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u w:val="single" w:color="auto"/>
          <w:color w:val="auto"/>
        </w:rPr>
        <w:t>New York:</w:t>
      </w:r>
    </w:p>
    <w:p>
      <w:pPr>
        <w:spacing w:after="0" w:line="68" w:lineRule="exact"/>
        <w:rPr>
          <w:sz w:val="20"/>
          <w:szCs w:val="20"/>
          <w:color w:val="auto"/>
        </w:rPr>
      </w:pPr>
    </w:p>
    <w:p>
      <w:pPr>
        <w:ind w:left="620" w:hanging="301"/>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56 Manhattan operating properties consisting of:</w:t>
      </w:r>
    </w:p>
    <w:p>
      <w:pPr>
        <w:spacing w:after="0" w:line="32"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 million square feet of office space in 30 of the properties;</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 million square feet of street retail space in 49 of the properties;</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1,330 units in two Manhattan residential properties;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development sites, including 350 Park Avenue, Sunset Pier 94 Studios, the Hotel Pennsylvania site (PENN 15) and other PENN district sites;</w:t>
      </w:r>
    </w:p>
    <w:p>
      <w:pPr>
        <w:spacing w:after="0" w:line="14"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32.4% interest in Alexander’s, Inc. (“Alexander’s”) (NYSE: ALX), which owns five properties in the greater New York metropolitan area, including 731 Lexington Avenue, the 1.1 million square foot Bloomberg, L.P. headquarters building, and The Alexander, a 312-unit apartment tower in Queens;</w:t>
      </w:r>
    </w:p>
    <w:p>
      <w:pPr>
        <w:ind w:left="620" w:hanging="301"/>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Signage throughout the PENN District and Times Square; and</w:t>
      </w:r>
    </w:p>
    <w:p>
      <w:pPr>
        <w:spacing w:after="0" w:line="14" w:lineRule="exact"/>
        <w:rPr>
          <w:rFonts w:ascii="Times New Roman" w:cs="Times New Roman" w:eastAsia="Times New Roman" w:hAnsi="Times New Roman"/>
          <w:sz w:val="17"/>
          <w:szCs w:val="17"/>
          <w:color w:val="auto"/>
        </w:rPr>
      </w:pPr>
    </w:p>
    <w:p>
      <w:pPr>
        <w:ind w:left="640" w:hanging="321"/>
        <w:spacing w:after="0" w:line="274"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Building Maintenance Services LLC ("BMS"), a wholly owned subsidiary, which provides cleaning and security services for our buildings and third parties.</w: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u w:val="single" w:color="auto"/>
          <w:color w:val="auto"/>
        </w:rPr>
        <w:t>Other Real Estate and Investments:</w:t>
      </w:r>
    </w:p>
    <w:p>
      <w:pPr>
        <w:spacing w:after="0" w:line="68" w:lineRule="exact"/>
        <w:rPr>
          <w:sz w:val="20"/>
          <w:szCs w:val="20"/>
          <w:color w:val="auto"/>
        </w:rPr>
      </w:pPr>
    </w:p>
    <w:p>
      <w:pPr>
        <w:ind w:left="620" w:hanging="301"/>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3.7 million square foot THE MART in Chicago;</w:t>
      </w:r>
    </w:p>
    <w:p>
      <w:pPr>
        <w:spacing w:after="0" w:line="32"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70% controlling interest in 555 California Street, a three-building office complex in San Francisco’s financial district aggregating 1.8 million square feet; and</w:t>
      </w:r>
    </w:p>
    <w:p>
      <w:pPr>
        <w:ind w:left="620" w:hanging="301"/>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real estate and investments.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OBJECTIVES AND STRATEGY</w:t>
      </w:r>
    </w:p>
    <w:p>
      <w:pPr>
        <w:spacing w:after="0" w:line="68" w:lineRule="exact"/>
        <w:rPr>
          <w:sz w:val="20"/>
          <w:szCs w:val="20"/>
          <w:color w:val="auto"/>
        </w:rPr>
      </w:pPr>
    </w:p>
    <w:p>
      <w:pPr>
        <w:ind w:firstLine="314"/>
        <w:spacing w:after="0" w:line="289" w:lineRule="auto"/>
        <w:rPr>
          <w:sz w:val="20"/>
          <w:szCs w:val="20"/>
          <w:color w:val="auto"/>
        </w:rPr>
      </w:pPr>
      <w:r>
        <w:rPr>
          <w:rFonts w:ascii="Times New Roman" w:cs="Times New Roman" w:eastAsia="Times New Roman" w:hAnsi="Times New Roman"/>
          <w:sz w:val="17"/>
          <w:szCs w:val="17"/>
          <w:color w:val="auto"/>
        </w:rPr>
        <w:t>Our business objective is to maximize Vornado shareholder value. We intend to achieve this objective by continuing to pursue our investment philosophy and to execute our operating strategies through:</w:t>
      </w:r>
    </w:p>
    <w:p>
      <w:pPr>
        <w:spacing w:after="0" w:line="1" w:lineRule="exact"/>
        <w:rPr>
          <w:sz w:val="20"/>
          <w:szCs w:val="20"/>
          <w:color w:val="auto"/>
        </w:rPr>
      </w:pPr>
    </w:p>
    <w:p>
      <w:pPr>
        <w:ind w:left="620" w:hanging="301"/>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 superior team of operating and investment professionals and an entrepreneurial spirit;</w:t>
      </w:r>
    </w:p>
    <w:p>
      <w:pPr>
        <w:spacing w:after="0" w:line="32"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investing in properties in select markets, such as New York City, where we believe there is a high likelihood of capital appreciation;</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acquiring quality properties at a discount to replacement cost and where there is a significant potential for higher rents;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redeveloping properties to increase returns and maximize value; and</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investing in operating companies that have a significant real estate component.</w:t>
      </w:r>
    </w:p>
    <w:p>
      <w:pPr>
        <w:spacing w:after="0" w:line="4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expect to finance our growth, acquisitions and investments using internally generated funds and proceeds from asset sales and by accessing the public and private capital markets. We may also offer Vornado common or preferred shares or Operating Partnership units in exchange for property and may repurchase or otherwise reacquire these securities in the future.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completed the following acquisition transaction during 2024:</w:t>
      </w:r>
    </w:p>
    <w:p>
      <w:pPr>
        <w:spacing w:after="0" w:line="32" w:lineRule="exact"/>
        <w:rPr>
          <w:sz w:val="20"/>
          <w:szCs w:val="20"/>
          <w:color w:val="auto"/>
        </w:rPr>
      </w:pPr>
    </w:p>
    <w:p>
      <w:pPr>
        <w:ind w:left="620" w:hanging="301"/>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million B-Note investment at par; which is in default and secured by a Midtown Manhattan property.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DISPOSITIONS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completed the following sale transactions during 2024:</w:t>
      </w:r>
    </w:p>
    <w:p>
      <w:pPr>
        <w:spacing w:after="0" w:line="66" w:lineRule="exact"/>
        <w:rPr>
          <w:sz w:val="20"/>
          <w:szCs w:val="20"/>
          <w:color w:val="auto"/>
        </w:rPr>
      </w:pPr>
    </w:p>
    <w:p>
      <w:pPr>
        <w:ind w:left="640" w:right="260" w:hanging="321"/>
        <w:spacing w:after="0" w:line="268" w:lineRule="auto"/>
        <w:tabs>
          <w:tab w:leader="none" w:pos="635" w:val="left"/>
        </w:tabs>
        <w:numPr>
          <w:ilvl w:val="0"/>
          <w:numId w:val="1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$88 million for the sale of our 49.9% interest in 50-70 West 93rd Street with net proceeds of $2 million after deducting our share of the existing $84 million mortgage loan; and</w:t>
      </w: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 million net proceeds from the sale of two condominium units at 220 Central Park South (“220 CPS”).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FINANCINGS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completed the following financing transactions during 2024:</w:t>
      </w:r>
    </w:p>
    <w:p>
      <w:pPr>
        <w:spacing w:after="0" w:line="66" w:lineRule="exact"/>
        <w:rPr>
          <w:sz w:val="20"/>
          <w:szCs w:val="20"/>
          <w:color w:val="auto"/>
        </w:rPr>
      </w:pPr>
    </w:p>
    <w:p>
      <w:pPr>
        <w:ind w:left="640" w:hanging="321"/>
        <w:spacing w:after="0" w:line="268" w:lineRule="auto"/>
        <w:tabs>
          <w:tab w:leader="none" w:pos="6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 billion mortgage loan amended and extended, and $125 million mezzanine loan amended and extended and subsequently repaid for $63 million on 280 Park Avenue (50% ownership);</w:t>
      </w: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$915 million unsecured revolving credit facility maturing April 2029; replaced the $1.25 billion facility due to mature in April 2026;</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$863 million of interest rate swap arrangements;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$625 million restructuring of 85 Tenth Avenue (49.9% ownership);</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$400 million refinancing of 640 Fifth Avenue (52% ownership);</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$400 million refinancing of 731 Lexington Avenue office condominium (32.4% ownership); and</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 million refinancing of 435 Seventh Avenue.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DEVELOPMENT / REDEVELOPMENT PROJECTS AND OPPORTUNITIES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PENN District</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PENN 2</w:t>
      </w:r>
    </w:p>
    <w:p>
      <w:pPr>
        <w:spacing w:after="0" w:line="6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We are redeveloping PENN 2, a 1,795,000 square foot (as expanded) office building, located on the west side of Seventh Avenue between 31st and 33rd Street. The development cost of this project is estimated to be $750,000,000, of which $697,451,000 of cash has been expended as of December 31, 2024.</w:t>
      </w:r>
    </w:p>
    <w:p>
      <w:pPr>
        <w:spacing w:after="0" w:line="42"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We are also making districtwide improvements within the PENN District. The development cost of these improvements is estimated to be $100,000,000, of which $70,919,000 of cash has been expended as of December 31, 2024.</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Sunset Pier 94 Studios</w:t>
      </w:r>
    </w:p>
    <w:p>
      <w:pPr>
        <w:spacing w:after="0" w:line="68"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On August 28, 2023, we, together with Hudson Pacific Properties and Blackstone Inc., formed a joint venture (“Pier 94 JV”) to develop a 266,000 square foot purpose-built studio campus in Manhattan. We own a 49.9% equity interest in the joint venture. The development cost of the project is estimated to be $350,000,000, which will be funded with $183,200,000 of construction financing ($29,782,000 drawn as of December 31, 2024) and $166,800,000 of equity contributions. Our share of equity contributions was funded by (i) our $40,000,000 Pier 94 leasehold interest contribution and (ii) $34,000,000 of cash contributions, which are net of an estimated $9,000,000 for our share of development fees and reimbursement for overhead costs incurred by us. As of December 31, 2024, we have fully funded our share of equity and cash contributions.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350 Park Avenue</w:t>
      </w:r>
    </w:p>
    <w:p>
      <w:pPr>
        <w:spacing w:after="0" w:line="68"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On January 24, 2023, we and the Rudin family (“Rudin”) completed agreements with Citadel Enterprise Americas LLC (“Citadel”) and with an affiliate of Kenneth C. Griffin, Citadel’s Founder and CEO (“KG”), for a series of transactions relating to 350 Park Avenue and 40 East 52nd Street. In connection therewith, we entered into a joint venture with Rudin (the “Vornado/Rudin JV”) that purchased 39 East 51st Street for $40,000,000, funded on a 50/50 basis by Vornado and Rudin. 39 East 51st Street will be combined with 350 Park Avenue and 40 East 52nd Street to create a premier development site (the “350 Park Site”). From October 2024 to June 2030, an affiliate of KG has the option to either (i) acquire a 60% interest in a joint venture with the Vornado/Rudin JV (with Vornado having an effective 36% interest in the entity) to build a new 1,700,000 square foot office tower, valuing the 350 Park Site at $1.2 billion or (ii) purchase the 350 Park Site for $1.4 billion ($1.085 billion to Vornado). From October 2024 to September 2030, the Vornado/Rudin JV has the option to put the 350 Park Site to KG for $1.2 billion ($900,000,000 to Vornado).</w:t>
      </w:r>
    </w:p>
    <w:p>
      <w:pPr>
        <w:spacing w:after="0" w:line="231"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We are also evaluating other development and redevelopment opportunities at certain of our properties in Manhattan including, in particular, the PENN District.</w:t>
      </w:r>
    </w:p>
    <w:p>
      <w:pPr>
        <w:spacing w:after="0" w:line="200" w:lineRule="exact"/>
        <w:rPr>
          <w:sz w:val="20"/>
          <w:szCs w:val="20"/>
          <w:color w:val="auto"/>
        </w:rPr>
      </w:pPr>
    </w:p>
    <w:p>
      <w:pPr>
        <w:spacing w:after="0" w:line="3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can be no assurance that the above projects will be completed, completed on schedule or within budget.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ENVIRONMENTAL SUSTAINABILITY INITIATIVES</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We have long believed a focus on environmental sustainability is responsible management of our business and important to our tenants, investors, employees and communities that we serve. It has been central to Vornado's business strategy for over 15 years. The Corporate Governance and Nominating Committee of Vornado's Board of Trustees is assigned with oversight of sustainability matters, which includes climate change risk. Environmental sustainability initiatives are carried out by a dedicated team of professionals that work directly with our business units.</w:t>
      </w:r>
    </w:p>
    <w:p>
      <w:pPr>
        <w:spacing w:after="0" w:line="11"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Vornado is an industry leader in sustainability, owning and operating more than 26 million square feet of LEED (Leadership in Energy and Environmental Design) certified buildings, representing 100% of our certifiable office portfolio, with over 24 million square feet at LEED Gold or Platinum. In 2024, we:</w:t>
      </w:r>
    </w:p>
    <w:p>
      <w:pPr>
        <w:spacing w:after="0" w:line="1" w:lineRule="exact"/>
        <w:rPr>
          <w:sz w:val="20"/>
          <w:szCs w:val="20"/>
          <w:color w:val="auto"/>
        </w:rPr>
      </w:pPr>
    </w:p>
    <w:p>
      <w:pPr>
        <w:ind w:left="620" w:hanging="301"/>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became the first major U.S. real estate owner and operator to achieve 100% LEED certification across our entire portfolio of certifiable buildings;</w:t>
      </w:r>
    </w:p>
    <w:p>
      <w:pPr>
        <w:spacing w:after="0" w:line="14"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GRESB's five star rating and an assessment score of 92, placing us in the top 3% within Americas/Listed, and the “Green Star” distinction for the twelfth consecutive year;</w:t>
      </w:r>
    </w:p>
    <w:p>
      <w:pPr>
        <w:ind w:left="640" w:hanging="321"/>
        <w:spacing w:after="0" w:line="257"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the National Association of Real Estate Investment Trusts’ (“NAREIT”) inaugural “The Impact at Scale Award,” for implementing operational initiatives in the PENN district that advance corporate sustainability and deliver measurable impact; and</w:t>
      </w:r>
    </w:p>
    <w:p>
      <w:pPr>
        <w:ind w:left="620" w:hanging="301"/>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were recognized as an EPA ENERGY STAR Partner of the Year with the distinction of having demonstrated nine years of sustained excellence.</w:t>
      </w:r>
    </w:p>
    <w:p>
      <w:pPr>
        <w:spacing w:after="0" w:line="4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We prioritize addressing climate change and in 2019 adopted a 10-year plan to make our buildings carbon neutral by 2030 (“Vision 2030”). Vision 2030 is a multi-faceted approach that prioritizes energy reduction, recovery, and renewable power. We rely on technology, as well as meaningful stakeholder collaboration with our tenants, our employees, and our communities, to achieve this plan. Our commitment to carbon neutrality and associated emissions reduction targets have been approved by the Science Based Targets Initiative as consistent with a 1.5°C climate scenario limit, the most ambitious goal of the Paris Agreement.</w:t>
      </w:r>
    </w:p>
    <w:p>
      <w:pPr>
        <w:spacing w:after="0" w:line="1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consider sustainability in all aspects of our business, including the design, construction, retrofitting and ongoing maintenance and operations of our portfolio of buildings. We operate our buildings sustainably and efficiently by seeking to establish best practices in energy and water consumption, carbon reduction, resource and waste management and ecologically sensitive procurement. Our policies, from 100% green cleaning to procuring 100% renewable electricity certificates to energy efficiency, are implemented across our entire portfolio. We undertake significant outreach with our tenants, employees and investors regarding Vornado’s sustainability programs and strategies.</w:t>
      </w:r>
    </w:p>
    <w:p>
      <w:pPr>
        <w:spacing w:after="0" w:line="13"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We gather data to measure progress against our goals, align our goals with our tenants, plan for our longer-term projects and engage with our stakeholders in meaningful ways. We use carbon accounting software, energy audits and models and building automation software to measure and track our portfolio-wide waste, water and energy reduction strategies, create roadmaps for each building to understand how to achieve carbon neutrality and provide accurate and actionable data for our measurement, verification and reporting requirements.</w:t>
      </w:r>
    </w:p>
    <w:p>
      <w:pPr>
        <w:spacing w:after="0" w:line="11"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We are committed to transparent reporting of sustainability performance indicators and publish an annual Sustainability Report in accordance with the Global Reporting Initiative and aligned with the metrics codified by the Sustainability Accounting Standards Board. We also submit public reports to CDP, CSA (the S&amp;P Global Corporate Sustainability Assessment) and EP100 (global initiative led by Climate Group). Further details on our environmental sustainability initiatives and strategy, including our Vision 2030 Roadmap, can be found in our 2023 Sustainability Report at (vno.com/sustainability). There can be no assurance that our Vision 2030 commitment will be achieved in the planned time frame. The Sustainability Report is not incorporated by reference and should not be considered part of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As of December 31, 2024, we had 2,996 employees, consisting of (i) 2,568 employees of Building Maintenance Services LLC, a wholly owned subsidiary, which provides cleaning, security, engineering and parking services primarily to our New York properties, (ii) 374 employees in our corporate office, and (iii) 54 employees of THE MART. The foregoing does not include employees of partially owned entities.</w:t>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Human capital management is critical to our success and our employees are the foundation of our human capital.</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Compensation, Benefits and Employee Wellbeing</w:t>
      </w:r>
    </w:p>
    <w:p>
      <w:pPr>
        <w:spacing w:after="0" w:line="70"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To attract and retain the best-qualified talent and to help our employees stay healthy, balance their work and personal lives, and meet their financial and retirement goals, we offer competitive benefits including, but not limited to, market-competitive compensation, healthcare (medical, dental and vision coverage), a health savings account, 401(k) and employer match, dependent care flexible spending account, parental leave, adoption/surrogacy benefits, short-term and long-term disability insurance, life insurance, time off/paid holidays, tuition reimbursement, subsidized gym memberships, employee wellness programs and incentives, in-workplace vaccinations, commuter benefits, an employee assistance program and workplace flexibility.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HUMAN CAPITAL MANAGEMENT - CONTINUED</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Talent Development</w:t>
      </w:r>
    </w:p>
    <w:p>
      <w:pPr>
        <w:spacing w:after="0" w:line="70"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To foster talent and growth, we provide training and continuing education, promote career and personal development, and encourage innovation and engagement. To achieve our talent development goals, we provide tuition reimbursement for our employees’ continuing education and professional development, and the opportunity to participate in a variety of training and networking engagements.</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Culture and Engagement</w:t>
      </w:r>
    </w:p>
    <w:p>
      <w:pPr>
        <w:spacing w:after="0" w:line="70"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Our employees are critical to our success, and we believe creating a positive and inclusive culture is essential to attracting and retaining engaged employees. We seek to retain our employees by actively engaging with our workforce and we solicit their feedback through our divisional leaders and employee surveys. We use their feedback to create and continually enhance programs that support their needs.</w:t>
      </w:r>
    </w:p>
    <w:p>
      <w:pPr>
        <w:spacing w:after="0" w:line="7"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Through our volunteer program, Vornado Volunteers, employees are granted one day of paid time off per calendar year to volunteer for a cause of their choice.</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Health and Wellness</w:t>
      </w:r>
    </w:p>
    <w:p>
      <w:pPr>
        <w:spacing w:after="0" w:line="70"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As a building owner and landlord to thousands of business tenants, we focus on maintaining and improving the health of our indoor environments, as well as communicating the value of our health and wellness programs with consistency and clarity to our stakeholders. We believe that consistent health programming and communications protocols not only mitigate health risks within our buildings, but they also create a responsible behavior framework for our employees, our tenants, and our visitors.</w:t>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Labor Relations</w:t>
      </w:r>
    </w:p>
    <w:p>
      <w:pPr>
        <w:spacing w:after="0" w:line="70"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BMS employs and manages janitorial and security staff who are members of 32BJ SEIU and engineering staff who are members of Local 94 of the International Union of Operating Engineers AFL-CIO. Through our active participation in the Realty Advisory Board on Labor Relations, we work collaboratively with both unions and consider our relations with our union employees to be very positive.</w:t>
      </w:r>
    </w:p>
    <w:p>
      <w:pPr>
        <w:spacing w:after="0" w:line="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For additional information on human capital matters, please see our most recent Sustainability Report, available for download on our website at www.vno.com and in digital format at vno.com/sustainability. This report and other information on our website are not incorporated by reference into and do not form any part of this Annual Report on Form 10-K.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compete with a large number of real estate investors, property owners and developers, some of whom may be willing to accept lower returns on their investments. Principal factors of competition are rents charged, tenant concessions offered, attractiveness of location, the quality of the property and the breadth and the quality of services provided. Our success depends upon, among other factors, trends of the global, national, regional and local economies, the financial condition and operating results of current and prospective tenants and customers, availability and cost of capital, construction and renovation costs, taxes, governmental regulations, legislation, population and employment trends. See "Risk Factors" in Item 1A for additional information regarding these factors.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DATA</w:t>
      </w:r>
    </w:p>
    <w:p>
      <w:pPr>
        <w:spacing w:after="0" w:line="6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 xml:space="preserve">We operate in the following reportable segments: New York and Other. Financial information related to these reportable segments for the years ended December 31, 2024, 2023 and 2022 is set forth in Note 22 – </w:t>
      </w:r>
      <w:r>
        <w:rPr>
          <w:rFonts w:ascii="Times New Roman" w:cs="Times New Roman" w:eastAsia="Times New Roman" w:hAnsi="Times New Roman"/>
          <w:sz w:val="17"/>
          <w:szCs w:val="17"/>
          <w:i w:val="1"/>
          <w:iCs w:val="1"/>
          <w:color w:val="auto"/>
        </w:rPr>
        <w:t>Segment Information</w:t>
      </w:r>
      <w:r>
        <w:rPr>
          <w:rFonts w:ascii="Times New Roman" w:cs="Times New Roman" w:eastAsia="Times New Roman" w:hAnsi="Times New Roman"/>
          <w:sz w:val="17"/>
          <w:szCs w:val="17"/>
          <w:color w:val="auto"/>
        </w:rPr>
        <w:t xml:space="preserve"> to our consolidated financial statements in this Annual Report on Form 10-K.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TENANTS ACCOUNTING FOR OVER 10% OF REVENUES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 of our tenants accounted for more than 10% of total revenues in any of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CERTAIN ACTIVITIES</w:t>
      </w:r>
    </w:p>
    <w:p>
      <w:pPr>
        <w:spacing w:after="0" w:line="34" w:lineRule="exact"/>
        <w:rPr>
          <w:sz w:val="20"/>
          <w:szCs w:val="20"/>
          <w:color w:val="auto"/>
        </w:rPr>
      </w:pPr>
    </w:p>
    <w:p>
      <w:pPr>
        <w:jc w:val="both"/>
        <w:ind w:firstLine="314"/>
        <w:spacing w:after="0" w:line="223" w:lineRule="exact"/>
        <w:rPr>
          <w:sz w:val="20"/>
          <w:szCs w:val="20"/>
          <w:color w:val="auto"/>
        </w:rPr>
      </w:pPr>
      <w:r>
        <w:rPr>
          <w:rFonts w:ascii="Times New Roman" w:cs="Times New Roman" w:eastAsia="Times New Roman" w:hAnsi="Times New Roman"/>
          <w:sz w:val="17"/>
          <w:szCs w:val="17"/>
          <w:color w:val="auto"/>
        </w:rPr>
        <w:t>We do not base our acquisitions and investments on specific allocations by type of property. We have historically held our properties for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investment; however, it is possible that properties in our portfolio may be sold or otherwise disposed of when circumstances warrant. Further, we have not adopted a policy that limits the amount or percentage of assets which could be invested in a specific property or property type. Generally our activities are reviewed and may be modified from time to time by Vornado’s Board of Trustees without the vote of our shareholders or Operating Partnership unitholders.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PRINCIPAL EXECUTIVE OFFICES</w:t>
      </w:r>
    </w:p>
    <w:p>
      <w:pPr>
        <w:spacing w:after="0" w:line="34" w:lineRule="exact"/>
        <w:rPr>
          <w:sz w:val="20"/>
          <w:szCs w:val="20"/>
          <w:color w:val="auto"/>
        </w:rPr>
      </w:pPr>
    </w:p>
    <w:p>
      <w:pPr>
        <w:ind w:left="320"/>
        <w:spacing w:after="0" w:line="196" w:lineRule="exact"/>
        <w:rPr>
          <w:sz w:val="20"/>
          <w:szCs w:val="20"/>
          <w:color w:val="auto"/>
        </w:rPr>
      </w:pPr>
      <w:r>
        <w:rPr>
          <w:rFonts w:ascii="Times New Roman" w:cs="Times New Roman" w:eastAsia="Times New Roman" w:hAnsi="Times New Roman"/>
          <w:sz w:val="17"/>
          <w:szCs w:val="17"/>
          <w:color w:val="auto"/>
        </w:rPr>
        <w:t>Our principal executive offices are located at 888 Seventh Avenue, New York, New York 10019; telephone (212) 894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7000.</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MATERIALS AVAILABLE ON OUR WEBSITE</w:t>
      </w:r>
    </w:p>
    <w:p>
      <w:pPr>
        <w:spacing w:after="0" w:line="34" w:lineRule="exact"/>
        <w:rPr>
          <w:sz w:val="20"/>
          <w:szCs w:val="20"/>
          <w:color w:val="auto"/>
        </w:rPr>
      </w:pPr>
    </w:p>
    <w:p>
      <w:pPr>
        <w:jc w:val="both"/>
        <w:ind w:firstLine="314"/>
        <w:spacing w:after="0" w:line="216" w:lineRule="exact"/>
        <w:rPr>
          <w:sz w:val="20"/>
          <w:szCs w:val="20"/>
          <w:color w:val="auto"/>
        </w:rPr>
      </w:pPr>
      <w:r>
        <w:rPr>
          <w:rFonts w:ascii="Times New Roman" w:cs="Times New Roman" w:eastAsia="Times New Roman" w:hAnsi="Times New Roman"/>
          <w:sz w:val="17"/>
          <w:szCs w:val="17"/>
          <w:color w:val="auto"/>
        </w:rPr>
        <w:t>Copies of our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Quarterly Reports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 Current Reports on Form 8</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and amendments to those reports, as well as Reports on Forms 3, 4 and 5 regarding officers, trustees and 10% beneficial owners, filed or furnished pursuant to Section 13(a), 15(d) or 16(a) of the Securities Exchange Act of 1934 are available free of charge through our website (www.vno.com) as soon as reasonably practicable after they are electronically filed with, or furnished to, the Securities and Exchange Commission. Also available on our website are copies of our Audit Committee Charter, Compensation Committee Charter, Corporate Governance and Nominating Committee Charter, Code of Business Conduct and Ethics, and Corporate Governance Guidelines. In the event of any changes to these charters or the code or guidelines, revised copies will also be made available on our website. Copies of these documents are also available directly from us free of charge. Our website also includes other financial and non-financial information, including certain non-GAAP financial measures, none of which is a part of this Annual Report on Form 10-K. Copies of our filings under the Securities Exchange Act of 1934 are also available free of charge from us, upon request.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1" w:name="page12"/>
    <w:bookmarkEnd w:id="11"/>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Material factors that may adversely affect our business, operations and financial condition are summarized below. We refer to the equity and debt securities of both Vornado and the Operating Partnership as our “securities” and the investors who own shares of Vornado or units of the Operating Partnership, or both, as our “equity holders.” The risks and uncertainties described herein may not be the only ones we face. Additional risks and uncertainties not presently known to us or that we currently believe to be immaterial may also adversely affect our business, operations and financial condition. See “Forward-Looking Statements” contained herein on page 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BUSINESS AND OPERATIONS</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may be adversely affected by trends in office real estate, including work from home trends.</w:t>
      </w:r>
    </w:p>
    <w:p>
      <w:pPr>
        <w:spacing w:after="0" w:line="70" w:lineRule="exact"/>
        <w:rPr>
          <w:sz w:val="20"/>
          <w:szCs w:val="20"/>
          <w:color w:val="auto"/>
        </w:rPr>
      </w:pPr>
    </w:p>
    <w:p>
      <w:pPr>
        <w:jc w:val="both"/>
        <w:ind w:firstLine="314"/>
        <w:spacing w:after="0" w:line="266" w:lineRule="auto"/>
        <w:rPr>
          <w:sz w:val="20"/>
          <w:szCs w:val="20"/>
          <w:color w:val="auto"/>
        </w:rPr>
      </w:pPr>
      <w:r>
        <w:rPr>
          <w:rFonts w:ascii="Times New Roman" w:cs="Times New Roman" w:eastAsia="Times New Roman" w:hAnsi="Times New Roman"/>
          <w:sz w:val="17"/>
          <w:szCs w:val="17"/>
          <w:color w:val="auto"/>
        </w:rPr>
        <w:t>In 2024, approximately 76% of our net operating income (“NOI” a non-GAAP measure) is from our office properties. Work from home, flexible or hybrid work schedules, open workplaces, videoconferencing, and teleconferencing remain prevalent in certain situations following the COVID-19 pandemic. Changes in tenant space utilization, including from the continuation of work from home and flexible work arrangement policies, may continue to cause office tenants to reassess their long-term physical space needs, which could have an adverse effect on our business. Additionally, the increased use of artificial intelligence (“AI”) could result in changes in tenant space utilization, including the need to reduce or reconfigure space.</w:t>
      </w:r>
    </w:p>
    <w:p>
      <w:pPr>
        <w:spacing w:after="0" w:line="4"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Further, as office tenants reevaluate their physical space needs and focus on attracting and retaining talent, many tenants have become more selective and are focused on leasing space in high-quality, modern and well-amenitized buildings near transit hubs. These factors have resulted in increased competition among landlords to attract tenants, significant landlord capital expenditures for a building to maintain Class A status and may negatively impact the value of older and less desirable office space. This could have an adverse effect on our financial condition and results of operations.</w:t>
      </w:r>
    </w:p>
    <w:p>
      <w:pPr>
        <w:spacing w:after="0" w:line="7"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A significant portion of our properties is located in the New York metropolitan area and is affected by the economic cycles and risks inherent to this area.</w:t>
      </w:r>
    </w:p>
    <w:p>
      <w:pPr>
        <w:spacing w:after="0" w:line="256"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In 2024, approximately 89% of our NOI is from properties located in the New York metropolitan area. We may continue to concentrate a significant portion of our future acquisitions, development and redevelopment in this area. Real estate markets are affected by economic downturns and we cannot predict how economic conditions will impact this market in either the short or long term. Declines in the economy and declines in the New York metropolitan area real estate market have impacted and could continue to impact our financial performance and the value of our properties. In addition to the factors affecting national economic conditions generally, the factors affecting economic conditions in this area include:</w:t>
      </w:r>
    </w:p>
    <w:p>
      <w:pPr>
        <w:spacing w:after="0" w:line="3" w:lineRule="exact"/>
        <w:rPr>
          <w:sz w:val="20"/>
          <w:szCs w:val="20"/>
          <w:color w:val="auto"/>
        </w:rPr>
      </w:pPr>
    </w:p>
    <w:p>
      <w:pPr>
        <w:ind w:left="940" w:hanging="306"/>
        <w:spacing w:after="0" w:line="268" w:lineRule="auto"/>
        <w:tabs>
          <w:tab w:leader="none" w:pos="96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performance and productivity of the media, advertising, professional services, financial, technology, retail, insurance and real estate industries;</w:t>
      </w: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layoffs or downsizing;</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oversupply of, or reduced demand for, real estate;</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slowdowns;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inflation;</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rate fluctuations;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relocations of businesses;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demographics;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 from home and use of alternative work places;</w:t>
      </w:r>
    </w:p>
    <w:p>
      <w:pPr>
        <w:spacing w:after="0" w:line="14" w:lineRule="exact"/>
        <w:rPr>
          <w:rFonts w:ascii="Times New Roman" w:cs="Times New Roman" w:eastAsia="Times New Roman" w:hAnsi="Times New Roman"/>
          <w:sz w:val="17"/>
          <w:szCs w:val="17"/>
          <w:color w:val="auto"/>
        </w:rPr>
      </w:pPr>
    </w:p>
    <w:p>
      <w:pPr>
        <w:ind w:left="940" w:hanging="306"/>
        <w:spacing w:after="0" w:line="257" w:lineRule="auto"/>
        <w:tabs>
          <w:tab w:leader="none" w:pos="933"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number of domestic and international tourists to our markets (including as a result of changes in the relative strengths of world currencies);</w:t>
      </w: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diplomatic and trade relationships, as well as potential tariffs;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fiscal health of New York State and New York City governments and local transit authorities;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of life conditions;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infrastructure quality;</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government regulation and costs of complying with such regulations; and</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rates or limitations on the deductibility of state and local taxes.</w:t>
      </w:r>
    </w:p>
    <w:p>
      <w:pPr>
        <w:spacing w:after="0" w:line="35"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It is impossible for us to predict the future effect of trends in the economic and investment climates of the geographic areas in which we concentrate, and more generally of the United States, or the real estate markets in these areas. Local, national or global economic downturns could negatively affect the value of our properties, our businesses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risks that affect the general and New York City retail environments.</w:t>
      </w:r>
    </w:p>
    <w:p>
      <w:pPr>
        <w:spacing w:after="0" w:line="70"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In 2024, approximately 18% of our NOI is from Manhattan retail properties. These properties are affected by the general and New York City retail environments, including the level of consumer spending and consumer confidence, Manhattan tourism, office and residential occupancy rates, employer remote-working policies, the threat of terrorism or other criminal acts, increasing competition from online retailers and other retail centers, and the impact of technological change upon the retail environment generally. These factors could adversely affect the financial condition of our retail tenants, or result in the bankruptcy of such tenants, and the willingness of retailers to lease space in our retail locations, which could have an adverse effect on the value of our properties, our business and profitability.</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Our performance and the value of an investment in us are subject to risks associated with our real estate assets and with the real estate industry.</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value of our real estate and the value of an investment in us fluctuates depending on conditions in the general economy and the real estate business.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conditions may also adversely impact our revenues and cash flows.</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factors that affect the value of our real estate investments include, among other things:</w:t>
      </w:r>
    </w:p>
    <w:p>
      <w:pPr>
        <w:spacing w:after="0" w:line="66" w:lineRule="exact"/>
        <w:rPr>
          <w:sz w:val="20"/>
          <w:szCs w:val="20"/>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national, regional and local economic conditions and geopolitical events;</w:t>
      </w:r>
    </w:p>
    <w:p>
      <w:pPr>
        <w:spacing w:after="0" w:line="32"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from other available space, including co-working space and sub-leases;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local conditions such as an oversupply of space or a reduction in demand for real estate in the area;</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 well we manage our properties;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and/or redevelopment of our properties;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 rental rates;</w:t>
      </w:r>
    </w:p>
    <w:p>
      <w:pPr>
        <w:spacing w:after="0" w:line="14" w:lineRule="exact"/>
        <w:rPr>
          <w:rFonts w:ascii="Times New Roman" w:cs="Times New Roman" w:eastAsia="Times New Roman" w:hAnsi="Times New Roman"/>
          <w:sz w:val="17"/>
          <w:szCs w:val="17"/>
          <w:color w:val="auto"/>
        </w:rPr>
      </w:pPr>
    </w:p>
    <w:p>
      <w:pPr>
        <w:ind w:left="940" w:hanging="306"/>
        <w:spacing w:after="0" w:line="257" w:lineRule="auto"/>
        <w:tabs>
          <w:tab w:leader="none" w:pos="89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trends in office real estate, including many tenants’ preferences for space in modern amenitized buildings which may require the landlord to incur significant capital expenditures;</w:t>
      </w: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from online shopping and its impact on retail tenants and their demand for retail space;</w:t>
      </w:r>
    </w:p>
    <w:p>
      <w:pPr>
        <w:spacing w:after="0" w:line="14" w:lineRule="exact"/>
        <w:rPr>
          <w:rFonts w:ascii="Times New Roman" w:cs="Times New Roman" w:eastAsia="Times New Roman" w:hAnsi="Times New Roman"/>
          <w:sz w:val="17"/>
          <w:szCs w:val="17"/>
          <w:color w:val="auto"/>
        </w:rPr>
      </w:pPr>
    </w:p>
    <w:p>
      <w:pPr>
        <w:ind w:left="940" w:hanging="306"/>
        <w:spacing w:after="0" w:line="257" w:lineRule="auto"/>
        <w:tabs>
          <w:tab w:leader="none" w:pos="86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changes in trade relationships, new tariffs and other trade protection measures or barriers that may adversely affect retailers and retail store values;</w:t>
      </w: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costs associated with property improvements and rentals;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we are able to pass all or portions of any increases in operating costs through to tenants;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real estate taxes and other expenses;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interest rates;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state and local governments to operate within their budgets;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tenants and users such as customers and shoppers consider a property attractive;</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consumer preferences adversely affecting retailers and retail store values;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tenant space utilization;</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condition of our tenants, including the extent of tenant bankruptcies or defaults;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consequences of any armed conflict involving, or terrorist attacks against, the United States or individual acts of violence in public spaces;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financing on acceptable terms or at all;</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inflation or deflation;</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adequate insurance;</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regulation, including changes in fiscal policies, taxation, and zoning laws;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liability and compliance costs associated with environmental or other laws or regulations;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competitive factors;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climate change; and</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pandemics or outbreaks of other infectious diseases.</w:t>
      </w:r>
    </w:p>
    <w:p>
      <w:pPr>
        <w:spacing w:after="0" w:line="4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rents or sales proceeds we receive and the occupancy levels at our properties may decline as a result of adverse changes in any of these factors. If rental revenues, sales proceeds and/or occupancy levels decline, we generally would expect to have less cash available for operating costs, to pay indebtedness and for distribution to equity holders. In addition, some of our major expenses, including mortgage payments, real estate taxes and maintenance costs generally do not decline when the related rents decline and maintenance costs can increase substantially in an inflationary environment. These factors may cause the value of our real estate assets to decline, which may result in non-cash impairment charges and the impact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Real estate is a competitive business and that competition may adversely impact us.</w:t>
      </w:r>
    </w:p>
    <w:p>
      <w:pPr>
        <w:spacing w:after="0" w:line="70"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We compete with a large number of real estate investors, property owners and developers, some of whom may be willing to accept lower returns on their investments. Principal factors of competition are rents charged, tenant concessions offered, attractiveness of location, the quality of the property and the breadth and the quality of services provided. Substantially all of our properties face competition from similar properties in the same market, which may adversely impact the rents we can charge at those properties and our results of operations.</w:t>
      </w:r>
    </w:p>
    <w:p>
      <w:pPr>
        <w:spacing w:after="0" w:line="1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Our commercial office properties are located primarily in highly developed areas of the New York metropolitan area. Manhattan is the largest office market in the United States. The number of competitive office properties in the New York metropolitan area, which may be newer, more amenitized or better located than our properties, could have a material adverse effect on our ability to lease office space at our properties and on the effective rents we are able to charge.</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renew leases, lease vacant space or relet space as leases expire on favorable terms.</w:t>
      </w:r>
    </w:p>
    <w:p>
      <w:pPr>
        <w:spacing w:after="0" w:line="70"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When our tenants decide not to renew their leases upon their expiration, we may not be able to relet the space. Even if tenants do renew or we can relet the space, the terms of renewal or reletting, considering among other things, rent and concessions, the cost of improvements to the property and leasing commissions, may be on less economically favorable terms. In addition, changes in space utilization by our tenants may impact our ability to renew or relet space without the need to incur substantial costs in renovating or redesigning the internal configuration of the relevant property and/or space. If we are unable to promptly renew leases or relet the space on economically favorable terms, our cash flow and ability to service debt obligations and pay dividends and distributions to equity holders could be adversely affected.</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Bankruptcy or insolvency of tenants may decrease our revenues, net income and available cash.</w:t>
      </w:r>
    </w:p>
    <w:p>
      <w:pPr>
        <w:spacing w:after="0" w:line="70"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From time to time, some of our tenants have declared bankruptcy, and other tenants may declare bankruptcy, become insolvent or experience a material business downturn adversely affecting their ability to make timely rental payments in the future. If a tenant does not pay its rent, we may face delays enforcing our rights as landlord and may incur substantial legal and other costs. Even if we are able to enforce our rights, a tenant may not have recoverable assets. The bankruptcy or insolvency of a major tenant may delay our efforts to collect past-due balances under the relevant leases and could ultimately preclude collection of these amounts altogether. As a result, the bankruptcy or insolvency of, or nonpayment by, a major tenant could cause us to suffer lower revenues and operational difficulties, including leasing the remainder of the property, which could in turn result in decreased net income and funds available to pay our indebtedness or make distributions to equity holders.</w:t>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Some of our potential losses may not be covered by insurance.</w:t>
      </w:r>
    </w:p>
    <w:p>
      <w:pPr>
        <w:spacing w:after="0" w:line="70"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For our properties, we maintain general liability insurance with limits of $300,000,000 per occurrence and per property, of which $275,000,000, includes communicable disease coverage, and we maintain all risk property and rental value insurance with limits of $2.0 billion per occurrence, with sub-limits for certain perils such as flood and earthquake, excluding communicable disease coverage. Our California properties have earthquake insurance with coverage of $350,000,000 per occurrence and in the aggregate, subject to a deductible in the amount of 5% of the value of the affected property. We maintain coverage for certified terrorism acts with limits of $6.0 billion per occurrence and in the aggregate (as listed below), $1.2 billion for non-certified acts of terrorism, and $5.0 billion per occurrence and in the aggregate for terrorism involving nuclear, biological, chemical and radiological (“NBCR”) terrorism events, as defined by the Terrorism Risk Insurance Act of 2002, as amended to date and which has been extended through December 2027.</w:t>
      </w:r>
    </w:p>
    <w:p>
      <w:pPr>
        <w:spacing w:after="0" w:line="20"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Penn Plaza Insurance Company, LLC (“PPIC”), our wholly owned consolidated subsidiary, acts as a re-insurer with respect to a portion of all risk property and rental value insurance and a portion of our earthquake insurance coverage, and as a direct insurer for coverage for acts of terrorism including NBCR acts. Coverage for acts of terrorism (excluding NBCR acts) is fully reinsured by third party insurance companies and the Federal government with no exposure to PPIC. For NBCR acts, PPIC is responsible for a deductible of $2,396,808 and 20% of the balance of a covered loss and the Federal government is responsible for the remaining portion of a covered loss. We are ultimately responsible for any loss incurred by PPIC.</w:t>
      </w:r>
    </w:p>
    <w:p>
      <w:pPr>
        <w:spacing w:after="0" w:line="13"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Certain condominiums in which we own an interest (including the Farley Condominiums) maintain insurance policies with different per occurrence and aggregate limits than our policies described above.</w:t>
      </w:r>
    </w:p>
    <w:p>
      <w:pPr>
        <w:spacing w:after="0" w:line="1" w:lineRule="exact"/>
        <w:rPr>
          <w:sz w:val="20"/>
          <w:szCs w:val="20"/>
          <w:color w:val="auto"/>
        </w:rPr>
      </w:pPr>
    </w:p>
    <w:p>
      <w:pPr>
        <w:jc w:val="both"/>
        <w:ind w:firstLine="314"/>
        <w:spacing w:after="0" w:line="274" w:lineRule="auto"/>
        <w:rPr>
          <w:sz w:val="20"/>
          <w:szCs w:val="20"/>
          <w:color w:val="auto"/>
        </w:rPr>
      </w:pPr>
      <w:r>
        <w:rPr>
          <w:rFonts w:ascii="Times New Roman" w:cs="Times New Roman" w:eastAsia="Times New Roman" w:hAnsi="Times New Roman"/>
          <w:sz w:val="17"/>
          <w:szCs w:val="17"/>
          <w:color w:val="auto"/>
        </w:rPr>
        <w:t>We continue to monitor the state of the insurance market and the scope and costs of coverage for acts of terrorism and other events. However, we cannot anticipate what coverage will be available on commercially reasonable terms in the future. We are responsible for uninsured losses and for deductibles and losses in excess of our insurance coverage, which could adversely affect our business, results of operations and financial condition, the impact of which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Actual or threatened terrorist attacks or other criminal acts may adversely affect the value of our properties and our ability to generate cash flow.</w:t>
      </w:r>
    </w:p>
    <w:p>
      <w:pPr>
        <w:spacing w:after="0" w:line="70"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We have significant investments in the New York City, Chicago and San Francisco metropolitan areas. In response to a terrorist attack, the perceived threat of terrorism, or other criminal acts, tenants in these areas may choose to relocate their businesses to less populated, lower-profile areas of the United States that may be perceived to be less likely targets of future terrorist activity or have lower rates of crime and fewer customers may choose to patronize businesses in these areas. This, in turn, would trigger a decrease in the demand for space in these areas, which could increase vacancies in our properties and force us to lease space on less favorable terms. Furthermore, we may experience increased costs in security, equipment and personnel. As a result, the value of our properties and the level of our revenues and cash flows could decline materially.</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The effects of climate change could have a concentrated impact on the areas where we operate and could adversely impact our results.</w:t>
      </w:r>
    </w:p>
    <w:p>
      <w:pPr>
        <w:spacing w:after="0" w:line="70"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Our investments are concentrated in the New York City, Chicago and San Francisco metropolitan areas. Physical climate change, and natural disasters, including earthquakes, storms, storm surges, tornados, floods and hurricanes, could cause significant damage to our properties and the surrounding environment or area. Potentially adverse consequences of climate change, including rising sea levels and increased temperature fluctuations, could similarly have an impact on our properties and the economies of the metropolitan areas in which we operate. Government efforts to combat climate change may impact the cost of operating our properties. Over time, these conditions could result in declining demand for office and retail space in our buildings or the inability of us to operate the buildings at all. Climate change may also have indirect effects on our business by increasing the cost of (or making unavailable) property insurance on terms we find acceptable, increasing the cost of energy at our properties and requiring us to expend funds as we seek to repair and protect our properties against such risks. The incurrence of these losses, costs or business interruptions may adversely affect our operating and financial results.</w:t>
      </w:r>
    </w:p>
    <w:p>
      <w:pPr>
        <w:spacing w:after="0" w:line="22"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Our properties are located in urban areas, which means the vitality of our properties is reliant on sound transportation and utility infrastructure systems. If one of those systems is compromised in any way by an extreme weather event, such a compromise could have an adverse impact on our local economies and populations, as well as on our tenants’ ability to do business in our buildings.</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Our properties are subject to transitional risks related to climate-related policy change.</w:t>
      </w:r>
    </w:p>
    <w:p>
      <w:pPr>
        <w:spacing w:after="0" w:line="70"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De-carbonization of grid-supplied energy (as has been mandated by the Climate Leadership and Community Protection Act in New York State) could lead to increased energy costs and operating expenses for our buildings. Retrofitting our building systems to consume less energy could lead to increased capital costs. In addition, buildings which consume fossil fuel onsite may be subject to penalties in the future. Although these laws and regulations have not had any material adverse effects on our business to date, they could result in substantial costs, including compliance costs, increased energy costs, retrofit costs and construction costs. We cannot predict how future laws and regulations, or future interpretations of current laws and regulations, related to climate change will affect our business, results of operations and financial condition.</w:t>
      </w:r>
    </w:p>
    <w:p>
      <w:pPr>
        <w:spacing w:after="0" w:line="15"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We may become subject to costs, taxes or penalties, or increases therein, associated with natural resource or energy usage, such as a “carbon tax” and by local legislation such as New York City’s Local Law 97, which sets limits on carbon emissions in our buildings and imposes penalties if we exceed those limits, and New York City’s Intro 2317, or the “gas ban” bill, which limits any onsite fossil fuel combustion in new construction and major renovations. These costs, taxes or penalties could increase our operating costs and decrease the cash available to pay our obligations or distribute to our equity owners.</w:t>
      </w:r>
    </w:p>
    <w:p>
      <w:pPr>
        <w:spacing w:after="0" w:line="7" w:lineRule="exact"/>
        <w:rPr>
          <w:sz w:val="20"/>
          <w:szCs w:val="20"/>
          <w:color w:val="auto"/>
        </w:rPr>
      </w:pPr>
    </w:p>
    <w:p>
      <w:pPr>
        <w:jc w:val="both"/>
        <w:ind w:firstLine="31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Changes to tax laws could affect REITs generally, the trading of our shares and our results of operations, both positively and negatively, in ways that are difficult to anticipate.</w:t>
      </w:r>
    </w:p>
    <w:p>
      <w:pPr>
        <w:spacing w:after="0" w:line="1"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The rules dealing with U.S. federal, state and local income taxation are constantly under review by persons involved in the legislative process and by the IRS and the Treasury Department. Changes to tax laws (which changes may have retroactive application) could adversely affect the taxation of REITs and their shareholders. We cannot predict whether, when, in what form, or with what effective dates, tax laws, regulations and rulings may be enacted, promulgated or decided, or technical corrections made, which could result in an increase in our, or our shareholders’, tax liability or require changes in the manner in which we operate in order to minimize increases in our tax liability. If such changes occur, we may be required to pay additional taxes on our assets or income and/or be subject to additional restrictions. These increased tax costs could, among other things, adversely affect the trading price for our common shares, our financial condition, our results of operations and the amount of cash available for the payment of dividends.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Significant inflation and increases in the inflation rate could adversely affect our business and financial results.</w:t>
      </w:r>
    </w:p>
    <w:p>
      <w:pPr>
        <w:spacing w:after="0" w:line="70"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Elevated rates of inflation, both real and anticipated, may impact our business and results of operations. In a highly inflationary environment, we may be unable to raise rental rates at or above the rate of inflation, which could reduce our profit margins. In addition, our cost of labor and materials could increase, which could have an adverse impact on our business and financial results. Increased inflation could also adversely affect us by increasing costs of construction and renovation. While increases in most operating expenses at our properties can be passed on to our office and retail tenants, some tenants have fixed reimbursement charges and expenses at our residential properties may not be able to be passed on to residential tenants. Unreimbursed increased operating expenses may reduce cash flow available for payment of mortgage debt and interest and for distributions to shareholders.</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face risks associated with property acquisitions.</w:t>
      </w:r>
    </w:p>
    <w:p>
      <w:pPr>
        <w:spacing w:after="0" w:line="70"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We have acquired in the past and intend to continue to pursue the acquisition of properties and portfolios of properties, including, but not limited to, large portfolios that would increase our size and could result in alterations to our capital structure. Furthermore, from time to time we have made, and in the future we may seek to make one or more, material acquisitions that we believe will maximize shareholder value. However, an announcement by us of one or more significant acquisitions could result in a quick and significant decline in the price of our securities. Our acquisition activities and their success are subject to the following risks:</w:t>
      </w:r>
    </w:p>
    <w:p>
      <w:pPr>
        <w:spacing w:after="0" w:line="227" w:lineRule="exact"/>
        <w:rPr>
          <w:sz w:val="20"/>
          <w:szCs w:val="20"/>
          <w:color w:val="auto"/>
        </w:rPr>
      </w:pPr>
    </w:p>
    <w:p>
      <w:pPr>
        <w:ind w:left="940" w:hanging="306"/>
        <w:spacing w:after="0" w:line="268"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complete an acquisition of a property or portfolio even after entering into an acquisition agreement, making a non-refundable deposit and incurring certain other acquisition-related costs;</w:t>
      </w:r>
    </w:p>
    <w:p>
      <w:pPr>
        <w:ind w:left="940" w:hanging="306"/>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obtain or assume financing for acquisitions on favorable terms or at all;</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interest rates will increase the cost of financing acquired properties, reducing the opportunities for attractive acquisitions;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acquired properties may fail to perform as expected;</w:t>
      </w:r>
    </w:p>
    <w:p>
      <w:pPr>
        <w:spacing w:after="0" w:line="14" w:lineRule="exact"/>
        <w:rPr>
          <w:rFonts w:ascii="Times New Roman" w:cs="Times New Roman" w:eastAsia="Times New Roman" w:hAnsi="Times New Roman"/>
          <w:sz w:val="17"/>
          <w:szCs w:val="17"/>
          <w:color w:val="auto"/>
        </w:rPr>
      </w:pPr>
    </w:p>
    <w:p>
      <w:pPr>
        <w:ind w:left="940" w:hanging="306"/>
        <w:spacing w:after="0" w:line="25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actual costs of repositioning, redeveloping or maintaining acquired properties may be greater than our estimates and may require significantly greater time and attention of management than anticipated;</w:t>
      </w:r>
    </w:p>
    <w:p>
      <w:pPr>
        <w:ind w:left="940" w:hanging="306"/>
        <w:spacing w:after="0" w:line="25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agreement will likely contain conditions to closing, including completion of due diligence investigations to our satisfaction or other conditions that are not within our control, which may not be satisfied;</w:t>
      </w:r>
    </w:p>
    <w:p>
      <w:pPr>
        <w:jc w:val="both"/>
        <w:ind w:left="940" w:hanging="306"/>
        <w:spacing w:after="0" w:line="25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acquired properties may be located in new markets where we may face risks associated with a lack of market knowledge or understanding of the local economy, lack of business relationships in the area, costs associated with opening a new regional office and unfamiliarity with local governmental and permitting procedures;</w:t>
      </w:r>
    </w:p>
    <w:p>
      <w:pPr>
        <w:ind w:left="940" w:hanging="306"/>
        <w:spacing w:after="0" w:line="25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acquire real estate through the acquisition of the ownership entity subjecting us to the risks of that entity and we may be exposed to the liabilities of properties or companies acquired, some of which we may not be aware of at the time of acquisition;</w:t>
      </w:r>
    </w:p>
    <w:p>
      <w:pPr>
        <w:jc w:val="both"/>
        <w:ind w:left="940" w:hanging="306"/>
        <w:spacing w:after="0" w:line="25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face competition for acquisition opportunities from other well-capitalized investors, including publicly traded and privately held REITs, private real estate funds, domestic and foreign financial institutions, life insurance companies, sovereign wealth funds, pension trusts, partnerships and individual investors, which may cause an increase in the purchase price for a desired acquisition property or result in a competitor acquiring the desired property instead of us; and</w:t>
      </w:r>
    </w:p>
    <w:p>
      <w:pPr>
        <w:ind w:left="940" w:hanging="306"/>
        <w:spacing w:after="0" w:line="274"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quickly and efficiently integrate new acquisitions, particularly acquisitions of portfolios of properties, into our existing operations, and this could have an adverse effect on our results of operations and financial condition.</w:t>
      </w:r>
    </w:p>
    <w:p>
      <w:pPr>
        <w:spacing w:after="0" w:line="7"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Any delay or failure on our part to identify, negotiate, finance and consummate such acquisitions in a timely manner and on favorable terms, or operate acquired properties to meet our financial expectations, could impede our growth and have an adverse effect on us, including our financial condition, results of operations, cash flow and the market value of our securities. If we are unable to successfully acquire additional properties, our ability to grow our business could be adversely affected.</w:t>
      </w:r>
    </w:p>
    <w:p>
      <w:pPr>
        <w:spacing w:after="0" w:line="7" w:lineRule="exact"/>
        <w:rPr>
          <w:sz w:val="20"/>
          <w:szCs w:val="20"/>
          <w:color w:val="auto"/>
        </w:rPr>
      </w:pPr>
    </w:p>
    <w:p>
      <w:pPr>
        <w:jc w:val="both"/>
        <w:ind w:firstLine="31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are exposed to risks associated with property development, redevelopment and repositioning that could adversely affect us, including our financial condition and results of operations.</w:t>
      </w:r>
    </w:p>
    <w:p>
      <w:pPr>
        <w:spacing w:after="0" w:line="1"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We are the owner of numerous development sites and continue to engage in redevelopment and repositioning activities with respect to our properties, and, accordingly, we are subject to certain risks, which could adversely affect us, including our financial condition and results of operations. These risks include, without limitation, (i) the availability and pricing of financing on favorable terms or at all; (ii) the availability and timely receipt of zoning and other regulatory approvals; (iii) cost overruns, especially in an inflationary environment, and untimely completion of construction (including risks beyond our control, such as weather or labor conditions, material shortages or supply chain delays); (iv) the potential for the fluctuation of occupancy rates and rents at redeveloped properties, which may result in our investment not being profitable; (v) start up, repositioning and redevelopment costs may be higher than anticipated; (vi) the potential that we may fail to recover expenses already incurred if we abandon development or redevelopment opportunities after we begin to explore them; (vii) the potential that we may expend funds on and devote management time to projects which we do not complete; (viii) the inability to complete leasing of a property on schedule or at all, resulting in an increase in carrying or redevelopment costs; (ix) the possibility that properties will be leased at below expected rental rates and (x) to the extent the redevelopment activities are conducted in partnership with third parties, the possibility of disputes with our joint venture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 w:name="page17"/>
    <w:bookmarkEnd w:id="16"/>
    <w:p>
      <w:pPr>
        <w:jc w:val="both"/>
        <w:spacing w:after="0" w:line="270" w:lineRule="auto"/>
        <w:rPr>
          <w:sz w:val="20"/>
          <w:szCs w:val="20"/>
          <w:color w:val="auto"/>
        </w:rPr>
      </w:pPr>
      <w:r>
        <w:rPr>
          <w:rFonts w:ascii="Times New Roman" w:cs="Times New Roman" w:eastAsia="Times New Roman" w:hAnsi="Times New Roman"/>
          <w:sz w:val="17"/>
          <w:szCs w:val="17"/>
          <w:color w:val="auto"/>
        </w:rPr>
        <w:t>development partners and the potential that we miss certain project milestone deadlines. These risks could result in substantial unanticipated delays or expenses, prevent the initiation or the completion of redevelopment activities or reduce the ultimate rents achieved on new developments. These outcomes could have an adverse effect on our financial condition, results of operations, cash flow, the market value of our common shares and ability to satisfy our principal and interest obligations and to make distributions to our shareholders.</w:t>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It may be difficult to sell real estate on a timely basis, which may limit our flexibility.</w:t>
      </w:r>
    </w:p>
    <w:p>
      <w:pPr>
        <w:spacing w:after="0" w:line="70" w:lineRule="exact"/>
        <w:rPr>
          <w:sz w:val="20"/>
          <w:szCs w:val="20"/>
          <w:color w:val="auto"/>
        </w:rPr>
      </w:pPr>
    </w:p>
    <w:p>
      <w:pPr>
        <w:jc w:val="both"/>
        <w:ind w:firstLine="314"/>
        <w:spacing w:after="0" w:line="287" w:lineRule="auto"/>
        <w:rPr>
          <w:sz w:val="20"/>
          <w:szCs w:val="20"/>
          <w:color w:val="auto"/>
        </w:rPr>
      </w:pPr>
      <w:r>
        <w:rPr>
          <w:rFonts w:ascii="Times New Roman" w:cs="Times New Roman" w:eastAsia="Times New Roman" w:hAnsi="Times New Roman"/>
          <w:sz w:val="17"/>
          <w:szCs w:val="17"/>
          <w:color w:val="auto"/>
        </w:rPr>
        <w:t>Real estate investments are relatively illiquid. Consequently, we may have limited ability to dispose of assets in our portfolio promptly in response to changes in economic or other conditions which could have an adverse effect on our sources of working capital and our ability to satisfy our debt obligations.</w:t>
      </w:r>
    </w:p>
    <w:p>
      <w:pPr>
        <w:jc w:val="both"/>
        <w:ind w:firstLine="31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There may be limitations on our ability to sell or reduce the indebtedness of specific properties. In addition, when we dispose of or sell assets, we may not be able to reinvest the sales proceeds and earn similar returns.</w:t>
      </w:r>
    </w:p>
    <w:p>
      <w:pPr>
        <w:spacing w:after="0" w:line="1"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As part of an acquisition of a property, or a portfolio of properties, we may agree, and in the past have agreed, not to dispose of the acquired properties or reduce the mortgage indebtedness for a long-term period, unless we pay certain of the resulting tax costs of the seller. These agreements could result in us holding on to properties that we would otherwise sell and not pay down or refinance the debt associated with those properties. In addition, when we dispose of or sell assets, we may not be able to reinvest the sales proceeds and earn returns similar to those generated by the assets that were sold.</w:t>
      </w:r>
    </w:p>
    <w:p>
      <w:pPr>
        <w:spacing w:after="0" w:line="7" w:lineRule="exact"/>
        <w:rPr>
          <w:sz w:val="20"/>
          <w:szCs w:val="20"/>
          <w:color w:val="auto"/>
        </w:rPr>
      </w:pPr>
    </w:p>
    <w:p>
      <w:pPr>
        <w:jc w:val="both"/>
        <w:ind w:firstLine="31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From time to time we have made, and in the future we may seek to make investments in companies over which we do not have sole control. Some of these companies operate in industries with different risks than investing and operating real estate.</w:t>
      </w:r>
    </w:p>
    <w:p>
      <w:pPr>
        <w:spacing w:after="0" w:line="1"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From time to time we have made, and in the future we may seek to make, investments in companies that we may not control. Although these businesses generally have a significant real estate component, some of them operate in businesses that are different from investing and operating real estate. Consequently, we are subject to operating and financial risks of those industries and to the risks associated with lack of control, such as having differing objectives than our partners or the entities in which we invest, or becoming involved in disputes, or competing directly or indirectly with these partners or entities. In addition, we rely on the internal controls and financial reporting controls of these entities and their failure to maintain effectiveness or comply with applicable standards may adversely affect us.</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risks involved in real estate activity through joint ventures.</w:t>
      </w:r>
    </w:p>
    <w:p>
      <w:pPr>
        <w:spacing w:after="0" w:line="70"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We currently own properties through joint ventures with other persons and entities and may in the future acquire or own properties through joint ventures and other co-investment vehicles when we believe circumstances warrant the use of such structures. Joint venture investments involve risk, including: the possibility that our partners might refuse to make capital contributions when due and therefore we may be forced to make contributions to maintain the value of the property; that we may be responsible to our partners for indemnifiable losses; that our partners might at any time have business or economic goals that are inconsistent with ours; that third parties may be hesitant or refuse to transact with the joint venture due to the identity of our partners; and that our partners may be in a position to take action or withhold consent contrary to our recommendations, instructions or requests. For certain of our joint venture arrangements, we and our respective joint venture partners have rights including the ability to trigger a buy-sell, put right or forced sale arrangement, which could cause us to sell our interest, or acquire our partner’s interest, or to sell the underlying asset, at a time when we otherwise would not have initiated such a transaction, without our consent or on unfavorable terms. In some instances, joint venture partners may have competing interests in our markets that could create conflicts of interest. These conflicts may include compliance with the REIT requirements, and our REIT status could be jeopardized if any of our joint ventures do not operate in compliance with REIT requirements. To the extent our partners do not meet their obligations to us or our joint ventures, or they take action inconsistent with the interests of the joint venture, we may be adversely affected.</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are exposed to risks related to our properties that are subject to ground leases arrangements which could adversely affect our results of operations.</w:t>
      </w:r>
    </w:p>
    <w:p>
      <w:pPr>
        <w:spacing w:after="0" w:line="70"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We are the lessee under long-term ground lease arrangements at certain of our properties. Unless we purchase a fee interest in the underlying land or extend the terms of these leases prior to expiration, we will no longer operate these properties upon expiration of the leases, which could adversely affect our financial condition and results of operations. Furthermore, rent payments under such leasehold interests are periodically adjusted pursuant to the respective contractual arrangements, including the currently ongoing PENN 1 June 2023 rent reset process. These rent resets may result in materially higher rents that could adversely affect our financial condition and results of operation. Additionally, due to the greater risk associated with a loan secured by a leasehold interest than a loan secured by a fee interest, we face risks related to the availability and pricing of financing on favorable terms or at all for such ground leasehold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INDEBTEDNESS AND ACCESS TO CAPITAL</w:t>
      </w:r>
    </w:p>
    <w:p>
      <w:pPr>
        <w:spacing w:after="0" w:line="64"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Significantly tighter capital markets and economic conditions have affected and may continue to materially affect our liquidity, financial condition and results of operations as well as the value of an investment in our debt and equity securities.</w:t>
      </w:r>
    </w:p>
    <w:p>
      <w:pPr>
        <w:spacing w:after="0" w:line="1"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There are many factors that can affect the value of our debt and equity securities, including the state of the capital markets and the economy. Demand for office and retail space typically declines nationwide due to an economic downturn, bankruptcies, downsizing, layoffs and cost cutting. Government action or inaction may adversely affect the state of the capital markets. The cost and availability of credit may be adversely affected by illiquid credit markets and wider credit spreads, which may adversely affect our liquidity and financial condition, including our results of operations, and the liquidity and financial condition of our tenants. Our inability or the inability of our tenants to timely refinance maturing liabilities, access the capital markets and obtain reasonable pricing to meet liquidity needs may materially affect our financial condition and results of operations and the value of our securities.</w:t>
      </w:r>
    </w:p>
    <w:p>
      <w:pPr>
        <w:spacing w:after="0" w:line="17" w:lineRule="exact"/>
        <w:rPr>
          <w:sz w:val="20"/>
          <w:szCs w:val="20"/>
          <w:color w:val="auto"/>
        </w:rPr>
      </w:pPr>
    </w:p>
    <w:p>
      <w:pPr>
        <w:jc w:val="both"/>
        <w:ind w:firstLine="31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have outstanding debt, and its cost may continue to increase and refinancing may not be available on acceptable terms and could affect our future operations.</w:t>
      </w:r>
    </w:p>
    <w:p>
      <w:pPr>
        <w:spacing w:after="0" w:line="1"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As of December 31, 2024, our consolidated mortgages and unsecured indebtedness, excluding related premium, discount and deferred financing costs, totaled $8.3 billion. We rely on both secured and unsecured, variable rate and fixed rate debt to finance acquisitions and development activities and for working capital. We are subject to the risks normally associated with debt financing, including the risk that our cash flow from operations will be insufficient to meet our required debt service. Our debt service costs generally will not be reduced if conditions in the market or at our properties, such as the entry of new competitors or the loss of major tenants, cause a reduction in the income from our properties. Should such events occur, our operations may be adversely affected. If a property is mortgaged to secure payment of indebtedness and income from such property is insufficient to pay that indebtedness, the property could be foreclosed upon by the mortgagee resulting in our loss of the property.</w:t>
      </w:r>
    </w:p>
    <w:p>
      <w:pPr>
        <w:spacing w:after="0" w:line="20"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If we are unable to obtain debt financing or refinance existing indebtedness upon maturity, our financial condition and results of operations would likely be adversely affected. In addition, the volatility in the interest rate environment has led to an increase in interest rates on our variable rate debt, including on new hedging instruments, and an increase in the cost of refinancing our existing debt and entering into new debt, all of which have reduced, and could continue to reduce, our operating cash flows. While certain of our debt is fixed by interest rate swap arrangements, the arrangements typically expire earlier than the mortgage loan maturity, resulting in future exposure to rising interest rates, which could further reduce our available cash. If the cost or amount of our indebtedness continues to increase or we cannot refinance our debt in sufficient amounts or on acceptable terms, we are at risk of credit rating downgrades and default on our obligations that could adversely affect our financial condition and results of operations.</w:t>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obtain capital to make investments.</w:t>
      </w:r>
    </w:p>
    <w:p>
      <w:pPr>
        <w:spacing w:after="0" w:line="70"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We depend primarily on external financing to fund the growth of our business. This is because one of the requirements of the Internal Revenue Code of 1986, as amended, for a REIT is that it distributes 90% of its taxable income, excluding net capital gains, to its shareholders. This, in turn, requires the Operating Partnership to make distributions to its unitholders. There is a separate requirement to distribute net capital gains or pay a corporate level tax in lieu thereof. Our access to debt or equity financing depends on the willingness of third parties to lend or make equity investments and on conditions in the capital markets generally. Although we believe that we will be able to finance any investments we may wish to make in the foreseeable future, there can be no assurance that new financing will be available or available on acceptable terms. For information about our available sources of funds, see “Management’s Discussion and Analysis of Financial Condition and Results of Operations — Liquidity and Capital Resources” and the notes to the consolidated financial statements in this Annual Report on Form 10-K.</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The hedge instruments we may use to manage our exposure to interest rate volatility involve risks.</w:t>
      </w:r>
    </w:p>
    <w:p>
      <w:pPr>
        <w:spacing w:after="0" w:line="70"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The interest rate hedge instruments we may use to manage some of our exposure to interest rate volatility involve risks, including the risk that counterparties may fail to perform under these arrangements. If interest rates continue to fall, these arrangements may cause us to pay higher interest on our debt obligations than would otherwise be the case. In addition, the use of such instruments may generate income that may not be treated as qualifying REIT income for purposes of the 75% gross income test or 95% gross income test. Furthermore, there can be no assurance that our hedging arrangements will qualify as “highly effective” cash flow hedges under applicable accounting standards. If our hedges do not qualify as “highly effective,” the changes in the fair value of these instruments would be reflected in our results of operations and could adversely impact our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Covenants in our debt instruments could adversely affect our financial condition and our acquisitions and development activities.</w:t>
      </w:r>
    </w:p>
    <w:p>
      <w:pPr>
        <w:spacing w:after="0" w:line="70"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Our unsecured indebtedness and debt that we may obtain in the future may contain customary restrictions, requirements and other limitations on our ability to incur indebtedness, including covenants that limit our ability to incur debt based upon the levels of certain ratios including total debt to total assets, secured debt to total assets, EBITDA to interest expense, and fixed charges, and that require us to maintain a certain ratio of unencumbered assets to unsecured debt. Our ability to borrow is subject to compliance with these and other covenants. In addition, failure to comply with our covenants could cause a default under the applicable debt instrument, and we may then be required to repay such debt with capital from such other sources or give possession of a secured property to the lender. Under those circumstances, other sources of capital may not be available to us or may be available only on unattractive terms. Further, depending on market conditions at the time of any refinancing, the covenants included as part of the terms of such refinancing may be more restrictive than the existing indebtedness.</w:t>
      </w:r>
    </w:p>
    <w:p>
      <w:pPr>
        <w:spacing w:after="0" w:line="229"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In addition, our debt instruments contain customary covenants requiring us to maintain insurance. Although we believe that we have adequate insurance coverage for purposes of these agreements, we may not be able to obtain an equivalent amount of coverage at reasonable costs in the future. Further, if lenders insist on greater coverage than we are able to obtain it could result in acceleration of repayment of such debt instruments and adversely affect our ability to finance or refinance our properties and expand our portfolio.</w:t>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 downgrade in our credit ratings could materially and adversely affect our business and financial condition.</w:t>
      </w:r>
    </w:p>
    <w:p>
      <w:pPr>
        <w:spacing w:after="0" w:line="70"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Our credit rating and the credit ratings assigned to our debt securities and our preferred shares could change in the future based upon, among other things, our results of operations and financial condition. Our ratings are subject to ongoing evaluation by credit rating agencies, and any rating could be changed or withdrawn by a rating agency in the future if, in its judgment, circumstances warrant such action. Moreover, these credit ratings are not recommendations to buy, sell or hold our common shares or any other securities. If any of the credit rating agencies that have rated our securities downgrades or lowers its credit rating, or if any credit rating agency indicates that it has placed any such rating on a “watch list” for a possible downgrading or lowering, or otherwise indicates that its outlook for that rating is negative, such action could have a material adverse effect on our costs and availability of funding. For instance, if we fail to maintain the credit ratings currently assigned to our senior debt, the interest rates payable on outstanding debt under our unsecured term loan and revolving credit facilities would increase and we may be required to post additional collateral under certain of our existing loan agreements. Furthermore, any future lowering of our credit ratings or outlook would likely make it more difficult and/or more expensive for us to obtain additional debt financing. Our failure to maintain or improve our credit ratings could in turn have a material adverse effect on our financial condition, results of operations, cash flows, the trading/redemption price of our securities, and our ability to satisfy our debt service obligations and to pay dividends and distributions to our equity holders.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ORGANIZATION AND STRUCTURE</w:t>
      </w:r>
    </w:p>
    <w:p>
      <w:pPr>
        <w:spacing w:after="0" w:line="64" w:lineRule="exact"/>
        <w:rPr>
          <w:sz w:val="20"/>
          <w:szCs w:val="20"/>
          <w:color w:val="auto"/>
        </w:rPr>
      </w:pPr>
    </w:p>
    <w:p>
      <w:pPr>
        <w:jc w:val="both"/>
        <w:ind w:firstLine="31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depend on dividends and distributions from our direct and indirect subsidiaries. The creditors and preferred equity holders of these subsidiaries are entitled to amounts payable to them by the subsidiaries before the subsidiaries may pay any dividends or distributions to us.</w:t>
      </w:r>
    </w:p>
    <w:p>
      <w:pPr>
        <w:spacing w:after="0" w:line="1"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Substantially all of Vornado’s assets are held through the Operating Partnership which holds substantially all of its properties and assets through subsidiaries. The Operating Partnership’s cash flow is dependent on cash distributions to it by its subsidiaries, and in turn, substantially all of Vornado’s cash flow is dependent on cash distributions to it by the Operating Partnership. The creditors of each of Vornado’s direct and indirect subsidiaries are entitled to payment of that subsidiary’s obligations to them, when due and payable, before distributions may be made by that subsidiary to its equity holders. Thus, the Operating Partnership’s ability to make distributions to its equity holders depends on its subsidiaries’ ability first to satisfy their obligations to their creditors and then to make distributions to the Operating Partnership. Consequently, Vornado’s ability to pay dividends to its holders of common and preferred shares depends on the Operating Partnership’s ability first to satisfy its obligations to its creditors and make distributions to holders of its preferred units and then to make distributions to Vornado.</w:t>
      </w:r>
    </w:p>
    <w:p>
      <w:pPr>
        <w:spacing w:after="0" w:line="229"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Furthermore, the holders of preferred units of the Operating Partnership are entitled to receive preferred distributions before payment of distributions to the Operating Partnership’s equity holders, including Vornado. Thus, Vornado’s ability to pay cash dividends to its equity holders and satisfy its debt obligations depends on the Operating Partnership’s ability first to satisfy its obligations to its creditors and make distributions to holders of its preferred units and then to its equity holders, including Vornado. As of December 31, 2024, there were six series of preferred units of the Operating Partnership not held by Vornado with a total liquidation value of $53,219,000.</w:t>
      </w:r>
    </w:p>
    <w:p>
      <w:pPr>
        <w:spacing w:after="0" w:line="13"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In addition, Vornado’s participation in any distribution of the assets of any of its direct or indirect subsidiaries upon the liquidation, reorganization or insolvency is only after the claims of the creditors, including trade creditors and preferred equity holders, are satisfied.</w:t>
      </w:r>
    </w:p>
    <w:p>
      <w:pPr>
        <w:spacing w:after="0" w:line="200" w:lineRule="exact"/>
        <w:rPr>
          <w:sz w:val="20"/>
          <w:szCs w:val="20"/>
          <w:color w:val="auto"/>
        </w:rPr>
      </w:pPr>
    </w:p>
    <w:p>
      <w:pPr>
        <w:spacing w:after="0" w:line="3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Vornado’s Amended and Restated Declaration of Trust (the “declaration of trust”) sets limits on the ownership of its shares.</w:t>
      </w:r>
    </w:p>
    <w:p>
      <w:pPr>
        <w:spacing w:after="0" w:line="70"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Generally, for Vornado to maintain its qualification as a REIT under the Internal Revenue Code, not more than 50% in value of the outstanding shares of beneficial interest of Vornado may be owned, directly or indirectly, by five or fewer individuals at any time during the last half of Vornado’s taxable year. The Internal Revenue Code defines “individuals” for purposes of the requirement described in the preceding sentence to include some types of entities. Under Vornado’s declaration of trust, as amended, no person may own more than 6.7% of the outstanding common shares of any class, or 9.9% of the outstanding preferred shares of any class, with some exceptions for persons who held common shares in excess of the 6.7% limit before Vornado adopted the limit and other persons approved by Vornado’s Board of Trustees. In addition, our declaration of trust includes restrictions on ownership of our common shares and preferred shares to preserve our status as a "domestically controlled qualified investment entity" within the meaning of Section 897 (h)(4)(B) of the Internal Revenue Code of 1986, as amended. These restrictions on transferability and ownership may delay, deter or prevent a change in control of Vornado or other transaction that might involve a premium price or otherwise be in the best interest of equity holders.</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The Maryland General Corporation Law (the “MGCL”) contains provisions that may reduce the likelihood of certain takeover transactions.</w:t>
      </w:r>
    </w:p>
    <w:p>
      <w:pPr>
        <w:spacing w:after="0" w:line="70"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The MGCL imposes conditions and restrictions on certain “business combinations” (including, among other transactions, a merger, consolidation, share exchange, or, in certain circumstances, an asset transfer or issuance of equity securities) between a Maryland REIT and certain persons who beneficially own at least 10% of the corporation’s stock (an “interested shareholder”). Unless approved in advance by the board of trustees of the trust, or otherwise exempted by the statute, such a business combination is prohibited for a period of five years after the most recent date on which the interested shareholder became an interested shareholder. After such five-year period, a business combination with an interested shareholder must be: (a) recommended by the board of trustees of the trust, and (b) approved by the affirmative vote of at least (i) 80% of the trust’s outstanding shares entitled to vote and (ii) two-thirds of the trust’s outstanding shares entitled to vote which are not held by the interested shareholder with whom the business combination is to be effected, unless, among other things, the trust’s common shareholders receive a “fair price” (as defined by the statute) for their shares and the consideration is received in cash or in the same form as previously paid by the interested shareholder for his or her shares.</w:t>
      </w:r>
    </w:p>
    <w:p>
      <w:pPr>
        <w:spacing w:after="0" w:line="1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In approving a transaction, Vornado’s Board of Trustees may provide that its approval is subject to compliance, at or after the time of approval, with any terms and conditions determined by the Board of Trustees. Vornado’s Board of Trustees has adopted a resolution exempting any business combination between Vornado and any trustee or officer of Vornado or its affiliates. As a result, any trustee or officer of Vornado or its affiliates may be able to enter into business combinations with Vornado that may not be in the best interest of our equity holders. With respect to business combinations with other persons, the business combination provisions of the MGCL may have the effect of delaying, deferring or preventing a change in control of Vornado or other transaction that might involve a premium price or otherwise be in the best interest of our equity holders. The business combination statute may discourage others from trying to acquire control of Vornado and increase the difficulty of consummating any offer.</w:t>
      </w:r>
    </w:p>
    <w:p>
      <w:pPr>
        <w:spacing w:after="0" w:line="20"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Title 3, Subtitle 8 of the MGCL permits our Board of Trustees, without shareholder approval and regardless of what is currently provided in our declaration of trust or bylaws, to implement certain takeover defenses, including adopting a classified board or increasing the vote required to remove a trustee. Such takeover defenses may have the effect of inhibiting a third party from making an acquisition proposal for us or of delaying, deferring or preventing a change in control of us under the circumstances that otherwise could provide our common shareholders with the opportunity to realize a premium over the then current market price.</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Vornado may issue additional shares in a manner that could adversely affect the likelihood of certain takeover transactions.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Vornado’s declaration of trust authorizes the Board of Trustees to:</w:t>
      </w:r>
    </w:p>
    <w:p>
      <w:pPr>
        <w:spacing w:after="0" w:line="66" w:lineRule="exact"/>
        <w:rPr>
          <w:sz w:val="20"/>
          <w:szCs w:val="20"/>
          <w:color w:val="auto"/>
        </w:rPr>
      </w:pPr>
    </w:p>
    <w:p>
      <w:pPr>
        <w:ind w:left="940" w:hanging="306"/>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Vornado to issue additional authorized but unissued common shares or preferred shares;</w:t>
      </w:r>
    </w:p>
    <w:p>
      <w:pPr>
        <w:spacing w:after="0" w:line="32"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classify or reclassify, in one or more series, any unissued preferred shares;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 the preferences, rights and other terms of any classified or reclassified shares that Vornado issues; and</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without shareholder approval, the number of shares of beneficial interest that Vornado may issue.</w:t>
      </w:r>
    </w:p>
    <w:p>
      <w:pPr>
        <w:spacing w:after="0" w:line="4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Vornado’s Board of Trustees could establish a series of preferred shares whose terms could delay, deter or prevent a change in control of Vornado, and therefore of the Operating Partnership, or other transaction that might involve a premium price or otherwise be in the best interest of our equity holders, although Vornado’s Board of Trustees does not now intend to establish a series of preferred shares of this kind. Vornado’s declaration of trust and bylaws contain other provisions that may delay, deter or prevent a change in control of Vornado or other transaction that might involve a premium price or otherwise be in the best interest of our equity holders.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may change our policies without obtaining the approval of our equity holders.</w:t>
      </w:r>
    </w:p>
    <w:p>
      <w:pPr>
        <w:spacing w:after="0" w:line="70"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Our operating and financial policies, including our policies with respect to acquisitions of real estate or other companies, growth, operations, indebtedness, capitalization, dividends and distributions, are exclusively determined by Vornado’s Board of Trustees. Accordingly, our equity holders do not control these policies.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0" w:name="page21"/>
    <w:bookmarkEnd w:id="20"/>
    <w:p>
      <w:pPr>
        <w:jc w:val="both"/>
        <w:ind w:firstLine="31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Steven Roth and Interstate Properties may exercise substantial influence over us. They and some of Vornado’s other trustees and officers have interests or positions in other entities that may compete with us.</w:t>
      </w:r>
    </w:p>
    <w:p>
      <w:pPr>
        <w:spacing w:after="0" w:line="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As of December 31, 2024, Interstate Properties, a New Jersey general partnership, and its partners beneficially owned an aggregate of approximately 7.1% of the common shares of beneficial interest of Vornado and 26.0% of the common stock of Alexander’s, which is described below. Steven Roth, David Mandelbaum and Russell B. Wight, Jr. are the three partners of Interstate Properties. Mr. Roth is the Chairman of the Board of Trustees and Chief Executive Officer of Vornado, the managing general partner of Interstate Properties, and the Chairman of the Board of Directors and Chief Executive Officer of Alexander’s. Messrs. Mandelbaum and Wight are Trustees of Vornado and Directors of Alexander’s.</w:t>
      </w:r>
    </w:p>
    <w:p>
      <w:pPr>
        <w:spacing w:after="0" w:line="13"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Because of these overlapping interests, Mr. Roth and Interstate Properties and its partners may have substantial influence over Vornado, and therefore over the Operating Partnership. In addition, certain decisions concerning our operations or financial structure may present conflicts of interest among Messrs. Roth, Mandelbaum and Wight and Interstate Properties and our other equity holders. In addition, Mr. Roth, Interstate Properties and its partners, and Alexander’s currently and may in the future engage in a wide variety of activities in the real estate business which may result in conflicts of interest with respect to matters affecting us, such as which of these entities or persons, if any, may take advantage of potential business opportunities, the business focus of these entities, the types of properties and geographic locations in which these entities make investments, potential competition between business activities conducted, or sought to be conducted, competition for properties and tenants, possible corporate transactions such as acquisitions and other strategic decisions affecting the future of these entities.</w:t>
      </w:r>
    </w:p>
    <w:p>
      <w:pPr>
        <w:spacing w:after="0" w:line="229"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 xml:space="preserve">We manage and lease the real estate assets of Interstate Properties pursuant to a management agreement for which we receive an annual fee equal to 4% of annual base rent and percentage rent. See Note 21 –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 xml:space="preserve"> to our consolidated financial statements in this Annual Report on Form 10-K for additional information.</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There may be conflicts of interest between Alexander’s and us.</w:t>
      </w:r>
    </w:p>
    <w:p>
      <w:pPr>
        <w:spacing w:after="0" w:line="70"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As of December 31, 2024, we owned 32.4% of the outstanding common stock of Alexander’s. Alexander’s is a REIT that has five properties, which are located in the greater New York metropolitan area. In addition to the 2.3% that they indirectly own through Vornado, Interstate Properties, which is described above, and its partners owned 26.0% of the outstanding common stock of Alexander’s as of December 31, 2024. Mr. Roth is the Chairman of the Board of Trustees and Chief Executive Officer of Vornado, the managing general partner of Interstate Properties, and the Chairman of the Board of Directors and Chief Executive Officer of Alexander’s. Messrs. Mandelbaum and Wight are Trustees of Vornado and Directors of Alexander’s and general partners of Interstate Properties. Ms. Mandakini Puri is a Trustee of Vornado and Director of Alexander’s.</w:t>
      </w:r>
    </w:p>
    <w:p>
      <w:pPr>
        <w:spacing w:after="0" w:line="15"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 xml:space="preserve">We manage, develop and lease Alexander’s properties under management, development and leasing agreements under which we receive annual fees from Alexander’s. These agreements are described in Note 4 – </w:t>
      </w:r>
      <w:r>
        <w:rPr>
          <w:rFonts w:ascii="Times New Roman" w:cs="Times New Roman" w:eastAsia="Times New Roman" w:hAnsi="Times New Roman"/>
          <w:sz w:val="17"/>
          <w:szCs w:val="17"/>
          <w:i w:val="1"/>
          <w:iCs w:val="1"/>
          <w:color w:val="auto"/>
        </w:rPr>
        <w:t>Investments in Partially Owned Entities</w:t>
      </w:r>
      <w:r>
        <w:rPr>
          <w:rFonts w:ascii="Times New Roman" w:cs="Times New Roman" w:eastAsia="Times New Roman" w:hAnsi="Times New Roman"/>
          <w:sz w:val="17"/>
          <w:szCs w:val="17"/>
          <w:color w:val="auto"/>
        </w:rPr>
        <w:t xml:space="preserve"> to our consolidated financial statements in this Annual Report on Form 10-K.</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COMMON SHARES AND OPERATING PARTNERSHIP CLASS A UNITS</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The trading price of Vornado’s common shares has been volatile and may continue to fluctuate.</w:t>
      </w:r>
    </w:p>
    <w:p>
      <w:pPr>
        <w:spacing w:after="0" w:line="70"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 trading price of Vornado’s common shares has been volatile and may continue to fluctuate widely as a result of several factors, many of which are outside our control. In addition, the stock market is subject to fluctuations in the equity prices and trading volumes that affect the market prices of the shares of many companies. These broad market fluctuations have in the past and may in the future adversely affect the market price of Vornado’s common shares and the redemption price of the Operating Partnership’s Class A units. These factors include:</w:t>
      </w:r>
    </w:p>
    <w:p>
      <w:pPr>
        <w:spacing w:after="0" w:line="11" w:lineRule="exact"/>
        <w:rPr>
          <w:sz w:val="20"/>
          <w:szCs w:val="20"/>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condition and performance;</w:t>
      </w:r>
    </w:p>
    <w:p>
      <w:pPr>
        <w:spacing w:after="0" w:line="32"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condition of our tenants, including the extent of tenant bankruptcies or defaults;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quarterly fluctuations in our operating results and financial condition;</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dividend policy;</w:t>
      </w:r>
    </w:p>
    <w:p>
      <w:pPr>
        <w:spacing w:after="0" w:line="14" w:lineRule="exact"/>
        <w:rPr>
          <w:rFonts w:ascii="Times New Roman" w:cs="Times New Roman" w:eastAsia="Times New Roman" w:hAnsi="Times New Roman"/>
          <w:sz w:val="17"/>
          <w:szCs w:val="17"/>
          <w:color w:val="auto"/>
        </w:rPr>
      </w:pPr>
    </w:p>
    <w:p>
      <w:pPr>
        <w:ind w:left="940" w:hanging="306"/>
        <w:spacing w:after="0" w:line="257"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reputation of REITs and real estate investments generally and the attractiveness of REIT equity securities in comparison to other equity securities, including securities issued by other real estate companies, and fixed income securities;</w:t>
      </w: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and volatility in the equity and credit markets;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interest rates;</w:t>
      </w:r>
    </w:p>
    <w:p>
      <w:pPr>
        <w:spacing w:after="0" w:line="14" w:lineRule="exact"/>
        <w:rPr>
          <w:rFonts w:ascii="Times New Roman" w:cs="Times New Roman" w:eastAsia="Times New Roman" w:hAnsi="Times New Roman"/>
          <w:sz w:val="17"/>
          <w:szCs w:val="17"/>
          <w:color w:val="auto"/>
        </w:rPr>
      </w:pPr>
    </w:p>
    <w:p>
      <w:pPr>
        <w:ind w:left="940" w:hanging="306"/>
        <w:spacing w:after="0" w:line="257"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revenue or earnings estimates or publication of research reports and recommendations by financial analysts or actions taken by rating agencies with respect to our securities or those of other REITs;</w:t>
      </w: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meet analysts’ revenue or earnings estimates;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speculation in the press or investment community;</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actions by us or our competitors, such as acquisitions or restructurings;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of institutional investor interest in us;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of short-selling of Vornado common shares and the shares of our competitors;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stock price and operating results of our competitors;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1" w:name="page22"/>
    <w:bookmarkEnd w:id="21"/>
    <w:p>
      <w:pPr>
        <w:ind w:left="940" w:hanging="306"/>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repurchase plans;</w:t>
      </w:r>
    </w:p>
    <w:p>
      <w:pPr>
        <w:spacing w:after="0" w:line="32" w:lineRule="exact"/>
        <w:rPr>
          <w:rFonts w:ascii="Times New Roman" w:cs="Times New Roman" w:eastAsia="Times New Roman" w:hAnsi="Times New Roman"/>
          <w:sz w:val="17"/>
          <w:szCs w:val="17"/>
          <w:color w:val="auto"/>
        </w:rPr>
      </w:pPr>
    </w:p>
    <w:p>
      <w:pPr>
        <w:ind w:left="940" w:hanging="306"/>
        <w:spacing w:after="0" w:line="257" w:lineRule="auto"/>
        <w:tabs>
          <w:tab w:leader="none" w:pos="9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financial and economic market conditions and, in particular, developments related to market conditions for office REITs and other real estate related companies and the New York City real estate market;</w:t>
      </w:r>
    </w:p>
    <w:p>
      <w:pPr>
        <w:ind w:left="940" w:hanging="306"/>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inflation;</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local, domestic and international economic factors unrelated to our performance (including the macro-economic impact of geopolitical conflicts);</w:t>
      </w:r>
    </w:p>
    <w:p>
      <w:pPr>
        <w:spacing w:after="0" w:line="14" w:lineRule="exact"/>
        <w:rPr>
          <w:rFonts w:ascii="Times New Roman" w:cs="Times New Roman" w:eastAsia="Times New Roman" w:hAnsi="Times New Roman"/>
          <w:sz w:val="17"/>
          <w:szCs w:val="17"/>
          <w:color w:val="auto"/>
        </w:rPr>
      </w:pPr>
    </w:p>
    <w:p>
      <w:pPr>
        <w:ind w:left="940" w:hanging="306"/>
        <w:spacing w:after="0" w:line="257" w:lineRule="auto"/>
        <w:tabs>
          <w:tab w:leader="none" w:pos="9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fiscal policies or inaction at the U.S. federal government level that may lead to federal government shutdowns or negative impacts on the U.S. economy;</w:t>
      </w:r>
    </w:p>
    <w:p>
      <w:pPr>
        <w:ind w:left="940" w:hanging="306"/>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and rules; and</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risk factors addressed elsewhere in this Annual Report on Form 10-K.</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significant decline in Vornado’s stock price could result in substantial losses for our equity holders.</w:t>
      </w:r>
    </w:p>
    <w:p>
      <w:pPr>
        <w:spacing w:after="0" w:line="62"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Vornado has many shares available for future sale, which could hurt the market price of its shares and the redemption price of the Operating Partnership’s units.</w:t>
      </w:r>
    </w:p>
    <w:p>
      <w:pPr>
        <w:spacing w:after="0" w:line="1"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17"/>
          <w:szCs w:val="17"/>
          <w:color w:val="auto"/>
        </w:rPr>
        <w:t>The interests of equity holders could be diluted if we issue additional equity securities. As of December 31, 2024, Vornado had authorized but unissued 59,153,420 common shares of beneficial interest, $0.04 par value, and 58,390,820 preferred shares of beneficial interest, no par value; of which 21,273,952 common shares are reserved for issuance upon redemption of Class A Operating Partnership units, convertible securities and employee stock options and 11,200,000 preferred shares are reserved for issuance upon redemption of preferred Operating Partnership units. The reserved common shares exclude the potential conversion of appreciation-only long-term incentive plan units (“AO LTIP Units”) and performance AO LTIP Units which may be converted into Class A Operating Partnership Units if a specified price is met. Any shares not reserved may be issued from time to time in public or private offerings or in connection with acquisitions. In addition, common and preferred shares reserved may be sold upon issuance in the public market after registration under the Securities Act or under Rule 144 under the Securities Act or other available exemptions from registration. We cannot predict the effect that future sales of Vornado’s common and preferred shares or Operating Partnership Class A and preferred units will have on the market prices of our securities.</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In addition, under Maryland law, Vornado’s Board of Trustees has the authority to increase the number of authorized shares without shareholder approval.</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Loss of our key personnel could harm our operations and adversely affect the value of our common shares and Operating Partnership Class A units.</w:t>
      </w:r>
    </w:p>
    <w:p>
      <w:pPr>
        <w:spacing w:after="0" w:line="70" w:lineRule="exact"/>
        <w:rPr>
          <w:sz w:val="20"/>
          <w:szCs w:val="20"/>
          <w:color w:val="auto"/>
        </w:rPr>
      </w:pPr>
    </w:p>
    <w:p>
      <w:pPr>
        <w:jc w:val="both"/>
        <w:ind w:firstLine="314"/>
        <w:spacing w:after="0" w:line="288" w:lineRule="auto"/>
        <w:rPr>
          <w:sz w:val="20"/>
          <w:szCs w:val="20"/>
          <w:color w:val="auto"/>
        </w:rPr>
      </w:pPr>
      <w:r>
        <w:rPr>
          <w:rFonts w:ascii="Times New Roman" w:cs="Times New Roman" w:eastAsia="Times New Roman" w:hAnsi="Times New Roman"/>
          <w:sz w:val="17"/>
          <w:szCs w:val="17"/>
          <w:color w:val="auto"/>
        </w:rPr>
        <w:t>We are dependent on the efforts of Steven Roth, the Chairman of the Board of Trustees and Chief Executive Officer of Vornado. While we believe that we could find a replacement for him and other key personnel, the loss of their services could harm our operations and adversely affect the value of our securities.</w:t>
      </w: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REGULATORY COMPLIANCE</w:t>
      </w:r>
    </w:p>
    <w:p>
      <w:pPr>
        <w:spacing w:after="0" w:line="64" w:lineRule="exact"/>
        <w:rPr>
          <w:sz w:val="20"/>
          <w:szCs w:val="20"/>
          <w:color w:val="auto"/>
        </w:rPr>
      </w:pPr>
    </w:p>
    <w:p>
      <w:pPr>
        <w:jc w:val="both"/>
        <w:ind w:firstLine="31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Vornado may fail to qualify or remain qualified as a REIT and may be required to pay federal income taxes at corporate rates, which could adversely impact the value of our common shares.</w:t>
      </w:r>
    </w:p>
    <w:p>
      <w:pPr>
        <w:spacing w:after="0" w:line="1"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Although we believe that Vornado will remain organized and will continue to operate so as to qualify as a REIT for federal income tax purposes, Vornado may fail to remain so qualified. Qualifications are governed by highly technical and complex provisions of the Internal Revenue Code for which there are only limited judicial or administrative interpretations and depend on various facts and circumstances that are not entirely within our control. In addition, legislation, new regulations, administrative interpretations or court decisions may significantly change the relevant tax laws and/or the federal income tax consequences of qualifying as a REIT. If, with respect to any taxable year, Vornado fails to maintain its qualification as a REIT and does not qualify under statutory relief provisions, Vornado could not deduct distributions to shareholders in computing our taxable income and would have to pay federal income tax on its taxable income at regular corporate rates. The federal income tax payable would include any applicable alternative minimum tax. If Vornado had to pay federal income tax, the amount of money available to distribute to equity holders and pay its indebtedness would be reduced for the year or years involved, and Vornado would not be required to make distributions to shareholders in that taxable year and in future years until it was able to qualify as a REIT and did so. In addition, Vornado would also be disqualified from treatment as a REIT for the four taxable years following the year during which qualification was lost, unless Vornado were entitled to relief under the relevant statutory provisions. Our failure to qualify as a REIT could impact our ability to expand our business and raise capital and adversely affect the price of our common shares.</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may face possible adverse federal tax audits and changes in federal tax laws, which may result in an increase in our tax liability.</w:t>
      </w:r>
    </w:p>
    <w:p>
      <w:pPr>
        <w:spacing w:after="0" w:line="70" w:lineRule="exact"/>
        <w:rPr>
          <w:sz w:val="20"/>
          <w:szCs w:val="20"/>
          <w:color w:val="auto"/>
        </w:rPr>
      </w:pPr>
    </w:p>
    <w:p>
      <w:pPr>
        <w:jc w:val="both"/>
        <w:ind w:firstLine="314"/>
        <w:spacing w:after="0" w:line="274" w:lineRule="auto"/>
        <w:rPr>
          <w:sz w:val="20"/>
          <w:szCs w:val="20"/>
          <w:color w:val="auto"/>
        </w:rPr>
      </w:pPr>
      <w:r>
        <w:rPr>
          <w:rFonts w:ascii="Times New Roman" w:cs="Times New Roman" w:eastAsia="Times New Roman" w:hAnsi="Times New Roman"/>
          <w:sz w:val="17"/>
          <w:szCs w:val="17"/>
          <w:color w:val="auto"/>
        </w:rPr>
        <w:t>In the normal course of business, certain entities through which we own real estate either have undergone or may undergo tax audits. Although we believe that we have substantial arguments in favor of our positions, in some instances there is no controlling precedent or interpretive guidance. There can be no assurance that audits will not occur with increased frequency or that the ultimate result of such audits will not have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22" w:name="page23"/>
    <w:bookmarkEnd w:id="22"/>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At any time, the U.S. federal income tax laws governing REITs or the administrative interpretations of those laws may be amended. We cannot predict if or when any new U.S. federal income tax law, regulation, or administrative interpretation, or any amendment to any existing U.S. federal income tax law, Treasury regulation or administrative interpretation, will be adopted, promulgated or become effective and any such law, regulation, or interpretation may take effect retroactively. Vornado, its taxable REIT subsidiaries, and our security holders could be adversely affected by any such change in, or any new, U.S. federal income tax law, Treasury regulation or administrative interpretation.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may face possible adverse state and local tax audits and changes in state and local tax law.</w:t>
      </w:r>
    </w:p>
    <w:p>
      <w:pPr>
        <w:spacing w:after="0" w:line="70"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Because Vornado is organized and qualifies as a REIT, it is generally not subject to federal income taxes, but we are subject to certain state and local taxes. In the normal course of business, certain entities through which we own real estate either have undergone, or are currently undergoing, tax audits. Although we believe that we have substantial arguments in favor of our positions in the ongoing audits, in some instances there is no controlling precedent or interpretive guidance on the specific point at issue. There can be no assurance that audits will not occur with increased frequency or that the ultimate result of such audits will not have a material adverse effect on our results of operations.</w:t>
      </w:r>
    </w:p>
    <w:p>
      <w:pPr>
        <w:spacing w:after="0" w:line="13"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From time to time changes in state and local tax laws or regulations are enacted, which may result in an increase in our tax liability. A shortfall in tax revenues for states and municipalities in which we operate may lead to an increase in the frequency and size of such changes including changes in laws, regulations and administration of property and transfer taxes. If such changes occur, we may be required to pay additional taxes on our assets or income. These increased tax costs could adversely affect our financial condition and results of operations and the amount of cash available for the payment of dividends and distributions to our security holders.</w:t>
      </w:r>
    </w:p>
    <w:p>
      <w:pPr>
        <w:spacing w:after="0" w:line="9" w:lineRule="exact"/>
        <w:rPr>
          <w:sz w:val="20"/>
          <w:szCs w:val="20"/>
          <w:color w:val="auto"/>
        </w:rPr>
      </w:pPr>
    </w:p>
    <w:p>
      <w:pPr>
        <w:jc w:val="both"/>
        <w:ind w:firstLine="31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Compliance or failure to comply with the Americans with Disabilities Act (the "ADA") or other safety regulations and requirements could result in substantial costs.</w:t>
      </w:r>
    </w:p>
    <w:p>
      <w:pPr>
        <w:spacing w:after="0" w:line="1"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The ADA generally requires that public buildings, including our properties, meet certain Federal requirements related to access and use by disabled persons. Noncompliance could result in the imposition of fines by the Federal government or the award of damages to private litigants and/or legal fees to their counsel. From time to time persons have asserted claims against us with respect to some of our properties under the ADA, but to date such claims have not resulted in any material expense or liability. If, under the ADA, we are required to make substantial alterations and capital expenditures in one or more of our properties, including the removal of access barriers, it could adversely affect our financial condition and results of operations, as well as the amount of cash available for distribution to equity holders.</w:t>
      </w:r>
    </w:p>
    <w:p>
      <w:pPr>
        <w:spacing w:after="0" w:line="15"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Our properties are subject to various federal, state and local regulatory requirements, such as state and local fire and life safety requirements. If we fail to comply with these requirements, we could incur fines or private damage awards. We do not know whether existing requirements will change or whether compliance with future requirements will require significant unanticipated expenditures that will affect our cash flow and results of operations.</w:t>
      </w:r>
    </w:p>
    <w:p>
      <w:pPr>
        <w:spacing w:after="0" w:line="3"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We may incur significant costs to comply with environmental laws and environmental contamination may impair our ability to lease and/or sell real estate.</w:t>
      </w:r>
    </w:p>
    <w:p>
      <w:pPr>
        <w:spacing w:after="0" w:line="256"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Our operations and properties are subject to various federal, state and local laws and regulations concerning the protection of the environment, including air and water quality, hazardous or toxic substances and health and safety. Under some environmental laws, a current or previous owner or operator of real estate may be required to investigate and clean up hazardous or toxic substances released at a property. The owner or operator may also be held liable to a governmental entity or to third parties for property damage or personal injuries and for investigation and clean-up costs incurred by those parties because of the contamination. These laws often impose liability without regard to whether the owner or operator knew of the release of the substances or caused the release. The presence of contamination or the failure to remediate contamination may also impair our ability to sell or lease real estate or to borrow using the real estate as collateral. Other laws and regulations govern indoor and outdoor air quality including those that can require the abatement or removal of asbestos-containing materials in the event of damage, demolition, renovation or remodeling and govern emissions of and exposure to asbestos fibers in the air. The maintenance and removal of lead paint and certain electrical equipment containing polychlorinated biphenyls (PCBs) are also regulated by federal and state laws. We are also subject to risks associated with human exposure to chemical or biological contaminants such as molds, pollens, viruses and bacteria which, above certain levels, can be alleged to be connected to allergic or other health effects and symptoms in susceptible individuals. Our predecessor companies may be subject to similar liabilities for activities of those companies in the past. We could incur fines for environmental compliance and be held liable for the costs of remedial action with respect to the foregoing regulated substances or related claims arising out of environmental contamination or human exposure to contamination at or from our properties.</w:t>
      </w:r>
    </w:p>
    <w:p>
      <w:pPr>
        <w:spacing w:after="0" w:line="233" w:lineRule="exact"/>
        <w:rPr>
          <w:sz w:val="20"/>
          <w:szCs w:val="20"/>
          <w:color w:val="auto"/>
        </w:rPr>
      </w:pPr>
    </w:p>
    <w:p>
      <w:pPr>
        <w:jc w:val="both"/>
        <w:ind w:firstLine="314"/>
        <w:spacing w:after="0" w:line="274" w:lineRule="auto"/>
        <w:rPr>
          <w:sz w:val="20"/>
          <w:szCs w:val="20"/>
          <w:color w:val="auto"/>
        </w:rPr>
      </w:pPr>
      <w:r>
        <w:rPr>
          <w:rFonts w:ascii="Times New Roman" w:cs="Times New Roman" w:eastAsia="Times New Roman" w:hAnsi="Times New Roman"/>
          <w:sz w:val="17"/>
          <w:szCs w:val="17"/>
          <w:color w:val="auto"/>
        </w:rPr>
        <w:t>Each of our properties has been subject to varying degrees of environmental assessment. To date, these environmental assessments have not revealed any environmental condition material to our business. However, identification of new compliance concerns or undiscovered areas of contamination, changes in the extent or known scope of contamination, human exposure to contamination or changes in clean-up or compliance requirements could result in significant costs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TECHNOLOGY, CYBERSECURITY AND DATA PROTECTION</w:t>
      </w:r>
    </w:p>
    <w:p>
      <w:pPr>
        <w:spacing w:after="0" w:line="64" w:lineRule="exact"/>
        <w:rPr>
          <w:sz w:val="20"/>
          <w:szCs w:val="20"/>
          <w:color w:val="auto"/>
        </w:rPr>
      </w:pPr>
    </w:p>
    <w:p>
      <w:pPr>
        <w:jc w:val="both"/>
        <w:ind w:firstLine="314"/>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occurrence of cyber incidents, or a deficiency in our cyber security, as well as other disruptions to our IT networks and related systems, could negatively impact our business by causing a disruption to our operations, a compromise or corruption of our confidential information, and/or damage to our business relationships or reputation, all of which could negatively impact our financial results.</w:t>
      </w:r>
    </w:p>
    <w:p>
      <w:pPr>
        <w:spacing w:after="0" w:line="3" w:lineRule="exact"/>
        <w:rPr>
          <w:sz w:val="20"/>
          <w:szCs w:val="20"/>
          <w:color w:val="auto"/>
        </w:rPr>
      </w:pPr>
    </w:p>
    <w:p>
      <w:pPr>
        <w:jc w:val="both"/>
        <w:ind w:firstLine="314"/>
        <w:spacing w:after="0" w:line="259" w:lineRule="auto"/>
        <w:rPr>
          <w:sz w:val="20"/>
          <w:szCs w:val="20"/>
          <w:color w:val="auto"/>
        </w:rPr>
      </w:pPr>
      <w:r>
        <w:rPr>
          <w:rFonts w:ascii="Times New Roman" w:cs="Times New Roman" w:eastAsia="Times New Roman" w:hAnsi="Times New Roman"/>
          <w:sz w:val="17"/>
          <w:szCs w:val="17"/>
          <w:color w:val="auto"/>
        </w:rPr>
        <w:t>Our IT networks and related systems are essential to the operation of our business and our ability to perform day-to-day operations (including managing our building systems) and, in some cases, may be critical to the operations of certain of our tenants. We face risks associated with security breaches, whether through cyber attacks, malware, ransomware, computer viruses, phishing, attachments to e-mails, persons who access our systems from inside or outside our organization, and other significant disruptions of our IT networks and related systems. Our suppliers, subcontractors, and joint venture partners face similar threats and an incident at one of these entities could adversely impact our business. These entities are typically outside our control and may have access to certain of our information with varying levels of security and cybersecurity resources. The risk of a security breach or disruption, particularly through cyber attack, including by computer hackers, foreign governments and cyber terrorists, has generally increased as the number, intensity and sophistication of attempted attacks from around the world have increased, including through the use of artificial intelligence. Although we have not experienced cyber incidents that are individually, or in the aggregate, material, the incidents we have experienced thus far have been mitigated by preventative, detective, and responsive measures that we have put in place. Although we make efforts to maintain the security and integrity of these types of IT networks and related systems, and we have implemented various measures to manage the risk of a security breach or disruption, there can be no assurance that our security efforts and measures will be effective or that attempted security breaches or disruptions would not be successful or damaging. Unauthorized parties, whether within or outside our company, may disrupt or gain access to our systems, or those of third parties with whom we do business, through human error, misfeasance, fraud, trickery, or other forms of deceit, including break-ins, use of stolen credentials, social engineering, phishing, computer viruses or other malicious codes, and similar means of unauthorized and destructive tampering. Even the most well protected information, networks, systems and facilities remain potentially vulnerable because the techniques used in such attempted security breaches evolve and generally are not recognized until launched against a target, and in some cases are designed to not be detected and, in fact, may not be detected. Accordingly, we may be unable to anticipate these techniques or to implement adequate security barriers or other preventative measures, and thus it is impossible for us to entirely mitigate this risk.</w:t>
      </w:r>
    </w:p>
    <w:p>
      <w:pPr>
        <w:spacing w:after="0" w:line="238"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A security breach or other significant disruption involving our IT networks and related systems could disrupt the proper functioning of our networks and systems and therefore our operations and/or those of certain of our tenants; result in the unauthorized access to, and destruction, loss, theft, misappropriation or release of, proprietary, confidential, sensitive or otherwise valuable information of ours or others, which others could use to compete against us or which could expose us to damage claims by third-parties for disruptive, destructive or otherwise harmful purposes and outcomes; result in our inability to maintain the building systems relied upon by our tenants for the efficient use of their leased space; require significant management attention and resources to remedy any damages that result; may require payments to the attackers; subject us to litigation claims for breach of contract, damages, credits, fines, penalties, governmental investigations and enforcement actions or termination of leases or other agreements; or damage our reputation among our tenants and investors generally. Any or all of the foregoing could have a material adverse effect on our results of operations, financial condition and cash flows.</w:t>
      </w:r>
    </w:p>
    <w:p>
      <w:pPr>
        <w:spacing w:after="0" w:line="22" w:lineRule="exact"/>
        <w:rPr>
          <w:sz w:val="20"/>
          <w:szCs w:val="20"/>
          <w:color w:val="auto"/>
        </w:rPr>
      </w:pPr>
    </w:p>
    <w:p>
      <w:pPr>
        <w:jc w:val="both"/>
        <w:ind w:firstLine="314"/>
        <w:spacing w:after="0" w:line="266" w:lineRule="auto"/>
        <w:rPr>
          <w:sz w:val="20"/>
          <w:szCs w:val="20"/>
          <w:color w:val="auto"/>
        </w:rPr>
      </w:pPr>
      <w:r>
        <w:rPr>
          <w:rFonts w:ascii="Times New Roman" w:cs="Times New Roman" w:eastAsia="Times New Roman" w:hAnsi="Times New Roman"/>
          <w:sz w:val="17"/>
          <w:szCs w:val="17"/>
          <w:color w:val="auto"/>
        </w:rPr>
        <w:t>A cyber attack or systems failure could interfere with our ability to comply with financial reporting requirements, which could adversely affect us. A cyber attack could also compromise the confidential information of our employees, tenants, customers and vendors. A successful attack could disrupt and materially affect our business operations, including damaging relationships with tenants, customers and vendors. Any compromise of our information security systems could also result in a violation of applicable privacy and other laws, significant legal and financial exposure, damage to our reputation, loss or misuse of the information (which may be confidential, proprietary and/or commercially sensitive in nature) and a loss of confidence in our security measures, which could harm our business.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additional information on our cybersecurity risk management process, see Item 1C. Cybersecurity.</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1B.</w:t>
        <w:tab/>
        <w:t>UNRESOLVED STAFF COMMENTS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are no unresolved comments from the staff of the Securities and Exchange Commission as of the date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4" w:name="page25"/>
    <w:bookmarkEnd w:id="24"/>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1C.</w:t>
        <w:tab/>
        <w:t>CYBERSECURITY</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and Strategy</w:t>
      </w:r>
    </w:p>
    <w:p>
      <w:pPr>
        <w:spacing w:after="0" w:line="12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employ a comprehensive risk management strategy for the assessment, identification and management of material risks stemming from cybersecurity threats. Our methodologies involve a systematic evaluation of potential threats, vulnerabilities, and their potential impacts on our organization’s operations, data, and systems.</w:t>
      </w:r>
    </w:p>
    <w:p>
      <w:pPr>
        <w:spacing w:after="0" w:line="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Our cybersecurity risk management program is integrated into our overall enterprise risk management program, and shares common methodologies, reporting channels and governance processes that apply across the enterprise risk management program, including legal, compliance, strategic, operational, and financial risk areas.</w:t>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cybersecurity risk management program includes:</w:t>
      </w:r>
    </w:p>
    <w:p>
      <w:pPr>
        <w:spacing w:after="0" w:line="66" w:lineRule="exact"/>
        <w:rPr>
          <w:sz w:val="20"/>
          <w:szCs w:val="20"/>
          <w:color w:val="auto"/>
        </w:rPr>
      </w:pPr>
    </w:p>
    <w:p>
      <w:pPr>
        <w:ind w:left="940" w:hanging="306"/>
        <w:spacing w:after="0" w:line="268"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assessments designed to help identify material cybersecurity risks to our critical systems, information, and our broader enterprise IT environment;</w:t>
      </w:r>
    </w:p>
    <w:p>
      <w:pPr>
        <w:spacing w:after="0" w:line="218" w:lineRule="exact"/>
        <w:rPr>
          <w:rFonts w:ascii="Times New Roman" w:cs="Times New Roman" w:eastAsia="Times New Roman" w:hAnsi="Times New Roman"/>
          <w:sz w:val="17"/>
          <w:szCs w:val="17"/>
          <w:color w:val="auto"/>
        </w:rPr>
      </w:pPr>
    </w:p>
    <w:p>
      <w:pPr>
        <w:ind w:left="940" w:hanging="306"/>
        <w:spacing w:after="0" w:line="257"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team principally responsible for managing our (i) cybersecurity risk assessment processes, (ii) security controls and (iii) response to cybersecurity incidents;</w:t>
      </w:r>
    </w:p>
    <w:p>
      <w:pPr>
        <w:ind w:left="940" w:hanging="306"/>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external service providers, where appropriate, to assess, test or otherwise assist with aspects of our security controls;</w:t>
      </w:r>
    </w:p>
    <w:p>
      <w:pPr>
        <w:spacing w:after="0" w:line="14" w:lineRule="exact"/>
        <w:rPr>
          <w:rFonts w:ascii="Times New Roman" w:cs="Times New Roman" w:eastAsia="Times New Roman" w:hAnsi="Times New Roman"/>
          <w:sz w:val="17"/>
          <w:szCs w:val="17"/>
          <w:color w:val="auto"/>
        </w:rPr>
      </w:pPr>
    </w:p>
    <w:p>
      <w:pPr>
        <w:ind w:left="940" w:hanging="306"/>
        <w:spacing w:after="0" w:line="257"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awareness training of our employees, incident response personnel and senior management, including through the use of third-party providers for regular mandatory trainings;</w:t>
      </w:r>
    </w:p>
    <w:p>
      <w:pPr>
        <w:ind w:left="940" w:hanging="306"/>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cybersecurity incident response plan that includes procedures for responding to cybersecurity incidents; and</w:t>
      </w:r>
    </w:p>
    <w:p>
      <w:pPr>
        <w:spacing w:after="0" w:line="14" w:lineRule="exact"/>
        <w:rPr>
          <w:rFonts w:ascii="Times New Roman" w:cs="Times New Roman" w:eastAsia="Times New Roman" w:hAnsi="Times New Roman"/>
          <w:sz w:val="17"/>
          <w:szCs w:val="17"/>
          <w:color w:val="auto"/>
        </w:rPr>
      </w:pPr>
    </w:p>
    <w:p>
      <w:pPr>
        <w:ind w:left="940" w:hanging="306"/>
        <w:spacing w:after="0" w:line="274"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risk management process for third-party service providers, suppliers, and vendors. We employ rigorous vetting processes and ongoing monitoring mechanisms designed to ensure their compliance with cybersecurity standards.</w:t>
      </w:r>
    </w:p>
    <w:p>
      <w:pPr>
        <w:spacing w:after="0" w:line="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As of the date of this Annual Report on Form 10-K, we are not aware of any risks from cybersecurity threats, including as a result of any previous cybersecurity incidents, that have materially affected or are reasonably likely to materially affect us, including our operations, business strategy, results of operations, or financial condition.</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Governance</w:t>
      </w:r>
    </w:p>
    <w:p>
      <w:pPr>
        <w:spacing w:after="0" w:line="70"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Our Board of Trustee’s considers cybersecurity risk as part of its risk oversight function and has delegated to the Audit Committee (the “Committee”) oversight of cybersecurity and other information technology risks. The Committee oversees management’s implementation of our cybersecurity risk management program.</w:t>
      </w:r>
    </w:p>
    <w:p>
      <w:pPr>
        <w:spacing w:after="0" w:line="210"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Committee receives periodic reports from management on our potential cybersecurity risks and threats and receives presentations on cybersecurity topics from our Chief Information Officer. The Committee reports to the full Board of Trustees regarding its activities, including those related to cybersecurity. The full Board of Trustees also receives briefings from management on cybersecurity matters as needed.</w:t>
      </w:r>
    </w:p>
    <w:p>
      <w:pPr>
        <w:spacing w:after="0" w:line="7"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Our management team, including our Chief Information Officer,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Chief Information Officer has many years of experience leading cybersecurity oversight and overall has broad, extensive experience with information technology, including security, auditing, compliance, systems and programming.</w:t>
      </w:r>
    </w:p>
    <w:p>
      <w:pPr>
        <w:spacing w:after="0" w:line="1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 Our cybersecurity incident response plan governs our assessment and response upon the occurrence of a material cybersecurity incident, including the process for informing senior management and our Board of Trustees.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5" w:name="page26"/>
    <w:bookmarkEnd w:id="25"/>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2.</w:t>
        <w:tab/>
        <w:t>PROPERTIES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LISTING</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operate in two reportable segments: New York and Other. The following pages provide details of our real estate properties as of December 31, 2024.</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4"/>
                <w:szCs w:val="14"/>
                <w:b w:val="1"/>
                <w:bCs w:val="1"/>
                <w:color w:val="auto"/>
                <w:w w:val="99"/>
              </w:rPr>
              <w:t>Under</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Development</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NEW YORK SEGMENT</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4"/>
                <w:szCs w:val="14"/>
                <w:b w:val="1"/>
                <w:bCs w:val="1"/>
                <w:color w:val="auto"/>
                <w:w w:val="98"/>
              </w:rPr>
              <w:t>or Not</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260" w:type="dxa"/>
            <w:vAlign w:val="bottom"/>
            <w:gridSpan w:val="4"/>
            <w:vMerge w:val="continue"/>
          </w:tcPr>
          <w:p>
            <w:pPr>
              <w:spacing w:after="0"/>
              <w:rPr>
                <w:sz w:val="6"/>
                <w:szCs w:val="6"/>
                <w:color w:val="auto"/>
              </w:rPr>
            </w:pPr>
          </w:p>
        </w:tc>
        <w:tc>
          <w:tcPr>
            <w:tcW w:w="980" w:type="dxa"/>
            <w:vAlign w:val="bottom"/>
            <w:vMerge w:val="restart"/>
          </w:tcPr>
          <w:p>
            <w:pPr>
              <w:jc w:val="right"/>
              <w:ind w:right="350"/>
              <w:spacing w:after="0" w:line="144"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restart"/>
          </w:tcPr>
          <w:p>
            <w:pPr>
              <w:jc w:val="right"/>
              <w:ind w:right="390"/>
              <w:spacing w:after="0" w:line="144"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gridSpan w:val="2"/>
            <w:vMerge w:val="restart"/>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Available</w:t>
            </w:r>
          </w:p>
        </w:tc>
        <w:tc>
          <w:tcPr>
            <w:tcW w:w="880" w:type="dxa"/>
            <w:vAlign w:val="bottom"/>
            <w:vMerge w:val="restart"/>
          </w:tcPr>
          <w:p>
            <w:pPr>
              <w:jc w:val="right"/>
              <w:ind w:right="210"/>
              <w:spacing w:after="0" w:line="144"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2740" w:type="dxa"/>
            <w:vAlign w:val="bottom"/>
            <w:gridSpan w:val="2"/>
            <w:vMerge w:val="restart"/>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0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In Service</w:t>
            </w:r>
          </w:p>
        </w:tc>
        <w:tc>
          <w:tcPr>
            <w:tcW w:w="114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500" w:type="dxa"/>
            <w:vAlign w:val="bottom"/>
            <w:gridSpan w:val="2"/>
            <w:vMerge w:val="continue"/>
          </w:tcPr>
          <w:p>
            <w:pPr>
              <w:spacing w:after="0"/>
              <w:rPr>
                <w:sz w:val="16"/>
                <w:szCs w:val="16"/>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Occupancy</w:t>
            </w:r>
          </w:p>
        </w:tc>
        <w:tc>
          <w:tcPr>
            <w:tcW w:w="102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Lease</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95"/>
        </w:trPr>
        <w:tc>
          <w:tcPr>
            <w:tcW w:w="20" w:type="dxa"/>
            <w:vAlign w:val="bottom"/>
            <w:tcBorders>
              <w:top w:val="single" w:sz="8" w:color="auto"/>
            </w:tcBorders>
            <w:shd w:val="clear" w:color="auto" w:fill="CCEEFF"/>
          </w:tcPr>
          <w:p>
            <w:pPr>
              <w:spacing w:after="0"/>
              <w:rPr>
                <w:sz w:val="16"/>
                <w:szCs w:val="16"/>
                <w:color w:val="auto"/>
              </w:rPr>
            </w:pPr>
          </w:p>
        </w:tc>
        <w:tc>
          <w:tcPr>
            <w:tcW w:w="4160" w:type="dxa"/>
            <w:vAlign w:val="bottom"/>
            <w:tcBorders>
              <w:top w:val="single" w:sz="8" w:color="auto"/>
            </w:tcBorders>
            <w:gridSpan w:val="3"/>
            <w:shd w:val="clear" w:color="auto" w:fill="CCEEFF"/>
          </w:tcPr>
          <w:p>
            <w:pPr>
              <w:spacing w:after="0" w:line="195" w:lineRule="exact"/>
              <w:rPr>
                <w:sz w:val="20"/>
                <w:szCs w:val="20"/>
                <w:color w:val="auto"/>
              </w:rPr>
            </w:pPr>
            <w:r>
              <w:rPr>
                <w:rFonts w:ascii="Times New Roman" w:cs="Times New Roman" w:eastAsia="Times New Roman" w:hAnsi="Times New Roman"/>
                <w:sz w:val="14"/>
                <w:szCs w:val="14"/>
                <w:color w:val="auto"/>
              </w:rPr>
              <w:t>PENN 1 (ground leased through 2098)</w:t>
            </w:r>
            <w:r>
              <w:rPr>
                <w:rFonts w:ascii="Times New Roman" w:cs="Times New Roman" w:eastAsia="Times New Roman" w:hAnsi="Times New Roman"/>
                <w:sz w:val="18"/>
                <w:szCs w:val="18"/>
                <w:b w:val="1"/>
                <w:bCs w:val="1"/>
                <w:color w:val="auto"/>
                <w:vertAlign w:val="superscript"/>
              </w:rPr>
              <w:t>(1)</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Office / Retail</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83.7 %</w:t>
            </w:r>
          </w:p>
        </w:tc>
        <w:tc>
          <w:tcPr>
            <w:tcW w:w="3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2,552,000</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2,552,000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1290 Avenue of the Americas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10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92.7 %</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2,106,000</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2,106,000</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PENN 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402,000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1,393,000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1,795,000</w:t>
            </w:r>
          </w:p>
        </w:tc>
        <w:tc>
          <w:tcPr>
            <w:tcW w:w="0" w:type="dxa"/>
            <w:vAlign w:val="bottom"/>
          </w:tcPr>
          <w:p>
            <w:pPr>
              <w:spacing w:after="0"/>
              <w:rPr>
                <w:sz w:val="1"/>
                <w:szCs w:val="1"/>
                <w:color w:val="auto"/>
              </w:rPr>
            </w:pPr>
          </w:p>
        </w:tc>
      </w:tr>
      <w:tr>
        <w:trPr>
          <w:trHeight w:val="196"/>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5"/>
              </w:rPr>
              <w:t>909</w:t>
            </w:r>
          </w:p>
        </w:tc>
        <w:tc>
          <w:tcPr>
            <w:tcW w:w="40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4"/>
                <w:szCs w:val="14"/>
                <w:color w:val="auto"/>
              </w:rPr>
              <w:t>Third Avenue (ground leased through 2063)</w:t>
            </w:r>
            <w:r>
              <w:rPr>
                <w:rFonts w:ascii="Times New Roman" w:cs="Times New Roman" w:eastAsia="Times New Roman" w:hAnsi="Times New Roman"/>
                <w:sz w:val="18"/>
                <w:szCs w:val="18"/>
                <w:b w:val="1"/>
                <w:bCs w:val="1"/>
                <w:color w:val="auto"/>
                <w:vertAlign w:val="superscript"/>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Office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93.1 %</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1,352,000</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1,352,000</w:t>
            </w:r>
          </w:p>
        </w:tc>
        <w:tc>
          <w:tcPr>
            <w:tcW w:w="0" w:type="dxa"/>
            <w:vAlign w:val="bottom"/>
          </w:tcPr>
          <w:p>
            <w:pPr>
              <w:spacing w:after="0"/>
              <w:rPr>
                <w:sz w:val="1"/>
                <w:szCs w:val="1"/>
                <w:color w:val="auto"/>
              </w:rPr>
            </w:pPr>
          </w:p>
        </w:tc>
      </w:tr>
      <w:tr>
        <w:trPr>
          <w:trHeight w:val="196"/>
        </w:trPr>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280</w:t>
            </w:r>
          </w:p>
        </w:tc>
        <w:tc>
          <w:tcPr>
            <w:tcW w:w="404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Park Avenue</w:t>
            </w:r>
            <w:r>
              <w:rPr>
                <w:rFonts w:ascii="Times New Roman" w:cs="Times New Roman" w:eastAsia="Times New Roman" w:hAnsi="Times New Roman"/>
                <w:sz w:val="18"/>
                <w:szCs w:val="18"/>
                <w:b w:val="1"/>
                <w:bCs w:val="1"/>
                <w:color w:val="auto"/>
                <w:vertAlign w:val="superscript"/>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92.2 %</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gridSpan w:val="4"/>
          </w:tcPr>
          <w:p>
            <w:pPr>
              <w:spacing w:after="0" w:line="196" w:lineRule="exact"/>
              <w:rPr>
                <w:sz w:val="20"/>
                <w:szCs w:val="20"/>
                <w:color w:val="auto"/>
              </w:rPr>
            </w:pPr>
            <w:r>
              <w:rPr>
                <w:rFonts w:ascii="Times New Roman" w:cs="Times New Roman" w:eastAsia="Times New Roman" w:hAnsi="Times New Roman"/>
                <w:sz w:val="14"/>
                <w:szCs w:val="14"/>
                <w:color w:val="auto"/>
              </w:rPr>
              <w:t>Independence Plaza, Tribeca (1,327 units)</w:t>
            </w:r>
            <w:r>
              <w:rPr>
                <w:rFonts w:ascii="Times New Roman" w:cs="Times New Roman" w:eastAsia="Times New Roman" w:hAnsi="Times New Roman"/>
                <w:sz w:val="18"/>
                <w:szCs w:val="18"/>
                <w:b w:val="1"/>
                <w:bCs w:val="1"/>
                <w:color w:val="auto"/>
                <w:vertAlign w:val="superscript"/>
              </w:rPr>
              <w:t>(2)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50.1 %</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Retail / Residential</w:t>
            </w:r>
          </w:p>
        </w:tc>
        <w:tc>
          <w:tcPr>
            <w:tcW w:w="13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4"/>
                <w:szCs w:val="14"/>
                <w:color w:val="auto"/>
              </w:rPr>
              <w:t xml:space="preserve">54.7 % </w:t>
            </w:r>
            <w:r>
              <w:rPr>
                <w:rFonts w:ascii="Times New Roman" w:cs="Times New Roman" w:eastAsia="Times New Roman" w:hAnsi="Times New Roman"/>
                <w:sz w:val="18"/>
                <w:szCs w:val="18"/>
                <w:b w:val="1"/>
                <w:bCs w:val="1"/>
                <w:color w:val="auto"/>
                <w:vertAlign w:val="superscript"/>
              </w:rPr>
              <w:t>(3)</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1,258,000</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1,258,000</w:t>
            </w:r>
          </w:p>
        </w:tc>
        <w:tc>
          <w:tcPr>
            <w:tcW w:w="0" w:type="dxa"/>
            <w:vAlign w:val="bottom"/>
          </w:tcPr>
          <w:p>
            <w:pPr>
              <w:spacing w:after="0"/>
              <w:rPr>
                <w:sz w:val="1"/>
                <w:szCs w:val="1"/>
                <w:color w:val="auto"/>
              </w:rPr>
            </w:pPr>
          </w:p>
        </w:tc>
      </w:tr>
      <w:tr>
        <w:trPr>
          <w:trHeight w:val="196"/>
        </w:trPr>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770</w:t>
            </w:r>
          </w:p>
        </w:tc>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Broadway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56.0 %</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PENN 11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99.6 %</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1,151,000</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1,151,000</w:t>
            </w:r>
          </w:p>
        </w:tc>
        <w:tc>
          <w:tcPr>
            <w:tcW w:w="0" w:type="dxa"/>
            <w:vAlign w:val="bottom"/>
          </w:tcPr>
          <w:p>
            <w:pPr>
              <w:spacing w:after="0"/>
              <w:rPr>
                <w:sz w:val="1"/>
                <w:szCs w:val="1"/>
                <w:color w:val="auto"/>
              </w:rPr>
            </w:pPr>
          </w:p>
        </w:tc>
      </w:tr>
      <w:tr>
        <w:trPr>
          <w:trHeight w:val="204"/>
        </w:trPr>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100</w:t>
            </w:r>
          </w:p>
        </w:tc>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33rd Street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73.1 %</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90 Park Avenue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98.2 %</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956,000</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956,000</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One Park Avenue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93.6 %</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945,000</w:t>
            </w:r>
          </w:p>
        </w:tc>
        <w:tc>
          <w:tcPr>
            <w:tcW w:w="0" w:type="dxa"/>
            <w:vAlign w:val="bottom"/>
          </w:tcPr>
          <w:p>
            <w:pPr>
              <w:spacing w:after="0"/>
              <w:rPr>
                <w:sz w:val="1"/>
                <w:szCs w:val="1"/>
                <w:color w:val="auto"/>
              </w:rPr>
            </w:pPr>
          </w:p>
        </w:tc>
      </w:tr>
      <w:tr>
        <w:trPr>
          <w:trHeight w:val="196"/>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5"/>
              </w:rPr>
              <w:t>888</w:t>
            </w:r>
          </w:p>
        </w:tc>
        <w:tc>
          <w:tcPr>
            <w:tcW w:w="40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4"/>
                <w:szCs w:val="14"/>
                <w:color w:val="auto"/>
              </w:rPr>
              <w:t>Seventh Avenue (ground leased through 2067)</w:t>
            </w:r>
            <w:r>
              <w:rPr>
                <w:rFonts w:ascii="Times New Roman" w:cs="Times New Roman" w:eastAsia="Times New Roman" w:hAnsi="Times New Roman"/>
                <w:sz w:val="18"/>
                <w:szCs w:val="18"/>
                <w:b w:val="1"/>
                <w:bCs w:val="1"/>
                <w:color w:val="auto"/>
                <w:vertAlign w:val="superscript"/>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84.3 %</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887,000</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887,000</w:t>
            </w: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4260" w:type="dxa"/>
            <w:vAlign w:val="bottom"/>
            <w:gridSpan w:val="4"/>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The Farley Building</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95.0 %</w:t>
            </w:r>
          </w:p>
        </w:tc>
        <w:tc>
          <w:tcPr>
            <w:tcW w:w="100" w:type="dxa"/>
            <w:vAlign w:val="bottom"/>
            <w:shd w:val="clear" w:color="auto" w:fill="CCEEFF"/>
          </w:tcPr>
          <w:p>
            <w:pPr>
              <w:spacing w:after="0"/>
              <w:rPr>
                <w:sz w:val="11"/>
                <w:szCs w:val="11"/>
                <w:color w:val="auto"/>
              </w:rPr>
            </w:pPr>
          </w:p>
        </w:tc>
        <w:tc>
          <w:tcPr>
            <w:tcW w:w="1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91.7 %</w:t>
            </w:r>
          </w:p>
        </w:tc>
        <w:tc>
          <w:tcPr>
            <w:tcW w:w="3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846,000</w:t>
            </w:r>
          </w:p>
        </w:tc>
        <w:tc>
          <w:tcPr>
            <w:tcW w:w="1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846,000</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40" w:type="dxa"/>
            <w:vAlign w:val="bottom"/>
            <w:gridSpan w:val="3"/>
            <w:shd w:val="clear" w:color="auto" w:fill="CCEEFF"/>
          </w:tcPr>
          <w:p>
            <w:pPr>
              <w:jc w:val="right"/>
              <w:ind w:right="1560"/>
              <w:spacing w:after="0" w:line="196" w:lineRule="exact"/>
              <w:rPr>
                <w:sz w:val="20"/>
                <w:szCs w:val="20"/>
                <w:color w:val="auto"/>
              </w:rPr>
            </w:pPr>
            <w:r>
              <w:rPr>
                <w:rFonts w:ascii="Times New Roman" w:cs="Times New Roman" w:eastAsia="Times New Roman" w:hAnsi="Times New Roman"/>
                <w:sz w:val="14"/>
                <w:szCs w:val="14"/>
                <w:color w:val="auto"/>
                <w:w w:val="96"/>
              </w:rPr>
              <w:t>(ground and building leased through 2116)</w:t>
            </w:r>
            <w:r>
              <w:rPr>
                <w:rFonts w:ascii="Times New Roman" w:cs="Times New Roman" w:eastAsia="Times New Roman" w:hAnsi="Times New Roman"/>
                <w:sz w:val="18"/>
                <w:szCs w:val="18"/>
                <w:b w:val="1"/>
                <w:bCs w:val="1"/>
                <w:color w:val="auto"/>
                <w:w w:val="96"/>
                <w:vertAlign w:val="superscript"/>
              </w:rPr>
              <w:t>(1)</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5"/>
              </w:rPr>
              <w:t>330</w:t>
            </w:r>
          </w:p>
        </w:tc>
        <w:tc>
          <w:tcPr>
            <w:tcW w:w="40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4"/>
                <w:szCs w:val="14"/>
                <w:color w:val="auto"/>
              </w:rPr>
              <w:t>West 34th Street (65.2% ground leased through 2149)</w:t>
            </w:r>
            <w:r>
              <w:rPr>
                <w:rFonts w:ascii="Times New Roman" w:cs="Times New Roman" w:eastAsia="Times New Roman" w:hAnsi="Times New Roman"/>
                <w:sz w:val="18"/>
                <w:szCs w:val="18"/>
                <w:b w:val="1"/>
                <w:bCs w:val="1"/>
                <w:color w:val="auto"/>
                <w:vertAlign w:val="superscript"/>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77.3 %</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726,000</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726,000</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6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85 Tenth Avenue</w:t>
            </w:r>
            <w:r>
              <w:rPr>
                <w:rFonts w:ascii="Times New Roman" w:cs="Times New Roman" w:eastAsia="Times New Roman" w:hAnsi="Times New Roman"/>
                <w:sz w:val="18"/>
                <w:szCs w:val="18"/>
                <w:b w:val="1"/>
                <w:bCs w:val="1"/>
                <w:color w:val="auto"/>
                <w:vertAlign w:val="superscript"/>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85.8 %</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638,000</w:t>
            </w:r>
          </w:p>
        </w:tc>
        <w:tc>
          <w:tcPr>
            <w:tcW w:w="0" w:type="dxa"/>
            <w:vAlign w:val="bottom"/>
          </w:tcPr>
          <w:p>
            <w:pPr>
              <w:spacing w:after="0"/>
              <w:rPr>
                <w:sz w:val="1"/>
                <w:szCs w:val="1"/>
                <w:color w:val="auto"/>
              </w:rPr>
            </w:pPr>
          </w:p>
        </w:tc>
      </w:tr>
      <w:tr>
        <w:trPr>
          <w:trHeight w:val="196"/>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5"/>
              </w:rPr>
              <w:t>650</w:t>
            </w:r>
          </w:p>
        </w:tc>
        <w:tc>
          <w:tcPr>
            <w:tcW w:w="40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4"/>
                <w:szCs w:val="14"/>
                <w:color w:val="auto"/>
              </w:rPr>
              <w:t>Madison Avenue</w:t>
            </w:r>
            <w:r>
              <w:rPr>
                <w:rFonts w:ascii="Times New Roman" w:cs="Times New Roman" w:eastAsia="Times New Roman" w:hAnsi="Times New Roman"/>
                <w:sz w:val="18"/>
                <w:szCs w:val="18"/>
                <w:b w:val="1"/>
                <w:bCs w:val="1"/>
                <w:color w:val="auto"/>
                <w:vertAlign w:val="superscript"/>
              </w:rPr>
              <w:t>(2)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82.9 %</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601,000</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601,000</w:t>
            </w:r>
          </w:p>
        </w:tc>
        <w:tc>
          <w:tcPr>
            <w:tcW w:w="0" w:type="dxa"/>
            <w:vAlign w:val="bottom"/>
          </w:tcPr>
          <w:p>
            <w:pPr>
              <w:spacing w:after="0"/>
              <w:rPr>
                <w:sz w:val="1"/>
                <w:szCs w:val="1"/>
                <w:color w:val="auto"/>
              </w:rPr>
            </w:pPr>
          </w:p>
        </w:tc>
      </w:tr>
      <w:tr>
        <w:trPr>
          <w:trHeight w:val="196"/>
        </w:trPr>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350</w:t>
            </w:r>
          </w:p>
        </w:tc>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Park Avenue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585,000</w:t>
            </w:r>
          </w:p>
        </w:tc>
        <w:tc>
          <w:tcPr>
            <w:tcW w:w="0" w:type="dxa"/>
            <w:vAlign w:val="bottom"/>
          </w:tcPr>
          <w:p>
            <w:pPr>
              <w:spacing w:after="0"/>
              <w:rPr>
                <w:sz w:val="1"/>
                <w:szCs w:val="1"/>
                <w:color w:val="auto"/>
              </w:rPr>
            </w:pPr>
          </w:p>
        </w:tc>
      </w:tr>
      <w:tr>
        <w:trPr>
          <w:trHeight w:val="196"/>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5"/>
              </w:rPr>
              <w:t>150</w:t>
            </w:r>
          </w:p>
        </w:tc>
        <w:tc>
          <w:tcPr>
            <w:tcW w:w="40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4"/>
                <w:szCs w:val="14"/>
                <w:color w:val="auto"/>
              </w:rPr>
              <w:t>East 58th Street</w:t>
            </w:r>
            <w:r>
              <w:rPr>
                <w:rFonts w:ascii="Times New Roman" w:cs="Times New Roman" w:eastAsia="Times New Roman" w:hAnsi="Times New Roman"/>
                <w:sz w:val="18"/>
                <w:szCs w:val="18"/>
                <w:b w:val="1"/>
                <w:bCs w:val="1"/>
                <w:color w:val="auto"/>
                <w:vertAlign w:val="superscript"/>
              </w:rPr>
              <w:t>(4)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81.7 %</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544,000</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544,000</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6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7 West 34th Street</w:t>
            </w:r>
            <w:r>
              <w:rPr>
                <w:rFonts w:ascii="Times New Roman" w:cs="Times New Roman" w:eastAsia="Times New Roman" w:hAnsi="Times New Roman"/>
                <w:sz w:val="18"/>
                <w:szCs w:val="18"/>
                <w:b w:val="1"/>
                <w:bCs w:val="1"/>
                <w:color w:val="auto"/>
                <w:vertAlign w:val="superscript"/>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477,000</w:t>
            </w:r>
          </w:p>
        </w:tc>
        <w:tc>
          <w:tcPr>
            <w:tcW w:w="0" w:type="dxa"/>
            <w:vAlign w:val="bottom"/>
          </w:tcPr>
          <w:p>
            <w:pPr>
              <w:spacing w:after="0"/>
              <w:rPr>
                <w:sz w:val="1"/>
                <w:szCs w:val="1"/>
                <w:color w:val="auto"/>
              </w:rPr>
            </w:pPr>
          </w:p>
        </w:tc>
      </w:tr>
      <w:tr>
        <w:trPr>
          <w:trHeight w:val="189"/>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5"/>
              </w:rPr>
              <w:t>595</w:t>
            </w:r>
          </w:p>
        </w:tc>
        <w:tc>
          <w:tcPr>
            <w:tcW w:w="4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Madison Avenue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89.0 %</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330,000</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330,000</w:t>
            </w:r>
          </w:p>
        </w:tc>
        <w:tc>
          <w:tcPr>
            <w:tcW w:w="0" w:type="dxa"/>
            <w:vAlign w:val="bottom"/>
          </w:tcPr>
          <w:p>
            <w:pPr>
              <w:spacing w:after="0"/>
              <w:rPr>
                <w:sz w:val="1"/>
                <w:szCs w:val="1"/>
                <w:color w:val="auto"/>
              </w:rPr>
            </w:pPr>
          </w:p>
        </w:tc>
      </w:tr>
      <w:tr>
        <w:trPr>
          <w:trHeight w:val="204"/>
        </w:trPr>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640</w:t>
            </w:r>
          </w:p>
        </w:tc>
        <w:tc>
          <w:tcPr>
            <w:tcW w:w="404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Fifth Avenue</w:t>
            </w:r>
            <w:r>
              <w:rPr>
                <w:rFonts w:ascii="Times New Roman" w:cs="Times New Roman" w:eastAsia="Times New Roman" w:hAnsi="Times New Roman"/>
                <w:sz w:val="18"/>
                <w:szCs w:val="18"/>
                <w:b w:val="1"/>
                <w:bCs w:val="1"/>
                <w:color w:val="auto"/>
                <w:vertAlign w:val="superscript"/>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92.2 %</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315,000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60" w:type="dxa"/>
            <w:vAlign w:val="bottom"/>
            <w:gridSpan w:val="4"/>
          </w:tcPr>
          <w:p>
            <w:pPr>
              <w:spacing w:after="0" w:line="131" w:lineRule="exact"/>
              <w:rPr>
                <w:sz w:val="20"/>
                <w:szCs w:val="20"/>
                <w:color w:val="auto"/>
              </w:rPr>
            </w:pPr>
            <w:r>
              <w:rPr>
                <w:rFonts w:ascii="Times New Roman" w:cs="Times New Roman" w:eastAsia="Times New Roman" w:hAnsi="Times New Roman"/>
                <w:sz w:val="14"/>
                <w:szCs w:val="14"/>
                <w:color w:val="auto"/>
              </w:rPr>
              <w:t>Sunset Pier 94 Studios</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49.9 %</w:t>
            </w:r>
          </w:p>
        </w:tc>
        <w:tc>
          <w:tcPr>
            <w:tcW w:w="100" w:type="dxa"/>
            <w:vAlign w:val="bottom"/>
          </w:tcPr>
          <w:p>
            <w:pPr>
              <w:spacing w:after="0"/>
              <w:rPr>
                <w:sz w:val="11"/>
                <w:szCs w:val="11"/>
                <w:color w:val="auto"/>
              </w:rPr>
            </w:pPr>
          </w:p>
        </w:tc>
        <w:tc>
          <w:tcPr>
            <w:tcW w:w="1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Studio</w:t>
            </w:r>
          </w:p>
        </w:tc>
        <w:tc>
          <w:tcPr>
            <w:tcW w:w="104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(5)</w:t>
            </w:r>
          </w:p>
        </w:tc>
        <w:tc>
          <w:tcPr>
            <w:tcW w:w="3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266,000</w:t>
            </w: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gridSpan w:val="4"/>
          </w:tcPr>
          <w:p>
            <w:pPr>
              <w:jc w:val="right"/>
              <w:ind w:right="1560"/>
              <w:spacing w:after="0" w:line="196" w:lineRule="exact"/>
              <w:rPr>
                <w:sz w:val="20"/>
                <w:szCs w:val="20"/>
                <w:color w:val="auto"/>
              </w:rPr>
            </w:pPr>
            <w:r>
              <w:rPr>
                <w:rFonts w:ascii="Times New Roman" w:cs="Times New Roman" w:eastAsia="Times New Roman" w:hAnsi="Times New Roman"/>
                <w:sz w:val="14"/>
                <w:szCs w:val="14"/>
                <w:color w:val="auto"/>
              </w:rPr>
              <w:t>(ground and building leased through 2110)</w:t>
            </w:r>
            <w:r>
              <w:rPr>
                <w:rFonts w:ascii="Times New Roman" w:cs="Times New Roman" w:eastAsia="Times New Roman" w:hAnsi="Times New Roman"/>
                <w:sz w:val="18"/>
                <w:szCs w:val="18"/>
                <w:b w:val="1"/>
                <w:bCs w:val="1"/>
                <w:color w:val="auto"/>
                <w:vertAlign w:val="superscript"/>
              </w:rPr>
              <w:t>(1)(2)</w:t>
            </w: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260</w:t>
            </w:r>
          </w:p>
        </w:tc>
        <w:tc>
          <w:tcPr>
            <w:tcW w:w="404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Eleventh Avenue (ground leased through 2114)</w:t>
            </w:r>
            <w:r>
              <w:rPr>
                <w:rFonts w:ascii="Times New Roman" w:cs="Times New Roman" w:eastAsia="Times New Roman" w:hAnsi="Times New Roman"/>
                <w:sz w:val="18"/>
                <w:szCs w:val="18"/>
                <w:b w:val="1"/>
                <w:bCs w:val="1"/>
                <w:color w:val="auto"/>
                <w:vertAlign w:val="superscript"/>
              </w:rPr>
              <w:t>(1)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4 Union Square South</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204,000</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204,000</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260" w:type="dxa"/>
            <w:vAlign w:val="bottom"/>
            <w:gridSpan w:val="4"/>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61 Ninth Avenue (2 buildings) (ground leased through 2115)</w:t>
            </w:r>
            <w:r>
              <w:rPr>
                <w:rFonts w:ascii="Times New Roman" w:cs="Times New Roman" w:eastAsia="Times New Roman" w:hAnsi="Times New Roman"/>
                <w:sz w:val="18"/>
                <w:szCs w:val="18"/>
                <w:b w:val="1"/>
                <w:bCs w:val="1"/>
                <w:color w:val="auto"/>
                <w:vertAlign w:val="superscript"/>
              </w:rPr>
              <w:t>(1)(2)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194,000</w:t>
            </w:r>
          </w:p>
        </w:tc>
        <w:tc>
          <w:tcPr>
            <w:tcW w:w="0" w:type="dxa"/>
            <w:vAlign w:val="bottom"/>
          </w:tcPr>
          <w:p>
            <w:pPr>
              <w:spacing w:after="0"/>
              <w:rPr>
                <w:sz w:val="1"/>
                <w:szCs w:val="1"/>
                <w:color w:val="auto"/>
              </w:rPr>
            </w:pPr>
          </w:p>
        </w:tc>
      </w:tr>
      <w:tr>
        <w:trPr>
          <w:trHeight w:val="196"/>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5"/>
              </w:rPr>
              <w:t>512</w:t>
            </w:r>
          </w:p>
        </w:tc>
        <w:tc>
          <w:tcPr>
            <w:tcW w:w="40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4"/>
                <w:szCs w:val="14"/>
                <w:color w:val="auto"/>
              </w:rPr>
              <w:t>West 22nd Street</w:t>
            </w:r>
            <w:r>
              <w:rPr>
                <w:rFonts w:ascii="Times New Roman" w:cs="Times New Roman" w:eastAsia="Times New Roman" w:hAnsi="Times New Roman"/>
                <w:sz w:val="18"/>
                <w:szCs w:val="18"/>
                <w:b w:val="1"/>
                <w:bCs w:val="1"/>
                <w:color w:val="auto"/>
                <w:vertAlign w:val="superscript"/>
              </w:rPr>
              <w:t>(2)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173,000</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173,000</w:t>
            </w:r>
          </w:p>
        </w:tc>
        <w:tc>
          <w:tcPr>
            <w:tcW w:w="0" w:type="dxa"/>
            <w:vAlign w:val="bottom"/>
          </w:tcPr>
          <w:p>
            <w:pPr>
              <w:spacing w:after="0"/>
              <w:rPr>
                <w:sz w:val="1"/>
                <w:szCs w:val="1"/>
                <w:color w:val="auto"/>
              </w:rPr>
            </w:pPr>
          </w:p>
        </w:tc>
      </w:tr>
      <w:tr>
        <w:trPr>
          <w:trHeight w:val="196"/>
        </w:trPr>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825</w:t>
            </w:r>
          </w:p>
        </w:tc>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Seventh Avenue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4"/>
                <w:szCs w:val="14"/>
                <w:color w:val="auto"/>
              </w:rPr>
              <w:t>Office</w:t>
            </w:r>
            <w:r>
              <w:rPr>
                <w:rFonts w:ascii="Times New Roman" w:cs="Times New Roman" w:eastAsia="Times New Roman" w:hAnsi="Times New Roman"/>
                <w:sz w:val="18"/>
                <w:szCs w:val="18"/>
                <w:b w:val="1"/>
                <w:bCs w:val="1"/>
                <w:color w:val="auto"/>
                <w:vertAlign w:val="superscript"/>
              </w:rPr>
              <w:t>(2)</w:t>
            </w:r>
            <w:r>
              <w:rPr>
                <w:rFonts w:ascii="Times New Roman" w:cs="Times New Roman" w:eastAsia="Times New Roman" w:hAnsi="Times New Roman"/>
                <w:sz w:val="14"/>
                <w:szCs w:val="14"/>
                <w:color w:val="auto"/>
              </w:rPr>
              <w:t xml:space="preserv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80.1 %</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gridSpan w:val="4"/>
          </w:tcPr>
          <w:p>
            <w:pPr>
              <w:spacing w:after="0" w:line="196" w:lineRule="exact"/>
              <w:rPr>
                <w:sz w:val="20"/>
                <w:szCs w:val="20"/>
                <w:color w:val="auto"/>
              </w:rPr>
            </w:pPr>
            <w:r>
              <w:rPr>
                <w:rFonts w:ascii="Times New Roman" w:cs="Times New Roman" w:eastAsia="Times New Roman" w:hAnsi="Times New Roman"/>
                <w:sz w:val="14"/>
                <w:szCs w:val="14"/>
                <w:color w:val="auto"/>
              </w:rPr>
              <w:t>1540 Broadway</w:t>
            </w:r>
            <w:r>
              <w:rPr>
                <w:rFonts w:ascii="Times New Roman" w:cs="Times New Roman" w:eastAsia="Times New Roman" w:hAnsi="Times New Roman"/>
                <w:sz w:val="18"/>
                <w:szCs w:val="18"/>
                <w:b w:val="1"/>
                <w:bCs w:val="1"/>
                <w:color w:val="auto"/>
                <w:vertAlign w:val="superscript"/>
              </w:rPr>
              <w:t>(2)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78.5 %</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161,000</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161,000</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Paramus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85.6 %</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129,000</w:t>
            </w:r>
          </w:p>
        </w:tc>
        <w:tc>
          <w:tcPr>
            <w:tcW w:w="0" w:type="dxa"/>
            <w:vAlign w:val="bottom"/>
          </w:tcPr>
          <w:p>
            <w:pPr>
              <w:spacing w:after="0"/>
              <w:rPr>
                <w:sz w:val="1"/>
                <w:szCs w:val="1"/>
                <w:color w:val="auto"/>
              </w:rPr>
            </w:pPr>
          </w:p>
        </w:tc>
      </w:tr>
      <w:tr>
        <w:trPr>
          <w:trHeight w:val="196"/>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5"/>
              </w:rPr>
              <w:t>666</w:t>
            </w:r>
          </w:p>
        </w:tc>
        <w:tc>
          <w:tcPr>
            <w:tcW w:w="40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Fifth Avenue </w:t>
            </w:r>
            <w:r>
              <w:rPr>
                <w:rFonts w:ascii="Times New Roman" w:cs="Times New Roman" w:eastAsia="Times New Roman" w:hAnsi="Times New Roman"/>
                <w:sz w:val="18"/>
                <w:szCs w:val="18"/>
                <w:b w:val="1"/>
                <w:bCs w:val="1"/>
                <w:color w:val="auto"/>
                <w:vertAlign w:val="superscript"/>
              </w:rPr>
              <w:t>(2)(6)</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114,000</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114,000</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6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1535 Broadway</w:t>
            </w:r>
            <w:r>
              <w:rPr>
                <w:rFonts w:ascii="Times New Roman" w:cs="Times New Roman" w:eastAsia="Times New Roman" w:hAnsi="Times New Roman"/>
                <w:sz w:val="18"/>
                <w:szCs w:val="18"/>
                <w:b w:val="1"/>
                <w:bCs w:val="1"/>
                <w:color w:val="auto"/>
                <w:vertAlign w:val="superscript"/>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Retail / Theatre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99.3 %</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gridSpan w:val="4"/>
          </w:tcPr>
          <w:p>
            <w:pPr>
              <w:spacing w:after="0" w:line="196" w:lineRule="exact"/>
              <w:rPr>
                <w:sz w:val="20"/>
                <w:szCs w:val="20"/>
                <w:color w:val="auto"/>
              </w:rPr>
            </w:pPr>
            <w:r>
              <w:rPr>
                <w:rFonts w:ascii="Times New Roman" w:cs="Times New Roman" w:eastAsia="Times New Roman" w:hAnsi="Times New Roman"/>
                <w:sz w:val="14"/>
                <w:szCs w:val="14"/>
                <w:color w:val="auto"/>
              </w:rPr>
              <w:t>57th Street (2 buildings)</w:t>
            </w:r>
            <w:r>
              <w:rPr>
                <w:rFonts w:ascii="Times New Roman" w:cs="Times New Roman" w:eastAsia="Times New Roman" w:hAnsi="Times New Roman"/>
                <w:sz w:val="18"/>
                <w:szCs w:val="18"/>
                <w:b w:val="1"/>
                <w:bCs w:val="1"/>
                <w:color w:val="auto"/>
                <w:vertAlign w:val="superscript"/>
              </w:rPr>
              <w:t>(2)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71.2 %</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103,000</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103,000</w:t>
            </w:r>
          </w:p>
        </w:tc>
        <w:tc>
          <w:tcPr>
            <w:tcW w:w="0" w:type="dxa"/>
            <w:vAlign w:val="bottom"/>
          </w:tcPr>
          <w:p>
            <w:pPr>
              <w:spacing w:after="0"/>
              <w:rPr>
                <w:sz w:val="1"/>
                <w:szCs w:val="1"/>
                <w:color w:val="auto"/>
              </w:rPr>
            </w:pPr>
          </w:p>
        </w:tc>
      </w:tr>
      <w:tr>
        <w:trPr>
          <w:trHeight w:val="196"/>
        </w:trPr>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689</w:t>
            </w:r>
          </w:p>
        </w:tc>
        <w:tc>
          <w:tcPr>
            <w:tcW w:w="404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Fifth Avenue</w:t>
            </w:r>
            <w:r>
              <w:rPr>
                <w:rFonts w:ascii="Times New Roman" w:cs="Times New Roman" w:eastAsia="Times New Roman" w:hAnsi="Times New Roman"/>
                <w:sz w:val="18"/>
                <w:szCs w:val="18"/>
                <w:b w:val="1"/>
                <w:bCs w:val="1"/>
                <w:color w:val="auto"/>
                <w:vertAlign w:val="superscript"/>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97,000</w:t>
            </w:r>
          </w:p>
        </w:tc>
        <w:tc>
          <w:tcPr>
            <w:tcW w:w="0" w:type="dxa"/>
            <w:vAlign w:val="bottom"/>
          </w:tcPr>
          <w:p>
            <w:pPr>
              <w:spacing w:after="0"/>
              <w:rPr>
                <w:sz w:val="1"/>
                <w:szCs w:val="1"/>
                <w:color w:val="auto"/>
              </w:rPr>
            </w:pPr>
          </w:p>
        </w:tc>
      </w:tr>
      <w:tr>
        <w:trPr>
          <w:trHeight w:val="189"/>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5"/>
              </w:rPr>
              <w:t>150</w:t>
            </w:r>
          </w:p>
        </w:tc>
        <w:tc>
          <w:tcPr>
            <w:tcW w:w="4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West 34th Street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79,000</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79,000</w:t>
            </w:r>
          </w:p>
        </w:tc>
        <w:tc>
          <w:tcPr>
            <w:tcW w:w="0" w:type="dxa"/>
            <w:vAlign w:val="bottom"/>
          </w:tcPr>
          <w:p>
            <w:pPr>
              <w:spacing w:after="0"/>
              <w:rPr>
                <w:sz w:val="1"/>
                <w:szCs w:val="1"/>
                <w:color w:val="auto"/>
              </w:rPr>
            </w:pPr>
          </w:p>
        </w:tc>
      </w:tr>
      <w:tr>
        <w:trPr>
          <w:trHeight w:val="204"/>
        </w:trPr>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655</w:t>
            </w:r>
          </w:p>
        </w:tc>
        <w:tc>
          <w:tcPr>
            <w:tcW w:w="404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Fifth Avenue</w:t>
            </w:r>
            <w:r>
              <w:rPr>
                <w:rFonts w:ascii="Times New Roman" w:cs="Times New Roman" w:eastAsia="Times New Roman" w:hAnsi="Times New Roman"/>
                <w:sz w:val="18"/>
                <w:szCs w:val="18"/>
                <w:b w:val="1"/>
                <w:bCs w:val="1"/>
                <w:color w:val="auto"/>
                <w:vertAlign w:val="superscript"/>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57,000</w:t>
            </w:r>
          </w:p>
        </w:tc>
        <w:tc>
          <w:tcPr>
            <w:tcW w:w="0" w:type="dxa"/>
            <w:vAlign w:val="bottom"/>
          </w:tcPr>
          <w:p>
            <w:pPr>
              <w:spacing w:after="0"/>
              <w:rPr>
                <w:sz w:val="1"/>
                <w:szCs w:val="1"/>
                <w:color w:val="auto"/>
              </w:rPr>
            </w:pPr>
          </w:p>
        </w:tc>
      </w:tr>
      <w:tr>
        <w:trPr>
          <w:trHeight w:val="189"/>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5"/>
              </w:rPr>
              <w:t>435</w:t>
            </w:r>
          </w:p>
        </w:tc>
        <w:tc>
          <w:tcPr>
            <w:tcW w:w="4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Seventh Avenue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43,000</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43,000</w:t>
            </w:r>
          </w:p>
        </w:tc>
        <w:tc>
          <w:tcPr>
            <w:tcW w:w="0" w:type="dxa"/>
            <w:vAlign w:val="bottom"/>
          </w:tcPr>
          <w:p>
            <w:pPr>
              <w:spacing w:after="0"/>
              <w:rPr>
                <w:sz w:val="1"/>
                <w:szCs w:val="1"/>
                <w:color w:val="auto"/>
              </w:rPr>
            </w:pPr>
          </w:p>
        </w:tc>
      </w:tr>
      <w:tr>
        <w:trPr>
          <w:trHeight w:val="204"/>
        </w:trPr>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606</w:t>
            </w:r>
          </w:p>
        </w:tc>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Broadway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24.8 %</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gridSpan w:val="4"/>
          </w:tcPr>
          <w:p>
            <w:pPr>
              <w:spacing w:after="0" w:line="196" w:lineRule="exact"/>
              <w:rPr>
                <w:sz w:val="20"/>
                <w:szCs w:val="20"/>
                <w:color w:val="auto"/>
              </w:rPr>
            </w:pPr>
            <w:r>
              <w:rPr>
                <w:rFonts w:ascii="Times New Roman" w:cs="Times New Roman" w:eastAsia="Times New Roman" w:hAnsi="Times New Roman"/>
                <w:sz w:val="14"/>
                <w:szCs w:val="14"/>
                <w:color w:val="auto"/>
              </w:rPr>
              <w:t>697-703 Fifth Avenue</w:t>
            </w:r>
            <w:r>
              <w:rPr>
                <w:rFonts w:ascii="Times New Roman" w:cs="Times New Roman" w:eastAsia="Times New Roman" w:hAnsi="Times New Roman"/>
                <w:sz w:val="18"/>
                <w:szCs w:val="18"/>
                <w:b w:val="1"/>
                <w:bCs w:val="1"/>
                <w:color w:val="auto"/>
                <w:vertAlign w:val="superscript"/>
              </w:rPr>
              <w:t>(2)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44.8 %</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26,000</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26,000</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1131 Third Avenue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131-135 West 33rd Street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5"/>
                <w:szCs w:val="15"/>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23,000</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23,000</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on page 28.</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PROPERTY LISTING – 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Square Feet</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w w:val="99"/>
              </w:rPr>
              <w:t>Under</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Development</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0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NEW YORK SEGMENT – CONTINUED</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or Not</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4040" w:type="dxa"/>
            <w:vAlign w:val="bottom"/>
            <w:gridSpan w:val="4"/>
            <w:vMerge w:val="continue"/>
          </w:tcPr>
          <w:p>
            <w:pPr>
              <w:spacing w:after="0"/>
              <w:rPr>
                <w:sz w:val="6"/>
                <w:szCs w:val="6"/>
                <w:color w:val="auto"/>
              </w:rPr>
            </w:pPr>
          </w:p>
        </w:tc>
        <w:tc>
          <w:tcPr>
            <w:tcW w:w="1040" w:type="dxa"/>
            <w:vAlign w:val="bottom"/>
            <w:vMerge w:val="restart"/>
          </w:tcPr>
          <w:p>
            <w:pPr>
              <w:jc w:val="right"/>
              <w:ind w:right="370"/>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restart"/>
          </w:tcPr>
          <w:p>
            <w:pPr>
              <w:jc w:val="right"/>
              <w:ind w:right="391"/>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gridSpan w:val="2"/>
            <w:vMerge w:val="restart"/>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Available</w:t>
            </w:r>
          </w:p>
        </w:tc>
        <w:tc>
          <w:tcPr>
            <w:tcW w:w="940" w:type="dxa"/>
            <w:vAlign w:val="bottom"/>
            <w:vMerge w:val="restart"/>
          </w:tcPr>
          <w:p>
            <w:pPr>
              <w:jc w:val="right"/>
              <w:ind w:right="250"/>
              <w:spacing w:after="0" w:line="143"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25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520" w:type="dxa"/>
            <w:vAlign w:val="bottom"/>
            <w:gridSpan w:val="2"/>
            <w:vMerge w:val="restart"/>
          </w:tcPr>
          <w:p>
            <w:pPr>
              <w:spacing w:after="0"/>
              <w:rPr>
                <w:sz w:val="3"/>
                <w:szCs w:val="3"/>
                <w:color w:val="auto"/>
              </w:rPr>
            </w:pPr>
          </w:p>
        </w:tc>
        <w:tc>
          <w:tcPr>
            <w:tcW w:w="10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06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In Service</w:t>
            </w:r>
          </w:p>
        </w:tc>
        <w:tc>
          <w:tcPr>
            <w:tcW w:w="1160" w:type="dxa"/>
            <w:vAlign w:val="bottom"/>
            <w:gridSpan w:val="2"/>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500" w:type="dxa"/>
            <w:vAlign w:val="bottom"/>
            <w:gridSpan w:val="2"/>
            <w:vMerge w:val="continue"/>
          </w:tcPr>
          <w:p>
            <w:pPr>
              <w:spacing w:after="0"/>
              <w:rPr>
                <w:sz w:val="16"/>
                <w:szCs w:val="16"/>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Occupancy</w:t>
            </w:r>
          </w:p>
        </w:tc>
        <w:tc>
          <w:tcPr>
            <w:tcW w:w="1040" w:type="dxa"/>
            <w:vAlign w:val="bottom"/>
            <w:gridSpan w:val="2"/>
            <w:vMerge w:val="continue"/>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Lease</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715</w:t>
            </w:r>
          </w:p>
        </w:tc>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Lexington Avenue</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Retail</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2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537</w:t>
            </w:r>
          </w:p>
        </w:tc>
        <w:tc>
          <w:tcPr>
            <w:tcW w:w="38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West 26th Street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5"/>
                <w:szCs w:val="15"/>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17,000</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17,000</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334</w:t>
            </w:r>
          </w:p>
        </w:tc>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Canal Street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Retail / Residential</w:t>
            </w:r>
          </w:p>
        </w:tc>
        <w:tc>
          <w:tcPr>
            <w:tcW w:w="1340" w:type="dxa"/>
            <w:vAlign w:val="bottom"/>
            <w:gridSpan w:val="2"/>
            <w:shd w:val="clear" w:color="auto" w:fill="CCEEFF"/>
          </w:tcPr>
          <w:p>
            <w:pPr>
              <w:jc w:val="right"/>
              <w:ind w:right="160"/>
              <w:spacing w:after="0" w:line="211"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9"/>
                <w:szCs w:val="9"/>
                <w:b w:val="1"/>
                <w:bCs w:val="1"/>
                <w:color w:val="auto"/>
              </w:rPr>
              <w:t xml:space="preserve"> (3)</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304-306 Canal Street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Retail / Residential</w:t>
            </w:r>
          </w:p>
        </w:tc>
        <w:tc>
          <w:tcPr>
            <w:tcW w:w="13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4"/>
                <w:szCs w:val="14"/>
                <w:color w:val="auto"/>
              </w:rPr>
              <w:t xml:space="preserve">100.0 % </w:t>
            </w:r>
            <w:r>
              <w:rPr>
                <w:rFonts w:ascii="Times New Roman" w:cs="Times New Roman" w:eastAsia="Times New Roman" w:hAnsi="Times New Roman"/>
                <w:sz w:val="18"/>
                <w:szCs w:val="18"/>
                <w:b w:val="1"/>
                <w:bCs w:val="1"/>
                <w:color w:val="auto"/>
                <w:vertAlign w:val="superscript"/>
              </w:rPr>
              <w:t>(3)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40 East 66th Street (3 units)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Residential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431</w:t>
            </w:r>
          </w:p>
        </w:tc>
        <w:tc>
          <w:tcPr>
            <w:tcW w:w="38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Seventh Avenue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1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138-142 West 32nd Street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80.3 %</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339</w:t>
            </w:r>
          </w:p>
        </w:tc>
        <w:tc>
          <w:tcPr>
            <w:tcW w:w="38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Greenwich Street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5"/>
                <w:szCs w:val="15"/>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966</w:t>
            </w:r>
          </w:p>
        </w:tc>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 Avenue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968</w:t>
            </w:r>
          </w:p>
        </w:tc>
        <w:tc>
          <w:tcPr>
            <w:tcW w:w="38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4"/>
                <w:szCs w:val="14"/>
                <w:color w:val="auto"/>
              </w:rPr>
              <w:t>Third Avenue</w:t>
            </w:r>
            <w:r>
              <w:rPr>
                <w:rFonts w:ascii="Times New Roman" w:cs="Times New Roman" w:eastAsia="Times New Roman" w:hAnsi="Times New Roman"/>
                <w:sz w:val="18"/>
                <w:szCs w:val="18"/>
                <w:b w:val="1"/>
                <w:bCs w:val="1"/>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2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137</w:t>
            </w:r>
          </w:p>
        </w:tc>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33rd Street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40" w:type="dxa"/>
            <w:vAlign w:val="bottom"/>
            <w:gridSpan w:val="4"/>
          </w:tcPr>
          <w:p>
            <w:pPr>
              <w:spacing w:after="0" w:line="196" w:lineRule="exact"/>
              <w:rPr>
                <w:sz w:val="20"/>
                <w:szCs w:val="20"/>
                <w:color w:val="auto"/>
              </w:rPr>
            </w:pPr>
            <w:r>
              <w:rPr>
                <w:rFonts w:ascii="Times New Roman" w:cs="Times New Roman" w:eastAsia="Times New Roman" w:hAnsi="Times New Roman"/>
                <w:sz w:val="14"/>
                <w:szCs w:val="14"/>
                <w:color w:val="auto"/>
              </w:rPr>
              <w:t>57th Street</w:t>
            </w:r>
            <w:r>
              <w:rPr>
                <w:rFonts w:ascii="Times New Roman" w:cs="Times New Roman" w:eastAsia="Times New Roman" w:hAnsi="Times New Roman"/>
                <w:sz w:val="18"/>
                <w:szCs w:val="18"/>
                <w:b w:val="1"/>
                <w:bCs w:val="1"/>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2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Land</w:t>
            </w: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(5)</w:t>
            </w: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Eighth Avenue and 34th Street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Land</w:t>
            </w: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(5)</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Hotel Pennsylvania Site (PENN 15)</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Land</w:t>
            </w: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(5)</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(3 buildings)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0" w:type="dxa"/>
            <w:vAlign w:val="bottom"/>
          </w:tcPr>
          <w:p>
            <w:pPr>
              <w:spacing w:after="0"/>
              <w:rPr>
                <w:sz w:val="1"/>
                <w:szCs w:val="1"/>
                <w:color w:val="auto"/>
              </w:rPr>
            </w:pPr>
          </w:p>
        </w:tc>
      </w:tr>
      <w:tr>
        <w:trPr>
          <w:trHeight w:val="474"/>
        </w:trPr>
        <w:tc>
          <w:tcPr>
            <w:tcW w:w="40" w:type="dxa"/>
            <w:vAlign w:val="bottom"/>
          </w:tcPr>
          <w:p>
            <w:pPr>
              <w:spacing w:after="0"/>
              <w:rPr>
                <w:sz w:val="24"/>
                <w:szCs w:val="24"/>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Alexander's, Inc.:</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vMerge w:val="continue"/>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731</w:t>
            </w:r>
          </w:p>
        </w:tc>
        <w:tc>
          <w:tcPr>
            <w:tcW w:w="380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Lexington Avenue</w:t>
            </w:r>
            <w:r>
              <w:rPr>
                <w:rFonts w:ascii="Times New Roman" w:cs="Times New Roman" w:eastAsia="Times New Roman" w:hAnsi="Times New Roman"/>
                <w:sz w:val="18"/>
                <w:szCs w:val="18"/>
                <w:b w:val="1"/>
                <w:bCs w:val="1"/>
                <w:color w:val="auto"/>
                <w:vertAlign w:val="superscript"/>
              </w:rPr>
              <w:t>(2)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32.4 %</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98.9 %</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1,080,000</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1,080,000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40" w:type="dxa"/>
            <w:vAlign w:val="bottom"/>
            <w:gridSpan w:val="4"/>
          </w:tcPr>
          <w:p>
            <w:pPr>
              <w:spacing w:after="0" w:line="196" w:lineRule="exact"/>
              <w:rPr>
                <w:sz w:val="20"/>
                <w:szCs w:val="20"/>
                <w:color w:val="auto"/>
              </w:rPr>
            </w:pPr>
            <w:r>
              <w:rPr>
                <w:rFonts w:ascii="Times New Roman" w:cs="Times New Roman" w:eastAsia="Times New Roman" w:hAnsi="Times New Roman"/>
                <w:sz w:val="14"/>
                <w:szCs w:val="14"/>
                <w:color w:val="auto"/>
              </w:rPr>
              <w:t>Rego Park II, Queens (6.6 acres)</w:t>
            </w:r>
            <w:r>
              <w:rPr>
                <w:rFonts w:ascii="Times New Roman" w:cs="Times New Roman" w:eastAsia="Times New Roman" w:hAnsi="Times New Roman"/>
                <w:sz w:val="18"/>
                <w:szCs w:val="18"/>
                <w:b w:val="1"/>
                <w:bCs w:val="1"/>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32.4 %</w:t>
            </w:r>
          </w:p>
        </w:tc>
        <w:tc>
          <w:tcPr>
            <w:tcW w:w="12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99.0 %</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479,000</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136,000</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615,000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4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Rego Park I, Queens (4.8 acres)</w:t>
            </w:r>
            <w:r>
              <w:rPr>
                <w:rFonts w:ascii="Times New Roman" w:cs="Times New Roman" w:eastAsia="Times New Roman" w:hAnsi="Times New Roman"/>
                <w:sz w:val="18"/>
                <w:szCs w:val="18"/>
                <w:b w:val="1"/>
                <w:bCs w:val="1"/>
                <w:color w:val="auto"/>
                <w:vertAlign w:val="superscript"/>
              </w:rPr>
              <w:t>(2)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32.4 %</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86,000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252,000</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338,000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40" w:type="dxa"/>
            <w:vAlign w:val="bottom"/>
            <w:gridSpan w:val="4"/>
          </w:tcPr>
          <w:p>
            <w:pPr>
              <w:spacing w:after="0" w:line="196" w:lineRule="exact"/>
              <w:rPr>
                <w:sz w:val="20"/>
                <w:szCs w:val="20"/>
                <w:color w:val="auto"/>
              </w:rPr>
            </w:pPr>
            <w:r>
              <w:rPr>
                <w:rFonts w:ascii="Times New Roman" w:cs="Times New Roman" w:eastAsia="Times New Roman" w:hAnsi="Times New Roman"/>
                <w:sz w:val="14"/>
                <w:szCs w:val="14"/>
                <w:color w:val="auto"/>
              </w:rPr>
              <w:t>The Alexander Apartment Tower, Queens (312 units)</w:t>
            </w:r>
            <w:r>
              <w:rPr>
                <w:rFonts w:ascii="Times New Roman" w:cs="Times New Roman" w:eastAsia="Times New Roman" w:hAnsi="Times New Roman"/>
                <w:sz w:val="18"/>
                <w:szCs w:val="18"/>
                <w:b w:val="1"/>
                <w:bCs w:val="1"/>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32.4 %</w:t>
            </w:r>
          </w:p>
        </w:tc>
        <w:tc>
          <w:tcPr>
            <w:tcW w:w="12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Residential</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94.2 %</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255,000</w:t>
            </w:r>
          </w:p>
        </w:tc>
        <w:tc>
          <w:tcPr>
            <w:tcW w:w="10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255,000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40" w:type="dxa"/>
            <w:vAlign w:val="bottom"/>
            <w:tcBorders>
              <w:bottom w:val="single" w:sz="8" w:color="auto"/>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Flushing, Queens (1.0 acre ground leased through 2037)</w:t>
            </w:r>
            <w:r>
              <w:rPr>
                <w:rFonts w:ascii="Times New Roman" w:cs="Times New Roman" w:eastAsia="Times New Roman" w:hAnsi="Times New Roman"/>
                <w:sz w:val="18"/>
                <w:szCs w:val="18"/>
                <w:b w:val="1"/>
                <w:bCs w:val="1"/>
                <w:color w:val="auto"/>
                <w:vertAlign w:val="superscript"/>
              </w:rPr>
              <w:t>(1)(2)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32.4 %</w:t>
            </w:r>
          </w:p>
        </w:tc>
        <w:tc>
          <w:tcPr>
            <w:tcW w:w="1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167,000</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167,000</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4040" w:type="dxa"/>
            <w:vAlign w:val="bottom"/>
            <w:tcBorders>
              <w:bottom w:val="single" w:sz="8" w:color="auto"/>
            </w:tcBorders>
            <w:gridSpan w:val="4"/>
            <w:shd w:val="clear" w:color="auto" w:fill="FFFF99"/>
          </w:tcPr>
          <w:p>
            <w:pPr>
              <w:spacing w:after="0"/>
              <w:rPr>
                <w:sz w:val="20"/>
                <w:szCs w:val="20"/>
                <w:color w:val="auto"/>
              </w:rPr>
            </w:pPr>
            <w:r>
              <w:rPr>
                <w:rFonts w:ascii="Times New Roman" w:cs="Times New Roman" w:eastAsia="Times New Roman" w:hAnsi="Times New Roman"/>
                <w:sz w:val="14"/>
                <w:szCs w:val="14"/>
                <w:b w:val="1"/>
                <w:bCs w:val="1"/>
                <w:color w:val="auto"/>
              </w:rPr>
              <w:t>Total New York Segment</w:t>
            </w:r>
          </w:p>
        </w:tc>
        <w:tc>
          <w:tcPr>
            <w:tcW w:w="1040" w:type="dxa"/>
            <w:vAlign w:val="bottom"/>
            <w:tcBorders>
              <w:bottom w:val="single" w:sz="8" w:color="auto"/>
            </w:tcBorders>
            <w:shd w:val="clear" w:color="auto" w:fill="FFFF99"/>
          </w:tcPr>
          <w:p>
            <w:pPr>
              <w:spacing w:after="0"/>
              <w:rPr>
                <w:sz w:val="15"/>
                <w:szCs w:val="15"/>
                <w:color w:val="auto"/>
              </w:rPr>
            </w:pPr>
          </w:p>
        </w:tc>
        <w:tc>
          <w:tcPr>
            <w:tcW w:w="120" w:type="dxa"/>
            <w:vAlign w:val="bottom"/>
            <w:tcBorders>
              <w:bottom w:val="single" w:sz="8" w:color="auto"/>
            </w:tcBorders>
            <w:shd w:val="clear" w:color="auto" w:fill="FFFF99"/>
          </w:tcPr>
          <w:p>
            <w:pPr>
              <w:spacing w:after="0"/>
              <w:rPr>
                <w:sz w:val="15"/>
                <w:szCs w:val="15"/>
                <w:color w:val="auto"/>
              </w:rPr>
            </w:pPr>
          </w:p>
        </w:tc>
        <w:tc>
          <w:tcPr>
            <w:tcW w:w="1400" w:type="dxa"/>
            <w:vAlign w:val="bottom"/>
            <w:tcBorders>
              <w:bottom w:val="single" w:sz="8" w:color="auto"/>
            </w:tcBorders>
            <w:shd w:val="clear" w:color="auto" w:fill="FFFF99"/>
          </w:tcPr>
          <w:p>
            <w:pPr>
              <w:spacing w:after="0"/>
              <w:rPr>
                <w:sz w:val="15"/>
                <w:szCs w:val="15"/>
                <w:color w:val="auto"/>
              </w:rPr>
            </w:pPr>
          </w:p>
        </w:tc>
        <w:tc>
          <w:tcPr>
            <w:tcW w:w="100" w:type="dxa"/>
            <w:vAlign w:val="bottom"/>
            <w:tcBorders>
              <w:bottom w:val="single" w:sz="8" w:color="auto"/>
            </w:tcBorders>
            <w:shd w:val="clear" w:color="auto" w:fill="FFFF99"/>
          </w:tcPr>
          <w:p>
            <w:pPr>
              <w:spacing w:after="0"/>
              <w:rPr>
                <w:sz w:val="15"/>
                <w:szCs w:val="15"/>
                <w:color w:val="auto"/>
              </w:rPr>
            </w:pPr>
          </w:p>
        </w:tc>
        <w:tc>
          <w:tcPr>
            <w:tcW w:w="1060" w:type="dxa"/>
            <w:vAlign w:val="bottom"/>
            <w:tcBorders>
              <w:bottom w:val="single" w:sz="8" w:color="auto"/>
            </w:tcBorders>
            <w:shd w:val="clear" w:color="auto" w:fill="FFFF99"/>
          </w:tcPr>
          <w:p>
            <w:pPr>
              <w:jc w:val="right"/>
              <w:spacing w:after="0"/>
              <w:rPr>
                <w:sz w:val="20"/>
                <w:szCs w:val="20"/>
                <w:color w:val="auto"/>
              </w:rPr>
            </w:pPr>
            <w:r>
              <w:rPr>
                <w:rFonts w:ascii="Times New Roman" w:cs="Times New Roman" w:eastAsia="Times New Roman" w:hAnsi="Times New Roman"/>
                <w:sz w:val="14"/>
                <w:szCs w:val="14"/>
                <w:b w:val="1"/>
                <w:bCs w:val="1"/>
                <w:color w:val="auto"/>
              </w:rPr>
              <w:t>88.6 %</w:t>
            </w:r>
          </w:p>
        </w:tc>
        <w:tc>
          <w:tcPr>
            <w:tcW w:w="280" w:type="dxa"/>
            <w:vAlign w:val="bottom"/>
            <w:tcBorders>
              <w:bottom w:val="single" w:sz="8" w:color="auto"/>
            </w:tcBorders>
            <w:shd w:val="clear" w:color="auto" w:fill="FFFF99"/>
          </w:tcPr>
          <w:p>
            <w:pPr>
              <w:spacing w:after="0"/>
              <w:rPr>
                <w:sz w:val="15"/>
                <w:szCs w:val="15"/>
                <w:color w:val="auto"/>
              </w:rPr>
            </w:pPr>
          </w:p>
        </w:tc>
        <w:tc>
          <w:tcPr>
            <w:tcW w:w="940" w:type="dxa"/>
            <w:vAlign w:val="bottom"/>
            <w:tcBorders>
              <w:bottom w:val="single" w:sz="8" w:color="auto"/>
            </w:tcBorders>
            <w:shd w:val="clear" w:color="auto" w:fill="FFFF99"/>
          </w:tcPr>
          <w:p>
            <w:pPr>
              <w:jc w:val="right"/>
              <w:spacing w:after="0"/>
              <w:rPr>
                <w:sz w:val="20"/>
                <w:szCs w:val="20"/>
                <w:color w:val="auto"/>
              </w:rPr>
            </w:pPr>
            <w:r>
              <w:rPr>
                <w:rFonts w:ascii="Times New Roman" w:cs="Times New Roman" w:eastAsia="Times New Roman" w:hAnsi="Times New Roman"/>
                <w:sz w:val="14"/>
                <w:szCs w:val="14"/>
                <w:b w:val="1"/>
                <w:bCs w:val="1"/>
                <w:color w:val="auto"/>
              </w:rPr>
              <w:t>24,364,000</w:t>
            </w:r>
          </w:p>
        </w:tc>
        <w:tc>
          <w:tcPr>
            <w:tcW w:w="100" w:type="dxa"/>
            <w:vAlign w:val="bottom"/>
            <w:tcBorders>
              <w:bottom w:val="single" w:sz="8" w:color="auto"/>
            </w:tcBorders>
            <w:shd w:val="clear" w:color="auto" w:fill="FFFF99"/>
          </w:tcPr>
          <w:p>
            <w:pPr>
              <w:spacing w:after="0"/>
              <w:rPr>
                <w:sz w:val="15"/>
                <w:szCs w:val="15"/>
                <w:color w:val="auto"/>
              </w:rPr>
            </w:pPr>
          </w:p>
        </w:tc>
        <w:tc>
          <w:tcPr>
            <w:tcW w:w="1040" w:type="dxa"/>
            <w:vAlign w:val="bottom"/>
            <w:tcBorders>
              <w:bottom w:val="single" w:sz="8" w:color="auto"/>
            </w:tcBorders>
            <w:shd w:val="clear" w:color="auto" w:fill="FFFF99"/>
          </w:tcPr>
          <w:p>
            <w:pPr>
              <w:jc w:val="right"/>
              <w:spacing w:after="0"/>
              <w:rPr>
                <w:sz w:val="20"/>
                <w:szCs w:val="20"/>
                <w:color w:val="auto"/>
              </w:rPr>
            </w:pPr>
            <w:r>
              <w:rPr>
                <w:rFonts w:ascii="Times New Roman" w:cs="Times New Roman" w:eastAsia="Times New Roman" w:hAnsi="Times New Roman"/>
                <w:sz w:val="14"/>
                <w:szCs w:val="14"/>
                <w:b w:val="1"/>
                <w:bCs w:val="1"/>
                <w:color w:val="auto"/>
              </w:rPr>
              <w:t>2,070,000</w:t>
            </w:r>
          </w:p>
        </w:tc>
        <w:tc>
          <w:tcPr>
            <w:tcW w:w="120" w:type="dxa"/>
            <w:vAlign w:val="bottom"/>
            <w:tcBorders>
              <w:bottom w:val="single" w:sz="8" w:color="auto"/>
            </w:tcBorders>
            <w:shd w:val="clear" w:color="auto" w:fill="FFFF99"/>
          </w:tcPr>
          <w:p>
            <w:pPr>
              <w:spacing w:after="0"/>
              <w:rPr>
                <w:sz w:val="15"/>
                <w:szCs w:val="15"/>
                <w:color w:val="auto"/>
              </w:rPr>
            </w:pPr>
          </w:p>
        </w:tc>
        <w:tc>
          <w:tcPr>
            <w:tcW w:w="940" w:type="dxa"/>
            <w:vAlign w:val="bottom"/>
            <w:tcBorders>
              <w:bottom w:val="single" w:sz="8" w:color="auto"/>
            </w:tcBorders>
            <w:shd w:val="clear" w:color="auto" w:fill="FFFF99"/>
          </w:tcPr>
          <w:p>
            <w:pPr>
              <w:jc w:val="right"/>
              <w:spacing w:after="0"/>
              <w:rPr>
                <w:sz w:val="20"/>
                <w:szCs w:val="20"/>
                <w:color w:val="auto"/>
              </w:rPr>
            </w:pPr>
            <w:r>
              <w:rPr>
                <w:rFonts w:ascii="Times New Roman" w:cs="Times New Roman" w:eastAsia="Times New Roman" w:hAnsi="Times New Roman"/>
                <w:sz w:val="14"/>
                <w:szCs w:val="14"/>
                <w:b w:val="1"/>
                <w:bCs w:val="1"/>
                <w:color w:val="auto"/>
              </w:rPr>
              <w:t>26,434,000</w:t>
            </w: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4040" w:type="dxa"/>
            <w:vAlign w:val="bottom"/>
            <w:tcBorders>
              <w:bottom w:val="single" w:sz="8" w:color="auto"/>
            </w:tcBorders>
            <w:gridSpan w:val="4"/>
            <w:shd w:val="clear" w:color="auto" w:fill="FFFF99"/>
          </w:tcPr>
          <w:p>
            <w:pPr>
              <w:spacing w:after="0"/>
              <w:rPr>
                <w:sz w:val="20"/>
                <w:szCs w:val="20"/>
                <w:color w:val="auto"/>
              </w:rPr>
            </w:pPr>
            <w:r>
              <w:rPr>
                <w:rFonts w:ascii="Times New Roman" w:cs="Times New Roman" w:eastAsia="Times New Roman" w:hAnsi="Times New Roman"/>
                <w:sz w:val="14"/>
                <w:szCs w:val="14"/>
                <w:b w:val="1"/>
                <w:bCs w:val="1"/>
                <w:color w:val="auto"/>
              </w:rPr>
              <w:t>Our Ownership Interest</w:t>
            </w:r>
          </w:p>
        </w:tc>
        <w:tc>
          <w:tcPr>
            <w:tcW w:w="1040" w:type="dxa"/>
            <w:vAlign w:val="bottom"/>
            <w:tcBorders>
              <w:bottom w:val="single" w:sz="8" w:color="auto"/>
            </w:tcBorders>
            <w:shd w:val="clear" w:color="auto" w:fill="FFFF99"/>
          </w:tcPr>
          <w:p>
            <w:pPr>
              <w:spacing w:after="0"/>
              <w:rPr>
                <w:sz w:val="15"/>
                <w:szCs w:val="15"/>
                <w:color w:val="auto"/>
              </w:rPr>
            </w:pPr>
          </w:p>
        </w:tc>
        <w:tc>
          <w:tcPr>
            <w:tcW w:w="120" w:type="dxa"/>
            <w:vAlign w:val="bottom"/>
            <w:tcBorders>
              <w:bottom w:val="single" w:sz="8" w:color="auto"/>
            </w:tcBorders>
            <w:shd w:val="clear" w:color="auto" w:fill="FFFF99"/>
          </w:tcPr>
          <w:p>
            <w:pPr>
              <w:spacing w:after="0"/>
              <w:rPr>
                <w:sz w:val="15"/>
                <w:szCs w:val="15"/>
                <w:color w:val="auto"/>
              </w:rPr>
            </w:pPr>
          </w:p>
        </w:tc>
        <w:tc>
          <w:tcPr>
            <w:tcW w:w="1400" w:type="dxa"/>
            <w:vAlign w:val="bottom"/>
            <w:tcBorders>
              <w:bottom w:val="single" w:sz="8" w:color="auto"/>
            </w:tcBorders>
            <w:shd w:val="clear" w:color="auto" w:fill="FFFF99"/>
          </w:tcPr>
          <w:p>
            <w:pPr>
              <w:spacing w:after="0"/>
              <w:rPr>
                <w:sz w:val="15"/>
                <w:szCs w:val="15"/>
                <w:color w:val="auto"/>
              </w:rPr>
            </w:pPr>
          </w:p>
        </w:tc>
        <w:tc>
          <w:tcPr>
            <w:tcW w:w="100" w:type="dxa"/>
            <w:vAlign w:val="bottom"/>
            <w:tcBorders>
              <w:bottom w:val="single" w:sz="8" w:color="auto"/>
            </w:tcBorders>
            <w:shd w:val="clear" w:color="auto" w:fill="FFFF99"/>
          </w:tcPr>
          <w:p>
            <w:pPr>
              <w:spacing w:after="0"/>
              <w:rPr>
                <w:sz w:val="15"/>
                <w:szCs w:val="15"/>
                <w:color w:val="auto"/>
              </w:rPr>
            </w:pPr>
          </w:p>
        </w:tc>
        <w:tc>
          <w:tcPr>
            <w:tcW w:w="1060" w:type="dxa"/>
            <w:vAlign w:val="bottom"/>
            <w:tcBorders>
              <w:bottom w:val="single" w:sz="8" w:color="auto"/>
            </w:tcBorders>
            <w:shd w:val="clear" w:color="auto" w:fill="FFFF99"/>
          </w:tcPr>
          <w:p>
            <w:pPr>
              <w:jc w:val="right"/>
              <w:spacing w:after="0"/>
              <w:rPr>
                <w:sz w:val="20"/>
                <w:szCs w:val="20"/>
                <w:color w:val="auto"/>
              </w:rPr>
            </w:pPr>
            <w:r>
              <w:rPr>
                <w:rFonts w:ascii="Times New Roman" w:cs="Times New Roman" w:eastAsia="Times New Roman" w:hAnsi="Times New Roman"/>
                <w:sz w:val="14"/>
                <w:szCs w:val="14"/>
                <w:b w:val="1"/>
                <w:bCs w:val="1"/>
                <w:color w:val="auto"/>
              </w:rPr>
              <w:t>87.6 %</w:t>
            </w:r>
          </w:p>
        </w:tc>
        <w:tc>
          <w:tcPr>
            <w:tcW w:w="280" w:type="dxa"/>
            <w:vAlign w:val="bottom"/>
            <w:tcBorders>
              <w:bottom w:val="single" w:sz="8" w:color="auto"/>
            </w:tcBorders>
            <w:shd w:val="clear" w:color="auto" w:fill="FFFF99"/>
          </w:tcPr>
          <w:p>
            <w:pPr>
              <w:spacing w:after="0"/>
              <w:rPr>
                <w:sz w:val="15"/>
                <w:szCs w:val="15"/>
                <w:color w:val="auto"/>
              </w:rPr>
            </w:pPr>
          </w:p>
        </w:tc>
        <w:tc>
          <w:tcPr>
            <w:tcW w:w="940" w:type="dxa"/>
            <w:vAlign w:val="bottom"/>
            <w:tcBorders>
              <w:bottom w:val="single" w:sz="8" w:color="auto"/>
            </w:tcBorders>
            <w:shd w:val="clear" w:color="auto" w:fill="FFFF99"/>
          </w:tcPr>
          <w:p>
            <w:pPr>
              <w:jc w:val="right"/>
              <w:spacing w:after="0"/>
              <w:rPr>
                <w:sz w:val="20"/>
                <w:szCs w:val="20"/>
                <w:color w:val="auto"/>
              </w:rPr>
            </w:pPr>
            <w:r>
              <w:rPr>
                <w:rFonts w:ascii="Times New Roman" w:cs="Times New Roman" w:eastAsia="Times New Roman" w:hAnsi="Times New Roman"/>
                <w:sz w:val="14"/>
                <w:szCs w:val="14"/>
                <w:b w:val="1"/>
                <w:bCs w:val="1"/>
                <w:color w:val="auto"/>
              </w:rPr>
              <w:t>19,241,000</w:t>
            </w:r>
          </w:p>
        </w:tc>
        <w:tc>
          <w:tcPr>
            <w:tcW w:w="100" w:type="dxa"/>
            <w:vAlign w:val="bottom"/>
            <w:tcBorders>
              <w:bottom w:val="single" w:sz="8" w:color="auto"/>
            </w:tcBorders>
            <w:shd w:val="clear" w:color="auto" w:fill="FFFF99"/>
          </w:tcPr>
          <w:p>
            <w:pPr>
              <w:spacing w:after="0"/>
              <w:rPr>
                <w:sz w:val="15"/>
                <w:szCs w:val="15"/>
                <w:color w:val="auto"/>
              </w:rPr>
            </w:pPr>
          </w:p>
        </w:tc>
        <w:tc>
          <w:tcPr>
            <w:tcW w:w="1040" w:type="dxa"/>
            <w:vAlign w:val="bottom"/>
            <w:tcBorders>
              <w:bottom w:val="single" w:sz="8" w:color="auto"/>
            </w:tcBorders>
            <w:shd w:val="clear" w:color="auto" w:fill="FFFF99"/>
          </w:tcPr>
          <w:p>
            <w:pPr>
              <w:jc w:val="right"/>
              <w:spacing w:after="0"/>
              <w:rPr>
                <w:sz w:val="20"/>
                <w:szCs w:val="20"/>
                <w:color w:val="auto"/>
              </w:rPr>
            </w:pPr>
            <w:r>
              <w:rPr>
                <w:rFonts w:ascii="Times New Roman" w:cs="Times New Roman" w:eastAsia="Times New Roman" w:hAnsi="Times New Roman"/>
                <w:sz w:val="14"/>
                <w:szCs w:val="14"/>
                <w:b w:val="1"/>
                <w:bCs w:val="1"/>
                <w:color w:val="auto"/>
              </w:rPr>
              <w:t>1,675,000</w:t>
            </w:r>
          </w:p>
        </w:tc>
        <w:tc>
          <w:tcPr>
            <w:tcW w:w="120" w:type="dxa"/>
            <w:vAlign w:val="bottom"/>
            <w:tcBorders>
              <w:bottom w:val="single" w:sz="8" w:color="auto"/>
            </w:tcBorders>
            <w:shd w:val="clear" w:color="auto" w:fill="FFFF99"/>
          </w:tcPr>
          <w:p>
            <w:pPr>
              <w:spacing w:after="0"/>
              <w:rPr>
                <w:sz w:val="15"/>
                <w:szCs w:val="15"/>
                <w:color w:val="auto"/>
              </w:rPr>
            </w:pPr>
          </w:p>
        </w:tc>
        <w:tc>
          <w:tcPr>
            <w:tcW w:w="940" w:type="dxa"/>
            <w:vAlign w:val="bottom"/>
            <w:tcBorders>
              <w:bottom w:val="single" w:sz="8" w:color="auto"/>
            </w:tcBorders>
            <w:shd w:val="clear" w:color="auto" w:fill="FFFF99"/>
          </w:tcPr>
          <w:p>
            <w:pPr>
              <w:jc w:val="right"/>
              <w:spacing w:after="0"/>
              <w:rPr>
                <w:sz w:val="20"/>
                <w:szCs w:val="20"/>
                <w:color w:val="auto"/>
              </w:rPr>
            </w:pPr>
            <w:r>
              <w:rPr>
                <w:rFonts w:ascii="Times New Roman" w:cs="Times New Roman" w:eastAsia="Times New Roman" w:hAnsi="Times New Roman"/>
                <w:sz w:val="14"/>
                <w:szCs w:val="14"/>
                <w:b w:val="1"/>
                <w:bCs w:val="1"/>
                <w:color w:val="auto"/>
              </w:rPr>
              <w:t>20,916,000</w:t>
            </w:r>
          </w:p>
        </w:tc>
        <w:tc>
          <w:tcPr>
            <w:tcW w:w="0" w:type="dxa"/>
            <w:vAlign w:val="bottom"/>
          </w:tcPr>
          <w:p>
            <w:pPr>
              <w:spacing w:after="0"/>
              <w:rPr>
                <w:sz w:val="1"/>
                <w:szCs w:val="1"/>
                <w:color w:val="auto"/>
              </w:rPr>
            </w:pPr>
          </w:p>
        </w:tc>
      </w:tr>
      <w:tr>
        <w:trPr>
          <w:trHeight w:val="186"/>
        </w:trPr>
        <w:tc>
          <w:tcPr>
            <w:tcW w:w="25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See notes on page 28.</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PROPERTY LISTING –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OTHER SEGMENT</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45720</wp:posOffset>
            </wp:positionV>
            <wp:extent cx="25698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9845" cy="8255"/>
                    </a:xfrm>
                    <a:prstGeom prst="rect">
                      <a:avLst/>
                    </a:prstGeom>
                    <a:noFill/>
                  </pic:spPr>
                </pic:pic>
              </a:graphicData>
            </a:graphic>
          </wp:anchor>
        </w:drawing>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THE MART:</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THE MART, Chicago</w:t>
      </w:r>
    </w:p>
    <w:p>
      <w:pPr>
        <w:spacing w:after="0" w:line="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527 West Kinzie, Chicago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17145</wp:posOffset>
            </wp:positionV>
            <wp:extent cx="6654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5480" cy="8255"/>
                    </a:xfrm>
                    <a:prstGeom prst="rect">
                      <a:avLst/>
                    </a:prstGeom>
                    <a:noFill/>
                  </pic:spPr>
                </pic:pic>
              </a:graphicData>
            </a:graphic>
          </wp:anchor>
        </w:drawing>
      </w: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100.0 %</w:t>
      </w:r>
    </w:p>
    <w:p>
      <w:pPr>
        <w:spacing w:after="0" w:line="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100.0 %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29845</wp:posOffset>
            </wp:positionV>
            <wp:extent cx="8401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53" w:lineRule="exact"/>
        <w:rPr>
          <w:sz w:val="20"/>
          <w:szCs w:val="20"/>
          <w:color w:val="auto"/>
        </w:rPr>
      </w:pPr>
    </w:p>
    <w:p>
      <w:pPr>
        <w:jc w:val="right"/>
        <w:spacing w:after="0" w:line="262" w:lineRule="auto"/>
        <w:rPr>
          <w:sz w:val="20"/>
          <w:szCs w:val="20"/>
          <w:color w:val="auto"/>
        </w:rPr>
      </w:pPr>
      <w:r>
        <w:rPr>
          <w:rFonts w:ascii="Times New Roman" w:cs="Times New Roman" w:eastAsia="Times New Roman" w:hAnsi="Times New Roman"/>
          <w:sz w:val="13"/>
          <w:szCs w:val="13"/>
          <w:color w:val="auto"/>
        </w:rPr>
        <w:t>Office / Retail / Trade show / Showroom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-200660</wp:posOffset>
            </wp:positionV>
            <wp:extent cx="7111365" cy="2076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1365" cy="20764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Land</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w w:val="99"/>
              </w:rPr>
              <w:t>Under</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Development</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w w:val="98"/>
              </w:rPr>
              <w:t>or Not</w:t>
            </w:r>
          </w:p>
        </w:tc>
        <w:tc>
          <w:tcPr>
            <w:tcW w:w="96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Service</w:t>
            </w:r>
          </w:p>
        </w:tc>
        <w:tc>
          <w:tcPr>
            <w:tcW w:w="120" w:type="dxa"/>
            <w:vAlign w:val="bottom"/>
            <w:vMerge w:val="restart"/>
          </w:tcPr>
          <w:p>
            <w:pPr>
              <w:spacing w:after="0"/>
              <w:rPr>
                <w:sz w:val="12"/>
                <w:szCs w:val="12"/>
                <w:color w:val="auto"/>
              </w:rPr>
            </w:pPr>
          </w:p>
        </w:tc>
        <w:tc>
          <w:tcPr>
            <w:tcW w:w="11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5"/>
              </w:rPr>
              <w:t>Available</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Occupancy</w:t>
            </w:r>
          </w:p>
        </w:tc>
        <w:tc>
          <w:tcPr>
            <w:tcW w:w="28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Lease</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525"/>
        </w:trPr>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3,684,000</w:t>
            </w:r>
          </w:p>
        </w:tc>
        <w:tc>
          <w:tcPr>
            <w:tcW w:w="120" w:type="dxa"/>
            <w:vAlign w:val="bottom"/>
          </w:tcPr>
          <w:p>
            <w:pPr>
              <w:spacing w:after="0"/>
              <w:rPr>
                <w:sz w:val="24"/>
                <w:szCs w:val="24"/>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3,684,000</w:t>
            </w:r>
          </w:p>
        </w:tc>
        <w:tc>
          <w:tcPr>
            <w:tcW w:w="0" w:type="dxa"/>
            <w:vAlign w:val="bottom"/>
          </w:tcPr>
          <w:p>
            <w:pPr>
              <w:spacing w:after="0"/>
              <w:rPr>
                <w:sz w:val="1"/>
                <w:szCs w:val="1"/>
                <w:color w:val="auto"/>
              </w:rPr>
            </w:pPr>
          </w:p>
        </w:tc>
      </w:tr>
      <w:tr>
        <w:trPr>
          <w:trHeight w:val="196"/>
        </w:trPr>
        <w:tc>
          <w:tcPr>
            <w:tcW w:w="106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(5)</w:t>
            </w:r>
          </w:p>
        </w:tc>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4">
            <w:col w:w="3660" w:space="720"/>
            <w:col w:w="820" w:space="220"/>
            <w:col w:w="1220" w:space="120"/>
            <w:col w:w="4480"/>
          </w:cols>
          <w:pgMar w:left="320" w:top="1167" w:right="339" w:bottom="1440" w:gutter="0" w:footer="0" w:header="0"/>
        </w:sectPr>
      </w:pPr>
    </w:p>
    <w:tbl>
      <w:tblPr>
        <w:tblLayout w:type="fixed"/>
        <w:tblInd w:w="40" w:type="dxa"/>
        <w:tblCellMar>
          <w:top w:w="0" w:type="dxa"/>
          <w:left w:w="0" w:type="dxa"/>
          <w:bottom w:w="0" w:type="dxa"/>
          <w:right w:w="0" w:type="dxa"/>
        </w:tblCellMar>
      </w:tblPr>
      <w:tr>
        <w:trPr>
          <w:trHeight w:val="207"/>
        </w:trPr>
        <w:tc>
          <w:tcPr>
            <w:tcW w:w="4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(2 properties)</w:t>
            </w:r>
            <w:r>
              <w:rPr>
                <w:rFonts w:ascii="Times New Roman" w:cs="Times New Roman" w:eastAsia="Times New Roman" w:hAnsi="Times New Roman"/>
                <w:sz w:val="18"/>
                <w:szCs w:val="18"/>
                <w:b w:val="1"/>
                <w:bCs w:val="1"/>
                <w:color w:val="auto"/>
                <w:vertAlign w:val="superscript"/>
              </w:rPr>
              <w:t>(2)</w:t>
            </w:r>
            <w:r>
              <w:rPr>
                <w:rFonts w:ascii="Times New Roman" w:cs="Times New Roman" w:eastAsia="Times New Roman" w:hAnsi="Times New Roman"/>
                <w:sz w:val="14"/>
                <w:szCs w:val="14"/>
                <w:color w:val="auto"/>
              </w:rPr>
              <w:t>, Chicago</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50.0 %</w:t>
            </w: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Retail</w:t>
            </w:r>
          </w:p>
        </w:tc>
        <w:tc>
          <w:tcPr>
            <w:tcW w:w="11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89.5 %</w:t>
            </w:r>
          </w:p>
        </w:tc>
        <w:tc>
          <w:tcPr>
            <w:tcW w:w="11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19,000</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19,000</w:t>
            </w:r>
          </w:p>
        </w:tc>
        <w:tc>
          <w:tcPr>
            <w:tcW w:w="0" w:type="dxa"/>
            <w:vAlign w:val="bottom"/>
          </w:tcPr>
          <w:p>
            <w:pPr>
              <w:spacing w:after="0"/>
              <w:rPr>
                <w:sz w:val="1"/>
                <w:szCs w:val="1"/>
                <w:color w:val="auto"/>
              </w:rPr>
            </w:pPr>
          </w:p>
        </w:tc>
      </w:tr>
      <w:tr>
        <w:trPr>
          <w:trHeight w:val="221"/>
        </w:trPr>
        <w:tc>
          <w:tcPr>
            <w:tcW w:w="4020" w:type="dxa"/>
            <w:vAlign w:val="bottom"/>
            <w:tcBorders>
              <w:bottom w:val="single" w:sz="8" w:color="FFFF99"/>
            </w:tcBorders>
            <w:shd w:val="clear" w:color="auto" w:fill="FFFF99"/>
          </w:tcPr>
          <w:p>
            <w:pPr>
              <w:spacing w:after="0"/>
              <w:rPr>
                <w:sz w:val="20"/>
                <w:szCs w:val="20"/>
                <w:color w:val="auto"/>
              </w:rPr>
            </w:pPr>
            <w:r>
              <w:rPr>
                <w:rFonts w:ascii="Times New Roman" w:cs="Times New Roman" w:eastAsia="Times New Roman" w:hAnsi="Times New Roman"/>
                <w:sz w:val="14"/>
                <w:szCs w:val="14"/>
                <w:b w:val="1"/>
                <w:bCs w:val="1"/>
                <w:color w:val="auto"/>
              </w:rPr>
              <w:t>Total THE MART</w:t>
            </w:r>
          </w:p>
        </w:tc>
        <w:tc>
          <w:tcPr>
            <w:tcW w:w="1340" w:type="dxa"/>
            <w:vAlign w:val="bottom"/>
            <w:tcBorders>
              <w:bottom w:val="single" w:sz="8" w:color="FFFF99"/>
            </w:tcBorders>
            <w:shd w:val="clear" w:color="auto" w:fill="FFFF99"/>
          </w:tcPr>
          <w:p>
            <w:pPr>
              <w:spacing w:after="0"/>
              <w:rPr>
                <w:sz w:val="18"/>
                <w:szCs w:val="18"/>
                <w:color w:val="auto"/>
              </w:rPr>
            </w:pPr>
          </w:p>
        </w:tc>
        <w:tc>
          <w:tcPr>
            <w:tcW w:w="1600" w:type="dxa"/>
            <w:vAlign w:val="bottom"/>
            <w:tcBorders>
              <w:bottom w:val="single" w:sz="8" w:color="FFFF99"/>
            </w:tcBorders>
            <w:shd w:val="clear" w:color="auto" w:fill="FFFF99"/>
          </w:tcPr>
          <w:p>
            <w:pPr>
              <w:spacing w:after="0"/>
              <w:rPr>
                <w:sz w:val="18"/>
                <w:szCs w:val="18"/>
                <w:color w:val="auto"/>
              </w:rPr>
            </w:pPr>
          </w:p>
        </w:tc>
        <w:tc>
          <w:tcPr>
            <w:tcW w:w="1180" w:type="dxa"/>
            <w:vAlign w:val="bottom"/>
            <w:tcBorders>
              <w:bottom w:val="single" w:sz="8" w:color="FFFF99"/>
            </w:tcBorders>
            <w:shd w:val="clear" w:color="auto" w:fill="FFFF99"/>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80.2 %</w:t>
            </w:r>
          </w:p>
        </w:tc>
        <w:tc>
          <w:tcPr>
            <w:tcW w:w="1140" w:type="dxa"/>
            <w:vAlign w:val="bottom"/>
            <w:tcBorders>
              <w:bottom w:val="single" w:sz="8" w:color="FFFF99"/>
            </w:tcBorders>
            <w:shd w:val="clear" w:color="auto" w:fill="FFFF99"/>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3,703,000</w:t>
            </w:r>
          </w:p>
        </w:tc>
        <w:tc>
          <w:tcPr>
            <w:tcW w:w="1040" w:type="dxa"/>
            <w:vAlign w:val="bottom"/>
            <w:tcBorders>
              <w:bottom w:val="single" w:sz="8" w:color="FFFF99"/>
            </w:tcBorders>
            <w:shd w:val="clear" w:color="auto" w:fill="FFFF99"/>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FFFF99"/>
            </w:tcBorders>
            <w:shd w:val="clear" w:color="auto" w:fill="FFFF99"/>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3,703,000</w:t>
            </w:r>
          </w:p>
        </w:tc>
        <w:tc>
          <w:tcPr>
            <w:tcW w:w="0" w:type="dxa"/>
            <w:vAlign w:val="bottom"/>
          </w:tcPr>
          <w:p>
            <w:pPr>
              <w:spacing w:after="0"/>
              <w:rPr>
                <w:sz w:val="1"/>
                <w:szCs w:val="1"/>
                <w:color w:val="auto"/>
              </w:rPr>
            </w:pPr>
          </w:p>
        </w:tc>
      </w:tr>
      <w:tr>
        <w:trPr>
          <w:trHeight w:val="72"/>
        </w:trPr>
        <w:tc>
          <w:tcPr>
            <w:tcW w:w="4020" w:type="dxa"/>
            <w:vAlign w:val="bottom"/>
            <w:tcBorders>
              <w:top w:val="single" w:sz="8" w:color="auto"/>
              <w:bottom w:val="single" w:sz="8" w:color="auto"/>
            </w:tcBorders>
          </w:tcPr>
          <w:p>
            <w:pPr>
              <w:spacing w:after="0"/>
              <w:rPr>
                <w:sz w:val="6"/>
                <w:szCs w:val="6"/>
                <w:color w:val="auto"/>
              </w:rPr>
            </w:pPr>
          </w:p>
        </w:tc>
        <w:tc>
          <w:tcPr>
            <w:tcW w:w="1340" w:type="dxa"/>
            <w:vAlign w:val="bottom"/>
            <w:tcBorders>
              <w:top w:val="single" w:sz="8" w:color="auto"/>
              <w:bottom w:val="single" w:sz="8" w:color="auto"/>
            </w:tcBorders>
          </w:tcPr>
          <w:p>
            <w:pPr>
              <w:spacing w:after="0"/>
              <w:rPr>
                <w:sz w:val="6"/>
                <w:szCs w:val="6"/>
                <w:color w:val="auto"/>
              </w:rPr>
            </w:pPr>
          </w:p>
        </w:tc>
        <w:tc>
          <w:tcPr>
            <w:tcW w:w="1600" w:type="dxa"/>
            <w:vAlign w:val="bottom"/>
            <w:tcBorders>
              <w:top w:val="single" w:sz="8" w:color="auto"/>
              <w:bottom w:val="single" w:sz="8" w:color="auto"/>
            </w:tcBorders>
          </w:tcPr>
          <w:p>
            <w:pPr>
              <w:spacing w:after="0"/>
              <w:rPr>
                <w:sz w:val="6"/>
                <w:szCs w:val="6"/>
                <w:color w:val="auto"/>
              </w:rPr>
            </w:pPr>
          </w:p>
        </w:tc>
        <w:tc>
          <w:tcPr>
            <w:tcW w:w="1180" w:type="dxa"/>
            <w:vAlign w:val="bottom"/>
            <w:tcBorders>
              <w:top w:val="single" w:sz="8" w:color="auto"/>
              <w:bottom w:val="single" w:sz="8" w:color="auto"/>
            </w:tcBorders>
          </w:tcPr>
          <w:p>
            <w:pPr>
              <w:spacing w:after="0"/>
              <w:rPr>
                <w:sz w:val="6"/>
                <w:szCs w:val="6"/>
                <w:color w:val="auto"/>
              </w:rPr>
            </w:pPr>
          </w:p>
        </w:tc>
        <w:tc>
          <w:tcPr>
            <w:tcW w:w="1140" w:type="dxa"/>
            <w:vAlign w:val="bottom"/>
            <w:tcBorders>
              <w:top w:val="single" w:sz="8" w:color="auto"/>
              <w:bottom w:val="single" w:sz="8" w:color="auto"/>
            </w:tcBorders>
          </w:tcPr>
          <w:p>
            <w:pPr>
              <w:spacing w:after="0"/>
              <w:rPr>
                <w:sz w:val="6"/>
                <w:szCs w:val="6"/>
                <w:color w:val="auto"/>
              </w:rPr>
            </w:pPr>
          </w:p>
        </w:tc>
        <w:tc>
          <w:tcPr>
            <w:tcW w:w="1040" w:type="dxa"/>
            <w:vAlign w:val="bottom"/>
            <w:tcBorders>
              <w:top w:val="single" w:sz="8" w:color="auto"/>
              <w:bottom w:val="single" w:sz="8" w:color="auto"/>
            </w:tcBorders>
          </w:tcPr>
          <w:p>
            <w:pPr>
              <w:spacing w:after="0"/>
              <w:rPr>
                <w:sz w:val="6"/>
                <w:szCs w:val="6"/>
                <w:color w:val="auto"/>
              </w:rPr>
            </w:pPr>
          </w:p>
        </w:tc>
        <w:tc>
          <w:tcPr>
            <w:tcW w:w="88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4020" w:type="dxa"/>
            <w:vAlign w:val="bottom"/>
            <w:tcBorders>
              <w:bottom w:val="single" w:sz="8" w:color="FFFF99"/>
            </w:tcBorders>
            <w:shd w:val="clear" w:color="auto" w:fill="FFFF99"/>
          </w:tcPr>
          <w:p>
            <w:pPr>
              <w:spacing w:after="0"/>
              <w:rPr>
                <w:sz w:val="20"/>
                <w:szCs w:val="20"/>
                <w:color w:val="auto"/>
              </w:rPr>
            </w:pPr>
            <w:r>
              <w:rPr>
                <w:rFonts w:ascii="Times New Roman" w:cs="Times New Roman" w:eastAsia="Times New Roman" w:hAnsi="Times New Roman"/>
                <w:sz w:val="14"/>
                <w:szCs w:val="14"/>
                <w:b w:val="1"/>
                <w:bCs w:val="1"/>
                <w:color w:val="auto"/>
              </w:rPr>
              <w:t>Our Ownership Interest</w:t>
            </w:r>
          </w:p>
        </w:tc>
        <w:tc>
          <w:tcPr>
            <w:tcW w:w="1340" w:type="dxa"/>
            <w:vAlign w:val="bottom"/>
            <w:tcBorders>
              <w:bottom w:val="single" w:sz="8" w:color="FFFF99"/>
            </w:tcBorders>
            <w:shd w:val="clear" w:color="auto" w:fill="FFFF99"/>
          </w:tcPr>
          <w:p>
            <w:pPr>
              <w:spacing w:after="0"/>
              <w:rPr>
                <w:sz w:val="18"/>
                <w:szCs w:val="18"/>
                <w:color w:val="auto"/>
              </w:rPr>
            </w:pPr>
          </w:p>
        </w:tc>
        <w:tc>
          <w:tcPr>
            <w:tcW w:w="1600" w:type="dxa"/>
            <w:vAlign w:val="bottom"/>
            <w:tcBorders>
              <w:bottom w:val="single" w:sz="8" w:color="FFFF99"/>
            </w:tcBorders>
            <w:shd w:val="clear" w:color="auto" w:fill="FFFF99"/>
          </w:tcPr>
          <w:p>
            <w:pPr>
              <w:spacing w:after="0"/>
              <w:rPr>
                <w:sz w:val="18"/>
                <w:szCs w:val="18"/>
                <w:color w:val="auto"/>
              </w:rPr>
            </w:pPr>
          </w:p>
        </w:tc>
        <w:tc>
          <w:tcPr>
            <w:tcW w:w="1180" w:type="dxa"/>
            <w:vAlign w:val="bottom"/>
            <w:tcBorders>
              <w:bottom w:val="single" w:sz="8" w:color="FFFF99"/>
            </w:tcBorders>
            <w:shd w:val="clear" w:color="auto" w:fill="FFFF99"/>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80.1 %</w:t>
            </w:r>
          </w:p>
        </w:tc>
        <w:tc>
          <w:tcPr>
            <w:tcW w:w="1140" w:type="dxa"/>
            <w:vAlign w:val="bottom"/>
            <w:tcBorders>
              <w:bottom w:val="single" w:sz="8" w:color="FFFF99"/>
            </w:tcBorders>
            <w:shd w:val="clear" w:color="auto" w:fill="FFFF99"/>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3,694,000</w:t>
            </w:r>
          </w:p>
        </w:tc>
        <w:tc>
          <w:tcPr>
            <w:tcW w:w="1040" w:type="dxa"/>
            <w:vAlign w:val="bottom"/>
            <w:tcBorders>
              <w:bottom w:val="single" w:sz="8" w:color="FFFF99"/>
            </w:tcBorders>
            <w:shd w:val="clear" w:color="auto" w:fill="FFFF99"/>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FFFF99"/>
            </w:tcBorders>
            <w:shd w:val="clear" w:color="auto" w:fill="FFFF99"/>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3,694,000</w:t>
            </w:r>
          </w:p>
        </w:tc>
        <w:tc>
          <w:tcPr>
            <w:tcW w:w="0" w:type="dxa"/>
            <w:vAlign w:val="bottom"/>
          </w:tcPr>
          <w:p>
            <w:pPr>
              <w:spacing w:after="0"/>
              <w:rPr>
                <w:sz w:val="1"/>
                <w:szCs w:val="1"/>
                <w:color w:val="auto"/>
              </w:rPr>
            </w:pPr>
          </w:p>
        </w:tc>
      </w:tr>
      <w:tr>
        <w:trPr>
          <w:trHeight w:val="245"/>
        </w:trPr>
        <w:tc>
          <w:tcPr>
            <w:tcW w:w="4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555 California Street:</w:t>
            </w:r>
          </w:p>
        </w:tc>
        <w:tc>
          <w:tcPr>
            <w:tcW w:w="13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40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555 California Street</w:t>
            </w: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70.0 %</w:t>
            </w:r>
          </w:p>
        </w:tc>
        <w:tc>
          <w:tcPr>
            <w:tcW w:w="16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Office / Retail</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96.6 %</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1,507,000</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1,507,000</w:t>
            </w:r>
          </w:p>
        </w:tc>
        <w:tc>
          <w:tcPr>
            <w:tcW w:w="0" w:type="dxa"/>
            <w:vAlign w:val="bottom"/>
          </w:tcPr>
          <w:p>
            <w:pPr>
              <w:spacing w:after="0"/>
              <w:rPr>
                <w:sz w:val="1"/>
                <w:szCs w:val="1"/>
                <w:color w:val="auto"/>
              </w:rPr>
            </w:pPr>
          </w:p>
        </w:tc>
      </w:tr>
      <w:tr>
        <w:trPr>
          <w:trHeight w:val="199"/>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315 Montgomery Street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70.0 %</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Office / Retail</w:t>
            </w: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93.6 %</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236,000</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236,000</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345 Montgomery Street</w:t>
            </w: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70.0 %</w:t>
            </w:r>
          </w:p>
        </w:tc>
        <w:tc>
          <w:tcPr>
            <w:tcW w:w="16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Office / Retail</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 %</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78,000</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78,000</w:t>
            </w:r>
          </w:p>
        </w:tc>
        <w:tc>
          <w:tcPr>
            <w:tcW w:w="0" w:type="dxa"/>
            <w:vAlign w:val="bottom"/>
          </w:tcPr>
          <w:p>
            <w:pPr>
              <w:spacing w:after="0"/>
              <w:rPr>
                <w:sz w:val="1"/>
                <w:szCs w:val="1"/>
                <w:color w:val="auto"/>
              </w:rPr>
            </w:pPr>
          </w:p>
        </w:tc>
      </w:tr>
      <w:tr>
        <w:trPr>
          <w:trHeight w:val="221"/>
        </w:trPr>
        <w:tc>
          <w:tcPr>
            <w:tcW w:w="4020" w:type="dxa"/>
            <w:vAlign w:val="bottom"/>
            <w:tcBorders>
              <w:top w:val="single" w:sz="8" w:color="auto"/>
              <w:bottom w:val="single" w:sz="8" w:color="FFFF99"/>
            </w:tcBorders>
            <w:shd w:val="clear" w:color="auto" w:fill="FFFF99"/>
          </w:tcPr>
          <w:p>
            <w:pPr>
              <w:spacing w:after="0"/>
              <w:rPr>
                <w:sz w:val="20"/>
                <w:szCs w:val="20"/>
                <w:color w:val="auto"/>
              </w:rPr>
            </w:pPr>
            <w:r>
              <w:rPr>
                <w:rFonts w:ascii="Times New Roman" w:cs="Times New Roman" w:eastAsia="Times New Roman" w:hAnsi="Times New Roman"/>
                <w:sz w:val="14"/>
                <w:szCs w:val="14"/>
                <w:b w:val="1"/>
                <w:bCs w:val="1"/>
                <w:color w:val="auto"/>
              </w:rPr>
              <w:t>Total 555 California Street</w:t>
            </w:r>
          </w:p>
        </w:tc>
        <w:tc>
          <w:tcPr>
            <w:tcW w:w="1340" w:type="dxa"/>
            <w:vAlign w:val="bottom"/>
            <w:tcBorders>
              <w:top w:val="single" w:sz="8" w:color="auto"/>
              <w:bottom w:val="single" w:sz="8" w:color="FFFF99"/>
            </w:tcBorders>
            <w:shd w:val="clear" w:color="auto" w:fill="FFFF99"/>
          </w:tcPr>
          <w:p>
            <w:pPr>
              <w:spacing w:after="0"/>
              <w:rPr>
                <w:sz w:val="18"/>
                <w:szCs w:val="18"/>
                <w:color w:val="auto"/>
              </w:rPr>
            </w:pPr>
          </w:p>
        </w:tc>
        <w:tc>
          <w:tcPr>
            <w:tcW w:w="1600" w:type="dxa"/>
            <w:vAlign w:val="bottom"/>
            <w:tcBorders>
              <w:top w:val="single" w:sz="8" w:color="auto"/>
              <w:bottom w:val="single" w:sz="8" w:color="FFFF99"/>
            </w:tcBorders>
            <w:shd w:val="clear" w:color="auto" w:fill="FFFF99"/>
          </w:tcPr>
          <w:p>
            <w:pPr>
              <w:spacing w:after="0"/>
              <w:rPr>
                <w:sz w:val="18"/>
                <w:szCs w:val="18"/>
                <w:color w:val="auto"/>
              </w:rPr>
            </w:pPr>
          </w:p>
        </w:tc>
        <w:tc>
          <w:tcPr>
            <w:tcW w:w="1180" w:type="dxa"/>
            <w:vAlign w:val="bottom"/>
            <w:tcBorders>
              <w:top w:val="single" w:sz="8" w:color="auto"/>
              <w:bottom w:val="single" w:sz="8" w:color="FFFF99"/>
            </w:tcBorders>
            <w:shd w:val="clear" w:color="auto" w:fill="FFFF99"/>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92.0 %</w:t>
            </w:r>
          </w:p>
        </w:tc>
        <w:tc>
          <w:tcPr>
            <w:tcW w:w="1140" w:type="dxa"/>
            <w:vAlign w:val="bottom"/>
            <w:tcBorders>
              <w:top w:val="single" w:sz="8" w:color="auto"/>
              <w:bottom w:val="single" w:sz="8" w:color="FFFF99"/>
            </w:tcBorders>
            <w:shd w:val="clear" w:color="auto" w:fill="FFFF99"/>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1,821,000</w:t>
            </w:r>
          </w:p>
        </w:tc>
        <w:tc>
          <w:tcPr>
            <w:tcW w:w="1040" w:type="dxa"/>
            <w:vAlign w:val="bottom"/>
            <w:tcBorders>
              <w:top w:val="single" w:sz="8" w:color="auto"/>
              <w:bottom w:val="single" w:sz="8" w:color="FFFF99"/>
            </w:tcBorders>
            <w:shd w:val="clear" w:color="auto" w:fill="FFFF99"/>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FFFF99"/>
            </w:tcBorders>
            <w:shd w:val="clear" w:color="auto" w:fill="FFFF99"/>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1,821,000</w:t>
            </w:r>
          </w:p>
        </w:tc>
        <w:tc>
          <w:tcPr>
            <w:tcW w:w="0" w:type="dxa"/>
            <w:vAlign w:val="bottom"/>
          </w:tcPr>
          <w:p>
            <w:pPr>
              <w:spacing w:after="0"/>
              <w:rPr>
                <w:sz w:val="1"/>
                <w:szCs w:val="1"/>
                <w:color w:val="auto"/>
              </w:rPr>
            </w:pPr>
          </w:p>
        </w:tc>
      </w:tr>
      <w:tr>
        <w:trPr>
          <w:trHeight w:val="72"/>
        </w:trPr>
        <w:tc>
          <w:tcPr>
            <w:tcW w:w="4020" w:type="dxa"/>
            <w:vAlign w:val="bottom"/>
            <w:tcBorders>
              <w:top w:val="single" w:sz="8" w:color="auto"/>
              <w:bottom w:val="single" w:sz="8" w:color="auto"/>
            </w:tcBorders>
          </w:tcPr>
          <w:p>
            <w:pPr>
              <w:spacing w:after="0"/>
              <w:rPr>
                <w:sz w:val="6"/>
                <w:szCs w:val="6"/>
                <w:color w:val="auto"/>
              </w:rPr>
            </w:pPr>
          </w:p>
        </w:tc>
        <w:tc>
          <w:tcPr>
            <w:tcW w:w="1340" w:type="dxa"/>
            <w:vAlign w:val="bottom"/>
            <w:tcBorders>
              <w:top w:val="single" w:sz="8" w:color="auto"/>
              <w:bottom w:val="single" w:sz="8" w:color="auto"/>
            </w:tcBorders>
          </w:tcPr>
          <w:p>
            <w:pPr>
              <w:spacing w:after="0"/>
              <w:rPr>
                <w:sz w:val="6"/>
                <w:szCs w:val="6"/>
                <w:color w:val="auto"/>
              </w:rPr>
            </w:pPr>
          </w:p>
        </w:tc>
        <w:tc>
          <w:tcPr>
            <w:tcW w:w="1600" w:type="dxa"/>
            <w:vAlign w:val="bottom"/>
            <w:tcBorders>
              <w:top w:val="single" w:sz="8" w:color="auto"/>
              <w:bottom w:val="single" w:sz="8" w:color="auto"/>
            </w:tcBorders>
          </w:tcPr>
          <w:p>
            <w:pPr>
              <w:spacing w:after="0"/>
              <w:rPr>
                <w:sz w:val="6"/>
                <w:szCs w:val="6"/>
                <w:color w:val="auto"/>
              </w:rPr>
            </w:pPr>
          </w:p>
        </w:tc>
        <w:tc>
          <w:tcPr>
            <w:tcW w:w="1180" w:type="dxa"/>
            <w:vAlign w:val="bottom"/>
            <w:tcBorders>
              <w:top w:val="single" w:sz="8" w:color="auto"/>
              <w:bottom w:val="single" w:sz="8" w:color="auto"/>
            </w:tcBorders>
          </w:tcPr>
          <w:p>
            <w:pPr>
              <w:spacing w:after="0"/>
              <w:rPr>
                <w:sz w:val="6"/>
                <w:szCs w:val="6"/>
                <w:color w:val="auto"/>
              </w:rPr>
            </w:pPr>
          </w:p>
        </w:tc>
        <w:tc>
          <w:tcPr>
            <w:tcW w:w="1140" w:type="dxa"/>
            <w:vAlign w:val="bottom"/>
            <w:tcBorders>
              <w:top w:val="single" w:sz="8" w:color="auto"/>
              <w:bottom w:val="single" w:sz="8" w:color="auto"/>
            </w:tcBorders>
          </w:tcPr>
          <w:p>
            <w:pPr>
              <w:spacing w:after="0"/>
              <w:rPr>
                <w:sz w:val="6"/>
                <w:szCs w:val="6"/>
                <w:color w:val="auto"/>
              </w:rPr>
            </w:pPr>
          </w:p>
        </w:tc>
        <w:tc>
          <w:tcPr>
            <w:tcW w:w="1040" w:type="dxa"/>
            <w:vAlign w:val="bottom"/>
            <w:tcBorders>
              <w:top w:val="single" w:sz="8" w:color="auto"/>
              <w:bottom w:val="single" w:sz="8" w:color="auto"/>
            </w:tcBorders>
          </w:tcPr>
          <w:p>
            <w:pPr>
              <w:spacing w:after="0"/>
              <w:rPr>
                <w:sz w:val="6"/>
                <w:szCs w:val="6"/>
                <w:color w:val="auto"/>
              </w:rPr>
            </w:pPr>
          </w:p>
        </w:tc>
        <w:tc>
          <w:tcPr>
            <w:tcW w:w="88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4020" w:type="dxa"/>
            <w:vAlign w:val="bottom"/>
            <w:tcBorders>
              <w:bottom w:val="single" w:sz="8" w:color="FFFF99"/>
            </w:tcBorders>
            <w:shd w:val="clear" w:color="auto" w:fill="FFFF99"/>
          </w:tcPr>
          <w:p>
            <w:pPr>
              <w:spacing w:after="0"/>
              <w:rPr>
                <w:sz w:val="20"/>
                <w:szCs w:val="20"/>
                <w:color w:val="auto"/>
              </w:rPr>
            </w:pPr>
            <w:r>
              <w:rPr>
                <w:rFonts w:ascii="Times New Roman" w:cs="Times New Roman" w:eastAsia="Times New Roman" w:hAnsi="Times New Roman"/>
                <w:sz w:val="14"/>
                <w:szCs w:val="14"/>
                <w:b w:val="1"/>
                <w:bCs w:val="1"/>
                <w:color w:val="auto"/>
              </w:rPr>
              <w:t>Our Ownership Interest</w:t>
            </w:r>
          </w:p>
        </w:tc>
        <w:tc>
          <w:tcPr>
            <w:tcW w:w="1340" w:type="dxa"/>
            <w:vAlign w:val="bottom"/>
            <w:tcBorders>
              <w:bottom w:val="single" w:sz="8" w:color="FFFF99"/>
            </w:tcBorders>
            <w:shd w:val="clear" w:color="auto" w:fill="FFFF99"/>
          </w:tcPr>
          <w:p>
            <w:pPr>
              <w:spacing w:after="0"/>
              <w:rPr>
                <w:sz w:val="18"/>
                <w:szCs w:val="18"/>
                <w:color w:val="auto"/>
              </w:rPr>
            </w:pPr>
          </w:p>
        </w:tc>
        <w:tc>
          <w:tcPr>
            <w:tcW w:w="1600" w:type="dxa"/>
            <w:vAlign w:val="bottom"/>
            <w:tcBorders>
              <w:bottom w:val="single" w:sz="8" w:color="FFFF99"/>
            </w:tcBorders>
            <w:shd w:val="clear" w:color="auto" w:fill="FFFF99"/>
          </w:tcPr>
          <w:p>
            <w:pPr>
              <w:spacing w:after="0"/>
              <w:rPr>
                <w:sz w:val="18"/>
                <w:szCs w:val="18"/>
                <w:color w:val="auto"/>
              </w:rPr>
            </w:pPr>
          </w:p>
        </w:tc>
        <w:tc>
          <w:tcPr>
            <w:tcW w:w="1180" w:type="dxa"/>
            <w:vAlign w:val="bottom"/>
            <w:tcBorders>
              <w:bottom w:val="single" w:sz="8" w:color="FFFF99"/>
            </w:tcBorders>
            <w:shd w:val="clear" w:color="auto" w:fill="FFFF99"/>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92.0 %</w:t>
            </w:r>
          </w:p>
        </w:tc>
        <w:tc>
          <w:tcPr>
            <w:tcW w:w="1140" w:type="dxa"/>
            <w:vAlign w:val="bottom"/>
            <w:tcBorders>
              <w:bottom w:val="single" w:sz="8" w:color="FFFF99"/>
            </w:tcBorders>
            <w:shd w:val="clear" w:color="auto" w:fill="FFFF99"/>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1,275,000</w:t>
            </w:r>
          </w:p>
        </w:tc>
        <w:tc>
          <w:tcPr>
            <w:tcW w:w="1040" w:type="dxa"/>
            <w:vAlign w:val="bottom"/>
            <w:tcBorders>
              <w:bottom w:val="single" w:sz="8" w:color="FFFF99"/>
            </w:tcBorders>
            <w:shd w:val="clear" w:color="auto" w:fill="FFFF99"/>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FFFF99"/>
            </w:tcBorders>
            <w:shd w:val="clear" w:color="auto" w:fill="FFFF99"/>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1,275,000</w:t>
            </w:r>
          </w:p>
        </w:tc>
        <w:tc>
          <w:tcPr>
            <w:tcW w:w="0" w:type="dxa"/>
            <w:vAlign w:val="bottom"/>
          </w:tcPr>
          <w:p>
            <w:pPr>
              <w:spacing w:after="0"/>
              <w:rPr>
                <w:sz w:val="1"/>
                <w:szCs w:val="1"/>
                <w:color w:val="auto"/>
              </w:rPr>
            </w:pPr>
          </w:p>
        </w:tc>
      </w:tr>
      <w:tr>
        <w:trPr>
          <w:trHeight w:val="428"/>
        </w:trPr>
        <w:tc>
          <w:tcPr>
            <w:tcW w:w="4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3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40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Rosslyn Plaza, VA (197 units)</w:t>
            </w:r>
            <w:r>
              <w:rPr>
                <w:rFonts w:ascii="Times New Roman" w:cs="Times New Roman" w:eastAsia="Times New Roman" w:hAnsi="Times New Roman"/>
                <w:sz w:val="18"/>
                <w:szCs w:val="18"/>
                <w:b w:val="1"/>
                <w:bCs w:val="1"/>
                <w:color w:val="auto"/>
                <w:vertAlign w:val="superscript"/>
              </w:rPr>
              <w:t>(2)</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45.6 %</w:t>
            </w:r>
          </w:p>
        </w:tc>
        <w:tc>
          <w:tcPr>
            <w:tcW w:w="16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Office / Residential</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 xml:space="preserve">28.5 % </w:t>
            </w:r>
            <w:r>
              <w:rPr>
                <w:rFonts w:ascii="Times New Roman" w:cs="Times New Roman" w:eastAsia="Times New Roman" w:hAnsi="Times New Roman"/>
                <w:sz w:val="18"/>
                <w:szCs w:val="18"/>
                <w:b w:val="1"/>
                <w:bCs w:val="1"/>
                <w:color w:val="auto"/>
                <w:vertAlign w:val="superscript"/>
              </w:rPr>
              <w:t>(3)</w:t>
            </w:r>
          </w:p>
        </w:tc>
        <w:tc>
          <w:tcPr>
            <w:tcW w:w="11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685,000</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304,000</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989,000</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Fashion Centre Mall / Washington Tower, VA</w:t>
            </w:r>
            <w:r>
              <w:rPr>
                <w:rFonts w:ascii="Times New Roman" w:cs="Times New Roman" w:eastAsia="Times New Roman" w:hAnsi="Times New Roman"/>
                <w:sz w:val="18"/>
                <w:szCs w:val="18"/>
                <w:b w:val="1"/>
                <w:bCs w:val="1"/>
                <w:color w:val="auto"/>
                <w:vertAlign w:val="superscript"/>
              </w:rPr>
              <w:t>(2)</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7.5 %</w:t>
            </w: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Office / Retail</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93.4 %</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1,038,000</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1,038,000</w:t>
            </w:r>
          </w:p>
        </w:tc>
        <w:tc>
          <w:tcPr>
            <w:tcW w:w="0" w:type="dxa"/>
            <w:vAlign w:val="bottom"/>
          </w:tcPr>
          <w:p>
            <w:pPr>
              <w:spacing w:after="0"/>
              <w:rPr>
                <w:sz w:val="1"/>
                <w:szCs w:val="1"/>
                <w:color w:val="auto"/>
              </w:rPr>
            </w:pPr>
          </w:p>
        </w:tc>
      </w:tr>
      <w:tr>
        <w:trPr>
          <w:trHeight w:val="156"/>
        </w:trPr>
        <w:tc>
          <w:tcPr>
            <w:tcW w:w="4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Wayne Towne Center, Wayne, NJ (ground leased through</w:t>
            </w:r>
          </w:p>
        </w:tc>
        <w:tc>
          <w:tcPr>
            <w:tcW w:w="13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2064)</w:t>
            </w:r>
            <w:r>
              <w:rPr>
                <w:rFonts w:ascii="Times New Roman" w:cs="Times New Roman" w:eastAsia="Times New Roman" w:hAnsi="Times New Roman"/>
                <w:sz w:val="18"/>
                <w:szCs w:val="18"/>
                <w:b w:val="1"/>
                <w:bCs w:val="1"/>
                <w:color w:val="auto"/>
                <w:vertAlign w:val="superscript"/>
              </w:rPr>
              <w:t>(1)</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100.0 %</w:t>
            </w:r>
          </w:p>
        </w:tc>
        <w:tc>
          <w:tcPr>
            <w:tcW w:w="16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Retail</w:t>
            </w:r>
          </w:p>
        </w:tc>
        <w:tc>
          <w:tcPr>
            <w:tcW w:w="11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100.0 %</w:t>
            </w:r>
          </w:p>
        </w:tc>
        <w:tc>
          <w:tcPr>
            <w:tcW w:w="11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686,000</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4,000</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690,000</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Annapolis, MD (ground leased through 2042)</w:t>
            </w:r>
            <w:r>
              <w:rPr>
                <w:rFonts w:ascii="Times New Roman" w:cs="Times New Roman" w:eastAsia="Times New Roman" w:hAnsi="Times New Roman"/>
                <w:sz w:val="18"/>
                <w:szCs w:val="18"/>
                <w:b w:val="1"/>
                <w:bCs w:val="1"/>
                <w:color w:val="auto"/>
                <w:vertAlign w:val="superscript"/>
              </w:rPr>
              <w:t>(1)</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100.0 %</w:t>
            </w: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Retail</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100.0 %</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128,000</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128,000</w:t>
            </w:r>
          </w:p>
        </w:tc>
        <w:tc>
          <w:tcPr>
            <w:tcW w:w="0" w:type="dxa"/>
            <w:vAlign w:val="bottom"/>
          </w:tcPr>
          <w:p>
            <w:pPr>
              <w:spacing w:after="0"/>
              <w:rPr>
                <w:sz w:val="1"/>
                <w:szCs w:val="1"/>
                <w:color w:val="auto"/>
              </w:rPr>
            </w:pPr>
          </w:p>
        </w:tc>
      </w:tr>
      <w:tr>
        <w:trPr>
          <w:trHeight w:val="131"/>
        </w:trPr>
        <w:tc>
          <w:tcPr>
            <w:tcW w:w="402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Atlantic City, NJ (11.3 acres ground leased through 2070 to</w:t>
            </w:r>
          </w:p>
        </w:tc>
        <w:tc>
          <w:tcPr>
            <w:tcW w:w="13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VICI Properties for a portion of the Borgata Hotel</w:t>
            </w:r>
          </w:p>
        </w:tc>
        <w:tc>
          <w:tcPr>
            <w:tcW w:w="134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100.0 %</w:t>
            </w:r>
          </w:p>
        </w:tc>
        <w:tc>
          <w:tcPr>
            <w:tcW w:w="160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Land</w:t>
            </w:r>
          </w:p>
        </w:tc>
        <w:tc>
          <w:tcPr>
            <w:tcW w:w="118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100.0 %</w:t>
            </w:r>
          </w:p>
        </w:tc>
        <w:tc>
          <w:tcPr>
            <w:tcW w:w="114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and Casino complex)</w:t>
            </w:r>
          </w:p>
        </w:tc>
        <w:tc>
          <w:tcPr>
            <w:tcW w:w="1340" w:type="dxa"/>
            <w:vAlign w:val="bottom"/>
            <w:tcBorders>
              <w:bottom w:val="single" w:sz="8" w:color="CCEEFF"/>
            </w:tcBorders>
            <w:vMerge w:val="continue"/>
            <w:shd w:val="clear" w:color="auto" w:fill="CCEEFF"/>
          </w:tcPr>
          <w:p>
            <w:pPr>
              <w:spacing w:after="0"/>
              <w:rPr>
                <w:sz w:val="17"/>
                <w:szCs w:val="17"/>
                <w:color w:val="auto"/>
              </w:rPr>
            </w:pPr>
          </w:p>
        </w:tc>
        <w:tc>
          <w:tcPr>
            <w:tcW w:w="1600" w:type="dxa"/>
            <w:vAlign w:val="bottom"/>
            <w:tcBorders>
              <w:bottom w:val="single" w:sz="8" w:color="CCEEFF"/>
            </w:tcBorders>
            <w:vMerge w:val="continue"/>
            <w:shd w:val="clear" w:color="auto" w:fill="CCEEFF"/>
          </w:tcPr>
          <w:p>
            <w:pPr>
              <w:spacing w:after="0"/>
              <w:rPr>
                <w:sz w:val="17"/>
                <w:szCs w:val="17"/>
                <w:color w:val="auto"/>
              </w:rPr>
            </w:pPr>
          </w:p>
        </w:tc>
        <w:tc>
          <w:tcPr>
            <w:tcW w:w="1180" w:type="dxa"/>
            <w:vAlign w:val="bottom"/>
            <w:tcBorders>
              <w:bottom w:val="single" w:sz="8" w:color="CCEEFF"/>
            </w:tcBorders>
            <w:vMerge w:val="continue"/>
            <w:shd w:val="clear" w:color="auto" w:fill="CCEEFF"/>
          </w:tcPr>
          <w:p>
            <w:pPr>
              <w:spacing w:after="0"/>
              <w:rPr>
                <w:sz w:val="17"/>
                <w:szCs w:val="17"/>
                <w:color w:val="auto"/>
              </w:rPr>
            </w:pPr>
          </w:p>
        </w:tc>
        <w:tc>
          <w:tcPr>
            <w:tcW w:w="1140" w:type="dxa"/>
            <w:vAlign w:val="bottom"/>
            <w:tcBorders>
              <w:bottom w:val="single" w:sz="8" w:color="CCEEFF"/>
            </w:tcBorders>
            <w:vMerge w:val="continue"/>
            <w:shd w:val="clear" w:color="auto" w:fill="CCEEFF"/>
          </w:tcPr>
          <w:p>
            <w:pPr>
              <w:spacing w:after="0"/>
              <w:rPr>
                <w:sz w:val="17"/>
                <w:szCs w:val="17"/>
                <w:color w:val="auto"/>
              </w:rPr>
            </w:pPr>
          </w:p>
        </w:tc>
        <w:tc>
          <w:tcPr>
            <w:tcW w:w="1040" w:type="dxa"/>
            <w:vAlign w:val="bottom"/>
            <w:tcBorders>
              <w:bottom w:val="single" w:sz="8" w:color="CCEEFF"/>
            </w:tcBorders>
            <w:vMerge w:val="continue"/>
            <w:shd w:val="clear" w:color="auto" w:fill="CCEEFF"/>
          </w:tcPr>
          <w:p>
            <w:pPr>
              <w:spacing w:after="0"/>
              <w:rPr>
                <w:sz w:val="17"/>
                <w:szCs w:val="17"/>
                <w:color w:val="auto"/>
              </w:rPr>
            </w:pPr>
          </w:p>
        </w:tc>
        <w:tc>
          <w:tcPr>
            <w:tcW w:w="88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20" w:type="dxa"/>
            <w:vAlign w:val="bottom"/>
            <w:tcBorders>
              <w:top w:val="single" w:sz="8" w:color="auto"/>
              <w:bottom w:val="single" w:sz="8" w:color="FFFF99"/>
            </w:tcBorders>
            <w:shd w:val="clear" w:color="auto" w:fill="FFFF99"/>
          </w:tcPr>
          <w:p>
            <w:pPr>
              <w:spacing w:after="0"/>
              <w:rPr>
                <w:sz w:val="20"/>
                <w:szCs w:val="20"/>
                <w:color w:val="auto"/>
              </w:rPr>
            </w:pPr>
            <w:r>
              <w:rPr>
                <w:rFonts w:ascii="Times New Roman" w:cs="Times New Roman" w:eastAsia="Times New Roman" w:hAnsi="Times New Roman"/>
                <w:sz w:val="14"/>
                <w:szCs w:val="14"/>
                <w:b w:val="1"/>
                <w:bCs w:val="1"/>
                <w:color w:val="auto"/>
              </w:rPr>
              <w:t>Total Other</w:t>
            </w:r>
          </w:p>
        </w:tc>
        <w:tc>
          <w:tcPr>
            <w:tcW w:w="1340" w:type="dxa"/>
            <w:vAlign w:val="bottom"/>
            <w:tcBorders>
              <w:top w:val="single" w:sz="8" w:color="auto"/>
              <w:bottom w:val="single" w:sz="8" w:color="FFFF99"/>
            </w:tcBorders>
            <w:shd w:val="clear" w:color="auto" w:fill="FFFF99"/>
          </w:tcPr>
          <w:p>
            <w:pPr>
              <w:spacing w:after="0"/>
              <w:rPr>
                <w:sz w:val="18"/>
                <w:szCs w:val="18"/>
                <w:color w:val="auto"/>
              </w:rPr>
            </w:pPr>
          </w:p>
        </w:tc>
        <w:tc>
          <w:tcPr>
            <w:tcW w:w="1600" w:type="dxa"/>
            <w:vAlign w:val="bottom"/>
            <w:tcBorders>
              <w:top w:val="single" w:sz="8" w:color="auto"/>
              <w:bottom w:val="single" w:sz="8" w:color="FFFF99"/>
            </w:tcBorders>
            <w:shd w:val="clear" w:color="auto" w:fill="FFFF99"/>
          </w:tcPr>
          <w:p>
            <w:pPr>
              <w:spacing w:after="0"/>
              <w:rPr>
                <w:sz w:val="18"/>
                <w:szCs w:val="18"/>
                <w:color w:val="auto"/>
              </w:rPr>
            </w:pPr>
          </w:p>
        </w:tc>
        <w:tc>
          <w:tcPr>
            <w:tcW w:w="1180" w:type="dxa"/>
            <w:vAlign w:val="bottom"/>
            <w:tcBorders>
              <w:top w:val="single" w:sz="8" w:color="auto"/>
              <w:bottom w:val="single" w:sz="8" w:color="FFFF99"/>
            </w:tcBorders>
            <w:shd w:val="clear" w:color="auto" w:fill="FFFF99"/>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83.5 %</w:t>
            </w:r>
          </w:p>
        </w:tc>
        <w:tc>
          <w:tcPr>
            <w:tcW w:w="1140" w:type="dxa"/>
            <w:vAlign w:val="bottom"/>
            <w:tcBorders>
              <w:top w:val="single" w:sz="8" w:color="auto"/>
              <w:bottom w:val="single" w:sz="8" w:color="FFFF99"/>
            </w:tcBorders>
            <w:shd w:val="clear" w:color="auto" w:fill="FFFF99"/>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2,537,000</w:t>
            </w:r>
          </w:p>
        </w:tc>
        <w:tc>
          <w:tcPr>
            <w:tcW w:w="1040" w:type="dxa"/>
            <w:vAlign w:val="bottom"/>
            <w:tcBorders>
              <w:top w:val="single" w:sz="8" w:color="auto"/>
              <w:bottom w:val="single" w:sz="8" w:color="FFFF99"/>
            </w:tcBorders>
            <w:shd w:val="clear" w:color="auto" w:fill="FFFF99"/>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308,000</w:t>
            </w:r>
          </w:p>
        </w:tc>
        <w:tc>
          <w:tcPr>
            <w:tcW w:w="880" w:type="dxa"/>
            <w:vAlign w:val="bottom"/>
            <w:tcBorders>
              <w:top w:val="single" w:sz="8" w:color="auto"/>
              <w:bottom w:val="single" w:sz="8" w:color="FFFF99"/>
            </w:tcBorders>
            <w:shd w:val="clear" w:color="auto" w:fill="FFFF99"/>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2,845,000</w:t>
            </w:r>
          </w:p>
        </w:tc>
        <w:tc>
          <w:tcPr>
            <w:tcW w:w="0" w:type="dxa"/>
            <w:vAlign w:val="bottom"/>
          </w:tcPr>
          <w:p>
            <w:pPr>
              <w:spacing w:after="0"/>
              <w:rPr>
                <w:sz w:val="1"/>
                <w:szCs w:val="1"/>
                <w:color w:val="auto"/>
              </w:rPr>
            </w:pPr>
          </w:p>
        </w:tc>
      </w:tr>
      <w:tr>
        <w:trPr>
          <w:trHeight w:val="72"/>
        </w:trPr>
        <w:tc>
          <w:tcPr>
            <w:tcW w:w="4020" w:type="dxa"/>
            <w:vAlign w:val="bottom"/>
            <w:tcBorders>
              <w:top w:val="single" w:sz="8" w:color="auto"/>
              <w:bottom w:val="single" w:sz="8" w:color="auto"/>
            </w:tcBorders>
          </w:tcPr>
          <w:p>
            <w:pPr>
              <w:spacing w:after="0"/>
              <w:rPr>
                <w:sz w:val="6"/>
                <w:szCs w:val="6"/>
                <w:color w:val="auto"/>
              </w:rPr>
            </w:pPr>
          </w:p>
        </w:tc>
        <w:tc>
          <w:tcPr>
            <w:tcW w:w="1340" w:type="dxa"/>
            <w:vAlign w:val="bottom"/>
            <w:tcBorders>
              <w:top w:val="single" w:sz="8" w:color="auto"/>
              <w:bottom w:val="single" w:sz="8" w:color="auto"/>
            </w:tcBorders>
          </w:tcPr>
          <w:p>
            <w:pPr>
              <w:spacing w:after="0"/>
              <w:rPr>
                <w:sz w:val="6"/>
                <w:szCs w:val="6"/>
                <w:color w:val="auto"/>
              </w:rPr>
            </w:pPr>
          </w:p>
        </w:tc>
        <w:tc>
          <w:tcPr>
            <w:tcW w:w="1600" w:type="dxa"/>
            <w:vAlign w:val="bottom"/>
            <w:tcBorders>
              <w:top w:val="single" w:sz="8" w:color="auto"/>
              <w:bottom w:val="single" w:sz="8" w:color="auto"/>
            </w:tcBorders>
          </w:tcPr>
          <w:p>
            <w:pPr>
              <w:spacing w:after="0"/>
              <w:rPr>
                <w:sz w:val="6"/>
                <w:szCs w:val="6"/>
                <w:color w:val="auto"/>
              </w:rPr>
            </w:pPr>
          </w:p>
        </w:tc>
        <w:tc>
          <w:tcPr>
            <w:tcW w:w="1180" w:type="dxa"/>
            <w:vAlign w:val="bottom"/>
            <w:tcBorders>
              <w:top w:val="single" w:sz="8" w:color="auto"/>
              <w:bottom w:val="single" w:sz="8" w:color="auto"/>
            </w:tcBorders>
          </w:tcPr>
          <w:p>
            <w:pPr>
              <w:spacing w:after="0"/>
              <w:rPr>
                <w:sz w:val="6"/>
                <w:szCs w:val="6"/>
                <w:color w:val="auto"/>
              </w:rPr>
            </w:pPr>
          </w:p>
        </w:tc>
        <w:tc>
          <w:tcPr>
            <w:tcW w:w="1140" w:type="dxa"/>
            <w:vAlign w:val="bottom"/>
            <w:tcBorders>
              <w:top w:val="single" w:sz="8" w:color="auto"/>
              <w:bottom w:val="single" w:sz="8" w:color="auto"/>
            </w:tcBorders>
          </w:tcPr>
          <w:p>
            <w:pPr>
              <w:spacing w:after="0"/>
              <w:rPr>
                <w:sz w:val="6"/>
                <w:szCs w:val="6"/>
                <w:color w:val="auto"/>
              </w:rPr>
            </w:pPr>
          </w:p>
        </w:tc>
        <w:tc>
          <w:tcPr>
            <w:tcW w:w="1040" w:type="dxa"/>
            <w:vAlign w:val="bottom"/>
            <w:tcBorders>
              <w:top w:val="single" w:sz="8" w:color="auto"/>
              <w:bottom w:val="single" w:sz="8" w:color="auto"/>
            </w:tcBorders>
          </w:tcPr>
          <w:p>
            <w:pPr>
              <w:spacing w:after="0"/>
              <w:rPr>
                <w:sz w:val="6"/>
                <w:szCs w:val="6"/>
                <w:color w:val="auto"/>
              </w:rPr>
            </w:pPr>
          </w:p>
        </w:tc>
        <w:tc>
          <w:tcPr>
            <w:tcW w:w="88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20" w:type="dxa"/>
            <w:vAlign w:val="bottom"/>
            <w:tcBorders>
              <w:bottom w:val="single" w:sz="8" w:color="FFFF99"/>
            </w:tcBorders>
            <w:shd w:val="clear" w:color="auto" w:fill="FFFF99"/>
          </w:tcPr>
          <w:p>
            <w:pPr>
              <w:spacing w:after="0"/>
              <w:rPr>
                <w:sz w:val="20"/>
                <w:szCs w:val="20"/>
                <w:color w:val="auto"/>
              </w:rPr>
            </w:pPr>
            <w:r>
              <w:rPr>
                <w:rFonts w:ascii="Times New Roman" w:cs="Times New Roman" w:eastAsia="Times New Roman" w:hAnsi="Times New Roman"/>
                <w:sz w:val="14"/>
                <w:szCs w:val="14"/>
                <w:b w:val="1"/>
                <w:bCs w:val="1"/>
                <w:color w:val="auto"/>
              </w:rPr>
              <w:t>Our Ownership Interest</w:t>
            </w:r>
          </w:p>
        </w:tc>
        <w:tc>
          <w:tcPr>
            <w:tcW w:w="1340" w:type="dxa"/>
            <w:vAlign w:val="bottom"/>
            <w:tcBorders>
              <w:bottom w:val="single" w:sz="8" w:color="FFFF99"/>
            </w:tcBorders>
            <w:shd w:val="clear" w:color="auto" w:fill="FFFF99"/>
          </w:tcPr>
          <w:p>
            <w:pPr>
              <w:spacing w:after="0"/>
              <w:rPr>
                <w:sz w:val="17"/>
                <w:szCs w:val="17"/>
                <w:color w:val="auto"/>
              </w:rPr>
            </w:pPr>
          </w:p>
        </w:tc>
        <w:tc>
          <w:tcPr>
            <w:tcW w:w="1600" w:type="dxa"/>
            <w:vAlign w:val="bottom"/>
            <w:tcBorders>
              <w:bottom w:val="single" w:sz="8" w:color="FFFF99"/>
            </w:tcBorders>
            <w:shd w:val="clear" w:color="auto" w:fill="FFFF99"/>
          </w:tcPr>
          <w:p>
            <w:pPr>
              <w:spacing w:after="0"/>
              <w:rPr>
                <w:sz w:val="17"/>
                <w:szCs w:val="17"/>
                <w:color w:val="auto"/>
              </w:rPr>
            </w:pPr>
          </w:p>
        </w:tc>
        <w:tc>
          <w:tcPr>
            <w:tcW w:w="1180" w:type="dxa"/>
            <w:vAlign w:val="bottom"/>
            <w:tcBorders>
              <w:bottom w:val="single" w:sz="8" w:color="FFFF99"/>
            </w:tcBorders>
            <w:shd w:val="clear" w:color="auto" w:fill="FFFF99"/>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86.5 %</w:t>
            </w:r>
          </w:p>
        </w:tc>
        <w:tc>
          <w:tcPr>
            <w:tcW w:w="1140" w:type="dxa"/>
            <w:vAlign w:val="bottom"/>
            <w:tcBorders>
              <w:bottom w:val="single" w:sz="8" w:color="FFFF99"/>
            </w:tcBorders>
            <w:shd w:val="clear" w:color="auto" w:fill="FFFF99"/>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1,202,000</w:t>
            </w:r>
          </w:p>
        </w:tc>
        <w:tc>
          <w:tcPr>
            <w:tcW w:w="1040" w:type="dxa"/>
            <w:vAlign w:val="bottom"/>
            <w:tcBorders>
              <w:bottom w:val="single" w:sz="8" w:color="FFFF99"/>
            </w:tcBorders>
            <w:shd w:val="clear" w:color="auto" w:fill="FFFF99"/>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144,000</w:t>
            </w:r>
          </w:p>
        </w:tc>
        <w:tc>
          <w:tcPr>
            <w:tcW w:w="880" w:type="dxa"/>
            <w:vAlign w:val="bottom"/>
            <w:tcBorders>
              <w:bottom w:val="single" w:sz="8" w:color="FFFF99"/>
            </w:tcBorders>
            <w:shd w:val="clear" w:color="auto" w:fill="FFFF99"/>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1,346,000</w:t>
            </w:r>
          </w:p>
        </w:tc>
        <w:tc>
          <w:tcPr>
            <w:tcW w:w="0" w:type="dxa"/>
            <w:vAlign w:val="bottom"/>
          </w:tcPr>
          <w:p>
            <w:pPr>
              <w:spacing w:after="0"/>
              <w:rPr>
                <w:sz w:val="1"/>
                <w:szCs w:val="1"/>
                <w:color w:val="auto"/>
              </w:rPr>
            </w:pPr>
          </w:p>
        </w:tc>
      </w:tr>
      <w:tr>
        <w:trPr>
          <w:trHeight w:val="20"/>
        </w:trPr>
        <w:tc>
          <w:tcPr>
            <w:tcW w:w="40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22" w:lineRule="exact"/>
        <w:rPr>
          <w:sz w:val="20"/>
          <w:szCs w:val="20"/>
          <w:color w:val="auto"/>
        </w:rPr>
      </w:pPr>
    </w:p>
    <w:p>
      <w:pPr>
        <w:ind w:left="320" w:hanging="315"/>
        <w:spacing w:after="0"/>
        <w:tabs>
          <w:tab w:leader="none" w:pos="320"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Term assumes all renewal options exercised, if applicable.</w:t>
      </w:r>
    </w:p>
    <w:p>
      <w:pPr>
        <w:spacing w:after="0" w:line="6"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Denotes property not consolidated in the accompanying consolidated financial statements and related financial data included in the Annual Report on Form 10-K.</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Excludes residential occupancy statistics.</w:t>
      </w:r>
    </w:p>
    <w:p>
      <w:pPr>
        <w:ind w:left="320" w:hanging="315"/>
        <w:spacing w:after="0"/>
        <w:tabs>
          <w:tab w:leader="none" w:pos="320"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962 Third Avenue (the Annex building to 150 East 58th Street) 50.0% ground leased through 2118 (assuming all renewal options are exercised).</w:t>
      </w:r>
    </w:p>
    <w:p>
      <w:pPr>
        <w:spacing w:after="0" w:line="5"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Properties under development or to be developed.</w:t>
      </w:r>
    </w:p>
    <w:p>
      <w:pPr>
        <w:spacing w:after="0" w:line="9" w:lineRule="exact"/>
        <w:rPr>
          <w:rFonts w:ascii="Times New Roman" w:cs="Times New Roman" w:eastAsia="Times New Roman" w:hAnsi="Times New Roman"/>
          <w:sz w:val="14"/>
          <w:szCs w:val="14"/>
          <w:b w:val="1"/>
          <w:bCs w:val="1"/>
          <w:color w:val="auto"/>
        </w:rPr>
      </w:pPr>
    </w:p>
    <w:p>
      <w:pPr>
        <w:jc w:val="both"/>
        <w:ind w:left="320" w:hanging="315"/>
        <w:spacing w:after="0" w:line="251" w:lineRule="auto"/>
        <w:tabs>
          <w:tab w:leader="none" w:pos="312"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75,000 square feet is leased from the 666 Fifth office condominium. On January 8, 2025, the Fifth Avenue and Times Square joint venture completed the sale to UNIQLO of the portion of its U.S. flagship store at 666 Fifth Avenue. In conjunction with the sale, the lease with the 666 Fifth Avenue office condominium was terminated. The joint venture continues to own 23,832 square feet of retail space at 666 Fifth Avenue. See page 37 for details.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TOP 10 TENANTS BASED ON ANNUALIZED ESCALATED RENTS</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 xml:space="preserve"> (AT SHARE):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8"/>
              </w:rPr>
              <w:t>Square</w:t>
            </w:r>
          </w:p>
        </w:tc>
        <w:tc>
          <w:tcPr>
            <w:tcW w:w="240" w:type="dxa"/>
            <w:vAlign w:val="bottom"/>
          </w:tcPr>
          <w:p>
            <w:pPr>
              <w:spacing w:after="0"/>
              <w:rPr>
                <w:sz w:val="13"/>
                <w:szCs w:val="13"/>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Annualized</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of Total Annualized</w:t>
            </w:r>
          </w:p>
        </w:tc>
        <w:tc>
          <w:tcPr>
            <w:tcW w:w="0" w:type="dxa"/>
            <w:vAlign w:val="bottom"/>
          </w:tcPr>
          <w:p>
            <w:pPr>
              <w:spacing w:after="0"/>
              <w:rPr>
                <w:sz w:val="1"/>
                <w:szCs w:val="1"/>
                <w:color w:val="auto"/>
              </w:rPr>
            </w:pPr>
          </w:p>
        </w:tc>
      </w:tr>
      <w:tr>
        <w:trPr>
          <w:trHeight w:val="142"/>
        </w:trPr>
        <w:tc>
          <w:tcPr>
            <w:tcW w:w="6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Tenant</w:t>
            </w:r>
          </w:p>
        </w:tc>
        <w:tc>
          <w:tcPr>
            <w:tcW w:w="1360" w:type="dxa"/>
            <w:vAlign w:val="bottom"/>
            <w:gridSpan w:val="2"/>
          </w:tcPr>
          <w:p>
            <w:pPr>
              <w:jc w:val="center"/>
              <w:ind w:right="580"/>
              <w:spacing w:after="0" w:line="143" w:lineRule="exact"/>
              <w:rPr>
                <w:sz w:val="20"/>
                <w:szCs w:val="20"/>
                <w:color w:val="auto"/>
              </w:rPr>
            </w:pPr>
            <w:r>
              <w:rPr>
                <w:rFonts w:ascii="Times New Roman" w:cs="Times New Roman" w:eastAsia="Times New Roman" w:hAnsi="Times New Roman"/>
                <w:sz w:val="14"/>
                <w:szCs w:val="14"/>
                <w:b w:val="1"/>
                <w:bCs w:val="1"/>
                <w:color w:val="auto"/>
                <w:w w:val="96"/>
              </w:rPr>
              <w:t>Footage</w:t>
            </w:r>
          </w:p>
        </w:tc>
        <w:tc>
          <w:tcPr>
            <w:tcW w:w="240" w:type="dxa"/>
            <w:vAlign w:val="bottom"/>
          </w:tcPr>
          <w:p>
            <w:pPr>
              <w:spacing w:after="0"/>
              <w:rPr>
                <w:sz w:val="12"/>
                <w:szCs w:val="12"/>
                <w:color w:val="auto"/>
              </w:rPr>
            </w:pPr>
          </w:p>
        </w:tc>
        <w:tc>
          <w:tcPr>
            <w:tcW w:w="1580" w:type="dxa"/>
            <w:vAlign w:val="bottom"/>
            <w:gridSpan w:val="2"/>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w w:val="98"/>
              </w:rPr>
              <w:t>Escalated Rents</w:t>
            </w:r>
          </w:p>
        </w:tc>
        <w:tc>
          <w:tcPr>
            <w:tcW w:w="18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Escalated Rents</w:t>
            </w:r>
          </w:p>
        </w:tc>
        <w:tc>
          <w:tcPr>
            <w:tcW w:w="0" w:type="dxa"/>
            <w:vAlign w:val="bottom"/>
          </w:tcPr>
          <w:p>
            <w:pPr>
              <w:spacing w:after="0"/>
              <w:rPr>
                <w:sz w:val="1"/>
                <w:szCs w:val="1"/>
                <w:color w:val="auto"/>
              </w:rPr>
            </w:pPr>
          </w:p>
        </w:tc>
      </w:tr>
      <w:tr>
        <w:trPr>
          <w:trHeight w:val="190"/>
        </w:trPr>
        <w:tc>
          <w:tcPr>
            <w:tcW w:w="6260" w:type="dxa"/>
            <w:vAlign w:val="bottom"/>
            <w:gridSpan w:val="3"/>
            <w:vMerge w:val="continue"/>
          </w:tcPr>
          <w:p>
            <w:pPr>
              <w:spacing w:after="0"/>
              <w:rPr>
                <w:sz w:val="16"/>
                <w:szCs w:val="16"/>
                <w:color w:val="auto"/>
              </w:rPr>
            </w:pPr>
          </w:p>
        </w:tc>
        <w:tc>
          <w:tcPr>
            <w:tcW w:w="13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At Share</w:t>
            </w:r>
          </w:p>
        </w:tc>
        <w:tc>
          <w:tcPr>
            <w:tcW w:w="24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At Share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At Share</w:t>
            </w:r>
          </w:p>
        </w:tc>
        <w:tc>
          <w:tcPr>
            <w:tcW w:w="0" w:type="dxa"/>
            <w:vAlign w:val="bottom"/>
          </w:tcPr>
          <w:p>
            <w:pPr>
              <w:spacing w:after="0"/>
              <w:rPr>
                <w:sz w:val="1"/>
                <w:szCs w:val="1"/>
                <w:color w:val="auto"/>
              </w:rPr>
            </w:pPr>
          </w:p>
        </w:tc>
      </w:tr>
      <w:tr>
        <w:trPr>
          <w:trHeight w:val="196"/>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Meta Platforms, Inc.</w:t>
            </w: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1,176,828</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141,598</w:t>
            </w:r>
          </w:p>
        </w:tc>
        <w:tc>
          <w:tcPr>
            <w:tcW w:w="14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189"/>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IPG and affiliates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955,211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64,056</w:t>
            </w:r>
          </w:p>
        </w:tc>
        <w:tc>
          <w:tcPr>
            <w:tcW w:w="1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204"/>
        </w:trPr>
        <w:tc>
          <w:tcPr>
            <w:tcW w:w="6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Citadel</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585,460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62,498</w:t>
            </w: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189"/>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New York University</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685,290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49,552</w:t>
            </w:r>
          </w:p>
        </w:tc>
        <w:tc>
          <w:tcPr>
            <w:tcW w:w="1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204"/>
        </w:trPr>
        <w:tc>
          <w:tcPr>
            <w:tcW w:w="626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Madison Square Garden &amp; Affiliates</w:t>
            </w:r>
            <w:r>
              <w:rPr>
                <w:rFonts w:ascii="Times New Roman" w:cs="Times New Roman" w:eastAsia="Times New Roman" w:hAnsi="Times New Roman"/>
                <w:sz w:val="18"/>
                <w:szCs w:val="18"/>
                <w:b w:val="1"/>
                <w:bCs w:val="1"/>
                <w:color w:val="auto"/>
                <w:vertAlign w:val="superscript"/>
              </w:rPr>
              <w:t>(2)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449,053</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45,451</w:t>
            </w: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189"/>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Bloomberg L.P.</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306,768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43,863</w:t>
            </w:r>
          </w:p>
        </w:tc>
        <w:tc>
          <w:tcPr>
            <w:tcW w:w="1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204"/>
        </w:trPr>
        <w:tc>
          <w:tcPr>
            <w:tcW w:w="6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Google/Motorola Mobility (guaranteed by Google)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759,446</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42,875</w:t>
            </w: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89"/>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Amazon (including its Whole Foods subsidiary)</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312,694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31,025</w:t>
            </w:r>
          </w:p>
        </w:tc>
        <w:tc>
          <w:tcPr>
            <w:tcW w:w="1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204"/>
        </w:trPr>
        <w:tc>
          <w:tcPr>
            <w:tcW w:w="6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Swatch Group USA</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11,957</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28,689</w:t>
            </w: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82"/>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Neuberger Berman Group LLC</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306,612</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28,363</w:t>
            </w:r>
          </w:p>
        </w:tc>
        <w:tc>
          <w:tcPr>
            <w:tcW w:w="1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201"/>
        </w:trPr>
        <w:tc>
          <w:tcPr>
            <w:tcW w:w="5680" w:type="dxa"/>
            <w:vAlign w:val="bottom"/>
          </w:tcPr>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See notes below.</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7"/>
        </w:trPr>
        <w:tc>
          <w:tcPr>
            <w:tcW w:w="62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ANNUALIZED ESCALATED RENTS</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 xml:space="preserve"> (AT SHARE) BY TENANT INDUSTRY:</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86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3"/>
        </w:trPr>
        <w:tc>
          <w:tcPr>
            <w:tcW w:w="90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3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Financial Services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89"/>
        </w:trPr>
        <w:tc>
          <w:tcPr>
            <w:tcW w:w="93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Technology</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204"/>
        </w:trPr>
        <w:tc>
          <w:tcPr>
            <w:tcW w:w="93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Professional Services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89"/>
        </w:trPr>
        <w:tc>
          <w:tcPr>
            <w:tcW w:w="93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Real Estate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04"/>
        </w:trPr>
        <w:tc>
          <w:tcPr>
            <w:tcW w:w="93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Advertising/Marketing</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89"/>
        </w:trPr>
        <w:tc>
          <w:tcPr>
            <w:tcW w:w="93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Entertainment and Electronics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204"/>
        </w:trPr>
        <w:tc>
          <w:tcPr>
            <w:tcW w:w="93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Education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89"/>
        </w:trPr>
        <w:tc>
          <w:tcPr>
            <w:tcW w:w="93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Insurance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04"/>
        </w:trPr>
        <w:tc>
          <w:tcPr>
            <w:tcW w:w="93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Health Services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89"/>
        </w:trPr>
        <w:tc>
          <w:tcPr>
            <w:tcW w:w="93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Engineering, Architect &amp; Surveying</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04"/>
        </w:trPr>
        <w:tc>
          <w:tcPr>
            <w:tcW w:w="93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Apparel</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89"/>
        </w:trPr>
        <w:tc>
          <w:tcPr>
            <w:tcW w:w="93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Communications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4"/>
        </w:trPr>
        <w:tc>
          <w:tcPr>
            <w:tcW w:w="93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Government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0"/>
        </w:trPr>
        <w:tc>
          <w:tcPr>
            <w:tcW w:w="93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0"/>
        </w:trPr>
        <w:tc>
          <w:tcPr>
            <w:tcW w:w="9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0" w:type="dxa"/>
            <w:vAlign w:val="bottom"/>
          </w:tcPr>
          <w:p>
            <w:pPr>
              <w:spacing w:after="0"/>
              <w:rPr>
                <w:sz w:val="1"/>
                <w:szCs w:val="1"/>
                <w:color w:val="auto"/>
              </w:rPr>
            </w:pPr>
          </w:p>
        </w:tc>
      </w:tr>
      <w:tr>
        <w:trPr>
          <w:trHeight w:val="183"/>
        </w:trPr>
        <w:tc>
          <w:tcPr>
            <w:tcW w:w="9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3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Apparel</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204"/>
        </w:trPr>
        <w:tc>
          <w:tcPr>
            <w:tcW w:w="93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Luxury Retail</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89"/>
        </w:trPr>
        <w:tc>
          <w:tcPr>
            <w:tcW w:w="93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Banking</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04"/>
        </w:trPr>
        <w:tc>
          <w:tcPr>
            <w:tcW w:w="93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Restaurants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89"/>
        </w:trPr>
        <w:tc>
          <w:tcPr>
            <w:tcW w:w="93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Grocery</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7"/>
        </w:trPr>
        <w:tc>
          <w:tcPr>
            <w:tcW w:w="93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0"/>
        </w:trPr>
        <w:tc>
          <w:tcPr>
            <w:tcW w:w="90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83"/>
        </w:trPr>
        <w:tc>
          <w:tcPr>
            <w:tcW w:w="9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Showroom</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83"/>
        </w:trPr>
        <w:tc>
          <w:tcPr>
            <w:tcW w:w="9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908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tc>
        <w:tc>
          <w:tcPr>
            <w:tcW w:w="3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20" w:hanging="315"/>
        <w:spacing w:after="0" w:line="241" w:lineRule="auto"/>
        <w:tabs>
          <w:tab w:leader="none" w:pos="312" w:val="left"/>
        </w:tabs>
        <w:numPr>
          <w:ilvl w:val="0"/>
          <w:numId w:val="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Annualized escalated rents represent monthly contractual base rent before free rent plus tenant reimbursements multiplied by 12. Annualized escalated rents at share include leases signed but not yet commenced in place of current tenants or vacancy in the same space.</w:t>
      </w:r>
    </w:p>
    <w:p>
      <w:pPr>
        <w:spacing w:after="0" w:line="1"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Madison Square Garden Entertainment’s new lease at PENN 2. Revenue recognition for portions of the new space has not yet commenced.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NEW YORK</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As of December 31, 2024, our New York segment consisted of 26.4 million square feet in 64 properties. The 26.4 million square feet is comprised of 20.1 million square feet of Manhattan office in 30 of the properties, 2.4 million square feet of Manhattan street retail in 49 of the properties, 1,330 units in two residential properties, and our 32.4% interest in Alexander’s, which owns five properties in the greater New York metropolitan area, including 731 Lexington Avenue, the 1.1 million square foot Bloomberg, L.P. headquarters building, and The Alexander, a 312-unit apartment tower in Queens. The New York segment also includes nine garages totaling 1.6 million square feet (4,685 spaces).</w:t>
      </w:r>
    </w:p>
    <w:p>
      <w:pPr>
        <w:spacing w:after="0" w:line="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2024, the occupancy rate for our New York segment was 87.6%.</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Occupancy and weighted average annual rent per square foot: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Office:</w:t>
      </w:r>
    </w:p>
    <w:p>
      <w:pPr>
        <w:spacing w:after="0" w:line="102"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Vornado's Ownership Interest</w:t>
            </w: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 Service</w:t>
            </w:r>
          </w:p>
        </w:tc>
        <w:tc>
          <w:tcPr>
            <w:tcW w:w="1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Pr>
          <w:p>
            <w:pPr>
              <w:jc w:val="center"/>
              <w:ind w:right="50"/>
              <w:spacing w:after="0" w:line="126"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 Service</w:t>
            </w:r>
          </w:p>
        </w:tc>
        <w:tc>
          <w:tcPr>
            <w:tcW w:w="1860" w:type="dxa"/>
            <w:vAlign w:val="bottom"/>
            <w:gridSpan w:val="2"/>
            <w:vMerge w:val="continue"/>
          </w:tcPr>
          <w:p>
            <w:pPr>
              <w:spacing w:after="0"/>
              <w:rPr>
                <w:sz w:val="12"/>
                <w:szCs w:val="12"/>
                <w:color w:val="auto"/>
              </w:rPr>
            </w:pPr>
          </w:p>
        </w:tc>
        <w:tc>
          <w:tcPr>
            <w:tcW w:w="2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Occupancy</w:t>
            </w:r>
          </w:p>
        </w:tc>
        <w:tc>
          <w:tcPr>
            <w:tcW w:w="100" w:type="dxa"/>
            <w:vAlign w:val="bottom"/>
          </w:tcPr>
          <w:p>
            <w:pPr>
              <w:spacing w:after="0"/>
              <w:rPr>
                <w:sz w:val="12"/>
                <w:szCs w:val="12"/>
                <w:color w:val="auto"/>
              </w:rPr>
            </w:pPr>
          </w:p>
        </w:tc>
        <w:tc>
          <w:tcPr>
            <w:tcW w:w="1720" w:type="dxa"/>
            <w:vAlign w:val="bottom"/>
          </w:tcPr>
          <w:p>
            <w:pPr>
              <w:jc w:val="center"/>
              <w:ind w:right="50"/>
              <w:spacing w:after="0" w:line="143" w:lineRule="exact"/>
              <w:rPr>
                <w:sz w:val="20"/>
                <w:szCs w:val="20"/>
                <w:color w:val="auto"/>
              </w:rPr>
            </w:pPr>
            <w:r>
              <w:rPr>
                <w:rFonts w:ascii="Times New Roman" w:cs="Times New Roman" w:eastAsia="Times New Roman" w:hAnsi="Times New Roman"/>
                <w:sz w:val="14"/>
                <w:szCs w:val="14"/>
                <w:b w:val="1"/>
                <w:bCs w:val="1"/>
                <w:color w:val="auto"/>
                <w:w w:val="98"/>
              </w:rPr>
              <w:t>Average Annual Escalated</w:t>
            </w:r>
          </w:p>
        </w:tc>
        <w:tc>
          <w:tcPr>
            <w:tcW w:w="0" w:type="dxa"/>
            <w:vAlign w:val="bottom"/>
          </w:tcPr>
          <w:p>
            <w:pPr>
              <w:spacing w:after="0"/>
              <w:rPr>
                <w:sz w:val="1"/>
                <w:szCs w:val="1"/>
                <w:color w:val="auto"/>
              </w:rPr>
            </w:pPr>
          </w:p>
        </w:tc>
      </w:tr>
      <w:tr>
        <w:trPr>
          <w:trHeight w:val="144"/>
        </w:trPr>
        <w:tc>
          <w:tcPr>
            <w:tcW w:w="16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18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 Square Feet</w:t>
            </w:r>
          </w:p>
        </w:tc>
        <w:tc>
          <w:tcPr>
            <w:tcW w:w="1860" w:type="dxa"/>
            <w:vAlign w:val="bottom"/>
            <w:gridSpan w:val="2"/>
            <w:vMerge w:val="continue"/>
          </w:tcPr>
          <w:p>
            <w:pPr>
              <w:spacing w:after="0"/>
              <w:rPr>
                <w:sz w:val="12"/>
                <w:szCs w:val="12"/>
                <w:color w:val="auto"/>
              </w:rPr>
            </w:pPr>
          </w:p>
        </w:tc>
        <w:tc>
          <w:tcPr>
            <w:tcW w:w="186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Square Feet</w:t>
            </w:r>
          </w:p>
        </w:tc>
        <w:tc>
          <w:tcPr>
            <w:tcW w:w="2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ind w:right="50"/>
              <w:spacing w:after="0" w:line="144" w:lineRule="exact"/>
              <w:rPr>
                <w:sz w:val="20"/>
                <w:szCs w:val="20"/>
                <w:color w:val="auto"/>
              </w:rPr>
            </w:pPr>
            <w:r>
              <w:rPr>
                <w:rFonts w:ascii="Times New Roman" w:cs="Times New Roman" w:eastAsia="Times New Roman" w:hAnsi="Times New Roman"/>
                <w:sz w:val="14"/>
                <w:szCs w:val="14"/>
                <w:b w:val="1"/>
                <w:bCs w:val="1"/>
                <w:color w:val="auto"/>
                <w:w w:val="97"/>
              </w:rPr>
              <w:t>Rent</w:t>
            </w:r>
          </w:p>
        </w:tc>
        <w:tc>
          <w:tcPr>
            <w:tcW w:w="0" w:type="dxa"/>
            <w:vAlign w:val="bottom"/>
          </w:tcPr>
          <w:p>
            <w:pPr>
              <w:spacing w:after="0"/>
              <w:rPr>
                <w:sz w:val="1"/>
                <w:szCs w:val="1"/>
                <w:color w:val="auto"/>
              </w:rPr>
            </w:pPr>
          </w:p>
        </w:tc>
      </w:tr>
      <w:tr>
        <w:trPr>
          <w:trHeight w:val="191"/>
        </w:trPr>
        <w:tc>
          <w:tcPr>
            <w:tcW w:w="166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Square Feet</w:t>
            </w: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At Share</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 w:type="dxa"/>
            <w:vAlign w:val="bottom"/>
          </w:tcPr>
          <w:p>
            <w:pPr>
              <w:spacing w:after="0"/>
              <w:rPr>
                <w:sz w:val="16"/>
                <w:szCs w:val="16"/>
                <w:color w:val="auto"/>
              </w:rPr>
            </w:pPr>
          </w:p>
        </w:tc>
        <w:tc>
          <w:tcPr>
            <w:tcW w:w="172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7"/>
              </w:rPr>
              <w:t>Per Square Foot</w:t>
            </w:r>
          </w:p>
        </w:tc>
        <w:tc>
          <w:tcPr>
            <w:tcW w:w="0" w:type="dxa"/>
            <w:vAlign w:val="bottom"/>
          </w:tcPr>
          <w:p>
            <w:pPr>
              <w:spacing w:after="0"/>
              <w:rPr>
                <w:sz w:val="1"/>
                <w:szCs w:val="1"/>
                <w:color w:val="auto"/>
              </w:rPr>
            </w:pPr>
          </w:p>
        </w:tc>
      </w:tr>
      <w:tr>
        <w:trPr>
          <w:trHeight w:val="195"/>
        </w:trPr>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24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20,343,000</w:t>
            </w:r>
          </w:p>
        </w:tc>
        <w:tc>
          <w:tcPr>
            <w:tcW w:w="20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18,714,000</w:t>
            </w:r>
          </w:p>
        </w:tc>
        <w:tc>
          <w:tcPr>
            <w:tcW w:w="20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16,024,000</w:t>
            </w:r>
          </w:p>
        </w:tc>
        <w:tc>
          <w:tcPr>
            <w:tcW w:w="2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88.8 %</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88.38</w:t>
            </w:r>
          </w:p>
        </w:tc>
        <w:tc>
          <w:tcPr>
            <w:tcW w:w="0" w:type="dxa"/>
            <w:vAlign w:val="bottom"/>
          </w:tcPr>
          <w:p>
            <w:pPr>
              <w:spacing w:after="0"/>
              <w:rPr>
                <w:sz w:val="1"/>
                <w:szCs w:val="1"/>
                <w:color w:val="auto"/>
              </w:rPr>
            </w:pPr>
          </w:p>
        </w:tc>
      </w:tr>
      <w:tr>
        <w:trPr>
          <w:trHeight w:val="189"/>
        </w:trPr>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2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20,383,000</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18,699,000</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16,001,000</w:t>
            </w:r>
          </w:p>
        </w:tc>
        <w:tc>
          <w:tcPr>
            <w:tcW w:w="2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86.30</w:t>
            </w:r>
          </w:p>
        </w:tc>
        <w:tc>
          <w:tcPr>
            <w:tcW w:w="0" w:type="dxa"/>
            <w:vAlign w:val="bottom"/>
          </w:tcPr>
          <w:p>
            <w:pPr>
              <w:spacing w:after="0"/>
              <w:rPr>
                <w:sz w:val="1"/>
                <w:szCs w:val="1"/>
                <w:color w:val="auto"/>
              </w:rPr>
            </w:pPr>
          </w:p>
        </w:tc>
      </w:tr>
      <w:tr>
        <w:trPr>
          <w:trHeight w:val="204"/>
        </w:trPr>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19,902,000</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18,724,000</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16,028,000</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91.9 %</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83.98</w:t>
            </w:r>
          </w:p>
        </w:tc>
        <w:tc>
          <w:tcPr>
            <w:tcW w:w="0" w:type="dxa"/>
            <w:vAlign w:val="bottom"/>
          </w:tcPr>
          <w:p>
            <w:pPr>
              <w:spacing w:after="0"/>
              <w:rPr>
                <w:sz w:val="1"/>
                <w:szCs w:val="1"/>
                <w:color w:val="auto"/>
              </w:rPr>
            </w:pPr>
          </w:p>
        </w:tc>
      </w:tr>
      <w:tr>
        <w:trPr>
          <w:trHeight w:val="189"/>
        </w:trPr>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2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20,630,000</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19,442,000</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16,757,000</w:t>
            </w:r>
          </w:p>
        </w:tc>
        <w:tc>
          <w:tcPr>
            <w:tcW w:w="2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80.01</w:t>
            </w:r>
          </w:p>
        </w:tc>
        <w:tc>
          <w:tcPr>
            <w:tcW w:w="0" w:type="dxa"/>
            <w:vAlign w:val="bottom"/>
          </w:tcPr>
          <w:p>
            <w:pPr>
              <w:spacing w:after="0"/>
              <w:rPr>
                <w:sz w:val="1"/>
                <w:szCs w:val="1"/>
                <w:color w:val="auto"/>
              </w:rPr>
            </w:pPr>
          </w:p>
        </w:tc>
      </w:tr>
      <w:tr>
        <w:trPr>
          <w:trHeight w:val="204"/>
        </w:trPr>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20,586,000</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18,361,000</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15,413,000</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93.4 %</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79.05</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Retail:</w:t>
      </w:r>
    </w:p>
    <w:p>
      <w:pPr>
        <w:spacing w:after="0" w:line="102"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Vornado's Ownership Interest</w:t>
            </w: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1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 Service</w:t>
            </w:r>
          </w:p>
        </w:tc>
        <w:tc>
          <w:tcPr>
            <w:tcW w:w="1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tcPr>
          <w:p>
            <w:pPr>
              <w:jc w:val="center"/>
              <w:ind w:right="30"/>
              <w:spacing w:after="0" w:line="124"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 Service</w:t>
            </w:r>
          </w:p>
        </w:tc>
        <w:tc>
          <w:tcPr>
            <w:tcW w:w="1860" w:type="dxa"/>
            <w:vAlign w:val="bottom"/>
            <w:gridSpan w:val="2"/>
            <w:vMerge w:val="continue"/>
          </w:tcPr>
          <w:p>
            <w:pPr>
              <w:spacing w:after="0"/>
              <w:rPr>
                <w:sz w:val="12"/>
                <w:szCs w:val="12"/>
                <w:color w:val="auto"/>
              </w:rPr>
            </w:pPr>
          </w:p>
        </w:tc>
        <w:tc>
          <w:tcPr>
            <w:tcW w:w="1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Occupancy</w:t>
            </w:r>
          </w:p>
        </w:tc>
        <w:tc>
          <w:tcPr>
            <w:tcW w:w="80" w:type="dxa"/>
            <w:vAlign w:val="bottom"/>
          </w:tcPr>
          <w:p>
            <w:pPr>
              <w:spacing w:after="0"/>
              <w:rPr>
                <w:sz w:val="12"/>
                <w:szCs w:val="12"/>
                <w:color w:val="auto"/>
              </w:rPr>
            </w:pPr>
          </w:p>
        </w:tc>
        <w:tc>
          <w:tcPr>
            <w:tcW w:w="1700" w:type="dxa"/>
            <w:vAlign w:val="bottom"/>
          </w:tcPr>
          <w:p>
            <w:pPr>
              <w:jc w:val="center"/>
              <w:ind w:right="3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Average Annual Escalated</w:t>
            </w:r>
          </w:p>
        </w:tc>
        <w:tc>
          <w:tcPr>
            <w:tcW w:w="0" w:type="dxa"/>
            <w:vAlign w:val="bottom"/>
          </w:tcPr>
          <w:p>
            <w:pPr>
              <w:spacing w:after="0"/>
              <w:rPr>
                <w:sz w:val="1"/>
                <w:szCs w:val="1"/>
                <w:color w:val="auto"/>
              </w:rPr>
            </w:pPr>
          </w:p>
        </w:tc>
      </w:tr>
      <w:tr>
        <w:trPr>
          <w:trHeight w:val="144"/>
        </w:trPr>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 Square Feet</w:t>
            </w:r>
          </w:p>
        </w:tc>
        <w:tc>
          <w:tcPr>
            <w:tcW w:w="1860" w:type="dxa"/>
            <w:vAlign w:val="bottom"/>
            <w:gridSpan w:val="2"/>
            <w:vMerge w:val="continue"/>
          </w:tcPr>
          <w:p>
            <w:pPr>
              <w:spacing w:after="0"/>
              <w:rPr>
                <w:sz w:val="12"/>
                <w:szCs w:val="12"/>
                <w:color w:val="auto"/>
              </w:rPr>
            </w:pPr>
          </w:p>
        </w:tc>
        <w:tc>
          <w:tcPr>
            <w:tcW w:w="186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Square Feet</w:t>
            </w:r>
          </w:p>
        </w:tc>
        <w:tc>
          <w:tcPr>
            <w:tcW w:w="1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jc w:val="center"/>
              <w:ind w:right="30"/>
              <w:spacing w:after="0" w:line="144" w:lineRule="exact"/>
              <w:rPr>
                <w:sz w:val="20"/>
                <w:szCs w:val="20"/>
                <w:color w:val="auto"/>
              </w:rPr>
            </w:pPr>
            <w:r>
              <w:rPr>
                <w:rFonts w:ascii="Times New Roman" w:cs="Times New Roman" w:eastAsia="Times New Roman" w:hAnsi="Times New Roman"/>
                <w:sz w:val="14"/>
                <w:szCs w:val="14"/>
                <w:b w:val="1"/>
                <w:bCs w:val="1"/>
                <w:color w:val="auto"/>
                <w:w w:val="97"/>
              </w:rPr>
              <w:t>Rent</w:t>
            </w:r>
          </w:p>
        </w:tc>
        <w:tc>
          <w:tcPr>
            <w:tcW w:w="0" w:type="dxa"/>
            <w:vAlign w:val="bottom"/>
          </w:tcPr>
          <w:p>
            <w:pPr>
              <w:spacing w:after="0"/>
              <w:rPr>
                <w:sz w:val="1"/>
                <w:szCs w:val="1"/>
                <w:color w:val="auto"/>
              </w:rPr>
            </w:pPr>
          </w:p>
        </w:tc>
      </w:tr>
      <w:tr>
        <w:trPr>
          <w:trHeight w:val="190"/>
        </w:trPr>
        <w:tc>
          <w:tcPr>
            <w:tcW w:w="178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At Share</w:t>
            </w: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80" w:type="dxa"/>
            <w:vAlign w:val="bottom"/>
          </w:tcPr>
          <w:p>
            <w:pPr>
              <w:spacing w:after="0"/>
              <w:rPr>
                <w:sz w:val="16"/>
                <w:szCs w:val="16"/>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7"/>
              </w:rPr>
              <w:t>Per Square Foot</w:t>
            </w:r>
          </w:p>
        </w:tc>
        <w:tc>
          <w:tcPr>
            <w:tcW w:w="0" w:type="dxa"/>
            <w:vAlign w:val="bottom"/>
          </w:tcPr>
          <w:p>
            <w:pPr>
              <w:spacing w:after="0"/>
              <w:rPr>
                <w:sz w:val="1"/>
                <w:szCs w:val="1"/>
                <w:color w:val="auto"/>
              </w:rPr>
            </w:pPr>
          </w:p>
        </w:tc>
      </w:tr>
      <w:tr>
        <w:trPr>
          <w:trHeight w:val="196"/>
        </w:trPr>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24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2,421,000</w:t>
            </w:r>
          </w:p>
        </w:tc>
        <w:tc>
          <w:tcPr>
            <w:tcW w:w="2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2,387,000</w:t>
            </w:r>
          </w:p>
        </w:tc>
        <w:tc>
          <w:tcPr>
            <w:tcW w:w="2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1,943,000</w:t>
            </w:r>
          </w:p>
        </w:tc>
        <w:tc>
          <w:tcPr>
            <w:tcW w:w="2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73.7 %</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213.05</w:t>
            </w:r>
          </w:p>
        </w:tc>
        <w:tc>
          <w:tcPr>
            <w:tcW w:w="0" w:type="dxa"/>
            <w:vAlign w:val="bottom"/>
          </w:tcPr>
          <w:p>
            <w:pPr>
              <w:spacing w:after="0"/>
              <w:rPr>
                <w:sz w:val="1"/>
                <w:szCs w:val="1"/>
                <w:color w:val="auto"/>
              </w:rPr>
            </w:pPr>
          </w:p>
        </w:tc>
      </w:tr>
      <w:tr>
        <w:trPr>
          <w:trHeight w:val="189"/>
        </w:trPr>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240" w:type="dxa"/>
            <w:vAlign w:val="bottom"/>
          </w:tcPr>
          <w:p>
            <w:pPr>
              <w:spacing w:after="0"/>
              <w:rPr>
                <w:sz w:val="16"/>
                <w:szCs w:val="16"/>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2,394,000</w:t>
            </w:r>
          </w:p>
        </w:tc>
        <w:tc>
          <w:tcPr>
            <w:tcW w:w="200" w:type="dxa"/>
            <w:vAlign w:val="bottom"/>
          </w:tcPr>
          <w:p>
            <w:pPr>
              <w:spacing w:after="0"/>
              <w:rPr>
                <w:sz w:val="16"/>
                <w:szCs w:val="16"/>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2,123,000</w:t>
            </w:r>
          </w:p>
        </w:tc>
        <w:tc>
          <w:tcPr>
            <w:tcW w:w="200" w:type="dxa"/>
            <w:vAlign w:val="bottom"/>
          </w:tcPr>
          <w:p>
            <w:pPr>
              <w:spacing w:after="0"/>
              <w:rPr>
                <w:sz w:val="16"/>
                <w:szCs w:val="16"/>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1,684,000</w:t>
            </w:r>
          </w:p>
        </w:tc>
        <w:tc>
          <w:tcPr>
            <w:tcW w:w="2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74.9 %</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224.88</w:t>
            </w:r>
          </w:p>
        </w:tc>
        <w:tc>
          <w:tcPr>
            <w:tcW w:w="0" w:type="dxa"/>
            <w:vAlign w:val="bottom"/>
          </w:tcPr>
          <w:p>
            <w:pPr>
              <w:spacing w:after="0"/>
              <w:rPr>
                <w:sz w:val="1"/>
                <w:szCs w:val="1"/>
                <w:color w:val="auto"/>
              </w:rPr>
            </w:pPr>
          </w:p>
        </w:tc>
      </w:tr>
      <w:tr>
        <w:trPr>
          <w:trHeight w:val="204"/>
        </w:trPr>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2,556,000</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2,289,000</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1,851,000</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74.4 %</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215.72</w:t>
            </w:r>
          </w:p>
        </w:tc>
        <w:tc>
          <w:tcPr>
            <w:tcW w:w="0" w:type="dxa"/>
            <w:vAlign w:val="bottom"/>
          </w:tcPr>
          <w:p>
            <w:pPr>
              <w:spacing w:after="0"/>
              <w:rPr>
                <w:sz w:val="1"/>
                <w:szCs w:val="1"/>
                <w:color w:val="auto"/>
              </w:rPr>
            </w:pPr>
          </w:p>
        </w:tc>
      </w:tr>
      <w:tr>
        <w:trPr>
          <w:trHeight w:val="189"/>
        </w:trPr>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240" w:type="dxa"/>
            <w:vAlign w:val="bottom"/>
          </w:tcPr>
          <w:p>
            <w:pPr>
              <w:spacing w:after="0"/>
              <w:rPr>
                <w:sz w:val="16"/>
                <w:szCs w:val="16"/>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2,693,000</w:t>
            </w:r>
          </w:p>
        </w:tc>
        <w:tc>
          <w:tcPr>
            <w:tcW w:w="200" w:type="dxa"/>
            <w:vAlign w:val="bottom"/>
          </w:tcPr>
          <w:p>
            <w:pPr>
              <w:spacing w:after="0"/>
              <w:rPr>
                <w:sz w:val="16"/>
                <w:szCs w:val="16"/>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2,267,000</w:t>
            </w:r>
          </w:p>
        </w:tc>
        <w:tc>
          <w:tcPr>
            <w:tcW w:w="200" w:type="dxa"/>
            <w:vAlign w:val="bottom"/>
          </w:tcPr>
          <w:p>
            <w:pPr>
              <w:spacing w:after="0"/>
              <w:rPr>
                <w:sz w:val="16"/>
                <w:szCs w:val="16"/>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1,825,000</w:t>
            </w:r>
          </w:p>
        </w:tc>
        <w:tc>
          <w:tcPr>
            <w:tcW w:w="2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80.7 %</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214.22</w:t>
            </w:r>
          </w:p>
        </w:tc>
        <w:tc>
          <w:tcPr>
            <w:tcW w:w="0" w:type="dxa"/>
            <w:vAlign w:val="bottom"/>
          </w:tcPr>
          <w:p>
            <w:pPr>
              <w:spacing w:after="0"/>
              <w:rPr>
                <w:sz w:val="1"/>
                <w:szCs w:val="1"/>
                <w:color w:val="auto"/>
              </w:rPr>
            </w:pPr>
          </w:p>
        </w:tc>
      </w:tr>
      <w:tr>
        <w:trPr>
          <w:trHeight w:val="204"/>
        </w:trPr>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2,690,000</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2,275,000</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1,805,000</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78.8 %</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226.38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Occupancy and average monthly rent per unit: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Residential:</w:t>
      </w:r>
    </w:p>
    <w:p>
      <w:pPr>
        <w:spacing w:after="0" w:line="154"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98"/>
              </w:rPr>
              <w:t>Vornado's Ownership Interest</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20" w:type="dxa"/>
            <w:vAlign w:val="bottom"/>
            <w:tcBorders>
              <w:bottom w:val="single" w:sz="8" w:color="auto"/>
            </w:tcBorders>
            <w:gridSpan w:val="2"/>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18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20" w:type="dxa"/>
            <w:vAlign w:val="bottom"/>
            <w:gridSpan w:val="2"/>
            <w:vMerge w:val="continue"/>
          </w:tcPr>
          <w:p>
            <w:pPr>
              <w:spacing w:after="0"/>
              <w:rPr>
                <w:sz w:val="10"/>
                <w:szCs w:val="10"/>
                <w:color w:val="auto"/>
              </w:rPr>
            </w:pPr>
          </w:p>
        </w:tc>
        <w:tc>
          <w:tcPr>
            <w:tcW w:w="182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2160" w:type="dxa"/>
            <w:vAlign w:val="bottom"/>
            <w:gridSpan w:val="3"/>
          </w:tcPr>
          <w:p>
            <w:pPr>
              <w:jc w:val="center"/>
              <w:ind w:right="230"/>
              <w:spacing w:after="0" w:line="124" w:lineRule="exact"/>
              <w:rPr>
                <w:sz w:val="20"/>
                <w:szCs w:val="20"/>
                <w:color w:val="auto"/>
              </w:rPr>
            </w:pPr>
            <w:r>
              <w:rPr>
                <w:rFonts w:ascii="Times New Roman" w:cs="Times New Roman" w:eastAsia="Times New Roman" w:hAnsi="Times New Roman"/>
                <w:sz w:val="14"/>
                <w:szCs w:val="14"/>
                <w:b w:val="1"/>
                <w:bCs w:val="1"/>
                <w:color w:val="auto"/>
                <w:w w:val="98"/>
              </w:rPr>
              <w:t>Occupancy</w:t>
            </w:r>
          </w:p>
        </w:tc>
        <w:tc>
          <w:tcPr>
            <w:tcW w:w="1500" w:type="dxa"/>
            <w:vAlign w:val="bottom"/>
          </w:tcPr>
          <w:p>
            <w:pPr>
              <w:jc w:val="right"/>
              <w:ind w:right="270"/>
              <w:spacing w:after="0" w:line="124" w:lineRule="exact"/>
              <w:rPr>
                <w:sz w:val="20"/>
                <w:szCs w:val="20"/>
                <w:color w:val="auto"/>
              </w:rPr>
            </w:pPr>
            <w:r>
              <w:rPr>
                <w:rFonts w:ascii="Times New Roman" w:cs="Times New Roman" w:eastAsia="Times New Roman" w:hAnsi="Times New Roman"/>
                <w:sz w:val="14"/>
                <w:szCs w:val="14"/>
                <w:b w:val="1"/>
                <w:bCs w:val="1"/>
                <w:color w:val="auto"/>
              </w:rPr>
              <w:t>Average Monthly</w:t>
            </w:r>
          </w:p>
        </w:tc>
        <w:tc>
          <w:tcPr>
            <w:tcW w:w="0" w:type="dxa"/>
            <w:vAlign w:val="bottom"/>
          </w:tcPr>
          <w:p>
            <w:pPr>
              <w:spacing w:after="0"/>
              <w:rPr>
                <w:sz w:val="1"/>
                <w:szCs w:val="1"/>
                <w:color w:val="auto"/>
              </w:rPr>
            </w:pPr>
          </w:p>
        </w:tc>
      </w:tr>
      <w:tr>
        <w:trPr>
          <w:trHeight w:val="190"/>
        </w:trPr>
        <w:tc>
          <w:tcPr>
            <w:tcW w:w="1860" w:type="dxa"/>
            <w:vAlign w:val="bottom"/>
            <w:gridSpan w:val="2"/>
            <w:vMerge w:val="continue"/>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Number of Units</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Number of Units</w:t>
            </w:r>
          </w:p>
        </w:tc>
        <w:tc>
          <w:tcPr>
            <w:tcW w:w="2160" w:type="dxa"/>
            <w:vAlign w:val="bottom"/>
            <w:gridSpan w:val="3"/>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50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Rent Per Unit</w:t>
            </w:r>
          </w:p>
        </w:tc>
        <w:tc>
          <w:tcPr>
            <w:tcW w:w="0" w:type="dxa"/>
            <w:vAlign w:val="bottom"/>
          </w:tcPr>
          <w:p>
            <w:pPr>
              <w:spacing w:after="0"/>
              <w:rPr>
                <w:sz w:val="1"/>
                <w:szCs w:val="1"/>
                <w:color w:val="auto"/>
              </w:rPr>
            </w:pPr>
          </w:p>
        </w:tc>
      </w:tr>
      <w:tr>
        <w:trPr>
          <w:trHeight w:val="196"/>
        </w:trPr>
        <w:tc>
          <w:tcPr>
            <w:tcW w:w="17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96.6 %</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4,713</w:t>
            </w:r>
          </w:p>
        </w:tc>
        <w:tc>
          <w:tcPr>
            <w:tcW w:w="0" w:type="dxa"/>
            <w:vAlign w:val="bottom"/>
          </w:tcPr>
          <w:p>
            <w:pPr>
              <w:spacing w:after="0"/>
              <w:rPr>
                <w:sz w:val="1"/>
                <w:szCs w:val="1"/>
                <w:color w:val="auto"/>
              </w:rPr>
            </w:pPr>
          </w:p>
        </w:tc>
      </w:tr>
      <w:tr>
        <w:trPr>
          <w:trHeight w:val="189"/>
        </w:trPr>
        <w:tc>
          <w:tcPr>
            <w:tcW w:w="176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10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0" w:type="dxa"/>
            <w:vAlign w:val="bottom"/>
          </w:tcPr>
          <w:p>
            <w:pPr>
              <w:spacing w:after="0"/>
              <w:rPr>
                <w:sz w:val="1"/>
                <w:szCs w:val="1"/>
                <w:color w:val="auto"/>
              </w:rPr>
            </w:pPr>
          </w:p>
        </w:tc>
      </w:tr>
      <w:tr>
        <w:trPr>
          <w:trHeight w:val="204"/>
        </w:trPr>
        <w:tc>
          <w:tcPr>
            <w:tcW w:w="1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3,882</w:t>
            </w:r>
          </w:p>
        </w:tc>
        <w:tc>
          <w:tcPr>
            <w:tcW w:w="0" w:type="dxa"/>
            <w:vAlign w:val="bottom"/>
          </w:tcPr>
          <w:p>
            <w:pPr>
              <w:spacing w:after="0"/>
              <w:rPr>
                <w:sz w:val="1"/>
                <w:szCs w:val="1"/>
                <w:color w:val="auto"/>
              </w:rPr>
            </w:pPr>
          </w:p>
        </w:tc>
      </w:tr>
      <w:tr>
        <w:trPr>
          <w:trHeight w:val="189"/>
        </w:trPr>
        <w:tc>
          <w:tcPr>
            <w:tcW w:w="176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0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0" w:type="dxa"/>
            <w:vAlign w:val="bottom"/>
          </w:tcPr>
          <w:p>
            <w:pPr>
              <w:spacing w:after="0"/>
              <w:rPr>
                <w:sz w:val="1"/>
                <w:szCs w:val="1"/>
                <w:color w:val="auto"/>
              </w:rPr>
            </w:pPr>
          </w:p>
        </w:tc>
      </w:tr>
      <w:tr>
        <w:trPr>
          <w:trHeight w:val="204"/>
        </w:trPr>
        <w:tc>
          <w:tcPr>
            <w:tcW w:w="1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NEW YORK – CONTINUED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expirations as of December 31, 2024 (at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4"/>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Annualized Escalated Rents</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Expiring</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Square Feet of</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of Expiring Leases</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52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4"/>
                <w:szCs w:val="14"/>
                <w:b w:val="1"/>
                <w:bCs w:val="1"/>
                <w:color w:val="auto"/>
                <w:w w:val="96"/>
              </w:rPr>
              <w:t>Expiring Leases</w:t>
            </w:r>
            <w:r>
              <w:rPr>
                <w:rFonts w:ascii="Times New Roman" w:cs="Times New Roman" w:eastAsia="Times New Roman" w:hAnsi="Times New Roman"/>
                <w:sz w:val="18"/>
                <w:szCs w:val="18"/>
                <w:b w:val="1"/>
                <w:bCs w:val="1"/>
                <w:color w:val="auto"/>
                <w:w w:val="96"/>
                <w:vertAlign w:val="superscript"/>
              </w:rPr>
              <w:t>(1)</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New York Square Feet</w:t>
            </w:r>
          </w:p>
        </w:tc>
        <w:tc>
          <w:tcPr>
            <w:tcW w:w="320" w:type="dxa"/>
            <w:vAlign w:val="bottom"/>
          </w:tcPr>
          <w:p>
            <w:pPr>
              <w:spacing w:after="0"/>
              <w:rPr>
                <w:sz w:val="17"/>
                <w:szCs w:val="17"/>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7"/>
                <w:szCs w:val="17"/>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Per Square Foot</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10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Fourth Quarter 2024</w:t>
            </w:r>
            <w:r>
              <w:rPr>
                <w:rFonts w:ascii="Times New Roman" w:cs="Times New Roman" w:eastAsia="Times New Roman" w:hAnsi="Times New Roman"/>
                <w:sz w:val="18"/>
                <w:szCs w:val="18"/>
                <w:b w:val="1"/>
                <w:bCs w:val="1"/>
                <w:color w:val="auto"/>
                <w:vertAlign w:val="superscript"/>
              </w:rPr>
              <w:t>(2)</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9"/>
              </w:rPr>
              <w:t>13</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56,000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0.4%</w:t>
            </w:r>
          </w:p>
        </w:tc>
        <w:tc>
          <w:tcPr>
            <w:tcW w:w="100" w:type="dxa"/>
            <w:vAlign w:val="bottom"/>
          </w:tcPr>
          <w:p>
            <w:pPr>
              <w:spacing w:after="0"/>
              <w:rPr>
                <w:sz w:val="18"/>
                <w:szCs w:val="18"/>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4,394,000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78.46</w:t>
            </w:r>
          </w:p>
        </w:tc>
        <w:tc>
          <w:tcPr>
            <w:tcW w:w="360" w:type="dxa"/>
            <w:vAlign w:val="bottom"/>
            <w:vMerge w:val="restart"/>
          </w:tcPr>
          <w:p>
            <w:pPr>
              <w:jc w:val="right"/>
              <w:ind w:right="175"/>
              <w:spacing w:after="0"/>
              <w:rPr>
                <w:sz w:val="20"/>
                <w:szCs w:val="20"/>
                <w:color w:val="auto"/>
              </w:rPr>
            </w:pP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9"/>
              </w:rPr>
              <w:t>67</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591,000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45,517,000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77.02</w:t>
            </w:r>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5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72</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1,163,000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8.3%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96,849,000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83.28</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1,341,000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9.6%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107,992,000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80.53</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2028</w:t>
            </w:r>
            <w:r>
              <w:rPr>
                <w:rFonts w:ascii="Times New Roman" w:cs="Times New Roman" w:eastAsia="Times New Roman" w:hAnsi="Times New Roman"/>
                <w:sz w:val="18"/>
                <w:szCs w:val="18"/>
                <w:b w:val="1"/>
                <w:bCs w:val="1"/>
                <w:color w:val="auto"/>
                <w:vertAlign w:val="superscript"/>
              </w:rPr>
              <w:t>(4)</w:t>
            </w:r>
          </w:p>
        </w:tc>
        <w:tc>
          <w:tcPr>
            <w:tcW w:w="15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67</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1,051,000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7.5%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85,447,000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81.30</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9"/>
              </w:rPr>
              <w:t>72</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1,290,000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9.2%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106,828,000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5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64</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691,000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4.9%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57,851,000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83.72</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9"/>
              </w:rPr>
              <w:t>37</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696,000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64,668,000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2032</w:t>
            </w:r>
          </w:p>
        </w:tc>
        <w:tc>
          <w:tcPr>
            <w:tcW w:w="15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32</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1,014,000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7.2%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99,800,000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98.42</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2033</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9"/>
              </w:rPr>
              <w:t>20</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517,000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44,524,000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2034</w:t>
            </w:r>
          </w:p>
        </w:tc>
        <w:tc>
          <w:tcPr>
            <w:tcW w:w="15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29</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748,000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5.8%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78,714,000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105.23</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Fourth Quarter 2024</w:t>
            </w:r>
            <w:r>
              <w:rPr>
                <w:rFonts w:ascii="Times New Roman" w:cs="Times New Roman" w:eastAsia="Times New Roman" w:hAnsi="Times New Roman"/>
                <w:sz w:val="18"/>
                <w:szCs w:val="18"/>
                <w:b w:val="1"/>
                <w:bCs w:val="1"/>
                <w:color w:val="auto"/>
                <w:vertAlign w:val="superscript"/>
              </w:rPr>
              <w:t>(2)</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85"/>
              </w:rPr>
              <w:t>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0.1%</w:t>
            </w:r>
          </w:p>
        </w:tc>
        <w:tc>
          <w:tcPr>
            <w:tcW w:w="100" w:type="dxa"/>
            <w:vAlign w:val="bottom"/>
          </w:tcPr>
          <w:p>
            <w:pPr>
              <w:spacing w:after="0"/>
              <w:rPr>
                <w:sz w:val="19"/>
                <w:szCs w:val="19"/>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266.00</w:t>
            </w:r>
          </w:p>
        </w:tc>
        <w:tc>
          <w:tcPr>
            <w:tcW w:w="360" w:type="dxa"/>
            <w:vAlign w:val="bottom"/>
            <w:vMerge w:val="restart"/>
          </w:tcPr>
          <w:p>
            <w:pPr>
              <w:jc w:val="right"/>
              <w:ind w:right="175"/>
              <w:spacing w:after="0"/>
              <w:rPr>
                <w:sz w:val="20"/>
                <w:szCs w:val="20"/>
                <w:color w:val="auto"/>
              </w:rPr>
            </w:pPr>
            <w:r>
              <w:rPr>
                <w:rFonts w:ascii="Times New Roman" w:cs="Times New Roman" w:eastAsia="Times New Roman" w:hAnsi="Times New Roman"/>
                <w:sz w:val="9"/>
                <w:szCs w:val="9"/>
                <w:b w:val="1"/>
                <w:bCs w:val="1"/>
                <w:color w:val="auto"/>
              </w:rPr>
              <w:t>(5)</w:t>
            </w: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9"/>
              </w:rPr>
              <w:t>15</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15,092,000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84.79</w:t>
            </w:r>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5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11</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6.6%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26,722,000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318.12</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9"/>
              </w:rPr>
              <w:t>12</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4.1%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21,514,000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413.73</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5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85"/>
              </w:rPr>
              <w:t>9</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10,978,000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406.59</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9"/>
              </w:rPr>
              <w:t>12</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23,559,000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444.51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5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18</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24,458,000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167.52</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9"/>
              </w:rPr>
              <w:t>25</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5.3%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31,214,000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459.03</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2032</w:t>
            </w:r>
          </w:p>
        </w:tc>
        <w:tc>
          <w:tcPr>
            <w:tcW w:w="15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22</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4.3%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30,115,000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547.55</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2033</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9"/>
              </w:rPr>
              <w:t>12</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10,754,000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325.88</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2034</w:t>
            </w:r>
          </w:p>
        </w:tc>
        <w:tc>
          <w:tcPr>
            <w:tcW w:w="15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27</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17,308,000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125.42</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-2993390</wp:posOffset>
            </wp:positionV>
            <wp:extent cx="7136130" cy="1244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-1371600</wp:posOffset>
            </wp:positionV>
            <wp:extent cx="7136130" cy="1244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12446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10" w:lineRule="exact"/>
        <w:rPr>
          <w:sz w:val="20"/>
          <w:szCs w:val="20"/>
          <w:color w:val="auto"/>
        </w:rPr>
      </w:pPr>
    </w:p>
    <w:p>
      <w:pPr>
        <w:ind w:left="320" w:hanging="315"/>
        <w:spacing w:after="0"/>
        <w:tabs>
          <w:tab w:leader="none" w:pos="320"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Excludes storage, vacancy and other.</w:t>
      </w:r>
    </w:p>
    <w:p>
      <w:pPr>
        <w:spacing w:after="0" w:line="5"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month-to-month leases, holdover tenants, and leases expiring on the last day of the current quarter.</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Based on current market conditions, we expect to re-lease this space at rents between $80 to $90 per square foot.</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line="244" w:lineRule="auto"/>
        <w:tabs>
          <w:tab w:leader="none" w:pos="312"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Excludes the expiration of 492,000 square feet at 909 Third Avenue for U.S. Post Office as we assume the exercise of all renewal options through 2038 given the below-market rent on their options.</w:t>
      </w:r>
    </w:p>
    <w:p>
      <w:pPr>
        <w:ind w:left="320" w:hanging="315"/>
        <w:spacing w:after="0"/>
        <w:tabs>
          <w:tab w:leader="none" w:pos="320"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Based on current market conditions, we expect to re-lease this space at rents between $125 to $150 per square foot.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Alexander’s</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As of December 31, 2024, we own 32.4% of the outstanding common stock of Alexander’s, which owns five properties in the greater New York City aggregating 2.5 million square feet, including 731 Lexington Avenue, the 1.1 million square foot Bloomberg L.P. headquarters building. As of December 31, 2024, Alexander's had an occupancy rate of 99.1% and a weighted average annual rent per square foot of $119.53.</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REAL ESTATE AND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MART</w:t>
      </w:r>
    </w:p>
    <w:p>
      <w:pPr>
        <w:spacing w:after="0" w:line="6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We own the 3.7 million square foot THE MART in Chicago, whose largest tenant is Motorola Mobility at 609,000 square feet, the lease of which is guaranteed by Google. As of December 31, 2024, THE MART had an occupancy rate of 80.1% and a weighted average annual rent per square foot of $53.32.</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555 California Street</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own a 70% controlling interest in a three-building office complex aggregating 1.8 million square feet, located at California and Montgomery Streets in San Francisco’s financial district (“555 California Street”). As of December 31, 2024, 555 California Street had an occupancy rate of 92.0% and a weighted average annual rent per square foot of $98.90.</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1" w:name="page32"/>
    <w:bookmarkEnd w:id="31"/>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3.</w:t>
        <w:tab/>
        <w:t>LEGAL PROCEEDINGS</w:t>
      </w:r>
    </w:p>
    <w:p>
      <w:pPr>
        <w:spacing w:after="0" w:line="6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We are from time to time involved in legal actions arising in the ordinary course of business. In our opinion, after consultation with legal counsel, the outcome of such matters is not expected to have a material adverse effect on our financial position, results of operations or cash flows.</w:t>
      </w:r>
    </w:p>
    <w:p>
      <w:pPr>
        <w:spacing w:after="0" w:line="4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19" w:lineRule="exact"/>
        <w:rPr>
          <w:sz w:val="20"/>
          <w:szCs w:val="20"/>
          <w:color w:val="auto"/>
        </w:rPr>
      </w:pPr>
    </w:p>
    <w:p>
      <w:pPr>
        <w:jc w:val="both"/>
        <w:ind w:left="1000" w:hanging="1256"/>
        <w:spacing w:after="0" w:line="289" w:lineRule="auto"/>
        <w:tabs>
          <w:tab w:leader="none" w:pos="98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Vornado’s common shares are traded on the New York Stock Exchange under the symbol “VNO.”</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February 1, 2025, there were 695 holders of record of Vornado common shares.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Vornado Realty L.P.</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There is no established trading market for the Operating Partnership's Class A units. Class A units that are not held by Vornado may be tendered for redemption to the Operating Partnership for cash; Vornado, at its option, may assume that obligation and pay the holder either cash or Vornado common shares on a one-for-one basis. Because the number of Vornado common shares outstanding at all times equals the number of Class A units owned by Vornado, the redemption value of each Class A unit is equivalent to the market value of one Vornado common share, and the distribution to a Class A unit holder is equal to the dividend paid to a Vornado common shareholder.</w:t>
      </w:r>
    </w:p>
    <w:p>
      <w:pPr>
        <w:spacing w:after="0" w:line="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February 1, 2025, there were 842 Class A unitholders of record.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Vornado Realty Trust</w:t>
      </w:r>
    </w:p>
    <w:p>
      <w:pPr>
        <w:spacing w:after="0" w:line="70"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During the fourth quarter of 2024, Vornado issued 197,519 of its common shares for the redemption of Class A units by certain limited partners of Vornado Realty L.P., and conversions of Series A preferred shares. Such shares were issued in reliance on an exemption from registration under Section 4(a)(2) of the Securities Act of 1933, as amended.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Vornado Realty L.P.</w:t>
      </w:r>
    </w:p>
    <w:p>
      <w:pPr>
        <w:spacing w:after="0" w:line="70"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During the fourth quarter of 2024, Vornado Realty L.P. issued (i) 54,929 Class A units to satisfy conversions of restricted Operating Partnership units (“LTIP Units”) (ii) 195 Class A units to satisfy conversions of appreciation-only long-term incentive plan units (“AO LTIP Units”), and (iii) 2,319 LTIP Units pursuant to Vornado’s 2023 Omnibus Share Plan.</w:t>
      </w:r>
    </w:p>
    <w:p>
      <w:pPr>
        <w:spacing w:after="0" w:line="7" w:lineRule="exact"/>
        <w:rPr>
          <w:sz w:val="20"/>
          <w:szCs w:val="20"/>
          <w:color w:val="auto"/>
        </w:rPr>
      </w:pPr>
    </w:p>
    <w:p>
      <w:pPr>
        <w:jc w:val="both"/>
        <w:ind w:firstLine="393"/>
        <w:spacing w:after="0" w:line="289" w:lineRule="auto"/>
        <w:rPr>
          <w:sz w:val="20"/>
          <w:szCs w:val="20"/>
          <w:color w:val="auto"/>
        </w:rPr>
      </w:pPr>
      <w:r>
        <w:rPr>
          <w:rFonts w:ascii="Times New Roman" w:cs="Times New Roman" w:eastAsia="Times New Roman" w:hAnsi="Times New Roman"/>
          <w:sz w:val="17"/>
          <w:szCs w:val="17"/>
          <w:color w:val="auto"/>
        </w:rPr>
        <w:t>On December 5, 2024, the Operating Partnership granted 23,190 LTIP Units at a market price of $43.12 per unit to Vornado consultants that are not executives of the Company as part of their annual consulting fees. The units were issued outside of Vornado’s 2023 Omnibus Share Plan.</w:t>
      </w:r>
    </w:p>
    <w:p>
      <w:pPr>
        <w:spacing w:after="0" w:line="1"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All of the securities referred to above were issued in reliance on an exemption from registration under Section 4(a)(2) of the Securities Act of 1933, as amended. There were no cash proceeds associated with these issuances.</w:t>
      </w:r>
    </w:p>
    <w:p>
      <w:pPr>
        <w:spacing w:after="0" w:line="14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From time to time, in connection with equity awards granted under our Omnibus Share Plan, we may withhold common shares for tax purposes or acquire common shares as part of the payment of the exercise price. Although we treat these as repurchases for certain financial statement purposes, these withheld or acquired shares are not considered by us as repurchases for this purpose.</w:t>
      </w:r>
    </w:p>
    <w:p>
      <w:pPr>
        <w:spacing w:after="0" w:line="7"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Information relating to compensation plans under which Vornado’s equity securities are authorized for issuance is set forth under Part III, Item 12 of this Annual Report on Form 10-K and such information is incorporated by reference herein.</w:t>
      </w:r>
    </w:p>
    <w:p>
      <w:pPr>
        <w:spacing w:after="0" w:line="200" w:lineRule="exact"/>
        <w:rPr>
          <w:sz w:val="20"/>
          <w:szCs w:val="20"/>
          <w:color w:val="auto"/>
        </w:rPr>
      </w:pPr>
    </w:p>
    <w:p>
      <w:pPr>
        <w:spacing w:after="0" w:line="3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t>Recent Purchases of Unregistered Securities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Vornado Realty Trust</w:t>
      </w:r>
    </w:p>
    <w:p>
      <w:pPr>
        <w:spacing w:after="0" w:line="70"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In April 2023, our Board of Trustees authorized a share repurchase plan under which Vornado is authorized to repurchase up to $200,000,000 of its outstanding common shares. To the extent Vornado repurchases any of its common shares, in order to fund the common share repurchase and maintain the one-to-one ratio of the number of Vornado common shares outstanding and the number of Class A units owned by Vornado, the Operating Partnership will repurchase from Vornado an equal number of its Class A units at the same price. During the year ended December 31, 2024, no shares were repurchased. As of December 31, 2024, $170,857,000 remained available under the plan and authorized for repurchases. The plan does not have an expiration date and may be suspended or discontinued at any time and does not obligate Vornado to make any repurchases of its common shares.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Vornado Realty L.P.</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42"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 xml:space="preserve">The following graph is a comparison of the five-year cumulative return of Vornado’s common shares, the Standard &amp; Poor’s 400 MidCap Index (the “S&amp;P 400 MidCap Index”), the National Association of Real Estate Investment Trusts’ (“NAREIT”) All Equity Index, and the </w:t>
      </w:r>
      <w:r>
        <w:rPr>
          <w:rFonts w:ascii="Times New Roman" w:cs="Times New Roman" w:eastAsia="Times New Roman" w:hAnsi="Times New Roman"/>
          <w:sz w:val="17"/>
          <w:szCs w:val="17"/>
          <w:color w:val="242424"/>
        </w:rPr>
        <w:t>FTSE NAREIT Equity Office Index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42424"/>
        </w:rPr>
        <w:t xml:space="preserve">(the “FTSE Office”), </w:t>
      </w:r>
      <w:r>
        <w:rPr>
          <w:rFonts w:ascii="Times New Roman" w:cs="Times New Roman" w:eastAsia="Times New Roman" w:hAnsi="Times New Roman"/>
          <w:sz w:val="17"/>
          <w:szCs w:val="17"/>
          <w:color w:val="000000"/>
        </w:rPr>
        <w:t>a peer group index. The graph assumes that $100 was invested on December 31, 2019 in our common shares, the S&amp;P 400 MidCap Index,</w:t>
      </w:r>
      <w:r>
        <w:rPr>
          <w:rFonts w:ascii="Times New Roman" w:cs="Times New Roman" w:eastAsia="Times New Roman" w:hAnsi="Times New Roman"/>
          <w:sz w:val="17"/>
          <w:szCs w:val="17"/>
          <w:color w:val="242424"/>
        </w:rPr>
        <w:t xml:space="preserve"> </w:t>
      </w:r>
      <w:r>
        <w:rPr>
          <w:rFonts w:ascii="Times New Roman" w:cs="Times New Roman" w:eastAsia="Times New Roman" w:hAnsi="Times New Roman"/>
          <w:sz w:val="17"/>
          <w:szCs w:val="17"/>
          <w:color w:val="000000"/>
        </w:rPr>
        <w:t xml:space="preserve">the NAREIT All Equity Index, and the </w:t>
      </w:r>
      <w:r>
        <w:rPr>
          <w:rFonts w:ascii="Times New Roman" w:cs="Times New Roman" w:eastAsia="Times New Roman" w:hAnsi="Times New Roman"/>
          <w:sz w:val="17"/>
          <w:szCs w:val="17"/>
          <w:color w:val="242424"/>
        </w:rPr>
        <w:t>FTSE Office Index</w:t>
      </w:r>
      <w:r>
        <w:rPr>
          <w:rFonts w:ascii="Times New Roman" w:cs="Times New Roman" w:eastAsia="Times New Roman" w:hAnsi="Times New Roman"/>
          <w:sz w:val="17"/>
          <w:szCs w:val="17"/>
          <w:color w:val="000000"/>
        </w:rPr>
        <w:t xml:space="preserve"> and that all dividends were reinvested without the payment of any commissions. There can be no assurance that the performance of our shares will continue in line with the same or similar trends depicted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19685</wp:posOffset>
            </wp:positionV>
            <wp:extent cx="4158615" cy="29108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58615" cy="291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32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Vornado Realty Trust</w:t>
            </w:r>
          </w:p>
        </w:tc>
        <w:tc>
          <w:tcPr>
            <w:tcW w:w="8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79</w:t>
            </w:r>
          </w:p>
        </w:tc>
      </w:tr>
      <w:tr>
        <w:trPr>
          <w:trHeight w:val="189"/>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S&amp;P 400 MidCap Index</w:t>
            </w:r>
          </w:p>
        </w:tc>
        <w:tc>
          <w:tcPr>
            <w:tcW w:w="860" w:type="dxa"/>
            <w:vAlign w:val="bottom"/>
          </w:tcPr>
          <w:p>
            <w:pPr>
              <w:spacing w:after="0"/>
              <w:rPr>
                <w:sz w:val="16"/>
                <w:szCs w:val="16"/>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164</w:t>
            </w:r>
          </w:p>
        </w:tc>
      </w:tr>
      <w:tr>
        <w:trPr>
          <w:trHeight w:val="23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42424"/>
              </w:rPr>
              <w:t>FTSE Office</w:t>
            </w:r>
            <w:r>
              <w:rPr>
                <w:rFonts w:ascii="Times New Roman" w:cs="Times New Roman" w:eastAsia="Times New Roman" w:hAnsi="Times New Roman"/>
                <w:sz w:val="18"/>
                <w:szCs w:val="18"/>
                <w:b w:val="1"/>
                <w:bCs w:val="1"/>
                <w:color w:val="000000"/>
                <w:vertAlign w:val="superscript"/>
              </w:rPr>
              <w:t>(1)</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77</w:t>
            </w:r>
          </w:p>
        </w:tc>
      </w:tr>
      <w:tr>
        <w:trPr>
          <w:trHeight w:val="240"/>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The NAREIT All Equity Index</w:t>
            </w:r>
            <w:r>
              <w:rPr>
                <w:rFonts w:ascii="Times New Roman" w:cs="Times New Roman" w:eastAsia="Times New Roman" w:hAnsi="Times New Roman"/>
                <w:sz w:val="18"/>
                <w:szCs w:val="18"/>
                <w:b w:val="1"/>
                <w:bCs w:val="1"/>
                <w:color w:val="auto"/>
                <w:vertAlign w:val="superscript"/>
              </w:rPr>
              <w:t>(2)</w:t>
            </w:r>
          </w:p>
        </w:tc>
        <w:tc>
          <w:tcPr>
            <w:tcW w:w="86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118</w:t>
            </w: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10" w:lineRule="exact"/>
        <w:rPr>
          <w:sz w:val="20"/>
          <w:szCs w:val="20"/>
          <w:color w:val="auto"/>
        </w:rPr>
      </w:pPr>
    </w:p>
    <w:p>
      <w:pPr>
        <w:ind w:right="2060" w:firstLine="5"/>
        <w:spacing w:after="0" w:line="250" w:lineRule="auto"/>
        <w:tabs>
          <w:tab w:leader="none" w:pos="197"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has elected to replace the NAREIT All Equity Index with the FTSE Office Index because we believe the FTSE Office Index represents a group of companies more aligned with a comparable peer group.</w:t>
      </w:r>
    </w:p>
    <w:p>
      <w:pPr>
        <w:spacing w:after="0" w:line="1" w:lineRule="exact"/>
        <w:rPr>
          <w:rFonts w:ascii="Times New Roman" w:cs="Times New Roman" w:eastAsia="Times New Roman" w:hAnsi="Times New Roman"/>
          <w:sz w:val="14"/>
          <w:szCs w:val="14"/>
          <w:b w:val="1"/>
          <w:bCs w:val="1"/>
          <w:color w:val="auto"/>
        </w:rPr>
      </w:pPr>
    </w:p>
    <w:p>
      <w:pPr>
        <w:ind w:left="200" w:hanging="195"/>
        <w:spacing w:after="0"/>
        <w:tabs>
          <w:tab w:leader="none" w:pos="200"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facilitate comparison to the performance graph presented in our Annual Report for the prior year, the NAREIT All Equity Index is presented above.</w:t>
      </w:r>
    </w:p>
    <w:p>
      <w:pPr>
        <w:spacing w:after="0" w:line="34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3" w:name="page34"/>
    <w:bookmarkEnd w:id="33"/>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7.</w:t>
        <w:tab/>
        <w:t>MANAGEMENT'S DISCUSSION AND ANALYSIS OF FINANCIAL CONDITION AND RESULTS OF OPERATIONS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Page Number</w:t>
            </w:r>
          </w:p>
        </w:tc>
      </w:tr>
      <w:tr>
        <w:trPr>
          <w:trHeight w:val="205"/>
        </w:trPr>
        <w:tc>
          <w:tcPr>
            <w:tcW w:w="9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Overview</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r>
      <w:tr>
        <w:trPr>
          <w:trHeight w:val="208"/>
        </w:trPr>
        <w:tc>
          <w:tcPr>
            <w:tcW w:w="9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Critical Accounting Estimates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r>
      <w:tr>
        <w:trPr>
          <w:trHeight w:val="211"/>
        </w:trPr>
        <w:tc>
          <w:tcPr>
            <w:tcW w:w="9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Operating Income At Share by Segment for the Years Ended December 31, 2024 and 2023</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r>
      <w:tr>
        <w:trPr>
          <w:trHeight w:val="208"/>
        </w:trPr>
        <w:tc>
          <w:tcPr>
            <w:tcW w:w="9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Results of Operations for the Year Ended December 31, 2024 Compared to December 31, 2023</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r>
      <w:tr>
        <w:trPr>
          <w:trHeight w:val="211"/>
        </w:trPr>
        <w:tc>
          <w:tcPr>
            <w:tcW w:w="9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Related Party Transactions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208"/>
        </w:trPr>
        <w:tc>
          <w:tcPr>
            <w:tcW w:w="9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Liquidity and Capital Resources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211"/>
        </w:trPr>
        <w:tc>
          <w:tcPr>
            <w:tcW w:w="9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Funds From Operations for the Years Ended December 31, 2024 and 2023</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68"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The following discussion should be read in conjunction with the financial statements and related notes included under Part II, Item 8 of this Annual Report on Form 10-K.</w:t>
      </w:r>
    </w:p>
    <w:p>
      <w:pPr>
        <w:spacing w:after="0" w:line="1"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Our Management's Discussion and Analysis of Financial Condition and Results of Operations ("MD&amp;A") within this section is focused on the years ended December 31, 2024 and 2023, including year-to-year comparisons between these years. Our MD&amp;A for the year ended December 31, 2022, including year-to-year comparisons between 2023 and 2022, can be found in Part II, Item 7, Management's Discussion and Analysis of Financial Condition and Results of Operations in the Company's Annual Report on Form 10-K for the year ended December 31, 2023.</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34" w:lineRule="exact"/>
        <w:rPr>
          <w:sz w:val="20"/>
          <w:szCs w:val="20"/>
          <w:color w:val="auto"/>
        </w:rPr>
      </w:pPr>
    </w:p>
    <w:p>
      <w:pPr>
        <w:jc w:val="both"/>
        <w:ind w:firstLine="314"/>
        <w:spacing w:after="0" w:line="219" w:lineRule="exact"/>
        <w:rPr>
          <w:sz w:val="20"/>
          <w:szCs w:val="20"/>
          <w:color w:val="auto"/>
        </w:rPr>
      </w:pPr>
      <w:r>
        <w:rPr>
          <w:rFonts w:ascii="Times New Roman" w:cs="Times New Roman" w:eastAsia="Times New Roman" w:hAnsi="Times New Roman"/>
          <w:sz w:val="17"/>
          <w:szCs w:val="17"/>
          <w:color w:val="auto"/>
        </w:rPr>
        <w:t>Vornado Realty Trust (“Vornado”) is a fully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integrated real estate investment trust (“REIT”) and conducts its business through, and substantially all of its interests in properties are held by, Vornado Realty L.P., (the “Operating Partnership”) a Delaware limited partnership. Accordingly, Vornado’s cash flow and ability to pay dividends to its shareholders are dependent upon the cash flow of the Operating Partnership and the ability of its direct and indirect subsidiaries to first satisfy their obligations to creditors. Vornado is the sole general partner of and owned approximately 91.4% of the common limited partnership interest in the Operating Partnership as of December 31, 2024. All references to the “Company,” “we,” “us” and “our” mean, collectively, Vornado, the Operating Partnership and those subsidiaries consolidated by Vornado.</w:t>
      </w:r>
    </w:p>
    <w:p>
      <w:pPr>
        <w:spacing w:after="0" w:line="35"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We own and operate office and retail properties with a concentration in the New York metropolitan area. In addition, we have a 32.4% interest in Alexander’s, Inc. (“Alexander’s”) (NYSE: ALX), which owns five properties in the greater New York metropolitan area, as well as interests in other real estate and investments.</w:t>
      </w:r>
    </w:p>
    <w:p>
      <w:pPr>
        <w:spacing w:after="0" w:line="210"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Our business objective is to maximize Vornado shareholder value, which we measure by the total return provided to our shareholders. Below is a table comparing Vornado’s performance to the FTSE Office and the MSCI US REIT Index (“MSCI”) for the following periods ended December 31, 2024:</w:t>
      </w:r>
    </w:p>
    <w:p>
      <w:pPr>
        <w:spacing w:after="0" w:line="59" w:lineRule="exact"/>
        <w:rPr>
          <w:sz w:val="20"/>
          <w:szCs w:val="20"/>
          <w:color w:val="auto"/>
        </w:rPr>
      </w:pPr>
    </w:p>
    <w:tbl>
      <w:tblPr>
        <w:tblLayout w:type="fixed"/>
        <w:tblInd w:w="2120" w:type="dxa"/>
        <w:tblCellMar>
          <w:top w:w="0" w:type="dxa"/>
          <w:left w:w="0" w:type="dxa"/>
          <w:bottom w:w="0" w:type="dxa"/>
          <w:right w:w="0" w:type="dxa"/>
        </w:tblCellMar>
      </w:tblPr>
      <w:tr>
        <w:trPr>
          <w:trHeight w:val="211"/>
        </w:trPr>
        <w:tc>
          <w:tcPr>
            <w:tcW w:w="25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 Return</w:t>
            </w:r>
            <w:r>
              <w:rPr>
                <w:rFonts w:ascii="Times New Roman" w:cs="Times New Roman" w:eastAsia="Times New Roman" w:hAnsi="Times New Roman"/>
                <w:sz w:val="18"/>
                <w:szCs w:val="18"/>
                <w:b w:val="1"/>
                <w:bCs w:val="1"/>
                <w:color w:val="auto"/>
                <w:w w:val="93"/>
                <w:vertAlign w:val="superscript"/>
              </w:rPr>
              <w:t>(1)</w:t>
            </w:r>
          </w:p>
        </w:tc>
        <w:tc>
          <w:tcPr>
            <w:tcW w:w="1400" w:type="dxa"/>
            <w:vAlign w:val="bottom"/>
            <w:tcBorders>
              <w:bottom w:val="single" w:sz="8" w:color="auto"/>
            </w:tcBorders>
          </w:tcPr>
          <w:p>
            <w:pPr>
              <w:spacing w:after="0"/>
              <w:rPr>
                <w:sz w:val="18"/>
                <w:szCs w:val="18"/>
                <w:color w:val="auto"/>
              </w:rPr>
            </w:pPr>
          </w:p>
        </w:tc>
      </w:tr>
      <w:tr>
        <w:trPr>
          <w:trHeight w:val="184"/>
        </w:trPr>
        <w:tc>
          <w:tcPr>
            <w:tcW w:w="2560" w:type="dxa"/>
            <w:vAlign w:val="bottom"/>
          </w:tcPr>
          <w:p>
            <w:pPr>
              <w:spacing w:after="0"/>
              <w:rPr>
                <w:sz w:val="15"/>
                <w:szCs w:val="15"/>
                <w:color w:val="auto"/>
              </w:rPr>
            </w:pPr>
          </w:p>
        </w:tc>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Vornado</w:t>
            </w: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FTSE Office</w:t>
            </w: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MSCI</w:t>
            </w:r>
          </w:p>
        </w:tc>
      </w:tr>
      <w:tr>
        <w:trPr>
          <w:trHeight w:val="196"/>
        </w:trPr>
        <w:tc>
          <w:tcPr>
            <w:tcW w:w="25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Three-month</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(6.1 %)</w:t>
            </w:r>
          </w:p>
        </w:tc>
      </w:tr>
      <w:tr>
        <w:trPr>
          <w:trHeight w:val="189"/>
        </w:trPr>
        <w:tc>
          <w:tcPr>
            <w:tcW w:w="25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One-year</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51.3 %</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8.8 %</w:t>
            </w:r>
          </w:p>
        </w:tc>
      </w:tr>
      <w:tr>
        <w:trPr>
          <w:trHeight w:val="204"/>
        </w:trPr>
        <w:tc>
          <w:tcPr>
            <w:tcW w:w="2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Three-year</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(22.7 %)</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r>
      <w:tr>
        <w:trPr>
          <w:trHeight w:val="189"/>
        </w:trPr>
        <w:tc>
          <w:tcPr>
            <w:tcW w:w="25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Five-year</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23.5 %</w:t>
            </w:r>
          </w:p>
        </w:tc>
      </w:tr>
      <w:tr>
        <w:trPr>
          <w:trHeight w:val="204"/>
        </w:trPr>
        <w:tc>
          <w:tcPr>
            <w:tcW w:w="2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Ten-year</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(26.7 %)</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73.5 %</w:t>
            </w:r>
          </w:p>
        </w:tc>
      </w:tr>
    </w:tbl>
    <w:p>
      <w:pPr>
        <w:spacing w:after="0" w:line="6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22" w:lineRule="exact"/>
        <w:rPr>
          <w:sz w:val="20"/>
          <w:szCs w:val="20"/>
          <w:color w:val="auto"/>
        </w:rPr>
      </w:pPr>
    </w:p>
    <w:p>
      <w:pPr>
        <w:ind w:left="2040" w:hanging="306"/>
        <w:spacing w:after="0"/>
        <w:tabs>
          <w:tab w:leader="none" w:pos="2040"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Past performance is not necessarily indicative of future performance.</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intend to achieve this objective by continuing to pursue our investment philosophy and to execute our operating strategies through:</w:t>
      </w:r>
    </w:p>
    <w:p>
      <w:pPr>
        <w:spacing w:after="0" w:line="66" w:lineRule="exact"/>
        <w:rPr>
          <w:sz w:val="20"/>
          <w:szCs w:val="20"/>
          <w:color w:val="auto"/>
        </w:rPr>
      </w:pPr>
    </w:p>
    <w:p>
      <w:pPr>
        <w:ind w:left="940" w:hanging="306"/>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 superior team of operating and investment professionals and an entrepreneurial spirit;</w:t>
      </w:r>
    </w:p>
    <w:p>
      <w:pPr>
        <w:spacing w:after="0" w:line="32"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investing in properties in select markets, such as New York City, where we believe there is a high likelihood of capital appreciation;</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acquiring quality properties at a discount to replacement cost and where there is a significant potential for higher rents;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redeveloping properties to increase returns and maximize value; and</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investing in operating companies that have a significant real estate component.</w:t>
      </w:r>
    </w:p>
    <w:p>
      <w:pPr>
        <w:spacing w:after="0" w:line="4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expect to finance our growth, acquisitions and investments using internally generated funds and proceeds from asset sales and by accessing the public and private capital markets. We may also offer Vornado common or preferred shares or Operating Partnership units in exchange for property and may repurchase or otherwise reacquire these securities in the future.</w:t>
      </w:r>
    </w:p>
    <w:p>
      <w:pPr>
        <w:spacing w:after="0" w:line="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compete with a large number of real estate investors, property owners and developers, some of whom may be willing to accept lower returns on their investments. Principal factors of competition are rents charged, tenant concessions offered, attractiveness of location, the quality of the property and the breadth and the quality of services provided. Our success depends upon, among other factors, trends of the global, national, regional and local economies, the financial condition and operating results of current and prospective tenants and customers, availability and cost of capital, construction and renovation costs, taxes, governmental regulations, legislation, population and employment trends. See “Risk Factors” in Item 1A for additional information regarding these factors.</w:t>
      </w:r>
    </w:p>
    <w:p>
      <w:pPr>
        <w:spacing w:after="0" w:line="13"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Our business has been, and may continue to be, affected by interest rates fluctuations, the effects of inflation and other uncertainties including the potential for an economic downturn. These factors could have a material impact on our business, financial condition, results of operations and cash flows.</w:t>
      </w:r>
    </w:p>
    <w:p>
      <w:pPr>
        <w:spacing w:after="0" w:line="200" w:lineRule="exact"/>
        <w:rPr>
          <w:sz w:val="20"/>
          <w:szCs w:val="20"/>
          <w:color w:val="auto"/>
        </w:rPr>
      </w:pPr>
    </w:p>
    <w:p>
      <w:pPr>
        <w:spacing w:after="0" w:line="3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Overview - continued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Vornado Realty Trust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Year Ended December 31, 2024 Financial Results Summary</w:t>
      </w:r>
    </w:p>
    <w:p>
      <w:pPr>
        <w:spacing w:after="0" w:line="66"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Net income attributable to common shareholders for the year ended December 31, 2024 was $8,275,000, or $0.04 per diluted share, compared to $43,378,000, or $0.23 per diluted share, for the year ended December 31, 2023.</w:t>
      </w:r>
    </w:p>
    <w:p>
      <w:pPr>
        <w:spacing w:after="0" w:line="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Funds from operations ("FFO") attributable to common shareholders plus assumed conversions for the year ended December 31, 2024 was $470,021,000, or $2.37 per diluted share, compared to $503,792,000, or $2.59 per diluted share, for the year ended December 31, 2023. The years ended December 31, 2024 and 2023 include certain items that impact FFO, which are listed in the table below. The aggregate of these items, net of amounts attributable to noncontrolling interests, increased FFO by $22,950,000, or $0.11 per diluted share, for the year ended December 31, 2024 and decreased FFO by $4,359,000, or $0.02 per diluted share, for the year ended December 31, 2023.</w:t>
      </w:r>
    </w:p>
    <w:p>
      <w:pPr>
        <w:spacing w:after="0" w:line="65"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following table reconciles the difference between our FFO attributable to common shareholders plus assumed conversions and our FFO attributable to common shareholders plus assumed conversions, as adjusted: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400" w:type="dxa"/>
            <w:vAlign w:val="bottom"/>
          </w:tcPr>
          <w:p>
            <w:pPr>
              <w:spacing w:after="0"/>
              <w:rPr>
                <w:sz w:val="16"/>
                <w:szCs w:val="16"/>
                <w:color w:val="auto"/>
              </w:rPr>
            </w:pPr>
          </w:p>
        </w:tc>
        <w:tc>
          <w:tcPr>
            <w:tcW w:w="3060" w:type="dxa"/>
            <w:vAlign w:val="bottom"/>
            <w:gridSpan w:val="4"/>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3"/>
        </w:trPr>
        <w:tc>
          <w:tcPr>
            <w:tcW w:w="77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778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Certain (income) expense items that impact FFO attributable to common shareholders plus assumed conversions:</w:t>
            </w: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Our share of the gain on the discounted extinguishment of the 280 Park Avenue mezzanine loan</w:t>
            </w: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tax liability on our investment in the Farley Building (held through a taxable REIT subsidiary)</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11,722</w:t>
            </w:r>
          </w:p>
        </w:tc>
      </w:tr>
      <w:tr>
        <w:trPr>
          <w:trHeight w:val="204"/>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After-tax net gain on sale of 220 Central Park South ("220 CPS") condominium units and ancillary amenities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(11,959)</w:t>
            </w:r>
          </w:p>
        </w:tc>
      </w:tr>
      <w:tr>
        <w:trPr>
          <w:trHeight w:val="189"/>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Credit losses on investments</w:t>
            </w:r>
          </w:p>
        </w:tc>
        <w:tc>
          <w:tcPr>
            <w:tcW w:w="4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8,269</w:t>
            </w:r>
          </w:p>
        </w:tc>
      </w:tr>
      <w:tr>
        <w:trPr>
          <w:trHeight w:val="197"/>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w:t>
            </w:r>
          </w:p>
        </w:tc>
      </w:tr>
      <w:tr>
        <w:trPr>
          <w:trHeight w:val="189"/>
        </w:trPr>
        <w:tc>
          <w:tcPr>
            <w:tcW w:w="7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4,696</w:t>
            </w:r>
          </w:p>
        </w:tc>
      </w:tr>
      <w:tr>
        <w:trPr>
          <w:trHeight w:val="19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 share of above adjustments on a dilutive basis</w:t>
            </w: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9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of certain (income) expense items that impact FFO attributable to common shareholders plus assumed conversions, net</w:t>
            </w: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4,359</w:t>
            </w: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Overview - continued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Same Store Net Operating Income ("NOI") At Share</w:t>
      </w:r>
    </w:p>
    <w:p>
      <w:pPr>
        <w:spacing w:after="0" w:line="66"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The percentage decrease in same store NOI at share and same store NOI at share - cash basis of our New York segment, THE MART and 555 California Street are below.</w:t>
      </w:r>
    </w:p>
    <w:p>
      <w:pPr>
        <w:spacing w:after="0" w:line="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 compared to December 31, 2023:</w:t>
            </w:r>
          </w:p>
        </w:tc>
        <w:tc>
          <w:tcPr>
            <w:tcW w:w="13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500" w:type="dxa"/>
            <w:vAlign w:val="bottom"/>
            <w:gridSpan w:val="2"/>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THE MART</w:t>
            </w: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555</w:t>
            </w:r>
          </w:p>
        </w:tc>
        <w:tc>
          <w:tcPr>
            <w:tcW w:w="0" w:type="dxa"/>
            <w:vAlign w:val="bottom"/>
          </w:tcPr>
          <w:p>
            <w:pPr>
              <w:spacing w:after="0"/>
              <w:rPr>
                <w:sz w:val="1"/>
                <w:szCs w:val="1"/>
                <w:color w:val="auto"/>
              </w:rPr>
            </w:pPr>
          </w:p>
        </w:tc>
      </w:tr>
      <w:tr>
        <w:trPr>
          <w:trHeight w:val="196"/>
        </w:trPr>
        <w:tc>
          <w:tcPr>
            <w:tcW w:w="564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2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4"/>
                <w:szCs w:val="14"/>
                <w:b w:val="1"/>
                <w:bCs w:val="1"/>
                <w:color w:val="auto"/>
              </w:rPr>
              <w:t>California Street</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190"/>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Same store NOI at share % decrease</w:t>
            </w:r>
          </w:p>
        </w:tc>
        <w:tc>
          <w:tcPr>
            <w:tcW w:w="1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280" w:type="dxa"/>
            <w:vAlign w:val="bottom"/>
            <w:tcBorders>
              <w:top w:val="single" w:sz="8" w:color="CCEEFF"/>
            </w:tcBorders>
            <w:shd w:val="clear" w:color="auto" w:fill="CCEEFF"/>
          </w:tcPr>
          <w:p>
            <w:pPr>
              <w:jc w:val="right"/>
              <w:ind w:right="115"/>
              <w:spacing w:after="0" w:line="99" w:lineRule="exact"/>
              <w:rPr>
                <w:sz w:val="20"/>
                <w:szCs w:val="20"/>
                <w:color w:val="auto"/>
              </w:rPr>
            </w:pPr>
            <w:r>
              <w:rPr>
                <w:rFonts w:ascii="Times New Roman" w:cs="Times New Roman" w:eastAsia="Times New Roman" w:hAnsi="Times New Roman"/>
                <w:sz w:val="9"/>
                <w:szCs w:val="9"/>
                <w:b w:val="1"/>
                <w:bCs w:val="1"/>
                <w:color w:val="auto"/>
                <w:w w:val="94"/>
              </w:rPr>
              <w:t>(1)</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0" w:type="dxa"/>
            <w:vAlign w:val="bottom"/>
          </w:tcPr>
          <w:p>
            <w:pPr>
              <w:spacing w:after="0"/>
              <w:rPr>
                <w:sz w:val="1"/>
                <w:szCs w:val="1"/>
                <w:color w:val="auto"/>
              </w:rPr>
            </w:pPr>
          </w:p>
        </w:tc>
      </w:tr>
      <w:tr>
        <w:trPr>
          <w:trHeight w:val="182"/>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Same store NOI at share - cash basis % decrease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(13.2 %)</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10" w:lineRule="exact"/>
        <w:rPr>
          <w:sz w:val="20"/>
          <w:szCs w:val="20"/>
          <w:color w:val="auto"/>
        </w:rPr>
      </w:pPr>
    </w:p>
    <w:p>
      <w:pPr>
        <w:ind w:left="240" w:hanging="235"/>
        <w:spacing w:after="0"/>
        <w:tabs>
          <w:tab w:leader="none" w:pos="240"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2024 includes a $4,560,000 write-off of a receivable arising from the straight-lining of rents due to the tenant being deemed uncollectible.</w:t>
      </w:r>
    </w:p>
    <w:p>
      <w:pPr>
        <w:spacing w:after="0" w:line="5" w:lineRule="exact"/>
        <w:rPr>
          <w:rFonts w:ascii="Times New Roman" w:cs="Times New Roman" w:eastAsia="Times New Roman" w:hAnsi="Times New Roman"/>
          <w:sz w:val="14"/>
          <w:szCs w:val="14"/>
          <w:b w:val="1"/>
          <w:bCs w:val="1"/>
          <w:color w:val="auto"/>
        </w:rPr>
      </w:pPr>
    </w:p>
    <w:p>
      <w:pPr>
        <w:ind w:left="240" w:hanging="235"/>
        <w:spacing w:after="0"/>
        <w:tabs>
          <w:tab w:leader="none" w:pos="240"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2023 includes our $14,103,000 share of the receipt of a tenant settlement, net of legal expenses.</w:t>
      </w:r>
    </w:p>
    <w:p>
      <w:pPr>
        <w:spacing w:after="0" w:line="289" w:lineRule="exact"/>
        <w:rPr>
          <w:sz w:val="20"/>
          <w:szCs w:val="20"/>
          <w:color w:val="auto"/>
        </w:rPr>
      </w:pPr>
    </w:p>
    <w:p>
      <w:pPr>
        <w:jc w:val="both"/>
        <w:ind w:firstLine="354"/>
        <w:spacing w:after="0" w:line="276" w:lineRule="auto"/>
        <w:rPr>
          <w:sz w:val="20"/>
          <w:szCs w:val="20"/>
          <w:color w:val="auto"/>
        </w:rPr>
      </w:pPr>
      <w:r>
        <w:rPr>
          <w:rFonts w:ascii="Times New Roman" w:cs="Times New Roman" w:eastAsia="Times New Roman" w:hAnsi="Times New Roman"/>
          <w:sz w:val="17"/>
          <w:szCs w:val="17"/>
          <w:color w:val="auto"/>
        </w:rPr>
        <w:t>Calculations of same store NOI at share, reconciliations of our net income to NOI at share, NOI at share - cash basis and FFO and the reasons we consider these non-GAAP financial measures useful are provided in the following pages of Management’s Discussion and Analysis of Financial Condition and Results of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6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On December 5, 2024, Vornado’s Board of Trustees declared a dividend of $0.74 per common share for 2024. We anticipate that our common share dividend policy for 2025 will be to pay one common share dividend in the fourth quarter.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Dispositions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220 Central Park South</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During the year ended December 31, 2024, we closed on the sale of two condominium units at 220 CPS for net proceeds of $31,605,000, resulting in a financial statement net gain of $15,175,000 which is included in "net gains on disposition of wholly owned and partially owned assets" on our consolidated statements of income. In connection with these sales, $2,106,000 of income tax expense was recognized on our consolidated statements of income.</w:t>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January 17, 2025, we closed on the sale of a condominium unit at 220 CPS for net proceeds of $11,695,000; three units remain unsold.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50-70 West 93rd Street</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May 13, 2024, we sold our 49.9% interest in 50-70 West 93rd Street to our joint venture partner. We received net proceeds of $2,000,000 after deducting our share of the existing $83,500,000 mortgage loan, which was scheduled to mature in December 2024, resulting in a net gain of $873,000. The net gain is included in "net gains on disposition of wholly owned and partially owned assets" on our consolidated statements of income.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666 Fifth Avenue (Fifth Avenue and Times Square JV)</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January 8, 2025, the Fifth Avenue and Times Square JV completed the sale to UNIQLO of the portion of its U.S. flagship store at 666 Fifth Avenue for $350,000,000 and realized net proceeds of $342,000,000. The financial statement gain, which will be recognized in the first quarter of 2025, will be approximately $76,000,000. The net proceeds from the sale were used to partially redeem Vornado’s preferred equity on the asset.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 in Loan</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August 6, 2024, we purchased a $50,000,000 B-Note secured by a Midtown Manhattan property at par. The B-Note, together with the $35,000,000 A-Note, is in default. The B-Note accrues interest at 5.25% plus 4.00% default interest. The $50,000,000 B-Note investment was recorded to “other assets” on our consolidated balance sheets.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Alexander’s</w:t>
      </w:r>
    </w:p>
    <w:p>
      <w:pPr>
        <w:spacing w:after="0" w:line="6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On May 3, 2024, Alexander’s, in which we own a 32.4% common equity interest, and Bloomberg L.P. reached an agreement to extend the leases covering approximately 947,000 square feet at 731 Lexington Avenue that were scheduled to expire in February 2029 for a term of eleven years to February 2040.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Overview - continued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280 Park Avenue</w:t>
      </w:r>
    </w:p>
    <w:p>
      <w:pPr>
        <w:spacing w:after="0" w:line="68"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On April 4, 2024, a joint venture, in which we have a 50% interest, amended and extended the $1,075,000,000 mortgage loan on 280 Park Avenue. The maturity date on the amended loan was extended to September 2026, with options to fully extend to September 2028, subject to certain conditions. The interest rate on the amended loan remains at SOFR plus 1.78%. On July 8, 2024, the joint venture swapped the interest rate to a fixed rate of 5.84% through September 2028. Additionally, on April 4, 2024, the joint venture amended and extended the $125,000,000 mezzanine loan and subsequently repaid the loan for $62,500,000. In connection with the repayment of the mezzanine loan, we recognized our $31,215,000 share of the debt extinguishment gain which is included in “income (loss) from partially owned entities” on our consolidated statements of income.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435 Seventh Avenue</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April 9, 2024, we completed a $75,000,000 refinancing of 435 Seventh Avenue, of which $37,500,000 is recourse to the Operating Partnership. The interest-only loan bears a rate of SOFR plus 2.10% and matures in April 2028. The interest rate on the loan was swapped to a fixed rate of 6.96% through April 2026. The loan replaces the previous $95,696,000 fully recourse loan, which bore interest at SOFR plus 1.41%.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Unsecured Revolving Credit Facility</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On May 3, 2024, we extended one of our two unsecured revolving credit facilities to April 2029 (as fully extended). The new $915,000,000 facility replaced the $1.25 billion facility that was due to mature in April 2026. The new facility currently bears interest at a rate of SOFR plus 1.20% with a facility fee of 25 basis points. Our $1.25 billion revolving credit facility matures in December 2027 (as fully extended) and has an interest rate of SOFR plus 1.15% and a facility fee of 25 basis points.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640 Fifth Avenue (Fifth Avenue and Times Square JV)</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June 10, 2024, the Fifth Avenue and Times Square JV completed a $400,000,000 refinancing of 640 Fifth Avenue. The non-recourse loan matures in July 2029, bears interest at a fixed rate of 7.47% and amortizes at $7,000,000 per annum. The loan replaces the previous $500,000,000 loan, which the joint venture paid down by $100,000,000. The previous loan was fully recourse to the Operating Partnership and bore interest at SOFR plus 1.11%.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606 Broadway</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On September 5, 2024, the $74,119,000 non-recourse mortgage loan on 606 Broadway, in which we hold a 50% interest, matured and was not repaid, at which time the lender declared an event of default. As of December 31, 2024, the property has a carrying value of $53,886,000, which is after an impairment charge recorded in the fourth quarter of 2023. We consolidate the joint venture. The loan currently bears interest at a floating rate of SOFR plus 1.91% (6.39% as of December 31, 2024) and provides for additional default interest of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85 Tenth Avenue</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On September 24, 2024, a joint venture, in which we have a 49.9% interest, modified the terms of the $625,000,000 mortgage loan on 85 Tenth Avenue. Per the original loan agreement, the mortgage loan is comprised of a (i) $396,000,000 3.82% senior note, (ii) $129,000,000 5.20% mezzanine A note and (iii) $100,000,000 6.60% mezzanine B note. The modification provides for the interest payments due under the mezzanine notes to be deferred until the December 2026 loan maturity. The deferred amounts will not accrue additional interest. The cash available from the deferred interest payments will be used to fund leasing costs at the property. At loan maturity, if there is no event of default, repayment of 50% of the accrued mezzanine interest will be waived.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Alexander's</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On September 30, 2024, Alexander’s, in which we own a 32.4% common equity interest, completed a $400,000,000 refinancing of the office condominium portion of 731 Lexington Avenue, the Bloomberg LP headquarters building. The interest-only loan carries a fixed rate of 5.04% and matures in October 2028. The loan is prepayable, at Alexander’s option, with no penalty, beginning in October 2026. The loan replaces the previous $490,000,000 loan on the office condominium, that bore interest at the Prime Rate and was scheduled to mature in October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Senior Unsecured Notes due 2025</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repaid our $450,000,000 3.50% senior unsecured notes on their January 15, 2025 maturity date.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Overview - continued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Financings - continued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Hedging</w:t>
      </w:r>
    </w:p>
    <w:p>
      <w:pPr>
        <w:spacing w:after="0" w:line="121"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We entered into the following interest rate swap and cap arrangements during the year ended December 31, 2024. See page 58, Part II, Item 7A, Quantitative and Qualitative Disclosures About Market Risk - Derivatives and Hedging, in this Annual Report on Form 10-K for further information on our hedging instruments.</w:t>
      </w:r>
    </w:p>
    <w:p>
      <w:pPr>
        <w:spacing w:after="0" w:line="200" w:lineRule="exact"/>
        <w:rPr>
          <w:sz w:val="20"/>
          <w:szCs w:val="20"/>
          <w:color w:val="auto"/>
        </w:rPr>
      </w:pP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All-In Swapped</w:t>
            </w: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Variable Rate</w:t>
            </w:r>
          </w:p>
        </w:tc>
        <w:tc>
          <w:tcPr>
            <w:tcW w:w="0" w:type="dxa"/>
            <w:vAlign w:val="bottom"/>
          </w:tcPr>
          <w:p>
            <w:pPr>
              <w:spacing w:after="0"/>
              <w:rPr>
                <w:sz w:val="1"/>
                <w:szCs w:val="1"/>
                <w:color w:val="auto"/>
              </w:rPr>
            </w:pPr>
          </w:p>
        </w:tc>
      </w:tr>
      <w:tr>
        <w:trPr>
          <w:trHeight w:val="190"/>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swaps:</w:t>
            </w: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(at share)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280" w:type="dxa"/>
            <w:vAlign w:val="bottom"/>
            <w:gridSpan w:val="2"/>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0" w:type="dxa"/>
            <w:vAlign w:val="bottom"/>
          </w:tcPr>
          <w:p>
            <w:pPr>
              <w:spacing w:after="0"/>
              <w:rPr>
                <w:sz w:val="1"/>
                <w:szCs w:val="1"/>
                <w:color w:val="auto"/>
              </w:rPr>
            </w:pPr>
          </w:p>
        </w:tc>
      </w:tr>
      <w:tr>
        <w:trPr>
          <w:trHeight w:val="158"/>
        </w:trPr>
        <w:tc>
          <w:tcPr>
            <w:tcW w:w="612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280 Park Avenue (50.0% interest)</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537,500</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5.84%</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09/28</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S+178</w:t>
            </w:r>
          </w:p>
        </w:tc>
        <w:tc>
          <w:tcPr>
            <w:tcW w:w="0" w:type="dxa"/>
            <w:vAlign w:val="bottom"/>
          </w:tcPr>
          <w:p>
            <w:pPr>
              <w:spacing w:after="0"/>
              <w:rPr>
                <w:sz w:val="1"/>
                <w:szCs w:val="1"/>
                <w:color w:val="auto"/>
              </w:rPr>
            </w:pPr>
          </w:p>
        </w:tc>
      </w:tr>
      <w:tr>
        <w:trPr>
          <w:trHeight w:val="196"/>
        </w:trPr>
        <w:tc>
          <w:tcPr>
            <w:tcW w:w="6120" w:type="dxa"/>
            <w:vAlign w:val="bottom"/>
          </w:tcPr>
          <w:p>
            <w:pPr>
              <w:ind w:left="180"/>
              <w:spacing w:after="0" w:line="196" w:lineRule="exact"/>
              <w:rPr>
                <w:sz w:val="20"/>
                <w:szCs w:val="20"/>
                <w:color w:val="auto"/>
              </w:rPr>
            </w:pPr>
            <w:r>
              <w:rPr>
                <w:rFonts w:ascii="Times New Roman" w:cs="Times New Roman" w:eastAsia="Times New Roman" w:hAnsi="Times New Roman"/>
                <w:sz w:val="14"/>
                <w:szCs w:val="14"/>
                <w:color w:val="auto"/>
              </w:rPr>
              <w:t>PENN 11</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6.21%</w:t>
            </w: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S+206</w:t>
            </w: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435 Seventh Avenue</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6.96%</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04/26</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S+210</w:t>
            </w:r>
          </w:p>
        </w:tc>
        <w:tc>
          <w:tcPr>
            <w:tcW w:w="0" w:type="dxa"/>
            <w:vAlign w:val="bottom"/>
          </w:tcPr>
          <w:p>
            <w:pPr>
              <w:spacing w:after="0"/>
              <w:rPr>
                <w:sz w:val="1"/>
                <w:szCs w:val="1"/>
                <w:color w:val="auto"/>
              </w:rPr>
            </w:pPr>
          </w:p>
        </w:tc>
      </w:tr>
    </w:tbl>
    <w:p>
      <w:pPr>
        <w:spacing w:after="0" w:line="80"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Index Strike Rate</w:t>
            </w: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caps:</w:t>
            </w:r>
          </w:p>
        </w:tc>
        <w:tc>
          <w:tcPr>
            <w:tcW w:w="2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4100" w:type="dxa"/>
            <w:vAlign w:val="bottom"/>
            <w:vMerge w:val="continue"/>
          </w:tcPr>
          <w:p>
            <w:pPr>
              <w:spacing w:after="0"/>
              <w:rPr>
                <w:sz w:val="13"/>
                <w:szCs w:val="13"/>
                <w:color w:val="auto"/>
              </w:rPr>
            </w:pPr>
          </w:p>
        </w:tc>
        <w:tc>
          <w:tcPr>
            <w:tcW w:w="2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61 Ninth Avenue (45.1% interest)</w:t>
            </w:r>
          </w:p>
        </w:tc>
        <w:tc>
          <w:tcPr>
            <w:tcW w:w="2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75,543</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4.39%</w:t>
            </w:r>
          </w:p>
        </w:tc>
        <w:tc>
          <w:tcPr>
            <w:tcW w:w="13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rPr>
              <w:t>01/26</w:t>
            </w:r>
          </w:p>
        </w:tc>
        <w:tc>
          <w:tcPr>
            <w:tcW w:w="1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S+146</w:t>
            </w:r>
          </w:p>
        </w:tc>
        <w:tc>
          <w:tcPr>
            <w:tcW w:w="0" w:type="dxa"/>
            <w:vAlign w:val="bottom"/>
          </w:tcPr>
          <w:p>
            <w:pPr>
              <w:spacing w:after="0"/>
              <w:rPr>
                <w:sz w:val="1"/>
                <w:szCs w:val="1"/>
                <w:color w:val="auto"/>
              </w:rPr>
            </w:pPr>
          </w:p>
        </w:tc>
      </w:tr>
      <w:tr>
        <w:trPr>
          <w:trHeight w:val="182"/>
        </w:trPr>
        <w:tc>
          <w:tcPr>
            <w:tcW w:w="4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Rego Park II (32.4% interest)</w:t>
            </w:r>
          </w:p>
        </w:tc>
        <w:tc>
          <w:tcPr>
            <w:tcW w:w="2420" w:type="dxa"/>
            <w:vAlign w:val="bottom"/>
          </w:tcPr>
          <w:p>
            <w:pPr>
              <w:spacing w:after="0"/>
              <w:rPr>
                <w:sz w:val="15"/>
                <w:szCs w:val="15"/>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65,624</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4.15%</w:t>
            </w: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rPr>
              <w:t>12/25</w:t>
            </w:r>
          </w:p>
        </w:tc>
        <w:tc>
          <w:tcPr>
            <w:tcW w:w="12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S+145</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46" w:lineRule="exact"/>
        <w:rPr>
          <w:sz w:val="20"/>
          <w:szCs w:val="20"/>
          <w:color w:val="auto"/>
        </w:rPr>
      </w:pPr>
    </w:p>
    <w:p>
      <w:pPr>
        <w:ind w:left="320" w:hanging="315"/>
        <w:spacing w:after="0"/>
        <w:tabs>
          <w:tab w:leader="none" w:pos="320"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Together with the existing $250,000 swap arrangement on the $500,000 PENN 11 mortgage loan, the loan will bear interest at an all-in swapped rate of 6.28% through October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Overview - continued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Leasing Activity For the Year Ended December 31, 2024</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 leasing activity and related statistics below are based on leases signed during the period and are not intended to coincide with the commencement of rental revenue in accordance with accounting principles generally accepted in the United States of America (“GAAP”). Second generation relet space represents square footage that has not been vacant for more than nine months and tenant improvements and leasing commissions are based on our share of square feet leased during the period.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(Square feet in thousands)</w:t>
            </w:r>
          </w:p>
        </w:tc>
        <w:tc>
          <w:tcPr>
            <w:tcW w:w="1080" w:type="dxa"/>
            <w:vAlign w:val="bottom"/>
          </w:tcPr>
          <w:p>
            <w:pPr>
              <w:spacing w:after="0"/>
              <w:rPr>
                <w:sz w:val="16"/>
                <w:szCs w:val="16"/>
                <w:color w:val="auto"/>
              </w:rPr>
            </w:pPr>
          </w:p>
        </w:tc>
        <w:tc>
          <w:tcPr>
            <w:tcW w:w="120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THE MART</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555 California Street</w:t>
            </w:r>
          </w:p>
        </w:tc>
        <w:tc>
          <w:tcPr>
            <w:tcW w:w="0" w:type="dxa"/>
            <w:vAlign w:val="bottom"/>
          </w:tcPr>
          <w:p>
            <w:pPr>
              <w:spacing w:after="0"/>
              <w:rPr>
                <w:sz w:val="1"/>
                <w:szCs w:val="1"/>
                <w:color w:val="auto"/>
              </w:rPr>
            </w:pPr>
          </w:p>
        </w:tc>
      </w:tr>
      <w:tr>
        <w:trPr>
          <w:trHeight w:val="183"/>
        </w:trPr>
        <w:tc>
          <w:tcPr>
            <w:tcW w:w="418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6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18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square feet leased</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2,650</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187</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89"/>
        </w:trPr>
        <w:tc>
          <w:tcPr>
            <w:tcW w:w="4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Our share of square feet leased:</w:t>
            </w:r>
          </w:p>
        </w:tc>
        <w:tc>
          <w:tcPr>
            <w:tcW w:w="1080" w:type="dxa"/>
            <w:vAlign w:val="bottom"/>
          </w:tcPr>
          <w:p>
            <w:pPr>
              <w:spacing w:after="0"/>
              <w:rPr>
                <w:sz w:val="16"/>
                <w:szCs w:val="16"/>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1,653</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04"/>
        </w:trPr>
        <w:tc>
          <w:tcPr>
            <w:tcW w:w="4180" w:type="dxa"/>
            <w:vAlign w:val="bottom"/>
            <w:shd w:val="clear" w:color="auto" w:fill="CCEEFF"/>
          </w:tcPr>
          <w:p>
            <w:pPr>
              <w:ind w:left="660"/>
              <w:spacing w:after="0" w:line="203" w:lineRule="exact"/>
              <w:rPr>
                <w:sz w:val="20"/>
                <w:szCs w:val="20"/>
                <w:color w:val="auto"/>
              </w:rPr>
            </w:pPr>
            <w:r>
              <w:rPr>
                <w:rFonts w:ascii="Times New Roman" w:cs="Times New Roman" w:eastAsia="Times New Roman" w:hAnsi="Times New Roman"/>
                <w:sz w:val="14"/>
                <w:szCs w:val="14"/>
                <w:color w:val="auto"/>
              </w:rPr>
              <w:t>Initial rent</w:t>
            </w:r>
            <w:r>
              <w:rPr>
                <w:rFonts w:ascii="Times New Roman" w:cs="Times New Roman" w:eastAsia="Times New Roman" w:hAnsi="Times New Roman"/>
                <w:sz w:val="18"/>
                <w:szCs w:val="18"/>
                <w:b w:val="1"/>
                <w:bCs w:val="1"/>
                <w:color w:val="auto"/>
                <w:vertAlign w:val="superscript"/>
              </w:rPr>
              <w:t>(1)</w:t>
            </w:r>
          </w:p>
        </w:tc>
        <w:tc>
          <w:tcPr>
            <w:tcW w:w="10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104.49</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160.01</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52.88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102.80</w:t>
            </w:r>
          </w:p>
        </w:tc>
        <w:tc>
          <w:tcPr>
            <w:tcW w:w="0" w:type="dxa"/>
            <w:vAlign w:val="bottom"/>
          </w:tcPr>
          <w:p>
            <w:pPr>
              <w:spacing w:after="0"/>
              <w:rPr>
                <w:sz w:val="1"/>
                <w:szCs w:val="1"/>
                <w:color w:val="auto"/>
              </w:rPr>
            </w:pPr>
          </w:p>
        </w:tc>
      </w:tr>
      <w:tr>
        <w:trPr>
          <w:trHeight w:val="189"/>
        </w:trPr>
        <w:tc>
          <w:tcPr>
            <w:tcW w:w="4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Weighted average lease term (years)</w:t>
            </w:r>
          </w:p>
        </w:tc>
        <w:tc>
          <w:tcPr>
            <w:tcW w:w="1080" w:type="dxa"/>
            <w:vAlign w:val="bottom"/>
          </w:tcPr>
          <w:p>
            <w:pPr>
              <w:spacing w:after="0"/>
              <w:rPr>
                <w:sz w:val="16"/>
                <w:szCs w:val="16"/>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8.4</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04"/>
        </w:trPr>
        <w:tc>
          <w:tcPr>
            <w:tcW w:w="4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Second generation relet space:</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Square feet</w:t>
            </w:r>
          </w:p>
        </w:tc>
        <w:tc>
          <w:tcPr>
            <w:tcW w:w="1080" w:type="dxa"/>
            <w:vAlign w:val="bottom"/>
          </w:tcPr>
          <w:p>
            <w:pPr>
              <w:spacing w:after="0"/>
              <w:rPr>
                <w:sz w:val="16"/>
                <w:szCs w:val="16"/>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1,218</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204"/>
        </w:trPr>
        <w:tc>
          <w:tcPr>
            <w:tcW w:w="4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GAAP basis:</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tcPr>
          <w:p>
            <w:pPr>
              <w:ind w:left="1280"/>
              <w:spacing w:after="0" w:line="196" w:lineRule="exact"/>
              <w:rPr>
                <w:sz w:val="20"/>
                <w:szCs w:val="20"/>
                <w:color w:val="auto"/>
              </w:rPr>
            </w:pPr>
            <w:r>
              <w:rPr>
                <w:rFonts w:ascii="Times New Roman" w:cs="Times New Roman" w:eastAsia="Times New Roman" w:hAnsi="Times New Roman"/>
                <w:sz w:val="14"/>
                <w:szCs w:val="14"/>
                <w:color w:val="auto"/>
              </w:rPr>
              <w:t>Straight-line rent</w:t>
            </w:r>
            <w:r>
              <w:rPr>
                <w:rFonts w:ascii="Times New Roman" w:cs="Times New Roman" w:eastAsia="Times New Roman" w:hAnsi="Times New Roman"/>
                <w:sz w:val="18"/>
                <w:szCs w:val="18"/>
                <w:b w:val="1"/>
                <w:bCs w:val="1"/>
                <w:color w:val="auto"/>
                <w:vertAlign w:val="superscript"/>
              </w:rPr>
              <w:t>(2)</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103.06</w:t>
            </w:r>
          </w:p>
        </w:tc>
        <w:tc>
          <w:tcPr>
            <w:tcW w:w="140" w:type="dxa"/>
            <w:vAlign w:val="bottom"/>
          </w:tcPr>
          <w:p>
            <w:pPr>
              <w:spacing w:after="0"/>
              <w:rPr>
                <w:sz w:val="17"/>
                <w:szCs w:val="17"/>
                <w:color w:val="auto"/>
              </w:rPr>
            </w:pPr>
          </w:p>
        </w:tc>
        <w:tc>
          <w:tcPr>
            <w:tcW w:w="4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312.43</w:t>
            </w:r>
          </w:p>
        </w:tc>
        <w:tc>
          <w:tcPr>
            <w:tcW w:w="140" w:type="dxa"/>
            <w:vAlign w:val="bottom"/>
          </w:tcPr>
          <w:p>
            <w:pPr>
              <w:spacing w:after="0"/>
              <w:rPr>
                <w:sz w:val="17"/>
                <w:szCs w:val="17"/>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54.38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103.05</w:t>
            </w:r>
          </w:p>
        </w:tc>
        <w:tc>
          <w:tcPr>
            <w:tcW w:w="0" w:type="dxa"/>
            <w:vAlign w:val="bottom"/>
          </w:tcPr>
          <w:p>
            <w:pPr>
              <w:spacing w:after="0"/>
              <w:rPr>
                <w:sz w:val="1"/>
                <w:szCs w:val="1"/>
                <w:color w:val="auto"/>
              </w:rPr>
            </w:pPr>
          </w:p>
        </w:tc>
      </w:tr>
      <w:tr>
        <w:trPr>
          <w:trHeight w:val="196"/>
        </w:trPr>
        <w:tc>
          <w:tcPr>
            <w:tcW w:w="41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Prior straight-line rent</w:t>
            </w:r>
          </w:p>
        </w:tc>
        <w:tc>
          <w:tcPr>
            <w:tcW w:w="10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92.97</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227.98</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51.57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88.21</w:t>
            </w:r>
          </w:p>
        </w:tc>
        <w:tc>
          <w:tcPr>
            <w:tcW w:w="0" w:type="dxa"/>
            <w:vAlign w:val="bottom"/>
          </w:tcPr>
          <w:p>
            <w:pPr>
              <w:spacing w:after="0"/>
              <w:rPr>
                <w:sz w:val="1"/>
                <w:szCs w:val="1"/>
                <w:color w:val="auto"/>
              </w:rPr>
            </w:pPr>
          </w:p>
        </w:tc>
      </w:tr>
      <w:tr>
        <w:trPr>
          <w:trHeight w:val="189"/>
        </w:trPr>
        <w:tc>
          <w:tcPr>
            <w:tcW w:w="418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Percentage increase</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37.0 %</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16.8 %</w:t>
            </w:r>
          </w:p>
        </w:tc>
        <w:tc>
          <w:tcPr>
            <w:tcW w:w="0" w:type="dxa"/>
            <w:vAlign w:val="bottom"/>
          </w:tcPr>
          <w:p>
            <w:pPr>
              <w:spacing w:after="0"/>
              <w:rPr>
                <w:sz w:val="1"/>
                <w:szCs w:val="1"/>
                <w:color w:val="auto"/>
              </w:rPr>
            </w:pPr>
          </w:p>
        </w:tc>
      </w:tr>
      <w:tr>
        <w:trPr>
          <w:trHeight w:val="204"/>
        </w:trPr>
        <w:tc>
          <w:tcPr>
            <w:tcW w:w="4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Cash basis (non-GAAP):</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tcPr>
          <w:p>
            <w:pPr>
              <w:ind w:left="1280"/>
              <w:spacing w:after="0" w:line="196" w:lineRule="exact"/>
              <w:rPr>
                <w:sz w:val="20"/>
                <w:szCs w:val="20"/>
                <w:color w:val="auto"/>
              </w:rPr>
            </w:pPr>
            <w:r>
              <w:rPr>
                <w:rFonts w:ascii="Times New Roman" w:cs="Times New Roman" w:eastAsia="Times New Roman" w:hAnsi="Times New Roman"/>
                <w:sz w:val="14"/>
                <w:szCs w:val="14"/>
                <w:color w:val="auto"/>
              </w:rPr>
              <w:t>Initial rent</w:t>
            </w:r>
            <w:r>
              <w:rPr>
                <w:rFonts w:ascii="Times New Roman" w:cs="Times New Roman" w:eastAsia="Times New Roman" w:hAnsi="Times New Roman"/>
                <w:sz w:val="18"/>
                <w:szCs w:val="18"/>
                <w:b w:val="1"/>
                <w:bCs w:val="1"/>
                <w:color w:val="auto"/>
                <w:vertAlign w:val="superscript"/>
              </w:rPr>
              <w:t>(1)</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107.99</w:t>
            </w:r>
          </w:p>
        </w:tc>
        <w:tc>
          <w:tcPr>
            <w:tcW w:w="140" w:type="dxa"/>
            <w:vAlign w:val="bottom"/>
          </w:tcPr>
          <w:p>
            <w:pPr>
              <w:spacing w:after="0"/>
              <w:rPr>
                <w:sz w:val="17"/>
                <w:szCs w:val="17"/>
                <w:color w:val="auto"/>
              </w:rPr>
            </w:pPr>
          </w:p>
        </w:tc>
        <w:tc>
          <w:tcPr>
            <w:tcW w:w="4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294.38</w:t>
            </w:r>
          </w:p>
        </w:tc>
        <w:tc>
          <w:tcPr>
            <w:tcW w:w="140" w:type="dxa"/>
            <w:vAlign w:val="bottom"/>
          </w:tcPr>
          <w:p>
            <w:pPr>
              <w:spacing w:after="0"/>
              <w:rPr>
                <w:sz w:val="17"/>
                <w:szCs w:val="17"/>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55.76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101.31</w:t>
            </w:r>
          </w:p>
        </w:tc>
        <w:tc>
          <w:tcPr>
            <w:tcW w:w="0" w:type="dxa"/>
            <w:vAlign w:val="bottom"/>
          </w:tcPr>
          <w:p>
            <w:pPr>
              <w:spacing w:after="0"/>
              <w:rPr>
                <w:sz w:val="1"/>
                <w:szCs w:val="1"/>
                <w:color w:val="auto"/>
              </w:rPr>
            </w:pPr>
          </w:p>
        </w:tc>
      </w:tr>
      <w:tr>
        <w:trPr>
          <w:trHeight w:val="196"/>
        </w:trPr>
        <w:tc>
          <w:tcPr>
            <w:tcW w:w="41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Prior escalated rent</w:t>
            </w:r>
          </w:p>
        </w:tc>
        <w:tc>
          <w:tcPr>
            <w:tcW w:w="10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105.37</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271.77</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57.37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101.45</w:t>
            </w:r>
          </w:p>
        </w:tc>
        <w:tc>
          <w:tcPr>
            <w:tcW w:w="0" w:type="dxa"/>
            <w:vAlign w:val="bottom"/>
          </w:tcPr>
          <w:p>
            <w:pPr>
              <w:spacing w:after="0"/>
              <w:rPr>
                <w:sz w:val="1"/>
                <w:szCs w:val="1"/>
                <w:color w:val="auto"/>
              </w:rPr>
            </w:pPr>
          </w:p>
        </w:tc>
      </w:tr>
      <w:tr>
        <w:trPr>
          <w:trHeight w:val="189"/>
        </w:trPr>
        <w:tc>
          <w:tcPr>
            <w:tcW w:w="418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Percentage increase (decrease)</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4"/>
        </w:trPr>
        <w:tc>
          <w:tcPr>
            <w:tcW w:w="4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Tenant improvements and leasing commissions:</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Per square foot</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81.56</w:t>
            </w:r>
          </w:p>
        </w:tc>
        <w:tc>
          <w:tcPr>
            <w:tcW w:w="140" w:type="dxa"/>
            <w:vAlign w:val="bottom"/>
          </w:tcPr>
          <w:p>
            <w:pPr>
              <w:spacing w:after="0"/>
              <w:rPr>
                <w:sz w:val="16"/>
                <w:szCs w:val="16"/>
                <w:color w:val="auto"/>
              </w:rPr>
            </w:pPr>
          </w:p>
        </w:tc>
        <w:tc>
          <w:tcPr>
            <w:tcW w:w="4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82.50</w:t>
            </w:r>
          </w:p>
        </w:tc>
        <w:tc>
          <w:tcPr>
            <w:tcW w:w="14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91.00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110.36</w:t>
            </w:r>
          </w:p>
        </w:tc>
        <w:tc>
          <w:tcPr>
            <w:tcW w:w="0" w:type="dxa"/>
            <w:vAlign w:val="bottom"/>
          </w:tcPr>
          <w:p>
            <w:pPr>
              <w:spacing w:after="0"/>
              <w:rPr>
                <w:sz w:val="1"/>
                <w:szCs w:val="1"/>
                <w:color w:val="auto"/>
              </w:rPr>
            </w:pPr>
          </w:p>
        </w:tc>
      </w:tr>
      <w:tr>
        <w:trPr>
          <w:trHeight w:val="204"/>
        </w:trPr>
        <w:tc>
          <w:tcPr>
            <w:tcW w:w="4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Per square foot per annum</w:t>
            </w:r>
          </w:p>
        </w:tc>
        <w:tc>
          <w:tcPr>
            <w:tcW w:w="10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9.71</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8.78</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12.13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14.52</w:t>
            </w:r>
          </w:p>
        </w:tc>
        <w:tc>
          <w:tcPr>
            <w:tcW w:w="0" w:type="dxa"/>
            <w:vAlign w:val="bottom"/>
          </w:tcPr>
          <w:p>
            <w:pPr>
              <w:spacing w:after="0"/>
              <w:rPr>
                <w:sz w:val="1"/>
                <w:szCs w:val="1"/>
                <w:color w:val="auto"/>
              </w:rPr>
            </w:pPr>
          </w:p>
        </w:tc>
      </w:tr>
      <w:tr>
        <w:trPr>
          <w:trHeight w:val="182"/>
        </w:trPr>
        <w:tc>
          <w:tcPr>
            <w:tcW w:w="418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Percentage of initial rent</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14.1 %</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_______________________________</w:t>
      </w:r>
    </w:p>
    <w:p>
      <w:pPr>
        <w:spacing w:after="0" w:line="40" w:lineRule="exact"/>
        <w:rPr>
          <w:sz w:val="20"/>
          <w:szCs w:val="20"/>
          <w:color w:val="auto"/>
        </w:rPr>
      </w:pPr>
    </w:p>
    <w:p>
      <w:pPr>
        <w:ind w:left="320" w:hanging="315"/>
        <w:spacing w:after="0" w:line="266" w:lineRule="auto"/>
        <w:tabs>
          <w:tab w:leader="none" w:pos="312"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the cash basis weighted average starting rent per square foot, which is generally indicative of market rents. Most leases include free rent and periodic step-ups in rent which are not included in the initial cash basis rent per square foot but are included in the GAAP basis straight-line rent per square foot.</w:t>
      </w:r>
    </w:p>
    <w:p>
      <w:pPr>
        <w:spacing w:after="0" w:line="23"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the GAAP basis weighted average rent per square foot that is recognized over the term of the respective leases and includes the effect of free rent and periodic step-ups in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Overview - continued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Square footage (in service) and Occupancy as of December 31, 2024</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(Square feet in thousands)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8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Square Feet (in service)</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900" w:type="dxa"/>
            <w:vAlign w:val="bottom"/>
            <w:vMerge w:val="restart"/>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5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200" w:type="dxa"/>
            <w:vAlign w:val="bottom"/>
          </w:tcPr>
          <w:p>
            <w:pPr>
              <w:jc w:val="right"/>
              <w:ind w:right="410"/>
              <w:spacing w:after="0" w:line="126" w:lineRule="exact"/>
              <w:rPr>
                <w:sz w:val="20"/>
                <w:szCs w:val="20"/>
                <w:color w:val="auto"/>
              </w:rPr>
            </w:pPr>
            <w:r>
              <w:rPr>
                <w:rFonts w:ascii="Times New Roman" w:cs="Times New Roman" w:eastAsia="Times New Roman" w:hAnsi="Times New Roman"/>
                <w:sz w:val="14"/>
                <w:szCs w:val="14"/>
                <w:b w:val="1"/>
                <w:bCs w:val="1"/>
                <w:color w:val="auto"/>
              </w:rPr>
              <w:t>Our</w:t>
            </w:r>
          </w:p>
        </w:tc>
        <w:tc>
          <w:tcPr>
            <w:tcW w:w="100" w:type="dxa"/>
            <w:vAlign w:val="bottom"/>
          </w:tcPr>
          <w:p>
            <w:pPr>
              <w:spacing w:after="0"/>
              <w:rPr>
                <w:sz w:val="10"/>
                <w:szCs w:val="10"/>
                <w:color w:val="auto"/>
              </w:rPr>
            </w:pPr>
          </w:p>
        </w:tc>
        <w:tc>
          <w:tcPr>
            <w:tcW w:w="16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Occupancy %</w:t>
            </w: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7"/>
              </w:rPr>
              <w:t>properties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9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4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Office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30</w:t>
            </w:r>
          </w:p>
        </w:tc>
        <w:tc>
          <w:tcPr>
            <w:tcW w:w="40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0"/>
                <w:szCs w:val="10"/>
                <w:b w:val="1"/>
                <w:bCs w:val="1"/>
                <w:color w:val="auto"/>
              </w:rPr>
              <w:t>(1)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18,714</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16,024</w:t>
            </w:r>
          </w:p>
        </w:tc>
        <w:tc>
          <w:tcPr>
            <w:tcW w:w="14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88.8 %</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Retail (includes retail properties that are in the base of our office properties)</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49</w:t>
            </w:r>
          </w:p>
        </w:tc>
        <w:tc>
          <w:tcPr>
            <w:tcW w:w="400" w:type="dxa"/>
            <w:vAlign w:val="bottom"/>
          </w:tcPr>
          <w:p>
            <w:pPr>
              <w:jc w:val="right"/>
              <w:ind w:right="208"/>
              <w:spacing w:after="0"/>
              <w:rPr>
                <w:sz w:val="20"/>
                <w:szCs w:val="20"/>
                <w:color w:val="auto"/>
              </w:rPr>
            </w:pPr>
            <w:r>
              <w:rPr>
                <w:rFonts w:ascii="Times New Roman" w:cs="Times New Roman" w:eastAsia="Times New Roman" w:hAnsi="Times New Roman"/>
                <w:sz w:val="10"/>
                <w:szCs w:val="10"/>
                <w:b w:val="1"/>
                <w:bCs w:val="1"/>
                <w:color w:val="auto"/>
              </w:rPr>
              <w:t>(1)</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w:t>
            </w:r>
          </w:p>
        </w:tc>
        <w:tc>
          <w:tcPr>
            <w:tcW w:w="148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73.7 %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440" w:type="dxa"/>
            <w:vAlign w:val="bottom"/>
            <w:gridSpan w:val="2"/>
            <w:shd w:val="clear" w:color="auto" w:fill="CCEEFF"/>
          </w:tcPr>
          <w:p>
            <w:pPr>
              <w:ind w:left="460"/>
              <w:spacing w:after="0" w:line="203" w:lineRule="exact"/>
              <w:rPr>
                <w:sz w:val="20"/>
                <w:szCs w:val="20"/>
                <w:color w:val="auto"/>
              </w:rPr>
            </w:pPr>
            <w:r>
              <w:rPr>
                <w:rFonts w:ascii="Times New Roman" w:cs="Times New Roman" w:eastAsia="Times New Roman" w:hAnsi="Times New Roman"/>
                <w:sz w:val="14"/>
                <w:szCs w:val="14"/>
                <w:color w:val="auto"/>
              </w:rPr>
              <w:t>Residential - 1,642 units</w:t>
            </w:r>
            <w:r>
              <w:rPr>
                <w:rFonts w:ascii="Times New Roman" w:cs="Times New Roman" w:eastAsia="Times New Roman" w:hAnsi="Times New Roman"/>
                <w:sz w:val="18"/>
                <w:szCs w:val="18"/>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0"/>
                <w:szCs w:val="10"/>
                <w:b w:val="1"/>
                <w:bCs w:val="1"/>
                <w:color w:val="auto"/>
              </w:rPr>
              <w:t>(1)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74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 xml:space="preserve">96.6 % </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90"/>
        </w:trPr>
        <w:tc>
          <w:tcPr>
            <w:tcW w:w="644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4"/>
                <w:szCs w:val="14"/>
                <w:color w:val="auto"/>
              </w:rPr>
              <w:t>Alexander's</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740" w:type="dxa"/>
            <w:vAlign w:val="bottom"/>
            <w:tcBorders>
              <w:bottom w:val="single" w:sz="8" w:color="CCEEFF"/>
            </w:tcBorders>
            <w:gridSpan w:val="3"/>
          </w:tcPr>
          <w:p>
            <w:pPr>
              <w:ind w:left="1060"/>
              <w:spacing w:after="0"/>
              <w:rPr>
                <w:sz w:val="20"/>
                <w:szCs w:val="20"/>
                <w:color w:val="auto"/>
              </w:rPr>
            </w:pPr>
            <w:r>
              <w:rPr>
                <w:rFonts w:ascii="Times New Roman" w:cs="Times New Roman" w:eastAsia="Times New Roman" w:hAnsi="Times New Roman"/>
                <w:sz w:val="14"/>
                <w:szCs w:val="14"/>
                <w:color w:val="auto"/>
              </w:rPr>
              <w:t xml:space="preserve">99.1 % </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90"/>
        </w:trPr>
        <w:tc>
          <w:tcPr>
            <w:tcW w:w="55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24,364</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19,241</w:t>
            </w:r>
          </w:p>
        </w:tc>
        <w:tc>
          <w:tcPr>
            <w:tcW w:w="14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87.6 %</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THE MART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3,694</w:t>
            </w:r>
          </w:p>
        </w:tc>
        <w:tc>
          <w:tcPr>
            <w:tcW w:w="148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80.1 %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4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555 California Street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4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92.0 %</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44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9"/>
              </w:rPr>
              <w:t>11</w:t>
            </w:r>
          </w:p>
        </w:tc>
        <w:tc>
          <w:tcPr>
            <w:tcW w:w="4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1480" w:type="dxa"/>
            <w:vAlign w:val="bottom"/>
            <w:tcBorders>
              <w:bottom w:val="single" w:sz="8" w:color="CCEEFF"/>
            </w:tcBorders>
            <w:gridSpan w:val="2"/>
          </w:tcPr>
          <w:p>
            <w:pPr>
              <w:ind w:left="1060"/>
              <w:spacing w:after="0"/>
              <w:rPr>
                <w:sz w:val="20"/>
                <w:szCs w:val="20"/>
                <w:color w:val="auto"/>
              </w:rPr>
            </w:pPr>
            <w:r>
              <w:rPr>
                <w:rFonts w:ascii="Times New Roman" w:cs="Times New Roman" w:eastAsia="Times New Roman" w:hAnsi="Times New Roman"/>
                <w:sz w:val="14"/>
                <w:szCs w:val="14"/>
                <w:color w:val="auto"/>
              </w:rPr>
              <w:t>86.5 %</w:t>
            </w:r>
          </w:p>
        </w:tc>
        <w:tc>
          <w:tcPr>
            <w:tcW w:w="2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8,061</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6,171</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square feet as of December 31, 2024</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32,425</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25,412</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54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See notes below.</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Square footage (in service) and Occupancy as of December 31, 2023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(Square feet in thousands)</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Square Feet (in service)</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920" w:type="dxa"/>
            <w:vAlign w:val="bottom"/>
            <w:vMerge w:val="restart"/>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180" w:type="dxa"/>
            <w:vAlign w:val="bottom"/>
          </w:tcPr>
          <w:p>
            <w:pPr>
              <w:jc w:val="right"/>
              <w:ind w:right="390"/>
              <w:spacing w:after="0" w:line="126" w:lineRule="exact"/>
              <w:rPr>
                <w:sz w:val="20"/>
                <w:szCs w:val="20"/>
                <w:color w:val="auto"/>
              </w:rPr>
            </w:pPr>
            <w:r>
              <w:rPr>
                <w:rFonts w:ascii="Times New Roman" w:cs="Times New Roman" w:eastAsia="Times New Roman" w:hAnsi="Times New Roman"/>
                <w:sz w:val="14"/>
                <w:szCs w:val="14"/>
                <w:b w:val="1"/>
                <w:bCs w:val="1"/>
                <w:color w:val="auto"/>
              </w:rPr>
              <w:t>Our</w:t>
            </w:r>
          </w:p>
        </w:tc>
        <w:tc>
          <w:tcPr>
            <w:tcW w:w="100" w:type="dxa"/>
            <w:vAlign w:val="bottom"/>
          </w:tcPr>
          <w:p>
            <w:pPr>
              <w:spacing w:after="0"/>
              <w:rPr>
                <w:sz w:val="10"/>
                <w:szCs w:val="10"/>
                <w:color w:val="auto"/>
              </w:rPr>
            </w:pPr>
          </w:p>
        </w:tc>
        <w:tc>
          <w:tcPr>
            <w:tcW w:w="16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Occupancy %</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920" w:type="dxa"/>
            <w:vAlign w:val="bottom"/>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Portfolio</w:t>
            </w: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80" w:type="dxa"/>
            <w:vAlign w:val="bottom"/>
            <w:vMerge w:val="restart"/>
          </w:tcPr>
          <w:p>
            <w:pPr>
              <w:jc w:val="right"/>
              <w:ind w:right="55"/>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Office</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30</w:t>
            </w:r>
          </w:p>
        </w:tc>
        <w:tc>
          <w:tcPr>
            <w:tcW w:w="2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18,699</w:t>
            </w:r>
          </w:p>
        </w:tc>
        <w:tc>
          <w:tcPr>
            <w:tcW w:w="10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16,001</w:t>
            </w:r>
          </w:p>
        </w:tc>
        <w:tc>
          <w:tcPr>
            <w:tcW w:w="14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color w:val="auto"/>
              </w:rPr>
              <w:t>90.7 %</w:t>
            </w: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40" w:type="dxa"/>
            <w:vAlign w:val="bottom"/>
            <w:gridSpan w:val="2"/>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80" w:type="dxa"/>
            <w:vAlign w:val="bottom"/>
            <w:vMerge w:val="restart"/>
          </w:tcPr>
          <w:p>
            <w:pPr>
              <w:jc w:val="right"/>
              <w:ind w:right="55"/>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Retail (includes retail properties that are in the base of our office properties)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50</w:t>
            </w:r>
          </w:p>
        </w:tc>
        <w:tc>
          <w:tcPr>
            <w:tcW w:w="2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2,123</w:t>
            </w:r>
          </w:p>
        </w:tc>
        <w:tc>
          <w:tcPr>
            <w:tcW w:w="10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14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color w:val="auto"/>
              </w:rPr>
              <w:t>74.9 %</w:t>
            </w: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40" w:type="dxa"/>
            <w:vAlign w:val="bottom"/>
            <w:gridSpan w:val="2"/>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80" w:type="dxa"/>
            <w:vAlign w:val="bottom"/>
            <w:vMerge w:val="restart"/>
          </w:tcPr>
          <w:p>
            <w:pPr>
              <w:jc w:val="right"/>
              <w:ind w:right="55"/>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Residential - 1,974 units</w:t>
            </w:r>
            <w:r>
              <w:rPr>
                <w:rFonts w:ascii="Times New Roman" w:cs="Times New Roman" w:eastAsia="Times New Roman" w:hAnsi="Times New Roman"/>
                <w:sz w:val="18"/>
                <w:szCs w:val="18"/>
                <w:color w:val="auto"/>
                <w:vertAlign w:val="superscript"/>
              </w:rPr>
              <w:t>(2)</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10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720" w:type="dxa"/>
            <w:vAlign w:val="bottom"/>
            <w:gridSpan w:val="3"/>
            <w:vMerge w:val="restart"/>
          </w:tcPr>
          <w:p>
            <w:pPr>
              <w:ind w:left="1060"/>
              <w:spacing w:after="0"/>
              <w:rPr>
                <w:sz w:val="20"/>
                <w:szCs w:val="20"/>
                <w:color w:val="auto"/>
              </w:rPr>
            </w:pPr>
            <w:r>
              <w:rPr>
                <w:rFonts w:ascii="Times New Roman" w:cs="Times New Roman" w:eastAsia="Times New Roman" w:hAnsi="Times New Roman"/>
                <w:sz w:val="14"/>
                <w:szCs w:val="14"/>
                <w:color w:val="auto"/>
              </w:rPr>
              <w:t xml:space="preserve">96.8 % </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4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4"/>
                <w:szCs w:val="14"/>
                <w:color w:val="auto"/>
              </w:rPr>
              <w:t>Alexander's</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2,331</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720" w:type="dxa"/>
            <w:vAlign w:val="bottom"/>
            <w:tcBorders>
              <w:bottom w:val="single" w:sz="8" w:color="CCEEFF"/>
            </w:tcBorders>
            <w:gridSpan w:val="3"/>
          </w:tcPr>
          <w:p>
            <w:pPr>
              <w:ind w:left="1060"/>
              <w:spacing w:after="0"/>
              <w:rPr>
                <w:sz w:val="20"/>
                <w:szCs w:val="20"/>
                <w:color w:val="auto"/>
              </w:rPr>
            </w:pPr>
            <w:r>
              <w:rPr>
                <w:rFonts w:ascii="Times New Roman" w:cs="Times New Roman" w:eastAsia="Times New Roman" w:hAnsi="Times New Roman"/>
                <w:sz w:val="14"/>
                <w:szCs w:val="14"/>
                <w:color w:val="auto"/>
              </w:rPr>
              <w:t xml:space="preserve">92.6 % </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24,632</w:t>
            </w:r>
          </w:p>
        </w:tc>
        <w:tc>
          <w:tcPr>
            <w:tcW w:w="1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19,185</w:t>
            </w:r>
          </w:p>
        </w:tc>
        <w:tc>
          <w:tcPr>
            <w:tcW w:w="14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89.4 %</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THE MART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w:t>
            </w:r>
          </w:p>
        </w:tc>
        <w:tc>
          <w:tcPr>
            <w:tcW w:w="14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79.2 %</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555 California Street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48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94.5 %</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1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14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91.9 %</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8,044</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6,155</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square feet as of December 31, 2023</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32,676</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25,340</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40" w:type="dxa"/>
            <w:vAlign w:val="bottom"/>
            <w:gridSpan w:val="2"/>
            <w:vMerge w:val="restart"/>
          </w:tcPr>
          <w:p>
            <w:pPr>
              <w:jc w:val="right"/>
              <w:ind w:right="3370"/>
              <w:spacing w:after="0"/>
              <w:rPr>
                <w:sz w:val="20"/>
                <w:szCs w:val="20"/>
                <w:color w:val="auto"/>
              </w:rPr>
            </w:pPr>
            <w:r>
              <w:rPr>
                <w:rFonts w:ascii="Times New Roman" w:cs="Times New Roman" w:eastAsia="Times New Roman" w:hAnsi="Times New Roman"/>
                <w:sz w:val="10"/>
                <w:szCs w:val="10"/>
                <w:color w:val="auto"/>
              </w:rPr>
              <w:t>________________________________________</w:t>
            </w: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54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-1807845</wp:posOffset>
            </wp:positionV>
            <wp:extent cx="7119620" cy="1244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9620" cy="12446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-1558290</wp:posOffset>
            </wp:positionV>
            <wp:extent cx="7119620" cy="1244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9620" cy="124460"/>
                    </a:xfrm>
                    <a:prstGeom prst="rect">
                      <a:avLst/>
                    </a:prstGeom>
                    <a:noFill/>
                  </pic:spPr>
                </pic:pic>
              </a:graphicData>
            </a:graphic>
          </wp:anchor>
        </w:drawing>
      </w:r>
    </w:p>
    <w:p>
      <w:pPr>
        <w:ind w:left="320" w:hanging="315"/>
        <w:spacing w:after="0"/>
        <w:tabs>
          <w:tab w:leader="none" w:pos="320"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Reflects the Office, Retail and Residential space within our 64 and 65 total New York properties as of December 31, 2024 and 2023, respectively.</w:t>
      </w:r>
    </w:p>
    <w:p>
      <w:pPr>
        <w:spacing w:after="0" w:line="21"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Alexander Apartment Tower (312 units) is reflected in Residential unit count and occupancy.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68" w:lineRule="exact"/>
        <w:rPr>
          <w:sz w:val="20"/>
          <w:szCs w:val="20"/>
          <w:color w:val="auto"/>
        </w:rPr>
      </w:pPr>
    </w:p>
    <w:p>
      <w:pPr>
        <w:jc w:val="both"/>
        <w:ind w:firstLine="314"/>
        <w:spacing w:after="0" w:line="266" w:lineRule="auto"/>
        <w:rPr>
          <w:sz w:val="20"/>
          <w:szCs w:val="20"/>
          <w:color w:val="auto"/>
        </w:rPr>
      </w:pPr>
      <w:r>
        <w:rPr>
          <w:rFonts w:ascii="Times New Roman" w:cs="Times New Roman" w:eastAsia="Times New Roman" w:hAnsi="Times New Roman"/>
          <w:sz w:val="17"/>
          <w:szCs w:val="17"/>
          <w:color w:val="auto"/>
        </w:rPr>
        <w:t xml:space="preserve">In preparing the consolidated financial statements we have made estimates and assumptions that affect the reported amounts of assets and liabilities at the date of the financial statements and the reported amounts of revenues and expenses during the reporting periods. Accounting estimates are deemed critical if they involve a significant level of estimation uncertainty and have had or are reasonably likely to have a material impact on our financial condition or results of operations. Below is a summary of the critical accounting estimates used in the preparation of our consolidated financial statements. A discussion of our accounting policies is included in Note 2 - </w:t>
      </w:r>
      <w:r>
        <w:rPr>
          <w:rFonts w:ascii="Times New Roman" w:cs="Times New Roman" w:eastAsia="Times New Roman" w:hAnsi="Times New Roman"/>
          <w:sz w:val="17"/>
          <w:szCs w:val="17"/>
          <w:i w:val="1"/>
          <w:iCs w:val="1"/>
          <w:color w:val="auto"/>
        </w:rPr>
        <w:t>Basis of Presentation and Significant Accounting Policies</w:t>
      </w:r>
      <w:r>
        <w:rPr>
          <w:rFonts w:ascii="Times New Roman" w:cs="Times New Roman" w:eastAsia="Times New Roman" w:hAnsi="Times New Roman"/>
          <w:sz w:val="17"/>
          <w:szCs w:val="17"/>
          <w:color w:val="auto"/>
        </w:rPr>
        <w:t xml:space="preserve"> to our consolidated financial statements in this Annual Report on Form 10-K.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Acquisitions of Real Estate</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Upon the acquisition of real estate, we assess whether the transaction should be accounted for as an asset acquisition or as a business combination. Acquisitions of integrated sets of assets and activities that do not meet the definition of a business are accounted for as asset acquisitions. Our acquisitions of real estate generally will not meet the definition of a business because substantially all of the fair value is concentrated in a single identifiable asset or group of similar identifiable assets (i.e. land, buildings, and related identified intangible assets).</w:t>
      </w:r>
    </w:p>
    <w:p>
      <w:pPr>
        <w:spacing w:after="0" w:line="11"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We assess the fair value of acquired assets (including land, buildings and improvements, identified intangibles, such as acquired above and below-market leases, acquired in-place leases and tenant relationships) and acquired liabilities and we allocate the purchase price on a relative fair value basis. We assess fair value based on estimated cash flow projections based on a number of factors such as historical operating results, known trends, and market/economic conditions and make key assumptions regarding the discount and capitalization rates used in our analyses. The use of different assumptions to value the acquired properties and allocate value between land and building could affect the revenues recognized over the terms of the leases at our properties and the expenses recognized over the property's estimated remaining useful life on our consolidated statements of income.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Impairment Analyses for Investments in Real Estate and Unconsolidated Partially Owned Entities</w:t>
      </w:r>
    </w:p>
    <w:p>
      <w:pPr>
        <w:spacing w:after="0" w:line="68"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Our investments in consolidated properties, including any related right-of-use assets and intangible assets, and unconsolidated partially owned entities are individually reviewed for impairment whenever events or changes in circumstances indicate that the carrying amount may not be recoverable. For our unconsolidated partially owned entities, we consider various qualitative factors to determine if a decrease in the value of our investment is other-than-temporary during our intended holding period. Assessing impairment can be complex and involves a high degree of subjectivity in determining if impairment indicators are present and in estimating the future undiscounted cash flows or the fair value of an asset. In particular, these estimates are sensitive to significant assumptions, including the estimation of future rental revenues, operating expenses, capital expenditures, discount rates and capitalization rates and our intent and ability to hold the related asset, all of which could be affected by our expectations about future market or economic conditions. These estimates can have a significant impact on the undiscounted cash flows or estimated fair value of an asset and could thereby affect the value of our real estate investments on our consolidated balance sheets as well as any potential impairment losses recognized on our consolidated statements of income.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Collectability Assessments for Revenue Recognition</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We evaluate on an individual lease basis whether it is probable that we will collect substantially all amounts due from our tenants and recognize changes in the collectability assessment of our operating leases as adjustments to rental revenue. Management exercises judgment in assessing collectability of tenant receivables and considers payment history, current credit status, publicly available information about the financial condition of the tenant, and other factors. Our assessment of the collectability of tenant receivables can have a significant impact on the rental revenue recognized in our consolidated statements of income.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66" w:lineRule="exact"/>
        <w:rPr>
          <w:sz w:val="20"/>
          <w:szCs w:val="20"/>
          <w:color w:val="auto"/>
        </w:rPr>
      </w:pPr>
    </w:p>
    <w:p>
      <w:pPr>
        <w:jc w:val="both"/>
        <w:ind w:firstLine="314"/>
        <w:spacing w:after="0" w:line="299" w:lineRule="auto"/>
        <w:rPr>
          <w:sz w:val="20"/>
          <w:szCs w:val="20"/>
          <w:color w:val="auto"/>
        </w:rPr>
      </w:pPr>
      <w:r>
        <w:rPr>
          <w:rFonts w:ascii="Times New Roman" w:cs="Times New Roman" w:eastAsia="Times New Roman" w:hAnsi="Times New Roman"/>
          <w:sz w:val="17"/>
          <w:szCs w:val="17"/>
          <w:color w:val="auto"/>
        </w:rPr>
        <w:t xml:space="preserve">See Note 2 – </w:t>
      </w:r>
      <w:r>
        <w:rPr>
          <w:rFonts w:ascii="Times New Roman" w:cs="Times New Roman" w:eastAsia="Times New Roman" w:hAnsi="Times New Roman"/>
          <w:sz w:val="17"/>
          <w:szCs w:val="17"/>
          <w:i w:val="1"/>
          <w:iCs w:val="1"/>
          <w:color w:val="auto"/>
        </w:rPr>
        <w:t>Basis of Presentation and Significant Accounting Policies</w:t>
      </w:r>
      <w:r>
        <w:rPr>
          <w:rFonts w:ascii="Times New Roman" w:cs="Times New Roman" w:eastAsia="Times New Roman" w:hAnsi="Times New Roman"/>
          <w:sz w:val="17"/>
          <w:szCs w:val="17"/>
          <w:color w:val="auto"/>
        </w:rPr>
        <w:t xml:space="preserve"> to our consolidated financial statements in this Annual Report on Form 10-K for a discussion concerning recent accounting pronouncements.</w:t>
      </w: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NOI At Share by Segment for the Years Ended December 31, 2024 and 2023</w:t>
      </w:r>
    </w:p>
    <w:p>
      <w:pPr>
        <w:spacing w:after="0" w:line="6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NOI at share represents total revenues less operating expenses including our share of partially owned entities. NOI at share - cash basis represents NOI at share adjusted to exclude straight-line rental income and expense, amortization of acquired below and above market leases, accruals for ground rent resets yet to be determined, and other non-cash adjustments. We consider NOI at share to be the primary non-GAAP financial measure for making decisions and assessing the unlevered performance of our segments as it relates to the return on assets as opposed to the levered return on equity. As properties are bought and sold based on NOI at share - cash basis, we utilize this measure to make investment decisions as well as to compare the performance of our assets to that of our peers. NOI at share and NOI at share - cash basis should not be considered alternatives to net income or cash flow from operations and may not be comparable to similarly titled measures employed by other companies.</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summary of NOI at share and NOI at share - cash basis by segment for the years ended December 31, 2024 and 2023.</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340" w:type="dxa"/>
            <w:vAlign w:val="bottom"/>
          </w:tcPr>
          <w:p>
            <w:pPr>
              <w:spacing w:after="0"/>
              <w:rPr>
                <w:sz w:val="16"/>
                <w:szCs w:val="16"/>
                <w:color w:val="auto"/>
              </w:rPr>
            </w:pPr>
          </w:p>
        </w:tc>
        <w:tc>
          <w:tcPr>
            <w:tcW w:w="3320" w:type="dxa"/>
            <w:vAlign w:val="bottom"/>
            <w:gridSpan w:val="6"/>
          </w:tcPr>
          <w:p>
            <w:pPr>
              <w:jc w:val="center"/>
              <w:ind w:left="63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2024</w:t>
            </w:r>
          </w:p>
        </w:tc>
        <w:tc>
          <w:tcPr>
            <w:tcW w:w="106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6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New York</w:t>
            </w:r>
          </w:p>
        </w:tc>
        <w:tc>
          <w:tcPr>
            <w:tcW w:w="400" w:type="dxa"/>
            <w:vAlign w:val="bottom"/>
          </w:tcPr>
          <w:p>
            <w:pPr>
              <w:spacing w:after="0"/>
              <w:rPr>
                <w:sz w:val="15"/>
                <w:szCs w:val="15"/>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6"/>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1,787,686</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1,471,997</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315,689</w:t>
            </w:r>
          </w:p>
        </w:tc>
      </w:tr>
      <w:tr>
        <w:trPr>
          <w:trHeight w:val="190"/>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(927,796)</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(766,347)</w:t>
            </w:r>
          </w:p>
        </w:tc>
        <w:tc>
          <w:tcPr>
            <w:tcW w:w="1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(161,449)</w:t>
            </w:r>
          </w:p>
        </w:tc>
      </w:tr>
      <w:tr>
        <w:trPr>
          <w:trHeight w:val="19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NOI - consolidated</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859,890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705,650</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154,240</w:t>
            </w:r>
          </w:p>
        </w:tc>
      </w:tr>
      <w:tr>
        <w:trPr>
          <w:trHeight w:val="189"/>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(39,367)</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(12,899)</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(26,468)</w:t>
            </w:r>
          </w:p>
        </w:tc>
      </w:tr>
      <w:tr>
        <w:trPr>
          <w:trHeight w:val="20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279,229</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269,159</w:t>
            </w:r>
          </w:p>
        </w:tc>
        <w:tc>
          <w:tcPr>
            <w:tcW w:w="1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10,070</w:t>
            </w:r>
          </w:p>
        </w:tc>
      </w:tr>
      <w:tr>
        <w:trPr>
          <w:trHeight w:val="183"/>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NOI at share</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1,099,752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961,910</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137,842</w:t>
            </w:r>
          </w:p>
        </w:tc>
      </w:tr>
      <w:tr>
        <w:trPr>
          <w:trHeight w:val="197"/>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adjustments for straight-line rents, amortization of acquired below-market leases, net and other</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(17,888)</w:t>
            </w:r>
          </w:p>
        </w:tc>
        <w:tc>
          <w:tcPr>
            <w:tcW w:w="1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14,225</w:t>
            </w:r>
          </w:p>
        </w:tc>
      </w:tr>
      <w:tr>
        <w:trPr>
          <w:trHeight w:val="196"/>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NOI at share - cash basis</w:t>
            </w: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1,096,089</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944,022</w:t>
            </w:r>
          </w:p>
        </w:tc>
        <w:tc>
          <w:tcPr>
            <w:tcW w:w="180" w:type="dxa"/>
            <w:vAlign w:val="bottom"/>
          </w:tcPr>
          <w:p>
            <w:pPr>
              <w:spacing w:after="0"/>
              <w:rPr>
                <w:sz w:val="17"/>
                <w:szCs w:val="17"/>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152,067</w:t>
            </w:r>
          </w:p>
        </w:tc>
      </w:tr>
      <w:tr>
        <w:trPr>
          <w:trHeight w:val="20"/>
        </w:trPr>
        <w:tc>
          <w:tcPr>
            <w:tcW w:w="6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340" w:type="dxa"/>
            <w:vAlign w:val="bottom"/>
          </w:tcPr>
          <w:p>
            <w:pPr>
              <w:spacing w:after="0"/>
              <w:rPr>
                <w:sz w:val="16"/>
                <w:szCs w:val="16"/>
                <w:color w:val="auto"/>
              </w:rPr>
            </w:pPr>
          </w:p>
        </w:tc>
        <w:tc>
          <w:tcPr>
            <w:tcW w:w="3320" w:type="dxa"/>
            <w:vAlign w:val="bottom"/>
            <w:gridSpan w:val="6"/>
          </w:tcPr>
          <w:p>
            <w:pPr>
              <w:jc w:val="center"/>
              <w:ind w:left="63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2023</w:t>
            </w:r>
          </w:p>
        </w:tc>
        <w:tc>
          <w:tcPr>
            <w:tcW w:w="106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6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New York</w:t>
            </w:r>
          </w:p>
        </w:tc>
        <w:tc>
          <w:tcPr>
            <w:tcW w:w="400" w:type="dxa"/>
            <w:vAlign w:val="bottom"/>
          </w:tcPr>
          <w:p>
            <w:pPr>
              <w:spacing w:after="0"/>
              <w:rPr>
                <w:sz w:val="15"/>
                <w:szCs w:val="15"/>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6"/>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1,811,163</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1,452,158</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359,005</w:t>
            </w:r>
          </w:p>
        </w:tc>
      </w:tr>
      <w:tr>
        <w:trPr>
          <w:trHeight w:val="190"/>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(905,158)</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(733,478)</w:t>
            </w:r>
          </w:p>
        </w:tc>
        <w:tc>
          <w:tcPr>
            <w:tcW w:w="1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(171,680)</w:t>
            </w:r>
          </w:p>
        </w:tc>
      </w:tr>
      <w:tr>
        <w:trPr>
          <w:trHeight w:val="19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NOI - consolidated</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906,005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718,680</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187,325</w:t>
            </w:r>
          </w:p>
        </w:tc>
      </w:tr>
      <w:tr>
        <w:trPr>
          <w:trHeight w:val="189"/>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(48,553)</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(15,547)</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(33,006)</w:t>
            </w:r>
          </w:p>
        </w:tc>
      </w:tr>
      <w:tr>
        <w:trPr>
          <w:trHeight w:val="20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285,761</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274,436</w:t>
            </w:r>
          </w:p>
        </w:tc>
        <w:tc>
          <w:tcPr>
            <w:tcW w:w="1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11,325</w:t>
            </w:r>
          </w:p>
        </w:tc>
      </w:tr>
      <w:tr>
        <w:trPr>
          <w:trHeight w:val="183"/>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NOI at share</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1,143,213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977,569</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165,644</w:t>
            </w:r>
          </w:p>
        </w:tc>
      </w:tr>
      <w:tr>
        <w:trPr>
          <w:trHeight w:val="197"/>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adjustments for straight-line rents, amortization of acquired below-market leases, net and other</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(3,377)</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(7,700)</w:t>
            </w:r>
          </w:p>
        </w:tc>
        <w:tc>
          <w:tcPr>
            <w:tcW w:w="1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4,323</w:t>
            </w:r>
          </w:p>
        </w:tc>
      </w:tr>
      <w:tr>
        <w:trPr>
          <w:trHeight w:val="196"/>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NOI at share - cash basis</w:t>
            </w: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1,139,836</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969,869</w:t>
            </w:r>
          </w:p>
        </w:tc>
        <w:tc>
          <w:tcPr>
            <w:tcW w:w="180" w:type="dxa"/>
            <w:vAlign w:val="bottom"/>
          </w:tcPr>
          <w:p>
            <w:pPr>
              <w:spacing w:after="0"/>
              <w:rPr>
                <w:sz w:val="17"/>
                <w:szCs w:val="17"/>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169,967</w:t>
            </w:r>
          </w:p>
        </w:tc>
      </w:tr>
      <w:tr>
        <w:trPr>
          <w:trHeight w:val="20"/>
        </w:trPr>
        <w:tc>
          <w:tcPr>
            <w:tcW w:w="6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NOI At Share by Segment for the Years Ended December 31, 2024 and 2023 - continued</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elements of our New York and Other NOI at share for the years ended December 31, 2024 and 2023 are summarized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278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1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New York:</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Office</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706,592</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727,000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Retail</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191,379</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188,561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24,044</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21,910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Alexander's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39,895</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40,098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New York</w:t>
            </w: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961,910</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977,569</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4"/>
                <w:szCs w:val="14"/>
                <w:color w:val="auto"/>
              </w:rPr>
              <w:t>THE MART</w:t>
            </w:r>
            <w:r>
              <w:rPr>
                <w:rFonts w:ascii="Times New Roman" w:cs="Times New Roman" w:eastAsia="Times New Roman" w:hAnsi="Times New Roman"/>
                <w:sz w:val="18"/>
                <w:szCs w:val="18"/>
                <w:b w:val="1"/>
                <w:bCs w:val="1"/>
                <w:color w:val="auto"/>
                <w:vertAlign w:val="superscript"/>
              </w:rPr>
              <w:t>(1)</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51,686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61,519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tcPr>
          <w:p>
            <w:pPr>
              <w:ind w:left="140"/>
              <w:spacing w:after="0" w:line="196" w:lineRule="exact"/>
              <w:rPr>
                <w:sz w:val="20"/>
                <w:szCs w:val="20"/>
                <w:color w:val="auto"/>
              </w:rPr>
            </w:pPr>
            <w:r>
              <w:rPr>
                <w:rFonts w:ascii="Times New Roman" w:cs="Times New Roman" w:eastAsia="Times New Roman" w:hAnsi="Times New Roman"/>
                <w:sz w:val="14"/>
                <w:szCs w:val="14"/>
                <w:color w:val="auto"/>
              </w:rPr>
              <w:t>555 California Street</w:t>
            </w:r>
            <w:r>
              <w:rPr>
                <w:rFonts w:ascii="Times New Roman" w:cs="Times New Roman" w:eastAsia="Times New Roman" w:hAnsi="Times New Roman"/>
                <w:sz w:val="18"/>
                <w:szCs w:val="18"/>
                <w:b w:val="1"/>
                <w:bCs w:val="1"/>
                <w:color w:val="auto"/>
                <w:vertAlign w:val="superscript"/>
              </w:rPr>
              <w:t>(2)</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64,963</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82,965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investments</w:t>
            </w: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21,193</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21,160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Other</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137,842</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165,644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1,099,752</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1,143,213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1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See notes below.</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elements of our New York and Other NOI at share - cash basis for the years ended December 31, 2024 and 2023 are summarized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278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1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New York:</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Office</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698,138</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726,914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Retail</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176,798</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180,932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22,914</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20,588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Alexander's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46,172</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41,435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New York</w:t>
            </w: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944,022</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969,869</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THE MART</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57,235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62,579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555 California Street</w:t>
            </w:r>
            <w:r>
              <w:rPr>
                <w:rFonts w:ascii="Times New Roman" w:cs="Times New Roman" w:eastAsia="Times New Roman" w:hAnsi="Times New Roman"/>
                <w:sz w:val="9"/>
                <w:szCs w:val="9"/>
                <w:b w:val="1"/>
                <w:bCs w:val="1"/>
                <w:color w:val="auto"/>
              </w:rPr>
              <w:t>(2)</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74,621</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85,819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investments</w:t>
            </w: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20,211</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21,569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Other</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152,067</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169,967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 cash basis</w:t>
            </w: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1,096,089</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1,139,836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60" w:type="dxa"/>
            <w:vAlign w:val="bottom"/>
            <w:gridSpan w:val="2"/>
            <w:vMerge w:val="restart"/>
          </w:tcPr>
          <w:p>
            <w:pPr>
              <w:jc w:val="right"/>
              <w:ind w:right="5990"/>
              <w:spacing w:after="0"/>
              <w:rPr>
                <w:sz w:val="20"/>
                <w:szCs w:val="20"/>
                <w:color w:val="auto"/>
              </w:rPr>
            </w:pPr>
            <w:r>
              <w:rPr>
                <w:rFonts w:ascii="Times New Roman" w:cs="Times New Roman" w:eastAsia="Times New Roman" w:hAnsi="Times New Roman"/>
                <w:sz w:val="10"/>
                <w:szCs w:val="10"/>
                <w:color w:val="auto"/>
              </w:rPr>
              <w:t>________________________________________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20" w:hanging="315"/>
        <w:spacing w:after="0"/>
        <w:tabs>
          <w:tab w:leader="none" w:pos="32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2024 includes a $4,560 write-off of a receivable arising from the straight-lining of rents due to the tenant being deemed uncollectible.</w:t>
      </w:r>
    </w:p>
    <w:p>
      <w:pPr>
        <w:spacing w:after="0" w:line="1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2023 includes our $14,103 share of the receipt of a tenant settlement, net of legal expenses.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NOI At Share by Segment for the Years Ended December 31, 2024 and 2023 - continued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Net Income to NOI At Share and NOI At Share - Cash Basis for the Years Ended December 31, 2024 and 2023</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reconciliation of net income to NOI at share and NOI at share - cash basis for the years ended December 31, 2024 and 2023.</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278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8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32,888</w:t>
            </w:r>
          </w:p>
        </w:tc>
      </w:tr>
      <w:tr>
        <w:trPr>
          <w:trHeight w:val="189"/>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447,500</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434,273</w:t>
            </w:r>
          </w:p>
        </w:tc>
      </w:tr>
      <w:tr>
        <w:trPr>
          <w:trHeight w:val="20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148,520</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162,883</w:t>
            </w:r>
          </w:p>
        </w:tc>
      </w:tr>
      <w:tr>
        <w:trPr>
          <w:trHeight w:val="189"/>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 related costs, impairment losses and other</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50,691</w:t>
            </w:r>
          </w:p>
        </w:tc>
      </w:tr>
      <w:tr>
        <w:trPr>
          <w:trHeight w:val="20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partially owned entities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(112,464)</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(38,689)</w:t>
            </w:r>
          </w:p>
        </w:tc>
      </w:tr>
      <w:tr>
        <w:trPr>
          <w:trHeight w:val="189"/>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investment income, net</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(45,974)</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(43,287)</w:t>
            </w:r>
          </w:p>
        </w:tc>
      </w:tr>
      <w:tr>
        <w:trPr>
          <w:trHeight w:val="20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debt expense</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390,269</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349,223</w:t>
            </w:r>
          </w:p>
        </w:tc>
      </w:tr>
      <w:tr>
        <w:trPr>
          <w:trHeight w:val="189"/>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(16,048)</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(71,199)</w:t>
            </w:r>
          </w:p>
        </w:tc>
      </w:tr>
      <w:tr>
        <w:trPr>
          <w:trHeight w:val="20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22,729</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29,222</w:t>
            </w:r>
          </w:p>
        </w:tc>
      </w:tr>
      <w:tr>
        <w:trPr>
          <w:trHeight w:val="189"/>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from partially owned entities</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279,229</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285,761</w:t>
            </w:r>
          </w:p>
        </w:tc>
      </w:tr>
      <w:tr>
        <w:trPr>
          <w:trHeight w:val="20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attributable to noncontrolling interests in consolidated subsidiaries</w:t>
            </w: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(39,367)</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(48,553)</w:t>
            </w:r>
          </w:p>
        </w:tc>
      </w:tr>
      <w:tr>
        <w:trPr>
          <w:trHeight w:val="183"/>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1,099,752</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1,143,213</w:t>
            </w:r>
          </w:p>
        </w:tc>
      </w:tr>
      <w:tr>
        <w:trPr>
          <w:trHeight w:val="19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adjustments for straight-line rents, amortization of acquired below-market leases, net, and other</w:t>
            </w: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(3,377)</w:t>
            </w:r>
          </w:p>
        </w:tc>
      </w:tr>
      <w:tr>
        <w:trPr>
          <w:trHeight w:val="196"/>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at share - cash basis</w:t>
            </w:r>
          </w:p>
        </w:tc>
        <w:tc>
          <w:tcPr>
            <w:tcW w:w="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1,096,089</w:t>
            </w:r>
          </w:p>
        </w:tc>
        <w:tc>
          <w:tcPr>
            <w:tcW w:w="160" w:type="dxa"/>
            <w:vAlign w:val="bottom"/>
          </w:tcPr>
          <w:p>
            <w:pPr>
              <w:spacing w:after="0"/>
              <w:rPr>
                <w:sz w:val="17"/>
                <w:szCs w:val="17"/>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1,139,836</w:t>
            </w:r>
          </w:p>
        </w:tc>
      </w:tr>
      <w:tr>
        <w:trPr>
          <w:trHeight w:val="20"/>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NOI At Share by Region</w:t>
      </w:r>
      <w:r>
        <w:rPr>
          <w:rFonts w:ascii="Times New Roman" w:cs="Times New Roman" w:eastAsia="Times New Roman" w:hAnsi="Times New Roman"/>
          <w:sz w:val="22"/>
          <w:szCs w:val="22"/>
          <w:b w:val="1"/>
          <w:bCs w:val="1"/>
          <w:color w:val="auto"/>
          <w:vertAlign w:val="superscript"/>
        </w:rPr>
        <w:t>(1)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85"/>
        </w:trPr>
        <w:tc>
          <w:tcPr>
            <w:tcW w:w="7960" w:type="dxa"/>
            <w:vAlign w:val="bottom"/>
          </w:tcPr>
          <w:p>
            <w:pPr>
              <w:spacing w:after="0"/>
              <w:rPr>
                <w:sz w:val="16"/>
                <w:szCs w:val="16"/>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15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796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Region:</w:t>
            </w: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3"/>
        </w:trPr>
        <w:tc>
          <w:tcPr>
            <w:tcW w:w="7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 metropolitan area</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88 %</w:t>
            </w:r>
          </w:p>
        </w:tc>
      </w:tr>
      <w:tr>
        <w:trPr>
          <w:trHeight w:val="189"/>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Chicago, IL</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204"/>
        </w:trPr>
        <w:tc>
          <w:tcPr>
            <w:tcW w:w="79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San Francisco, CA</w:t>
            </w:r>
            <w:r>
              <w:rPr>
                <w:rFonts w:ascii="Times New Roman" w:cs="Times New Roman" w:eastAsia="Times New Roman" w:hAnsi="Times New Roman"/>
                <w:sz w:val="18"/>
                <w:szCs w:val="18"/>
                <w:b w:val="1"/>
                <w:bCs w:val="1"/>
                <w:color w:val="auto"/>
                <w:vertAlign w:val="superscript"/>
              </w:rPr>
              <w:t>(1)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6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83"/>
        </w:trPr>
        <w:tc>
          <w:tcPr>
            <w:tcW w:w="7960" w:type="dxa"/>
            <w:vAlign w:val="bottom"/>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60" w:type="dxa"/>
            <w:vAlign w:val="bottom"/>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6"/>
        </w:trPr>
        <w:tc>
          <w:tcPr>
            <w:tcW w:w="79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22" w:lineRule="exact"/>
        <w:rPr>
          <w:sz w:val="20"/>
          <w:szCs w:val="20"/>
          <w:color w:val="auto"/>
        </w:rPr>
      </w:pPr>
    </w:p>
    <w:p>
      <w:pPr>
        <w:ind w:left="200" w:hanging="195"/>
        <w:spacing w:after="0"/>
        <w:tabs>
          <w:tab w:leader="none" w:pos="20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2023 excludes our $14,103,000 share of the receipt of a tenant settlement, net of legal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5" w:name="page46"/>
    <w:bookmarkEnd w:id="45"/>
    <w:p>
      <w:pPr>
        <w:ind w:right="4640"/>
        <w:spacing w:after="0" w:line="322" w:lineRule="auto"/>
        <w:rPr>
          <w:sz w:val="20"/>
          <w:szCs w:val="20"/>
          <w:color w:val="auto"/>
        </w:rPr>
      </w:pPr>
      <w:r>
        <w:rPr>
          <w:rFonts w:ascii="Times New Roman" w:cs="Times New Roman" w:eastAsia="Times New Roman" w:hAnsi="Times New Roman"/>
          <w:sz w:val="17"/>
          <w:szCs w:val="17"/>
          <w:b w:val="1"/>
          <w:bCs w:val="1"/>
          <w:color w:val="auto"/>
        </w:rPr>
        <w:t xml:space="preserve">Results of Operations – Year Ended December 31, 2024 Compared to December 31, 2023 </w:t>
      </w:r>
      <w:r>
        <w:rPr>
          <w:rFonts w:ascii="Times New Roman" w:cs="Times New Roman" w:eastAsia="Times New Roman" w:hAnsi="Times New Roman"/>
          <w:sz w:val="17"/>
          <w:szCs w:val="17"/>
          <w:u w:val="single" w:color="auto"/>
          <w:color w:val="auto"/>
        </w:rPr>
        <w:t>Revenues</w:t>
      </w:r>
    </w:p>
    <w:p>
      <w:pPr>
        <w:spacing w:after="0" w:line="1" w:lineRule="exact"/>
        <w:rPr>
          <w:sz w:val="20"/>
          <w:szCs w:val="20"/>
          <w:color w:val="auto"/>
        </w:rPr>
      </w:pPr>
    </w:p>
    <w:p>
      <w:pPr>
        <w:ind w:firstLine="354"/>
        <w:spacing w:after="0" w:line="296" w:lineRule="auto"/>
        <w:rPr>
          <w:sz w:val="20"/>
          <w:szCs w:val="20"/>
          <w:color w:val="auto"/>
        </w:rPr>
      </w:pPr>
      <w:r>
        <w:rPr>
          <w:rFonts w:ascii="Times New Roman" w:cs="Times New Roman" w:eastAsia="Times New Roman" w:hAnsi="Times New Roman"/>
          <w:sz w:val="17"/>
          <w:szCs w:val="17"/>
          <w:color w:val="auto"/>
        </w:rPr>
        <w:t>Our revenues were $1,787,686,000 for the year ended December 31, 2024 compared to $1,811,163,000 in the prior year, a decrease of $23,477,000. Below are the details of the (decrease) increase by segment:</w:t>
      </w: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82"/>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(decrease) due to:</w:t>
            </w:r>
          </w:p>
        </w:tc>
        <w:tc>
          <w:tcPr>
            <w:tcW w:w="420" w:type="dxa"/>
            <w:vAlign w:val="bottom"/>
          </w:tcPr>
          <w:p>
            <w:pPr>
              <w:spacing w:after="0"/>
              <w:rPr>
                <w:sz w:val="17"/>
                <w:szCs w:val="17"/>
                <w:color w:val="auto"/>
              </w:rPr>
            </w:pP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7"/>
                <w:szCs w:val="17"/>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420" w:type="dxa"/>
            <w:vAlign w:val="bottom"/>
          </w:tcPr>
          <w:p>
            <w:pPr>
              <w:spacing w:after="0"/>
              <w:rPr>
                <w:sz w:val="17"/>
                <w:szCs w:val="17"/>
                <w:color w:val="auto"/>
              </w:rPr>
            </w:pPr>
          </w:p>
        </w:tc>
        <w:tc>
          <w:tcPr>
            <w:tcW w:w="1460" w:type="dxa"/>
            <w:vAlign w:val="bottom"/>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Rental revenues:</w:t>
            </w: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49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Acquisitions, dispositions and other</w:t>
            </w:r>
          </w:p>
        </w:tc>
        <w:tc>
          <w:tcPr>
            <w:tcW w:w="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9,214</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9,038</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Development and redevelopment</w:t>
            </w:r>
          </w:p>
        </w:tc>
        <w:tc>
          <w:tcPr>
            <w:tcW w:w="420" w:type="dxa"/>
            <w:vAlign w:val="bottom"/>
          </w:tcPr>
          <w:p>
            <w:pPr>
              <w:spacing w:after="0"/>
              <w:rPr>
                <w:sz w:val="16"/>
                <w:szCs w:val="16"/>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22,763</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22,763</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Trade shows</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760</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Same store operations</w:t>
            </w: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(71,417)</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(41,192)</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(30,225)</w:t>
            </w:r>
          </w:p>
        </w:tc>
        <w:tc>
          <w:tcPr>
            <w:tcW w:w="280" w:type="dxa"/>
            <w:vAlign w:val="bottom"/>
            <w:tcBorders>
              <w:bottom w:val="single" w:sz="8" w:color="CCEEFF"/>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96"/>
        </w:trPr>
        <w:tc>
          <w:tcPr>
            <w:tcW w:w="49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(38,680)</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(9,391)</w:t>
            </w:r>
          </w:p>
        </w:tc>
        <w:tc>
          <w:tcPr>
            <w:tcW w:w="1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(29,289)</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Fee and other income:</w:t>
            </w: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BMS cleaning fees</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7,288</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8,295</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Management and leasing fees</w:t>
            </w:r>
          </w:p>
        </w:tc>
        <w:tc>
          <w:tcPr>
            <w:tcW w:w="420" w:type="dxa"/>
            <w:vAlign w:val="bottom"/>
          </w:tcPr>
          <w:p>
            <w:pPr>
              <w:spacing w:after="0"/>
              <w:rPr>
                <w:sz w:val="16"/>
                <w:szCs w:val="16"/>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1,640</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1,824</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income</w:t>
            </w:r>
          </w:p>
        </w:tc>
        <w:tc>
          <w:tcPr>
            <w:tcW w:w="4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6,275</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19,111</w:t>
            </w:r>
          </w:p>
        </w:tc>
        <w:tc>
          <w:tcPr>
            <w:tcW w:w="1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(12,836)</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15,203</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29,230</w:t>
            </w:r>
          </w:p>
        </w:tc>
        <w:tc>
          <w:tcPr>
            <w:tcW w:w="1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(14,027)</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(decrease) increase in revenues</w:t>
            </w: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(23,477)</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19,839</w:t>
            </w: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(43,316)</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below.</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Expenses</w:t>
      </w:r>
    </w:p>
    <w:p>
      <w:pPr>
        <w:spacing w:after="0" w:line="66" w:lineRule="exact"/>
        <w:rPr>
          <w:sz w:val="20"/>
          <w:szCs w:val="20"/>
          <w:color w:val="auto"/>
        </w:rPr>
      </w:pPr>
    </w:p>
    <w:p>
      <w:pPr>
        <w:ind w:firstLine="354"/>
        <w:spacing w:after="0" w:line="296" w:lineRule="auto"/>
        <w:rPr>
          <w:sz w:val="20"/>
          <w:szCs w:val="20"/>
          <w:color w:val="auto"/>
        </w:rPr>
      </w:pPr>
      <w:r>
        <w:rPr>
          <w:rFonts w:ascii="Times New Roman" w:cs="Times New Roman" w:eastAsia="Times New Roman" w:hAnsi="Times New Roman"/>
          <w:sz w:val="17"/>
          <w:szCs w:val="17"/>
          <w:color w:val="auto"/>
        </w:rPr>
        <w:t>Our expenses were $1,541,696,000 for the year ended December 31, 2024 compared to $1,565,167,000 in the prior year, a decrease of $23,471,000. Below are the details of the decrease by segment: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(decrease) due to:</w:t>
            </w:r>
          </w:p>
        </w:tc>
        <w:tc>
          <w:tcPr>
            <w:tcW w:w="440" w:type="dxa"/>
            <w:vAlign w:val="bottom"/>
          </w:tcPr>
          <w:p>
            <w:pPr>
              <w:spacing w:after="0"/>
              <w:rPr>
                <w:sz w:val="17"/>
                <w:szCs w:val="17"/>
                <w:color w:val="auto"/>
              </w:rPr>
            </w:pPr>
          </w:p>
        </w:tc>
        <w:tc>
          <w:tcPr>
            <w:tcW w:w="16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7"/>
                <w:szCs w:val="17"/>
                <w:color w:val="auto"/>
              </w:rPr>
            </w:pP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420" w:type="dxa"/>
            <w:vAlign w:val="bottom"/>
          </w:tcPr>
          <w:p>
            <w:pPr>
              <w:spacing w:after="0"/>
              <w:rPr>
                <w:sz w:val="17"/>
                <w:szCs w:val="17"/>
                <w:color w:val="auto"/>
              </w:rPr>
            </w:pPr>
          </w:p>
        </w:tc>
        <w:tc>
          <w:tcPr>
            <w:tcW w:w="1460" w:type="dxa"/>
            <w:vAlign w:val="bottom"/>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48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Acquisitions, dispositions and other</w:t>
            </w:r>
          </w:p>
        </w:tc>
        <w:tc>
          <w:tcPr>
            <w:tcW w:w="4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10,319</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11,863</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Development and redevelopment</w:t>
            </w:r>
          </w:p>
        </w:tc>
        <w:tc>
          <w:tcPr>
            <w:tcW w:w="4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5,033</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5,033</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Non-reimbursable expenses</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Trade shows</w:t>
            </w:r>
          </w:p>
        </w:tc>
        <w:tc>
          <w:tcPr>
            <w:tcW w:w="4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BMS expenses</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4,695</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Same store operations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6,011</w:t>
            </w:r>
          </w:p>
        </w:tc>
        <w:tc>
          <w:tcPr>
            <w:tcW w:w="2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13,672</w:t>
            </w:r>
          </w:p>
        </w:tc>
        <w:tc>
          <w:tcPr>
            <w:tcW w:w="2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(7,661)</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22,638</w:t>
            </w:r>
          </w:p>
        </w:tc>
        <w:tc>
          <w:tcPr>
            <w:tcW w:w="2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32,869</w:t>
            </w:r>
          </w:p>
        </w:tc>
        <w:tc>
          <w:tcPr>
            <w:tcW w:w="2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(10,231)</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Acquisitions, dispositions and other</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Development and redevelopment</w:t>
            </w:r>
          </w:p>
        </w:tc>
        <w:tc>
          <w:tcPr>
            <w:tcW w:w="4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3,643</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3,643</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Same store operations</w:t>
            </w:r>
          </w:p>
        </w:tc>
        <w:tc>
          <w:tcPr>
            <w:tcW w:w="4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12,044</w:t>
            </w:r>
          </w:p>
        </w:tc>
        <w:tc>
          <w:tcPr>
            <w:tcW w:w="2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9,537</w:t>
            </w:r>
          </w:p>
        </w:tc>
        <w:tc>
          <w:tcPr>
            <w:tcW w:w="2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13,227</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10,720</w:t>
            </w: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General and administrative</w:t>
            </w:r>
          </w:p>
        </w:tc>
        <w:tc>
          <w:tcPr>
            <w:tcW w:w="4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(14,363)</w:t>
            </w:r>
          </w:p>
        </w:tc>
        <w:tc>
          <w:tcPr>
            <w:tcW w:w="24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24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(14,642)</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 from deferred compensation plan liability</w:t>
            </w: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 related costs, impairment losses and other</w:t>
            </w: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(45,449)</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(44,783) </w:t>
            </w:r>
            <w:r>
              <w:rPr>
                <w:rFonts w:ascii="Times New Roman" w:cs="Times New Roman" w:eastAsia="Times New Roman" w:hAnsi="Times New Roman"/>
                <w:sz w:val="10"/>
                <w:szCs w:val="10"/>
                <w:b w:val="1"/>
                <w:bCs w:val="1"/>
                <w:color w:val="auto"/>
              </w:rPr>
              <w:t>(3)</w:t>
            </w:r>
          </w:p>
        </w:tc>
        <w:tc>
          <w:tcPr>
            <w:tcW w:w="4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decrease in expenses</w:t>
            </w:r>
          </w:p>
        </w:tc>
        <w:tc>
          <w:tcPr>
            <w:tcW w:w="4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(23,471)</w:t>
            </w: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(22,556)</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8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20" w:hanging="315"/>
        <w:spacing w:after="0"/>
        <w:tabs>
          <w:tab w:leader="none" w:pos="32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2023 includes the receipt of a $21,350 tenant settlement, of which $6,405 is attributable to noncontrolling interests.</w:t>
      </w:r>
    </w:p>
    <w:p>
      <w:pPr>
        <w:spacing w:after="0" w:line="21"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Primarily due to the acceleration of non-cash expense on equity compensation grants for retirement eligible employees in 2023.</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2023 includes non-cash impairment losses of $45,007.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Results of Operations – Year Ended December 31, 2024 Compared to December 31, 2023 - continued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Income from Partially Owned Entities</w:t>
      </w:r>
    </w:p>
    <w:p>
      <w:pPr>
        <w:spacing w:after="0" w:line="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Below are the components of income from partially owned entities.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Ownership as</w:t>
            </w:r>
          </w:p>
        </w:tc>
        <w:tc>
          <w:tcPr>
            <w:tcW w:w="400" w:type="dxa"/>
            <w:vAlign w:val="bottom"/>
          </w:tcPr>
          <w:p>
            <w:pPr>
              <w:spacing w:after="0"/>
              <w:rPr>
                <w:sz w:val="16"/>
                <w:szCs w:val="16"/>
                <w:color w:val="auto"/>
              </w:rPr>
            </w:pPr>
          </w:p>
        </w:tc>
        <w:tc>
          <w:tcPr>
            <w:tcW w:w="3060" w:type="dxa"/>
            <w:vAlign w:val="bottom"/>
            <w:gridSpan w:val="4"/>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3"/>
        </w:trPr>
        <w:tc>
          <w:tcPr>
            <w:tcW w:w="600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00" w:type="dxa"/>
            <w:vAlign w:val="bottom"/>
          </w:tcPr>
          <w:p>
            <w:pPr>
              <w:spacing w:after="0"/>
              <w:rPr>
                <w:sz w:val="15"/>
                <w:szCs w:val="15"/>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of December 31, 2024</w:t>
            </w:r>
          </w:p>
        </w:tc>
        <w:tc>
          <w:tcPr>
            <w:tcW w:w="400" w:type="dxa"/>
            <w:vAlign w:val="bottom"/>
          </w:tcPr>
          <w:p>
            <w:pPr>
              <w:spacing w:after="0"/>
              <w:rPr>
                <w:sz w:val="15"/>
                <w:szCs w:val="15"/>
                <w:color w:val="auto"/>
              </w:rPr>
            </w:pPr>
          </w:p>
        </w:tc>
        <w:tc>
          <w:tcPr>
            <w:tcW w:w="1280" w:type="dxa"/>
            <w:vAlign w:val="bottom"/>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Our share of net income (loss):</w:t>
            </w:r>
          </w:p>
        </w:tc>
        <w:tc>
          <w:tcPr>
            <w:tcW w:w="1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Fifth Avenue and Times Square JV:</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0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shd w:val="clear" w:color="auto" w:fill="CCEEFF"/>
          </w:tcPr>
          <w:p>
            <w:pPr>
              <w:ind w:left="260"/>
              <w:spacing w:after="0" w:line="196" w:lineRule="exact"/>
              <w:rPr>
                <w:sz w:val="20"/>
                <w:szCs w:val="20"/>
                <w:color w:val="auto"/>
              </w:rPr>
            </w:pPr>
            <w:r>
              <w:rPr>
                <w:rFonts w:ascii="Times New Roman" w:cs="Times New Roman" w:eastAsia="Times New Roman" w:hAnsi="Times New Roman"/>
                <w:sz w:val="14"/>
                <w:szCs w:val="14"/>
                <w:color w:val="auto"/>
              </w:rPr>
              <w:t>Equity in net income</w:t>
            </w:r>
            <w:r>
              <w:rPr>
                <w:rFonts w:ascii="Times New Roman" w:cs="Times New Roman" w:eastAsia="Times New Roman" w:hAnsi="Times New Roman"/>
                <w:sz w:val="18"/>
                <w:szCs w:val="18"/>
                <w:b w:val="1"/>
                <w:bCs w:val="1"/>
                <w:color w:val="auto"/>
                <w:vertAlign w:val="superscript"/>
              </w:rPr>
              <w:t>(1)</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35,209</w:t>
            </w:r>
          </w:p>
        </w:tc>
        <w:tc>
          <w:tcPr>
            <w:tcW w:w="0" w:type="dxa"/>
            <w:vAlign w:val="bottom"/>
          </w:tcPr>
          <w:p>
            <w:pPr>
              <w:spacing w:after="0"/>
              <w:rPr>
                <w:sz w:val="1"/>
                <w:szCs w:val="1"/>
                <w:color w:val="auto"/>
              </w:rPr>
            </w:pPr>
          </w:p>
        </w:tc>
      </w:tr>
      <w:tr>
        <w:trPr>
          <w:trHeight w:val="190"/>
        </w:trPr>
        <w:tc>
          <w:tcPr>
            <w:tcW w:w="6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Return on preferred equity, net of our share of the expense</w:t>
            </w:r>
          </w:p>
        </w:tc>
        <w:tc>
          <w:tcPr>
            <w:tcW w:w="1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40,668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37,416</w:t>
            </w: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84,119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72,625</w:t>
            </w:r>
          </w:p>
        </w:tc>
        <w:tc>
          <w:tcPr>
            <w:tcW w:w="0" w:type="dxa"/>
            <w:vAlign w:val="bottom"/>
          </w:tcPr>
          <w:p>
            <w:pPr>
              <w:spacing w:after="0"/>
              <w:rPr>
                <w:sz w:val="1"/>
                <w:szCs w:val="1"/>
                <w:color w:val="auto"/>
              </w:rPr>
            </w:pPr>
          </w:p>
        </w:tc>
      </w:tr>
      <w:tr>
        <w:trPr>
          <w:trHeight w:val="196"/>
        </w:trPr>
        <w:tc>
          <w:tcPr>
            <w:tcW w:w="600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Partially owned office buildings</w:t>
            </w:r>
            <w:r>
              <w:rPr>
                <w:rFonts w:ascii="Times New Roman" w:cs="Times New Roman" w:eastAsia="Times New Roman" w:hAnsi="Times New Roman"/>
                <w:sz w:val="18"/>
                <w:szCs w:val="18"/>
                <w:b w:val="1"/>
                <w:bCs w:val="1"/>
                <w:color w:val="auto"/>
                <w:vertAlign w:val="superscript"/>
              </w:rPr>
              <w:t>(2)(3)(4)</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(73,589)</w:t>
            </w: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Alexander's Inc.</w:t>
            </w:r>
            <w:r>
              <w:rPr>
                <w:rFonts w:ascii="Times New Roman" w:cs="Times New Roman" w:eastAsia="Times New Roman" w:hAnsi="Times New Roman"/>
                <w:sz w:val="18"/>
                <w:szCs w:val="18"/>
                <w:b w:val="1"/>
                <w:bCs w:val="1"/>
                <w:color w:val="auto"/>
                <w:vertAlign w:val="superscript"/>
              </w:rPr>
              <w:t>(5)</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37,075</w:t>
            </w:r>
          </w:p>
        </w:tc>
        <w:tc>
          <w:tcPr>
            <w:tcW w:w="0" w:type="dxa"/>
            <w:vAlign w:val="bottom"/>
          </w:tcPr>
          <w:p>
            <w:pPr>
              <w:spacing w:after="0"/>
              <w:rPr>
                <w:sz w:val="1"/>
                <w:szCs w:val="1"/>
                <w:color w:val="auto"/>
              </w:rPr>
            </w:pPr>
          </w:p>
        </w:tc>
      </w:tr>
      <w:tr>
        <w:trPr>
          <w:trHeight w:val="196"/>
        </w:trPr>
        <w:tc>
          <w:tcPr>
            <w:tcW w:w="6000" w:type="dxa"/>
            <w:vAlign w:val="bottom"/>
            <w:tcBorders>
              <w:bottom w:val="single" w:sz="8" w:color="CCEEFF"/>
            </w:tcBorders>
          </w:tcPr>
          <w:p>
            <w:pPr>
              <w:ind w:left="20"/>
              <w:spacing w:after="0" w:line="196" w:lineRule="exact"/>
              <w:rPr>
                <w:sz w:val="20"/>
                <w:szCs w:val="20"/>
                <w:color w:val="auto"/>
              </w:rPr>
            </w:pPr>
            <w:r>
              <w:rPr>
                <w:rFonts w:ascii="Times New Roman" w:cs="Times New Roman" w:eastAsia="Times New Roman" w:hAnsi="Times New Roman"/>
                <w:sz w:val="14"/>
                <w:szCs w:val="14"/>
                <w:color w:val="auto"/>
              </w:rPr>
              <w:t>Other equity method investments</w:t>
            </w:r>
            <w:r>
              <w:rPr>
                <w:rFonts w:ascii="Times New Roman" w:cs="Times New Roman" w:eastAsia="Times New Roman" w:hAnsi="Times New Roman"/>
                <w:sz w:val="18"/>
                <w:szCs w:val="18"/>
                <w:b w:val="1"/>
                <w:bCs w:val="1"/>
                <w:color w:val="auto"/>
                <w:vertAlign w:val="superscript"/>
              </w:rPr>
              <w:t>(3)(6)</w:t>
            </w:r>
          </w:p>
        </w:tc>
        <w:tc>
          <w:tcPr>
            <w:tcW w:w="17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0" w:type="dxa"/>
            <w:vAlign w:val="bottom"/>
          </w:tcPr>
          <w:p>
            <w:pPr>
              <w:spacing w:after="0"/>
              <w:rPr>
                <w:sz w:val="1"/>
                <w:szCs w:val="1"/>
                <w:color w:val="auto"/>
              </w:rPr>
            </w:pPr>
          </w:p>
        </w:tc>
      </w:tr>
      <w:tr>
        <w:trPr>
          <w:trHeight w:val="208"/>
        </w:trPr>
        <w:tc>
          <w:tcPr>
            <w:tcW w:w="60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112,464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38,689</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33" w:lineRule="exact"/>
        <w:rPr>
          <w:sz w:val="20"/>
          <w:szCs w:val="20"/>
          <w:color w:val="auto"/>
        </w:rPr>
      </w:pPr>
    </w:p>
    <w:p>
      <w:pPr>
        <w:ind w:left="320" w:hanging="315"/>
        <w:spacing w:after="0" w:line="262" w:lineRule="auto"/>
        <w:tabs>
          <w:tab w:leader="none" w:pos="312"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2023 includes a $5,120 accrual of default interest which was forgiven by the lender as part of the restructuring of the 697-703 Fifth Avenue loan and is being amortized over the remaining term of the restructured loan, reducing future interest expense.</w:t>
      </w:r>
    </w:p>
    <w:p>
      <w:pPr>
        <w:spacing w:after="0" w:line="1"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280 Park Avenue, 7 West 34th Street, 512 West 22nd Street, 61 Ninth Avenue, 85 Tenth Avenue and others.</w:t>
      </w:r>
    </w:p>
    <w:p>
      <w:pPr>
        <w:ind w:left="320" w:hanging="315"/>
        <w:spacing w:after="0"/>
        <w:tabs>
          <w:tab w:leader="none" w:pos="320"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2023, we recognized $50,458 of impairment losses.</w:t>
      </w:r>
    </w:p>
    <w:p>
      <w:pPr>
        <w:spacing w:after="0" w:line="5"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2024 includes our $31,215 share of the debt extinguishment gain from the repayment of the 280 Park Avenue mezzanine loan.</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2023 includes our $16,396 share of the net gain from the sale of Alexander’s Rego III land parcel.</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Independence Plaza, Rosslyn Plaza and others.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Interest and Other Investment Income, net</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the details of interest and other investment income, net.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400" w:type="dxa"/>
            <w:vAlign w:val="bottom"/>
          </w:tcPr>
          <w:p>
            <w:pPr>
              <w:spacing w:after="0"/>
              <w:rPr>
                <w:sz w:val="16"/>
                <w:szCs w:val="16"/>
                <w:color w:val="auto"/>
              </w:rPr>
            </w:pPr>
          </w:p>
        </w:tc>
        <w:tc>
          <w:tcPr>
            <w:tcW w:w="3060" w:type="dxa"/>
            <w:vAlign w:val="bottom"/>
            <w:gridSpan w:val="4"/>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77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on cash and cash equivalents and restricted cash</w:t>
            </w: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44,786</w:t>
            </w:r>
          </w:p>
        </w:tc>
      </w:tr>
      <w:tr>
        <w:trPr>
          <w:trHeight w:val="189"/>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on loans receivable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w:t>
            </w:r>
          </w:p>
        </w:tc>
      </w:tr>
      <w:tr>
        <w:trPr>
          <w:trHeight w:val="20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income from real estate fund investments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w:t>
            </w:r>
          </w:p>
        </w:tc>
      </w:tr>
      <w:tr>
        <w:trPr>
          <w:trHeight w:val="189"/>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losses on investments</w:t>
            </w:r>
          </w:p>
        </w:tc>
        <w:tc>
          <w:tcPr>
            <w:tcW w:w="4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(8,269)</w:t>
            </w:r>
          </w:p>
        </w:tc>
      </w:tr>
      <w:tr>
        <w:trPr>
          <w:trHeight w:val="19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discount on investments in U.S. Treasury bills</w:t>
            </w:r>
          </w:p>
        </w:tc>
        <w:tc>
          <w:tcPr>
            <w:tcW w:w="4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3,829</w:t>
            </w:r>
          </w:p>
        </w:tc>
      </w:tr>
      <w:tr>
        <w:trPr>
          <w:trHeight w:val="190"/>
        </w:trPr>
        <w:tc>
          <w:tcPr>
            <w:tcW w:w="778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45,974</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43,287</w:t>
            </w:r>
          </w:p>
        </w:tc>
      </w:tr>
      <w:tr>
        <w:trPr>
          <w:trHeight w:val="26"/>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7" w:name="page48"/>
    <w:bookmarkEnd w:id="47"/>
    <w:p>
      <w:pPr>
        <w:ind w:right="3760"/>
        <w:spacing w:after="0" w:line="322" w:lineRule="auto"/>
        <w:rPr>
          <w:sz w:val="20"/>
          <w:szCs w:val="20"/>
          <w:color w:val="auto"/>
        </w:rPr>
      </w:pPr>
      <w:r>
        <w:rPr>
          <w:rFonts w:ascii="Times New Roman" w:cs="Times New Roman" w:eastAsia="Times New Roman" w:hAnsi="Times New Roman"/>
          <w:sz w:val="17"/>
          <w:szCs w:val="17"/>
          <w:b w:val="1"/>
          <w:bCs w:val="1"/>
          <w:color w:val="auto"/>
        </w:rPr>
        <w:t xml:space="preserve">Results of Operations – Year Ended December 31, 2024 Compared to December 31, 2023 - continued </w:t>
      </w:r>
      <w:r>
        <w:rPr>
          <w:rFonts w:ascii="Times New Roman" w:cs="Times New Roman" w:eastAsia="Times New Roman" w:hAnsi="Times New Roman"/>
          <w:sz w:val="17"/>
          <w:szCs w:val="17"/>
          <w:u w:val="single" w:color="auto"/>
          <w:color w:val="auto"/>
        </w:rPr>
        <w:t>Interest and Debt Expense</w:t>
      </w:r>
    </w:p>
    <w:p>
      <w:pPr>
        <w:spacing w:after="0" w:line="1" w:lineRule="exact"/>
        <w:rPr>
          <w:sz w:val="20"/>
          <w:szCs w:val="20"/>
          <w:color w:val="auto"/>
        </w:rPr>
      </w:pPr>
    </w:p>
    <w:p>
      <w:pPr>
        <w:jc w:val="both"/>
        <w:ind w:firstLine="314"/>
        <w:spacing w:after="0" w:line="274" w:lineRule="auto"/>
        <w:rPr>
          <w:sz w:val="20"/>
          <w:szCs w:val="20"/>
          <w:color w:val="auto"/>
        </w:rPr>
      </w:pPr>
      <w:r>
        <w:rPr>
          <w:rFonts w:ascii="Times New Roman" w:cs="Times New Roman" w:eastAsia="Times New Roman" w:hAnsi="Times New Roman"/>
          <w:sz w:val="17"/>
          <w:szCs w:val="17"/>
          <w:color w:val="auto"/>
        </w:rPr>
        <w:t>Interest and debt expense was $390,269,000 for the year ended December 31, 2024, compared to $349,223,000 in the prior year, an increase of $41,046,000. This was primarily due to (i) $30,756,000 of higher amortization of interest rate cap premiums and (ii) $19,568,000 of higher interest expense resulting from higher average interest rates, inclusive of the impact of our interest rate hedging instruments, partially offset by (iii) $8,150,000 of higher capitalized interest.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Net Gains on Disposition of Wholly Owned and Partially Owned Assets</w:t>
      </w:r>
    </w:p>
    <w:p>
      <w:pPr>
        <w:spacing w:after="0" w:line="66" w:lineRule="exact"/>
        <w:rPr>
          <w:sz w:val="20"/>
          <w:szCs w:val="20"/>
          <w:color w:val="auto"/>
        </w:rPr>
      </w:pPr>
    </w:p>
    <w:p>
      <w:pPr>
        <w:jc w:val="both"/>
        <w:ind w:firstLine="314"/>
        <w:spacing w:after="0" w:line="266" w:lineRule="auto"/>
        <w:rPr>
          <w:sz w:val="20"/>
          <w:szCs w:val="20"/>
          <w:color w:val="auto"/>
        </w:rPr>
      </w:pPr>
      <w:r>
        <w:rPr>
          <w:rFonts w:ascii="Times New Roman" w:cs="Times New Roman" w:eastAsia="Times New Roman" w:hAnsi="Times New Roman"/>
          <w:sz w:val="17"/>
          <w:szCs w:val="17"/>
          <w:color w:val="auto"/>
        </w:rPr>
        <w:t>Net gains on disposition of wholly owned and partially owned assets of $16,048,000 for the year ended December 31, 2024, consists of (i) $15,175,000 from the sale of two condominium units at 220 CPS and (ii) $873,000 from the sale of our 49.9% interest in 50-70 West 93rd Street to our joint venture partner. Net gains on disposition of wholly owned and partially owned assets of $71,199,000 for the year ended December 31, 2023, primarily consists of (i) $35,968,000 upon contribution of our Pier 94 leasehold to Sunset Pier 94 Joint Venture (“Pier 94 JV”) primarily due to the step-up of our retained investment in the leasehold interest to fair value, (ii) $20,181,000 from the sale of The Armory Show, and (iii) $14,127,000 from the sale of two condominium units at 220 CPS.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Income Tax Expense</w:t>
      </w:r>
    </w:p>
    <w:p>
      <w:pPr>
        <w:spacing w:after="0" w:line="66"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Income tax expense was $22,729,000 for the year ended December 31, 2024, compared to $29,222,000 in the prior year, a decrease of $6,493,000. This was primarily due to lower income tax expense incurred by our taxable REIT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Net Loss Attributable to Noncontrolling Interests in Consolidated Subsidiaries</w:t>
      </w:r>
    </w:p>
    <w:p>
      <w:pPr>
        <w:spacing w:after="0" w:line="66"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Net loss attributable to noncontrolling interests in consolidated subsidiaries was $51,131,000 for the year ended December 31, 2024, compared to $75,967,000 in the prior year, a decrease of $24,836,000. This resulted primarily from the allocation of the impairment loss recognized on 606 Broadway during 2023.</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Same Store Net Operating Income At Share</w:t>
      </w:r>
    </w:p>
    <w:p>
      <w:pPr>
        <w:spacing w:after="0" w:line="66"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Same store NOI at share represents NOI at share from operations which are in service in both the current and prior year reporting periods. Same store NOI at share - cash basis is same store NOI at share adjusted to exclude straight-line rental income and expense, amortization of acquired below and above market leases, accruals for ground rent resets yet to be determined, and other non-cash adjustments. We use these non-GAAP measures to (i) facilitate meaningful comparisons of the operational performance of our properties and segments, (ii) make decisions on whether to buy, sell or refinance properties, and (iii) compare the performance of our properties and segments to those of our peers. Same store NOI at share and same store NOI at share - cash basis should not be considered alternatives to net income or cash flow from operations and may not be comparable to similarly titled measures employed by other companies.</w:t>
      </w:r>
    </w:p>
    <w:p>
      <w:pPr>
        <w:spacing w:after="0" w:line="15"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Below are reconciliations of NOI at share to same store NOI at share for our New York segment, THE MART, 555 California Street and other investments for the year ended December 31, 2024 compared to December 31, 2023.</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80" w:type="dxa"/>
            <w:vAlign w:val="bottom"/>
          </w:tcPr>
          <w:p>
            <w:pPr>
              <w:spacing w:after="0"/>
              <w:rPr>
                <w:sz w:val="13"/>
                <w:szCs w:val="13"/>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THE MART</w:t>
            </w: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555 California</w:t>
            </w:r>
          </w:p>
        </w:tc>
        <w:tc>
          <w:tcPr>
            <w:tcW w:w="260" w:type="dxa"/>
            <w:vAlign w:val="bottom"/>
          </w:tcPr>
          <w:p>
            <w:pPr>
              <w:spacing w:after="0"/>
              <w:rPr>
                <w:sz w:val="13"/>
                <w:szCs w:val="13"/>
                <w:color w:val="auto"/>
              </w:rPr>
            </w:pPr>
          </w:p>
        </w:tc>
        <w:tc>
          <w:tcPr>
            <w:tcW w:w="960" w:type="dxa"/>
            <w:vAlign w:val="bottom"/>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Street</w:t>
            </w: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for the year ended December 31, 2024</w:t>
            </w:r>
          </w:p>
        </w:tc>
        <w:tc>
          <w:tcPr>
            <w:tcW w:w="2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1,099,752</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961,910</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51,686</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64,963</w:t>
            </w:r>
          </w:p>
        </w:tc>
        <w:tc>
          <w:tcPr>
            <w:tcW w:w="1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21,193</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NOI at share from:</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Dispositions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(1,499)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(1,509)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Development properties</w:t>
            </w:r>
          </w:p>
        </w:tc>
        <w:tc>
          <w:tcPr>
            <w:tcW w:w="28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(35,182)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(35,182)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4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non-same store income, net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(34,735)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(13,416)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(126)</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(21,193)</w:t>
            </w: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Same store NOI at share for the year ended December 31, 2024</w:t>
            </w: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1,028,336</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911,803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51,696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64,837</w:t>
            </w:r>
          </w:p>
        </w:tc>
        <w:tc>
          <w:tcPr>
            <w:tcW w:w="1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for the year ended December 31, 2023</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1,143,213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977,569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61,519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82,965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21,160</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NOI at share from:</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Dispositions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(2,321)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(3,677)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1,356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Development properties</w:t>
            </w:r>
          </w:p>
        </w:tc>
        <w:tc>
          <w:tcPr>
            <w:tcW w:w="28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(16,310)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(16,310)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4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non-same store income, net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(21,589)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(429)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(21,160)</w:t>
            </w: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Same store NOI at share for the year ended December 31, 2023</w:t>
            </w: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1,102,993</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957,153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62,875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82,965</w:t>
            </w:r>
          </w:p>
        </w:tc>
        <w:tc>
          <w:tcPr>
            <w:tcW w:w="1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Decrease in same store NOI at share</w:t>
            </w: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(74,657)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(45,350)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(11,179)</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(18,128)</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 decrease in same store NOI at share</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8" w:name="page49"/>
    <w:bookmarkEnd w:id="48"/>
    <w:p>
      <w:pPr>
        <w:ind w:right="3760"/>
        <w:spacing w:after="0" w:line="355" w:lineRule="auto"/>
        <w:rPr>
          <w:sz w:val="20"/>
          <w:szCs w:val="20"/>
          <w:color w:val="auto"/>
        </w:rPr>
      </w:pPr>
      <w:r>
        <w:rPr>
          <w:rFonts w:ascii="Times New Roman" w:cs="Times New Roman" w:eastAsia="Times New Roman" w:hAnsi="Times New Roman"/>
          <w:sz w:val="17"/>
          <w:szCs w:val="17"/>
          <w:b w:val="1"/>
          <w:bCs w:val="1"/>
          <w:color w:val="auto"/>
        </w:rPr>
        <w:t xml:space="preserve">Results of Operations – Year Ended December 31, 2024 Compared to December 31, 2023 - continued </w:t>
      </w:r>
      <w:r>
        <w:rPr>
          <w:rFonts w:ascii="Times New Roman" w:cs="Times New Roman" w:eastAsia="Times New Roman" w:hAnsi="Times New Roman"/>
          <w:sz w:val="17"/>
          <w:szCs w:val="17"/>
          <w:u w:val="single" w:color="auto"/>
          <w:color w:val="auto"/>
        </w:rPr>
        <w:t>Same Store Net Operating Income At Share - continued</w:t>
      </w:r>
    </w:p>
    <w:p>
      <w:pPr>
        <w:ind w:firstLine="314"/>
        <w:spacing w:after="0" w:line="296" w:lineRule="auto"/>
        <w:rPr>
          <w:sz w:val="20"/>
          <w:szCs w:val="20"/>
          <w:color w:val="auto"/>
        </w:rPr>
      </w:pPr>
      <w:r>
        <w:rPr>
          <w:rFonts w:ascii="Times New Roman" w:cs="Times New Roman" w:eastAsia="Times New Roman" w:hAnsi="Times New Roman"/>
          <w:sz w:val="17"/>
          <w:szCs w:val="17"/>
          <w:color w:val="auto"/>
        </w:rPr>
        <w:t>Below are reconciliations of NOI at share - cash basis to same store NOI at share - cash basis for our New York segment, THE MART, 555 California Street and other investments for the year ended December 31, 2024 compared to December 31, 2023.</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3"/>
                <w:szCs w:val="13"/>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40" w:type="dxa"/>
            <w:vAlign w:val="bottom"/>
          </w:tcPr>
          <w:p>
            <w:pPr>
              <w:spacing w:after="0"/>
              <w:rPr>
                <w:sz w:val="13"/>
                <w:szCs w:val="13"/>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THE MART</w:t>
            </w:r>
          </w:p>
        </w:tc>
        <w:tc>
          <w:tcPr>
            <w:tcW w:w="12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555 California</w:t>
            </w:r>
          </w:p>
        </w:tc>
        <w:tc>
          <w:tcPr>
            <w:tcW w:w="260" w:type="dxa"/>
            <w:vAlign w:val="bottom"/>
          </w:tcPr>
          <w:p>
            <w:pPr>
              <w:spacing w:after="0"/>
              <w:rPr>
                <w:sz w:val="13"/>
                <w:szCs w:val="13"/>
                <w:color w:val="auto"/>
              </w:rPr>
            </w:pPr>
          </w:p>
        </w:tc>
        <w:tc>
          <w:tcPr>
            <w:tcW w:w="920" w:type="dxa"/>
            <w:vAlign w:val="bottom"/>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Street</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 cash basis for the year ended December 31, 2024</w:t>
            </w: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1,096,089</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944,022</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57,235</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74,621</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20,211</w:t>
            </w:r>
          </w:p>
        </w:tc>
        <w:tc>
          <w:tcPr>
            <w:tcW w:w="0" w:type="dxa"/>
            <w:vAlign w:val="bottom"/>
          </w:tcPr>
          <w:p>
            <w:pPr>
              <w:spacing w:after="0"/>
              <w:rPr>
                <w:sz w:val="1"/>
                <w:szCs w:val="1"/>
                <w:color w:val="auto"/>
              </w:rPr>
            </w:pPr>
          </w:p>
        </w:tc>
      </w:tr>
      <w:tr>
        <w:trPr>
          <w:trHeight w:val="189"/>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NOI at share - cash basis from:</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Dispositions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(1,499)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(1,509)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Development properties</w:t>
            </w:r>
          </w:p>
        </w:tc>
        <w:tc>
          <w:tcPr>
            <w:tcW w:w="260" w:type="dxa"/>
            <w:vAlign w:val="bottom"/>
          </w:tcPr>
          <w:p>
            <w:pPr>
              <w:spacing w:after="0"/>
              <w:rPr>
                <w:sz w:val="16"/>
                <w:szCs w:val="16"/>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(21,561)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(21,561)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non-same store income, net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(31,681)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(11,327)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(20,211)</w:t>
            </w:r>
          </w:p>
        </w:tc>
        <w:tc>
          <w:tcPr>
            <w:tcW w:w="0" w:type="dxa"/>
            <w:vAlign w:val="bottom"/>
          </w:tcPr>
          <w:p>
            <w:pPr>
              <w:spacing w:after="0"/>
              <w:rPr>
                <w:sz w:val="1"/>
                <w:szCs w:val="1"/>
                <w:color w:val="auto"/>
              </w:rPr>
            </w:pPr>
          </w:p>
        </w:tc>
      </w:tr>
      <w:tr>
        <w:trPr>
          <w:trHeight w:val="196"/>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Same store NOI at share - cash basis for the year ended December 31, 2024</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1,041,348</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909,625</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57,245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74,478</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at share - cash basis for the year ended December 31, 2023</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1,139,836</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969,869</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62,579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85,819</w:t>
            </w:r>
          </w:p>
        </w:tc>
        <w:tc>
          <w:tcPr>
            <w:tcW w:w="120" w:type="dxa"/>
            <w:vAlign w:val="bottom"/>
          </w:tcPr>
          <w:p>
            <w:pPr>
              <w:spacing w:after="0"/>
              <w:rPr>
                <w:sz w:val="16"/>
                <w:szCs w:val="16"/>
                <w:color w:val="auto"/>
              </w:rPr>
            </w:pP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21,569</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NOI at share - cash basis from:</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Dispositions</w:t>
            </w:r>
          </w:p>
        </w:tc>
        <w:tc>
          <w:tcPr>
            <w:tcW w:w="260" w:type="dxa"/>
            <w:vAlign w:val="bottom"/>
          </w:tcPr>
          <w:p>
            <w:pPr>
              <w:spacing w:after="0"/>
              <w:rPr>
                <w:sz w:val="16"/>
                <w:szCs w:val="16"/>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(2,664)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(4,138)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Development properties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(15,519)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(15,519)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non-same store income, net</w:t>
            </w:r>
          </w:p>
        </w:tc>
        <w:tc>
          <w:tcPr>
            <w:tcW w:w="260" w:type="dxa"/>
            <w:vAlign w:val="bottom"/>
          </w:tcPr>
          <w:p>
            <w:pPr>
              <w:spacing w:after="0"/>
              <w:rPr>
                <w:sz w:val="16"/>
                <w:szCs w:val="16"/>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(30,737)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(9,168)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(21,569)</w:t>
            </w:r>
          </w:p>
        </w:tc>
        <w:tc>
          <w:tcPr>
            <w:tcW w:w="0" w:type="dxa"/>
            <w:vAlign w:val="bottom"/>
          </w:tcPr>
          <w:p>
            <w:pPr>
              <w:spacing w:after="0"/>
              <w:rPr>
                <w:sz w:val="1"/>
                <w:szCs w:val="1"/>
                <w:color w:val="auto"/>
              </w:rPr>
            </w:pPr>
          </w:p>
        </w:tc>
      </w:tr>
      <w:tr>
        <w:trPr>
          <w:trHeight w:val="221"/>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Same store NOI at share - cash basis for the year ended December 31, 2023</w:t>
            </w: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1,090,916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941,044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64,053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85,819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 in same store NOI at share - cash basis</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(49,568)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(31,419)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(6,808)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(11,341)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decrease in same store NOI at share - cash basis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Party Transactions</w:t>
      </w:r>
    </w:p>
    <w:p>
      <w:pPr>
        <w:spacing w:after="0" w:line="66" w:lineRule="exact"/>
        <w:rPr>
          <w:sz w:val="20"/>
          <w:szCs w:val="20"/>
          <w:color w:val="auto"/>
        </w:rPr>
      </w:pPr>
    </w:p>
    <w:p>
      <w:pPr>
        <w:ind w:firstLine="314"/>
        <w:spacing w:after="0" w:line="299" w:lineRule="auto"/>
        <w:rPr>
          <w:sz w:val="20"/>
          <w:szCs w:val="20"/>
          <w:color w:val="auto"/>
        </w:rPr>
      </w:pPr>
      <w:r>
        <w:rPr>
          <w:rFonts w:ascii="Times New Roman" w:cs="Times New Roman" w:eastAsia="Times New Roman" w:hAnsi="Times New Roman"/>
          <w:sz w:val="17"/>
          <w:szCs w:val="17"/>
          <w:color w:val="auto"/>
        </w:rPr>
        <w:t xml:space="preserve">See Note 21 -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 xml:space="preserve"> to our consolidated financial statements in this Annual Report on Form 10-K for a discussion concerning related party transactions.</w:t>
      </w: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Our cash requirements include property operating expenses, capital improvements, tenant improvements, debt service, leasing commissions, dividends to our shareholders, distributions to unitholders of the Operating Partnership, as well as acquisition and development and redevelopment costs. The sources of liquidity to fund these cash requirements include rental revenue, which is our primary source of cash flow and is dependent upon the occupancy and rental rates of our properties; proceeds from debt financings, including mortgage loans, senior unsecured borrowings, unsecured term loans and unsecured revolving credit facilities; proceeds from the issuance of common and preferred equity; and asset sales.</w:t>
      </w:r>
    </w:p>
    <w:p>
      <w:pPr>
        <w:spacing w:after="0" w:line="13"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As of December 31, 2024, we have $2.5 billion of liquidity comprised of $950.0 million of cash and cash equivalents and restricted cash and $1.5 billion available on our $2.2 billion revolving credit facilities. The ongoing challenges posed by fluctuations in interest rates and the effects of inflation could adversely impact our cash flow from continuing operations but we anticipate that cash flow from continuing operations over the next twelve months together with cash balances on hand will be adequate to fund our business operations, cash distributions to unitholders of the Operating Partnership, cash dividends to our shareholders, debt amortization and recurring capital expenditures. Capital requirements for development and redevelopment expenditures and acquisitions may require funding from borrowings, equity offerings and/or asset sales.</w:t>
      </w:r>
    </w:p>
    <w:p>
      <w:pPr>
        <w:spacing w:after="0" w:line="15"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may from time to time repurchase or retire our outstanding debt securities or repurchase or redeem our equity securities. Such purchases, if any, will depend on prevailing market conditions, liquidity requirements and other factors. The amounts involved in connection with these transactions could be material to our consolidated financial statements.</w:t>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April 2023, our Board of Trustees authorized the repurchase of up to $200,000,000 of our outstanding common shares under a share repurchase program.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2024, $170,857,000 remained available and authorized for repurchases.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Summary of Cash Flows</w:t>
      </w:r>
    </w:p>
    <w:p>
      <w:pPr>
        <w:spacing w:after="0" w:line="66"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Cash and cash equivalents and restricted cash was $949,619,000 as of December 31, 2024, a $311,965,000 decrease from the balance as of December 31, 2023.</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cash flow activities are summarized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60" w:type="dxa"/>
            <w:vAlign w:val="bottom"/>
          </w:tcPr>
          <w:p>
            <w:pPr>
              <w:spacing w:after="0"/>
              <w:rPr>
                <w:sz w:val="17"/>
                <w:szCs w:val="17"/>
                <w:color w:val="auto"/>
              </w:rPr>
            </w:pPr>
          </w:p>
        </w:tc>
        <w:tc>
          <w:tcPr>
            <w:tcW w:w="23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(Decrease) Increase in</w:t>
            </w:r>
          </w:p>
        </w:tc>
        <w:tc>
          <w:tcPr>
            <w:tcW w:w="0" w:type="dxa"/>
            <w:vAlign w:val="bottom"/>
          </w:tcPr>
          <w:p>
            <w:pPr>
              <w:spacing w:after="0"/>
              <w:rPr>
                <w:sz w:val="1"/>
                <w:szCs w:val="1"/>
                <w:color w:val="auto"/>
              </w:rPr>
            </w:pPr>
          </w:p>
        </w:tc>
      </w:tr>
      <w:tr>
        <w:trPr>
          <w:trHeight w:val="23"/>
        </w:trPr>
        <w:tc>
          <w:tcPr>
            <w:tcW w:w="6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3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4"/>
                <w:szCs w:val="14"/>
                <w:color w:val="auto"/>
              </w:rPr>
              <w:t>537,723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648,152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(110,429)</w:t>
            </w:r>
          </w:p>
        </w:tc>
        <w:tc>
          <w:tcPr>
            <w:tcW w:w="0" w:type="dxa"/>
            <w:vAlign w:val="bottom"/>
          </w:tcPr>
          <w:p>
            <w:pPr>
              <w:spacing w:after="0"/>
              <w:rPr>
                <w:sz w:val="1"/>
                <w:szCs w:val="1"/>
                <w:color w:val="auto"/>
              </w:rPr>
            </w:pPr>
          </w:p>
        </w:tc>
      </w:tr>
      <w:tr>
        <w:trPr>
          <w:trHeight w:val="189"/>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60" w:type="dxa"/>
            <w:vAlign w:val="bottom"/>
          </w:tcPr>
          <w:p>
            <w:pPr>
              <w:spacing w:after="0"/>
              <w:rPr>
                <w:sz w:val="16"/>
                <w:szCs w:val="16"/>
                <w:color w:val="auto"/>
              </w:rPr>
            </w:pPr>
          </w:p>
        </w:tc>
        <w:tc>
          <w:tcPr>
            <w:tcW w:w="1240" w:type="dxa"/>
            <w:vAlign w:val="bottom"/>
          </w:tcPr>
          <w:p>
            <w:pPr>
              <w:jc w:val="center"/>
              <w:ind w:left="590"/>
              <w:spacing w:after="0"/>
              <w:rPr>
                <w:sz w:val="20"/>
                <w:szCs w:val="20"/>
                <w:color w:val="auto"/>
              </w:rPr>
            </w:pPr>
            <w:r>
              <w:rPr>
                <w:rFonts w:ascii="Times New Roman" w:cs="Times New Roman" w:eastAsia="Times New Roman" w:hAnsi="Times New Roman"/>
                <w:sz w:val="14"/>
                <w:szCs w:val="14"/>
                <w:color w:val="auto"/>
                <w:w w:val="98"/>
              </w:rPr>
              <w:t>(597,365)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(128,788)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(468,577)</w:t>
            </w: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4"/>
                <w:szCs w:val="14"/>
                <w:color w:val="auto"/>
                <w:w w:val="98"/>
              </w:rPr>
              <w:t>(252,323)</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(278,937)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26,614</w:t>
            </w:r>
          </w:p>
        </w:tc>
        <w:tc>
          <w:tcPr>
            <w:tcW w:w="0" w:type="dxa"/>
            <w:vAlign w:val="bottom"/>
          </w:tcPr>
          <w:p>
            <w:pPr>
              <w:spacing w:after="0"/>
              <w:rPr>
                <w:sz w:val="1"/>
                <w:szCs w:val="1"/>
                <w:color w:val="auto"/>
              </w:rPr>
            </w:pPr>
          </w:p>
        </w:tc>
      </w:tr>
      <w:tr>
        <w:trPr>
          <w:trHeight w:val="190"/>
        </w:trPr>
        <w:tc>
          <w:tcPr>
            <w:tcW w:w="6300" w:type="dxa"/>
            <w:vAlign w:val="bottom"/>
          </w:tcPr>
          <w:p>
            <w:pPr>
              <w:spacing w:after="0"/>
              <w:rPr>
                <w:sz w:val="16"/>
                <w:szCs w:val="16"/>
                <w:color w:val="auto"/>
              </w:rPr>
            </w:pPr>
          </w:p>
        </w:tc>
        <w:tc>
          <w:tcPr>
            <w:tcW w:w="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4"/>
                <w:szCs w:val="14"/>
                <w:color w:val="auto"/>
                <w:w w:val="98"/>
              </w:rPr>
              <w:t>(311,965)</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240,427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(552,392)</w:t>
            </w:r>
          </w:p>
        </w:tc>
        <w:tc>
          <w:tcPr>
            <w:tcW w:w="0" w:type="dxa"/>
            <w:vAlign w:val="bottom"/>
          </w:tcPr>
          <w:p>
            <w:pPr>
              <w:spacing w:after="0"/>
              <w:rPr>
                <w:sz w:val="1"/>
                <w:szCs w:val="1"/>
                <w:color w:val="auto"/>
              </w:rPr>
            </w:pPr>
          </w:p>
        </w:tc>
      </w:tr>
      <w:tr>
        <w:trPr>
          <w:trHeight w:val="26"/>
        </w:trPr>
        <w:tc>
          <w:tcPr>
            <w:tcW w:w="6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Net cash provided by operating activities primarily consists of cash inflows from rental revenues and operating distributions from our unconsolidated partially owned entities less cash outflows for property expenses, general and administrative expenses and interest expense. For the year ended December 31, 2024, net cash provided by operating activities of $537,723,000 was comprised of $594,706,000 of cash from operations, including distributions of income from partially owned entities of $142,880,000 and a net decrease of $56,983,000 in cash due to the timing of cash receipts and payments related to changes in operating assets and liabilities.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 - continued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Summary of Cash Flows - continued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68"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Net cash flow used in investing activities is impacted by the timing and extent of our development, capital improvement, acquisition and disposition activities during the year.</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details the net cash used in investing activities: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7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Increase (Decrease) in</w:t>
            </w:r>
          </w:p>
        </w:tc>
        <w:tc>
          <w:tcPr>
            <w:tcW w:w="0" w:type="dxa"/>
            <w:vAlign w:val="bottom"/>
          </w:tcPr>
          <w:p>
            <w:pPr>
              <w:spacing w:after="0"/>
              <w:rPr>
                <w:sz w:val="1"/>
                <w:szCs w:val="1"/>
                <w:color w:val="auto"/>
              </w:rPr>
            </w:pPr>
          </w:p>
        </w:tc>
      </w:tr>
      <w:tr>
        <w:trPr>
          <w:trHeight w:val="65"/>
        </w:trPr>
        <w:tc>
          <w:tcPr>
            <w:tcW w:w="6300" w:type="dxa"/>
            <w:vAlign w:val="bottom"/>
          </w:tcPr>
          <w:p>
            <w:pPr>
              <w:spacing w:after="0"/>
              <w:rPr>
                <w:sz w:val="5"/>
                <w:szCs w:val="5"/>
                <w:color w:val="auto"/>
              </w:rPr>
            </w:pPr>
          </w:p>
        </w:tc>
        <w:tc>
          <w:tcPr>
            <w:tcW w:w="27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63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3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Development costs and construction in progress</w:t>
            </w:r>
          </w:p>
        </w:tc>
        <w:tc>
          <w:tcPr>
            <w:tcW w:w="9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(242,874)</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(552,701)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309,827</w:t>
            </w:r>
          </w:p>
        </w:tc>
        <w:tc>
          <w:tcPr>
            <w:tcW w:w="0" w:type="dxa"/>
            <w:vAlign w:val="bottom"/>
          </w:tcPr>
          <w:p>
            <w:pPr>
              <w:spacing w:after="0"/>
              <w:rPr>
                <w:sz w:val="1"/>
                <w:szCs w:val="1"/>
                <w:color w:val="auto"/>
              </w:rPr>
            </w:pPr>
          </w:p>
        </w:tc>
      </w:tr>
      <w:tr>
        <w:trPr>
          <w:trHeight w:val="189"/>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to real estate</w:t>
            </w: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(222,739)</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(10,840)</w:t>
            </w:r>
          </w:p>
        </w:tc>
        <w:tc>
          <w:tcPr>
            <w:tcW w:w="0" w:type="dxa"/>
            <w:vAlign w:val="bottom"/>
          </w:tcPr>
          <w:p>
            <w:pPr>
              <w:spacing w:after="0"/>
              <w:rPr>
                <w:sz w:val="1"/>
                <w:szCs w:val="1"/>
                <w:color w:val="auto"/>
              </w:rPr>
            </w:pPr>
          </w:p>
        </w:tc>
      </w:tr>
      <w:tr>
        <w:trPr>
          <w:trHeight w:val="20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partially owned entities</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(115,357)</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(58,060)</w:t>
            </w:r>
          </w:p>
        </w:tc>
        <w:tc>
          <w:tcPr>
            <w:tcW w:w="0" w:type="dxa"/>
            <w:vAlign w:val="bottom"/>
          </w:tcPr>
          <w:p>
            <w:pPr>
              <w:spacing w:after="0"/>
              <w:rPr>
                <w:sz w:val="1"/>
                <w:szCs w:val="1"/>
                <w:color w:val="auto"/>
              </w:rPr>
            </w:pPr>
          </w:p>
        </w:tc>
      </w:tr>
      <w:tr>
        <w:trPr>
          <w:trHeight w:val="189"/>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 loan receivable</w:t>
            </w: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20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 of condominium units at 220 Central Park South</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31,605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7,121</w:t>
            </w:r>
          </w:p>
        </w:tc>
        <w:tc>
          <w:tcPr>
            <w:tcW w:w="0" w:type="dxa"/>
            <w:vAlign w:val="bottom"/>
          </w:tcPr>
          <w:p>
            <w:pPr>
              <w:spacing w:after="0"/>
              <w:rPr>
                <w:sz w:val="1"/>
                <w:szCs w:val="1"/>
                <w:color w:val="auto"/>
              </w:rPr>
            </w:pPr>
          </w:p>
        </w:tc>
      </w:tr>
      <w:tr>
        <w:trPr>
          <w:trHeight w:val="189"/>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sales of real estate</w:t>
            </w: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(121,519)</w:t>
            </w:r>
          </w:p>
        </w:tc>
        <w:tc>
          <w:tcPr>
            <w:tcW w:w="0" w:type="dxa"/>
            <w:vAlign w:val="bottom"/>
          </w:tcPr>
          <w:p>
            <w:pPr>
              <w:spacing w:after="0"/>
              <w:rPr>
                <w:sz w:val="1"/>
                <w:szCs w:val="1"/>
                <w:color w:val="auto"/>
              </w:rPr>
            </w:pPr>
          </w:p>
        </w:tc>
      </w:tr>
      <w:tr>
        <w:trPr>
          <w:trHeight w:val="20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maturities of U.S. Treasury bills</w:t>
            </w:r>
          </w:p>
        </w:tc>
        <w:tc>
          <w:tcPr>
            <w:tcW w:w="9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(468,598)</w:t>
            </w:r>
          </w:p>
        </w:tc>
        <w:tc>
          <w:tcPr>
            <w:tcW w:w="0" w:type="dxa"/>
            <w:vAlign w:val="bottom"/>
          </w:tcPr>
          <w:p>
            <w:pPr>
              <w:spacing w:after="0"/>
              <w:rPr>
                <w:sz w:val="1"/>
                <w:szCs w:val="1"/>
                <w:color w:val="auto"/>
              </w:rPr>
            </w:pPr>
          </w:p>
        </w:tc>
      </w:tr>
      <w:tr>
        <w:trPr>
          <w:trHeight w:val="189"/>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repayment of participation in 150 West 34th Street mortgage loan</w:t>
            </w:r>
          </w:p>
        </w:tc>
        <w:tc>
          <w:tcPr>
            <w:tcW w:w="9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(105,000)</w:t>
            </w:r>
          </w:p>
        </w:tc>
        <w:tc>
          <w:tcPr>
            <w:tcW w:w="0" w:type="dxa"/>
            <w:vAlign w:val="bottom"/>
          </w:tcPr>
          <w:p>
            <w:pPr>
              <w:spacing w:after="0"/>
              <w:rPr>
                <w:sz w:val="1"/>
                <w:szCs w:val="1"/>
                <w:color w:val="auto"/>
              </w:rPr>
            </w:pPr>
          </w:p>
        </w:tc>
      </w:tr>
      <w:tr>
        <w:trPr>
          <w:trHeight w:val="20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Acquisitions of real estate and other</w:t>
            </w:r>
          </w:p>
        </w:tc>
        <w:tc>
          <w:tcPr>
            <w:tcW w:w="9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33,145</w:t>
            </w:r>
          </w:p>
        </w:tc>
        <w:tc>
          <w:tcPr>
            <w:tcW w:w="0" w:type="dxa"/>
            <w:vAlign w:val="bottom"/>
          </w:tcPr>
          <w:p>
            <w:pPr>
              <w:spacing w:after="0"/>
              <w:rPr>
                <w:sz w:val="1"/>
                <w:szCs w:val="1"/>
                <w:color w:val="auto"/>
              </w:rPr>
            </w:pPr>
          </w:p>
        </w:tc>
      </w:tr>
      <w:tr>
        <w:trPr>
          <w:trHeight w:val="189"/>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of capital from partially owned entities</w:t>
            </w:r>
          </w:p>
        </w:tc>
        <w:tc>
          <w:tcPr>
            <w:tcW w:w="9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(18,869)</w:t>
            </w:r>
          </w:p>
        </w:tc>
        <w:tc>
          <w:tcPr>
            <w:tcW w:w="0" w:type="dxa"/>
            <w:vAlign w:val="bottom"/>
          </w:tcPr>
          <w:p>
            <w:pPr>
              <w:spacing w:after="0"/>
              <w:rPr>
                <w:sz w:val="1"/>
                <w:szCs w:val="1"/>
                <w:color w:val="auto"/>
              </w:rPr>
            </w:pPr>
          </w:p>
        </w:tc>
      </w:tr>
      <w:tr>
        <w:trPr>
          <w:trHeight w:val="20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Deconsolidation of cash and restricted cash held by a previously consolidated entity</w:t>
            </w:r>
          </w:p>
        </w:tc>
        <w:tc>
          <w:tcPr>
            <w:tcW w:w="9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14,216</w:t>
            </w:r>
          </w:p>
        </w:tc>
        <w:tc>
          <w:tcPr>
            <w:tcW w:w="0" w:type="dxa"/>
            <w:vAlign w:val="bottom"/>
          </w:tcPr>
          <w:p>
            <w:pPr>
              <w:spacing w:after="0"/>
              <w:rPr>
                <w:sz w:val="1"/>
                <w:szCs w:val="1"/>
                <w:color w:val="auto"/>
              </w:rPr>
            </w:pPr>
          </w:p>
        </w:tc>
      </w:tr>
      <w:tr>
        <w:trPr>
          <w:trHeight w:val="190"/>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8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(597,365)</w:t>
            </w:r>
          </w:p>
        </w:tc>
        <w:tc>
          <w:tcPr>
            <w:tcW w:w="1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(128,788)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(468,577)</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68"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Net cash flow used in financing activities is impacted by the timing and extent of issuances of debt and equity securities, distributions paid to common shareholders and unitholders of the Operating Partnership as well as principal and other repayments associated with our outstanding debt.</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details the net cash used in financing activities: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(Amounts in thousands)</w:t>
            </w:r>
          </w:p>
        </w:tc>
        <w:tc>
          <w:tcPr>
            <w:tcW w:w="340" w:type="dxa"/>
            <w:vAlign w:val="bottom"/>
          </w:tcPr>
          <w:p>
            <w:pPr>
              <w:spacing w:after="0"/>
              <w:rPr>
                <w:sz w:val="17"/>
                <w:szCs w:val="17"/>
                <w:color w:val="auto"/>
              </w:rPr>
            </w:pPr>
          </w:p>
        </w:tc>
        <w:tc>
          <w:tcPr>
            <w:tcW w:w="30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 w:type="dxa"/>
            <w:vAlign w:val="bottom"/>
          </w:tcPr>
          <w:p>
            <w:pPr>
              <w:spacing w:after="0"/>
              <w:rPr>
                <w:sz w:val="17"/>
                <w:szCs w:val="17"/>
                <w:color w:val="auto"/>
              </w:rPr>
            </w:pPr>
          </w:p>
        </w:tc>
        <w:tc>
          <w:tcPr>
            <w:tcW w:w="14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Increase (Decrease) in</w:t>
            </w:r>
          </w:p>
        </w:tc>
        <w:tc>
          <w:tcPr>
            <w:tcW w:w="0" w:type="dxa"/>
            <w:vAlign w:val="bottom"/>
          </w:tcPr>
          <w:p>
            <w:pPr>
              <w:spacing w:after="0"/>
              <w:rPr>
                <w:sz w:val="1"/>
                <w:szCs w:val="1"/>
                <w:color w:val="auto"/>
              </w:rPr>
            </w:pPr>
          </w:p>
        </w:tc>
      </w:tr>
      <w:tr>
        <w:trPr>
          <w:trHeight w:val="23"/>
        </w:trPr>
        <w:tc>
          <w:tcPr>
            <w:tcW w:w="6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3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0" w:type="dxa"/>
            <w:vAlign w:val="bottom"/>
          </w:tcPr>
          <w:p>
            <w:pPr>
              <w:spacing w:after="0"/>
              <w:rPr>
                <w:sz w:val="1"/>
                <w:szCs w:val="1"/>
                <w:color w:val="auto"/>
              </w:rPr>
            </w:pPr>
          </w:p>
        </w:tc>
      </w:tr>
      <w:tr>
        <w:trPr>
          <w:trHeight w:val="19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 on common shares/Distributions to Vornado</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(141,103)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(12,037)</w:t>
            </w:r>
          </w:p>
        </w:tc>
        <w:tc>
          <w:tcPr>
            <w:tcW w:w="0" w:type="dxa"/>
            <w:vAlign w:val="bottom"/>
          </w:tcPr>
          <w:p>
            <w:pPr>
              <w:spacing w:after="0"/>
              <w:rPr>
                <w:sz w:val="1"/>
                <w:szCs w:val="1"/>
                <w:color w:val="auto"/>
              </w:rPr>
            </w:pPr>
          </w:p>
        </w:tc>
      </w:tr>
      <w:tr>
        <w:trPr>
          <w:trHeight w:val="189"/>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Repayments of borrowings</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50,561</w:t>
            </w:r>
          </w:p>
        </w:tc>
        <w:tc>
          <w:tcPr>
            <w:tcW w:w="0" w:type="dxa"/>
            <w:vAlign w:val="bottom"/>
          </w:tcPr>
          <w:p>
            <w:pPr>
              <w:spacing w:after="0"/>
              <w:rPr>
                <w:sz w:val="1"/>
                <w:szCs w:val="1"/>
                <w:color w:val="auto"/>
              </w:rPr>
            </w:pPr>
          </w:p>
        </w:tc>
      </w:tr>
      <w:tr>
        <w:trPr>
          <w:trHeight w:val="20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75,000</w:t>
            </w:r>
          </w:p>
        </w:tc>
        <w:tc>
          <w:tcPr>
            <w:tcW w:w="0" w:type="dxa"/>
            <w:vAlign w:val="bottom"/>
          </w:tcPr>
          <w:p>
            <w:pPr>
              <w:spacing w:after="0"/>
              <w:rPr>
                <w:sz w:val="1"/>
                <w:szCs w:val="1"/>
                <w:color w:val="auto"/>
              </w:rPr>
            </w:pPr>
          </w:p>
        </w:tc>
      </w:tr>
      <w:tr>
        <w:trPr>
          <w:trHeight w:val="189"/>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 on preferred shares/Distributions to preferred unitholders</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redeemable security holders and noncontrolling interests in consolidated subsidiaries</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20,814</w:t>
            </w:r>
          </w:p>
        </w:tc>
        <w:tc>
          <w:tcPr>
            <w:tcW w:w="0" w:type="dxa"/>
            <w:vAlign w:val="bottom"/>
          </w:tcPr>
          <w:p>
            <w:pPr>
              <w:spacing w:after="0"/>
              <w:rPr>
                <w:sz w:val="1"/>
                <w:szCs w:val="1"/>
                <w:color w:val="auto"/>
              </w:rPr>
            </w:pPr>
          </w:p>
        </w:tc>
      </w:tr>
      <w:tr>
        <w:trPr>
          <w:trHeight w:val="189"/>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financing costs</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(9,446)</w:t>
            </w:r>
          </w:p>
        </w:tc>
        <w:tc>
          <w:tcPr>
            <w:tcW w:w="0" w:type="dxa"/>
            <w:vAlign w:val="bottom"/>
          </w:tcPr>
          <w:p>
            <w:pPr>
              <w:spacing w:after="0"/>
              <w:rPr>
                <w:sz w:val="1"/>
                <w:szCs w:val="1"/>
                <w:color w:val="auto"/>
              </w:rPr>
            </w:pPr>
          </w:p>
        </w:tc>
      </w:tr>
      <w:tr>
        <w:trPr>
          <w:trHeight w:val="20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Contributions from noncontrolling interests in consolidated subsidiaries</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5,300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(127,401)</w:t>
            </w:r>
          </w:p>
        </w:tc>
        <w:tc>
          <w:tcPr>
            <w:tcW w:w="0" w:type="dxa"/>
            <w:vAlign w:val="bottom"/>
          </w:tcPr>
          <w:p>
            <w:pPr>
              <w:spacing w:after="0"/>
              <w:rPr>
                <w:sz w:val="1"/>
                <w:szCs w:val="1"/>
                <w:color w:val="auto"/>
              </w:rPr>
            </w:pPr>
          </w:p>
        </w:tc>
      </w:tr>
      <w:tr>
        <w:trPr>
          <w:trHeight w:val="189"/>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shares/Class A units owned by Vornado</w:t>
            </w:r>
          </w:p>
        </w:tc>
        <w:tc>
          <w:tcPr>
            <w:tcW w:w="3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29,183</w:t>
            </w: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financing activity, net</w:t>
            </w: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6"/>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(252,323)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(278,937)</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26,614</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Dividends</w:t>
      </w:r>
    </w:p>
    <w:p>
      <w:pPr>
        <w:spacing w:after="0" w:line="6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anticipate that our common share dividend policy for 2025 will be to pay one common share dividend in the fourth quarter. If Vornado’s Board of Trustees were to declare a dividend consistent with our 2024 common share dividend of $0.74, the Operating Partnership would be required to distribute approximately (i) $141,000,000 of cash to Vornado for distribution to its common shareholders and (ii) $12,600,000 of cash to third party Class A unitholders. Additionally, during 2025, Vornado expects to pay approximately $62,000,000 of cash dividends on preferred shares based on the number of preferred shares outstanding as of 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 - continued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Debt</w:t>
      </w:r>
    </w:p>
    <w:p>
      <w:pPr>
        <w:spacing w:after="0" w:line="66"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We have an effective shelf registration for the offering of our equity and debt securities that is not limited in amount due to our status as a “well-known seasoned issuer.” We have issued senior unsecured notes from a shelf registration statement that contain financial covenants that restrict our ability to incur debt, and that require us to maintain a level of unencumbered assets based on the level of our secured debt. Our unsecured revolving credit facilities and unsecured term loan contain financial covenants that require us to maintain minimum interest coverage and maximum debt to market capitalization ratios, and provide for increased interest rates in the event of a decline in the credit rating assigned to our senior unsecured notes. Our unsecured revolving credit facilities and unsecured term loan also contain customary conditions precedent to borrowing, including representations and warranties, and contain customary events of default that could give rise to accelerated repayment, including such items as failure to pay interest or principal. As of December 31, 2024, we were in compliance with all of the financial covenants required by our senior unsecured notes, our unsecured revolving credit facilities and our unsecured term loan.</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our consolidated debt as of December 31, 2024 is presented below.</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80" w:type="dxa"/>
            <w:vAlign w:val="bottom"/>
          </w:tcPr>
          <w:p>
            <w:pPr>
              <w:spacing w:after="0"/>
              <w:rPr>
                <w:sz w:val="16"/>
                <w:szCs w:val="16"/>
                <w:color w:val="auto"/>
              </w:rPr>
            </w:pPr>
          </w:p>
        </w:tc>
        <w:tc>
          <w:tcPr>
            <w:tcW w:w="3320" w:type="dxa"/>
            <w:vAlign w:val="bottom"/>
            <w:gridSpan w:val="3"/>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7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2"/>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Consolidated debt:</w:t>
            </w:r>
          </w:p>
        </w:tc>
        <w:tc>
          <w:tcPr>
            <w:tcW w:w="380" w:type="dxa"/>
            <w:vAlign w:val="bottom"/>
          </w:tcPr>
          <w:p>
            <w:pPr>
              <w:spacing w:after="0"/>
              <w:rPr>
                <w:sz w:val="12"/>
                <w:szCs w:val="12"/>
                <w:color w:val="auto"/>
              </w:rPr>
            </w:pPr>
          </w:p>
        </w:tc>
        <w:tc>
          <w:tcPr>
            <w:tcW w:w="1420" w:type="dxa"/>
            <w:vAlign w:val="bottom"/>
            <w:vMerge w:val="restart"/>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2"/>
                <w:szCs w:val="12"/>
                <w:color w:val="auto"/>
              </w:rPr>
            </w:pPr>
          </w:p>
        </w:tc>
        <w:tc>
          <w:tcPr>
            <w:tcW w:w="18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90"/>
        </w:trPr>
        <w:tc>
          <w:tcPr>
            <w:tcW w:w="75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 Rate</w:t>
            </w:r>
            <w:r>
              <w:rPr>
                <w:rFonts w:ascii="Times New Roman" w:cs="Times New Roman" w:eastAsia="Times New Roman" w:hAnsi="Times New Roman"/>
                <w:sz w:val="9"/>
                <w:szCs w:val="9"/>
                <w:b w:val="1"/>
                <w:bCs w:val="1"/>
                <w:color w:val="auto"/>
                <w:w w:val="99"/>
              </w:rPr>
              <w:t>(1)</w:t>
            </w:r>
          </w:p>
        </w:tc>
        <w:tc>
          <w:tcPr>
            <w:tcW w:w="0" w:type="dxa"/>
            <w:vAlign w:val="bottom"/>
          </w:tcPr>
          <w:p>
            <w:pPr>
              <w:spacing w:after="0"/>
              <w:rPr>
                <w:sz w:val="1"/>
                <w:szCs w:val="1"/>
                <w:color w:val="auto"/>
              </w:rPr>
            </w:pPr>
          </w:p>
        </w:tc>
      </w:tr>
      <w:tr>
        <w:trPr>
          <w:trHeight w:val="196"/>
        </w:trPr>
        <w:tc>
          <w:tcPr>
            <w:tcW w:w="7520" w:type="dxa"/>
            <w:vAlign w:val="bottom"/>
            <w:shd w:val="clear" w:color="auto" w:fill="CCEEFF"/>
          </w:tcPr>
          <w:p>
            <w:pPr>
              <w:ind w:left="440"/>
              <w:spacing w:after="0" w:line="195" w:lineRule="exact"/>
              <w:rPr>
                <w:sz w:val="20"/>
                <w:szCs w:val="20"/>
                <w:color w:val="auto"/>
              </w:rPr>
            </w:pPr>
            <w:r>
              <w:rPr>
                <w:rFonts w:ascii="Times New Roman" w:cs="Times New Roman" w:eastAsia="Times New Roman" w:hAnsi="Times New Roman"/>
                <w:sz w:val="14"/>
                <w:szCs w:val="14"/>
                <w:color w:val="auto"/>
              </w:rPr>
              <w:t>Fixed rate</w:t>
            </w:r>
            <w:r>
              <w:rPr>
                <w:rFonts w:ascii="Times New Roman" w:cs="Times New Roman" w:eastAsia="Times New Roman" w:hAnsi="Times New Roman"/>
                <w:sz w:val="18"/>
                <w:szCs w:val="18"/>
                <w:b w:val="1"/>
                <w:bCs w:val="1"/>
                <w:color w:val="auto"/>
                <w:vertAlign w:val="superscript"/>
              </w:rPr>
              <w:t>(2)</w:t>
            </w: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7,066,400</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4.28%</w:t>
            </w:r>
          </w:p>
        </w:tc>
        <w:tc>
          <w:tcPr>
            <w:tcW w:w="0" w:type="dxa"/>
            <w:vAlign w:val="bottom"/>
          </w:tcPr>
          <w:p>
            <w:pPr>
              <w:spacing w:after="0"/>
              <w:rPr>
                <w:sz w:val="1"/>
                <w:szCs w:val="1"/>
                <w:color w:val="auto"/>
              </w:rPr>
            </w:pPr>
          </w:p>
        </w:tc>
      </w:tr>
      <w:tr>
        <w:trPr>
          <w:trHeight w:val="196"/>
        </w:trPr>
        <w:tc>
          <w:tcPr>
            <w:tcW w:w="7520" w:type="dxa"/>
            <w:vAlign w:val="bottom"/>
            <w:tcBorders>
              <w:bottom w:val="single" w:sz="8" w:color="CCEEFF"/>
            </w:tcBorders>
          </w:tcPr>
          <w:p>
            <w:pPr>
              <w:ind w:left="440"/>
              <w:spacing w:after="0" w:line="196" w:lineRule="exact"/>
              <w:rPr>
                <w:sz w:val="20"/>
                <w:szCs w:val="20"/>
                <w:color w:val="auto"/>
              </w:rPr>
            </w:pPr>
            <w:r>
              <w:rPr>
                <w:rFonts w:ascii="Times New Roman" w:cs="Times New Roman" w:eastAsia="Times New Roman" w:hAnsi="Times New Roman"/>
                <w:sz w:val="14"/>
                <w:szCs w:val="14"/>
                <w:color w:val="auto"/>
              </w:rPr>
              <w:t>Variable rate</w:t>
            </w:r>
            <w:r>
              <w:rPr>
                <w:rFonts w:ascii="Times New Roman" w:cs="Times New Roman" w:eastAsia="Times New Roman" w:hAnsi="Times New Roman"/>
                <w:sz w:val="18"/>
                <w:szCs w:val="18"/>
                <w:b w:val="1"/>
                <w:bCs w:val="1"/>
                <w:color w:val="auto"/>
                <w:vertAlign w:val="superscript"/>
              </w:rPr>
              <w:t>(3)</w:t>
            </w: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1,215,776</w:t>
            </w:r>
          </w:p>
        </w:tc>
        <w:tc>
          <w:tcPr>
            <w:tcW w:w="1900" w:type="dxa"/>
            <w:vAlign w:val="bottom"/>
            <w:tcBorders>
              <w:bottom w:val="single" w:sz="8" w:color="CCEEFF"/>
            </w:tcBorders>
            <w:gridSpan w:val="2"/>
          </w:tcPr>
          <w:p>
            <w:pPr>
              <w:jc w:val="right"/>
              <w:ind w:right="550"/>
              <w:spacing w:after="0" w:line="196" w:lineRule="exact"/>
              <w:rPr>
                <w:sz w:val="20"/>
                <w:szCs w:val="20"/>
                <w:color w:val="auto"/>
              </w:rPr>
            </w:pPr>
            <w:r>
              <w:rPr>
                <w:rFonts w:ascii="Times New Roman" w:cs="Times New Roman" w:eastAsia="Times New Roman" w:hAnsi="Times New Roman"/>
                <w:sz w:val="14"/>
                <w:szCs w:val="14"/>
                <w:color w:val="auto"/>
              </w:rPr>
              <w:t>5.80%</w:t>
            </w:r>
            <w:r>
              <w:rPr>
                <w:rFonts w:ascii="Times New Roman" w:cs="Times New Roman" w:eastAsia="Times New Roman" w:hAnsi="Times New Roman"/>
                <w:sz w:val="18"/>
                <w:szCs w:val="18"/>
                <w:b w:val="1"/>
                <w:bCs w:val="1"/>
                <w:color w:val="auto"/>
                <w:vertAlign w:val="superscript"/>
              </w:rPr>
              <w:t>(4)</w:t>
            </w:r>
          </w:p>
        </w:tc>
        <w:tc>
          <w:tcPr>
            <w:tcW w:w="0" w:type="dxa"/>
            <w:vAlign w:val="bottom"/>
          </w:tcPr>
          <w:p>
            <w:pPr>
              <w:spacing w:after="0"/>
              <w:rPr>
                <w:sz w:val="1"/>
                <w:szCs w:val="1"/>
                <w:color w:val="auto"/>
              </w:rPr>
            </w:pPr>
          </w:p>
        </w:tc>
      </w:tr>
      <w:tr>
        <w:trPr>
          <w:trHeight w:val="190"/>
        </w:trPr>
        <w:tc>
          <w:tcPr>
            <w:tcW w:w="75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8,282,176</w:t>
            </w:r>
          </w:p>
        </w:tc>
        <w:tc>
          <w:tcPr>
            <w:tcW w:w="19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4.50%</w:t>
            </w:r>
          </w:p>
        </w:tc>
        <w:tc>
          <w:tcPr>
            <w:tcW w:w="0" w:type="dxa"/>
            <w:vAlign w:val="bottom"/>
          </w:tcPr>
          <w:p>
            <w:pPr>
              <w:spacing w:after="0"/>
              <w:rPr>
                <w:sz w:val="1"/>
                <w:szCs w:val="1"/>
                <w:color w:val="auto"/>
              </w:rPr>
            </w:pPr>
          </w:p>
        </w:tc>
      </w:tr>
      <w:tr>
        <w:trPr>
          <w:trHeight w:val="190"/>
        </w:trPr>
        <w:tc>
          <w:tcPr>
            <w:tcW w:w="7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Deferred financing costs, net and other</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(39,300)</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5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Total, net</w:t>
            </w: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8,242,876</w:t>
            </w:r>
          </w:p>
        </w:tc>
        <w:tc>
          <w:tcPr>
            <w:tcW w:w="1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w:t>
      </w:r>
    </w:p>
    <w:p>
      <w:pPr>
        <w:spacing w:after="0" w:line="46" w:lineRule="exact"/>
        <w:rPr>
          <w:sz w:val="20"/>
          <w:szCs w:val="20"/>
          <w:color w:val="auto"/>
        </w:rPr>
      </w:pPr>
    </w:p>
    <w:p>
      <w:pPr>
        <w:ind w:left="320" w:hanging="315"/>
        <w:spacing w:after="0"/>
        <w:tabs>
          <w:tab w:leader="none" w:pos="320" w:val="left"/>
        </w:tabs>
        <w:numPr>
          <w:ilvl w:val="0"/>
          <w:numId w:val="3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Represents the interest rate in effect as of period end based on the appropriate reference rate as of the contractual reset date plus contractual spread, adjusted for hedging instruments, as applicable.</w:t>
      </w:r>
    </w:p>
    <w:p>
      <w:pPr>
        <w:spacing w:after="0" w:line="23" w:lineRule="exact"/>
        <w:rPr>
          <w:rFonts w:ascii="Times New Roman" w:cs="Times New Roman" w:eastAsia="Times New Roman" w:hAnsi="Times New Roman"/>
          <w:sz w:val="13"/>
          <w:szCs w:val="13"/>
          <w:b w:val="1"/>
          <w:bCs w:val="1"/>
          <w:color w:val="auto"/>
        </w:rPr>
      </w:pPr>
    </w:p>
    <w:p>
      <w:pPr>
        <w:ind w:left="320" w:hanging="315"/>
        <w:spacing w:after="0" w:line="250" w:lineRule="auto"/>
        <w:tabs>
          <w:tab w:leader="none" w:pos="312"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debt with interest rates fixed by interest rate swap arrangements and the $950,000 1290 Avenue of the Americas mortgage loan which is subject to a 1.00% SOFR interest rate cap arrangement.</w:t>
      </w:r>
    </w:p>
    <w:p>
      <w:pPr>
        <w:spacing w:after="0" w:line="1" w:lineRule="exact"/>
        <w:rPr>
          <w:rFonts w:ascii="Times New Roman" w:cs="Times New Roman" w:eastAsia="Times New Roman" w:hAnsi="Times New Roman"/>
          <w:sz w:val="14"/>
          <w:szCs w:val="14"/>
          <w:b w:val="1"/>
          <w:bCs w:val="1"/>
          <w:color w:val="auto"/>
        </w:rPr>
      </w:pPr>
    </w:p>
    <w:p>
      <w:pPr>
        <w:jc w:val="both"/>
        <w:ind w:left="320" w:hanging="315"/>
        <w:spacing w:after="0" w:line="249" w:lineRule="auto"/>
        <w:tabs>
          <w:tab w:leader="none" w:pos="312"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mortgages subject to interest rate cap arrangements, except for the 1290 Avenue of the Americas mortgage loan discussed above. As of December 31, 2024, $960,000 of our variable rate debt was subject to interest rate cap arrangements. The interest rate cap arrangements have a weighted average strike rate of 4.79% and a weighted average remaining term of four months.</w:t>
      </w:r>
    </w:p>
    <w:p>
      <w:pPr>
        <w:ind w:left="320" w:hanging="315"/>
        <w:spacing w:after="0"/>
        <w:tabs>
          <w:tab w:leader="none" w:pos="32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Excludes additional 3.00% default interest on the 606 Broadway mortgage loan.</w:t>
      </w:r>
    </w:p>
    <w:p>
      <w:pPr>
        <w:spacing w:after="0" w:line="102"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During 2025 and 2026, $1,328,057,000 and $925,000,000, respectively, of our outstanding consolidated debt matures, assuming the exercise of as-of-right extension options. These amounts exclude the $74,119,000 606 Broadway mortgage loan which is in maturity default. We may refinance this maturing debt as it comes due or choose to repay it using cash and cash equivalents or our unsecured revolving credit facilities. We may also refinance or prepay other outstanding debt depending on prevailing market conditions, liquidity requirements and other factors. The amounts involved in connection with these transactions could be material to our consolidated financial statements.</w:t>
      </w:r>
    </w:p>
    <w:p>
      <w:pPr>
        <w:spacing w:after="0" w:line="13"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Details of 2024 financing activities are provided in the “Overview” of Management’s Discussion and Analysis of Financial Condition and Results of Operations.</w:t>
      </w:r>
    </w:p>
    <w:p>
      <w:pPr>
        <w:spacing w:after="0" w:line="1"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contractual principal and interest repayments schedule of our consolidated debt as of December 31, 2024 is presented below. The below excludes the $74,119,000 606 Broadway mortgage loan which is in maturity default. See page 93 for details.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0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0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4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Notes and mortgages payable</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6,416,368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1,147,623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2,508,038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2,396,325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364,382</w:t>
            </w:r>
          </w:p>
        </w:tc>
      </w:tr>
      <w:tr>
        <w:trPr>
          <w:trHeight w:val="196"/>
        </w:trPr>
        <w:tc>
          <w:tcPr>
            <w:tcW w:w="4300" w:type="dxa"/>
            <w:vAlign w:val="bottom"/>
          </w:tcPr>
          <w:p>
            <w:pPr>
              <w:ind w:left="460"/>
              <w:spacing w:after="0" w:line="196" w:lineRule="exact"/>
              <w:rPr>
                <w:sz w:val="20"/>
                <w:szCs w:val="20"/>
                <w:color w:val="auto"/>
              </w:rPr>
            </w:pPr>
            <w:r>
              <w:rPr>
                <w:rFonts w:ascii="Times New Roman" w:cs="Times New Roman" w:eastAsia="Times New Roman" w:hAnsi="Times New Roman"/>
                <w:sz w:val="14"/>
                <w:szCs w:val="14"/>
                <w:color w:val="auto"/>
              </w:rPr>
              <w:t>Senior unsecured notes due 2025</w:t>
            </w:r>
            <w:r>
              <w:rPr>
                <w:rFonts w:ascii="Times New Roman" w:cs="Times New Roman" w:eastAsia="Times New Roman" w:hAnsi="Times New Roman"/>
                <w:sz w:val="18"/>
                <w:szCs w:val="18"/>
                <w:b w:val="1"/>
                <w:bCs w:val="1"/>
                <w:color w:val="auto"/>
                <w:vertAlign w:val="superscript"/>
              </w:rPr>
              <w:t>(1)</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450,613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450,613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Senior unsecured notes due 2026</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412,207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403,607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43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Senior unsecured notes due 2031</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426,391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366,891</w:t>
            </w:r>
          </w:p>
        </w:tc>
      </w:tr>
      <w:tr>
        <w:trPr>
          <w:trHeight w:val="204"/>
        </w:trPr>
        <w:tc>
          <w:tcPr>
            <w:tcW w:w="4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Unsecured term loan</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914,389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876,689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43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Revolving credit facilities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642,648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4300" w:type="dxa"/>
            <w:vAlign w:val="bottom"/>
            <w:tcBorders>
              <w:top w:val="single" w:sz="8" w:color="CCEEFF"/>
              <w:bottom w:val="single" w:sz="8" w:color="CCEEFF"/>
            </w:tcBorders>
            <w:shd w:val="clear" w:color="auto" w:fill="CCEEFF"/>
          </w:tcPr>
          <w:p>
            <w:pPr>
              <w:ind w:left="660"/>
              <w:spacing w:after="0" w:line="196" w:lineRule="exact"/>
              <w:rPr>
                <w:sz w:val="20"/>
                <w:szCs w:val="20"/>
                <w:color w:val="auto"/>
              </w:rPr>
            </w:pPr>
            <w:r>
              <w:rPr>
                <w:rFonts w:ascii="Times New Roman" w:cs="Times New Roman" w:eastAsia="Times New Roman" w:hAnsi="Times New Roman"/>
                <w:sz w:val="14"/>
                <w:szCs w:val="14"/>
                <w:color w:val="auto"/>
              </w:rPr>
              <w:t>Total contractual principal</w:t>
            </w:r>
            <w:r>
              <w:rPr>
                <w:rFonts w:ascii="Times New Roman" w:cs="Times New Roman" w:eastAsia="Times New Roman" w:hAnsi="Times New Roman"/>
                <w:sz w:val="18"/>
                <w:szCs w:val="18"/>
                <w:b w:val="1"/>
                <w:bCs w:val="1"/>
                <w:color w:val="auto"/>
                <w:vertAlign w:val="superscript"/>
              </w:rPr>
              <w:t>(2)</w:t>
            </w:r>
            <w:r>
              <w:rPr>
                <w:rFonts w:ascii="Times New Roman" w:cs="Times New Roman" w:eastAsia="Times New Roman" w:hAnsi="Times New Roman"/>
                <w:sz w:val="14"/>
                <w:szCs w:val="14"/>
                <w:color w:val="auto"/>
              </w:rPr>
              <w:t xml:space="preserve"> and interest</w:t>
            </w:r>
            <w:r>
              <w:rPr>
                <w:rFonts w:ascii="Times New Roman" w:cs="Times New Roman" w:eastAsia="Times New Roman" w:hAnsi="Times New Roman"/>
                <w:sz w:val="18"/>
                <w:szCs w:val="18"/>
                <w:b w:val="1"/>
                <w:bCs w:val="1"/>
                <w:color w:val="auto"/>
                <w:vertAlign w:val="superscript"/>
              </w:rPr>
              <w:t>(3)</w:t>
            </w:r>
            <w:r>
              <w:rPr>
                <w:rFonts w:ascii="Times New Roman" w:cs="Times New Roman" w:eastAsia="Times New Roman" w:hAnsi="Times New Roman"/>
                <w:sz w:val="14"/>
                <w:szCs w:val="14"/>
                <w:color w:val="auto"/>
              </w:rPr>
              <w:t xml:space="preserve"> repayments</w:t>
            </w: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9,262,616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1,679,033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4,432,185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2,420,125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731,273</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22" w:lineRule="exact"/>
        <w:rPr>
          <w:sz w:val="20"/>
          <w:szCs w:val="20"/>
          <w:color w:val="auto"/>
        </w:rPr>
      </w:pPr>
    </w:p>
    <w:p>
      <w:pPr>
        <w:ind w:left="320" w:hanging="315"/>
        <w:spacing w:after="0"/>
        <w:tabs>
          <w:tab w:leader="none" w:pos="32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repaid our $450,000 3.50% senior unsecured notes on their January 15, 2025 maturity date.</w:t>
      </w:r>
    </w:p>
    <w:p>
      <w:pPr>
        <w:spacing w:after="0" w:line="6"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Based on the contractual maturity of our loans, including as-of-right extension options, as of December 31, 2024.</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Estimated interest for variable rate debt based on the Term SOFR curve available as of December 31, 2024.</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 - continued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Capital Expenditures</w:t>
      </w:r>
    </w:p>
    <w:p>
      <w:pPr>
        <w:spacing w:after="0" w:line="66"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Capital expenditures consist of expenditures to maintain and improve assets, tenant improvement allowances and leasing commissions. During 2025, we expect to spend $275,000,000 of capital expenditures for our consolidated properties. We plan to fund these capital expenditures from operating cash flow, existing liquidity, and/or borrowings. Our partially owned non-consolidated subsidiaries typically fund their capital expenditures without any additional equity contribution from us.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Development and Redevelopment Projects and Opportunities</w:t>
      </w:r>
    </w:p>
    <w:p>
      <w:pPr>
        <w:spacing w:after="0" w:line="6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Development and redevelopment expenditures consist of all hard and soft costs associated with the development and redevelopment of a property. We plan to fund these development and redevelopment expenditures from operating cash flow, existing liquidity, and/or borrowings. See detailed discussion below for our current development and redevelopment projects.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PENN District</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PENN 2</w:t>
      </w:r>
    </w:p>
    <w:p>
      <w:pPr>
        <w:spacing w:after="0" w:line="68"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We are redeveloping PENN 2, a 1,795,000 square foot (as expanded) office building, located on the west side of Seventh Avenue between 31st and 33rd Street. The development cost of this project is estimated to be $750,000,000, of which $697,451,000 of cash has been expended as of December 31, 2024.</w:t>
      </w:r>
    </w:p>
    <w:p>
      <w:pPr>
        <w:spacing w:after="0" w:line="1"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We are also making districtwide improvements within the PENN District. The development cost of these improvements is estimated to be $100,000,000, of which $70,919,000 of cash has been expended as of December 31, 2024.</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Sunset Pier 94 Studios</w:t>
      </w:r>
    </w:p>
    <w:p>
      <w:pPr>
        <w:spacing w:after="0" w:line="68"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On August 28, 2023, we, together with Hudson Pacific Properties and Blackstone Inc., formed a joint venture to develop a 266,000 square foot purpose-built studio campus in Manhattan. We own a 49.9% equity interest in the joint venture. The development cost of the project is estimated to be $350,000,000, which will be funded with $183,200,000 of construction financing ($29,782,000 drawn as of December 31, 2024) and $166,800,000 of equity contributions. Our share of equity contributions was funded by (i) our $40,000,000 Pier 94 leasehold interest contribution and (ii) $34,000,000 of cash contributions, which are net of an estimated $9,000,000 for our share of development fees and reimbursement for overhead costs incurred by us. As of December 31, 2024, we have fully funded our share of equity and cash contributions.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350 Park Avenue</w:t>
      </w:r>
    </w:p>
    <w:p>
      <w:pPr>
        <w:spacing w:after="0" w:line="68"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On January 24, 2023, we and the Rudin family (“Rudin”) completed agreements with Citadel Enterprise Americas LLC (“Citadel”) and with an affiliate of Kenneth C. Griffin, Citadel’s Founder and CEO (“KG”), for a series of transactions relating to 350 Park Avenue and 40 East 52nd Street. In connection therewith, we entered into a joint venture with Rudin (the “Vornado/Rudin JV”) that purchased 39 East 51st Street for $40,000,000, funded on a 50/50 basis by Vornado and Rudin. 39 East 51st Street will be combined with 350 Park Avenue and 40 East 52nd Street to create a premier development site (the “350 Park Site”). From October 2024 to June 2030, an affiliate of KG has the option to either (i) acquire a 60% interest in a joint venture with the Vornado/Rudin JV (with Vornado having an effective 36% interest in the entity) to build a new 1,700,000 square foot office tower, valuing the 350 Park Site at $1.2 billion or (ii) purchase the 350 Park Site for $1.4 billion ($1.085 billion to Vornado). From October 2024 to September 2030, the Vornado/Rudin JV has the option to put the 350 Park Site to KG for $1.2 billion ($900,000,000 to Vornado).</w:t>
      </w:r>
    </w:p>
    <w:p>
      <w:pPr>
        <w:spacing w:after="0" w:line="231"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We are also evaluating other development and redevelopment opportunities at certain of our properties in Manhattan including, in particular, the PENN District.</w:t>
      </w: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can be no assurance that the above projects will be completed, completed on schedule or within budget.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 - continued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Other Obligations</w:t>
      </w:r>
    </w:p>
    <w:p>
      <w:pPr>
        <w:spacing w:after="0" w:line="66" w:lineRule="exact"/>
        <w:rPr>
          <w:sz w:val="20"/>
          <w:szCs w:val="20"/>
          <w:color w:val="auto"/>
        </w:rPr>
      </w:pPr>
    </w:p>
    <w:p>
      <w:pPr>
        <w:jc w:val="both"/>
        <w:ind w:firstLine="314"/>
        <w:spacing w:after="0" w:line="274" w:lineRule="auto"/>
        <w:rPr>
          <w:sz w:val="20"/>
          <w:szCs w:val="20"/>
          <w:color w:val="auto"/>
        </w:rPr>
      </w:pPr>
      <w:r>
        <w:rPr>
          <w:rFonts w:ascii="Times New Roman" w:cs="Times New Roman" w:eastAsia="Times New Roman" w:hAnsi="Times New Roman"/>
          <w:sz w:val="17"/>
          <w:szCs w:val="17"/>
          <w:color w:val="auto"/>
        </w:rPr>
        <w:t>We have contractual cash obligations for certain properties that are subject to long-term ground and building leases. During 2025, $58,522,000 of lease payments are due, including fair market rent resets accounted for as variable rent and excluding prior period accruals for ground rent resets yet to be determined. For 2026 and thereafter, we have $2,367,881,000 of future lease payments. We believe that our operating cash flow will be adequate to fund these lease payments.</w:t>
      </w:r>
    </w:p>
    <w:p>
      <w:pPr>
        <w:spacing w:after="0" w:line="221"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Our future lease payments disclosed above include payments for our PENN 1 ground lease based on an amount estimated in January 2022, when we exercised the second of three 25-year renewal options. The first renewal period commenced June 2023 and, together with the second option exercise, extends the lease term through June 2073. The ground lease is subject to fair market value resets at each 25-year renewal period. The rent reset process for the June 2023 renewal period is currently ongoing and the timing is uncertain. The final fair market value determination may be materially higher or lower than our January 2022 estimate.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Insurance</w:t>
      </w:r>
    </w:p>
    <w:p>
      <w:pPr>
        <w:spacing w:after="0" w:line="53"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For our properties, we maintain general liability insurance with limits of $300,000,000 per occurrence and per property, of which $275,000,000, includes communicable disease coverage, and we maintain all risk property and rental value insurance with limits of $2.0 billion per occurrence, with sub-limits for certain perils such as flood and earthquake, excluding communicable disease coverage. Our California properties have earthquake insurance with coverage of $350,000,000 per occurrence and in the aggregate, subject to a deductible in the amount of 5% of the value of the affected property. We maintain coverage for certified terrorism acts with limits of $6.0 billion per occurrence and in the aggregate (as listed below), $1.2 billion for non-certified acts of terrorism, and $5.0 billion per occurrence and in the aggregate for terrorism involving nuclear, biological, chemical and radiological (“NBCR”) terrorism events, as defined by the Terrorism Risk Insurance Act of 2002, as amended to date and which has been extended through December 2027.</w:t>
      </w:r>
    </w:p>
    <w:p>
      <w:pPr>
        <w:spacing w:after="0" w:line="20"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Penn Plaza Insurance Company, LLC (“PPIC”), our wholly owned consolidated subsidiary, acts as a re-insurer with respect to a portion of all risk property and rental value insurance and a portion of our earthquake insurance coverage, and as a direct insurer for coverage for acts of terrorism including NBCR acts. Coverage for acts of terrorism (excluding NBCR acts) is fully reinsured by third party insurance companies and the Federal government with no exposure to PPIC. For NBCR acts, PPIC is responsible for a deductible of $2,396,808 and 20% of the balance of a covered loss and the Federal government is responsible for the remaining portion of a covered loss. We are ultimately responsible for any loss incurred by PPIC.</w:t>
      </w:r>
    </w:p>
    <w:p>
      <w:pPr>
        <w:spacing w:after="0" w:line="3" w:lineRule="exact"/>
        <w:rPr>
          <w:sz w:val="20"/>
          <w:szCs w:val="20"/>
          <w:color w:val="auto"/>
        </w:rPr>
      </w:pPr>
    </w:p>
    <w:p>
      <w:pPr>
        <w:jc w:val="both"/>
        <w:ind w:firstLine="314"/>
        <w:spacing w:after="0" w:line="281" w:lineRule="auto"/>
        <w:rPr>
          <w:sz w:val="20"/>
          <w:szCs w:val="20"/>
          <w:color w:val="auto"/>
        </w:rPr>
      </w:pPr>
      <w:r>
        <w:rPr>
          <w:rFonts w:ascii="Times New Roman" w:cs="Times New Roman" w:eastAsia="Times New Roman" w:hAnsi="Times New Roman"/>
          <w:sz w:val="17"/>
          <w:szCs w:val="17"/>
          <w:color w:val="auto"/>
        </w:rPr>
        <w:t>Certain condominiums in which we own an interest (including the Farley Condominiums) maintain insurance policies with different per occurrence and aggregate limits than our policies described above.</w:t>
      </w:r>
    </w:p>
    <w:p>
      <w:pPr>
        <w:spacing w:after="0" w:line="1" w:lineRule="exact"/>
        <w:rPr>
          <w:sz w:val="20"/>
          <w:szCs w:val="20"/>
          <w:color w:val="auto"/>
        </w:rPr>
      </w:pPr>
    </w:p>
    <w:p>
      <w:pPr>
        <w:jc w:val="both"/>
        <w:ind w:firstLine="314"/>
        <w:spacing w:after="0" w:line="273" w:lineRule="auto"/>
        <w:rPr>
          <w:sz w:val="20"/>
          <w:szCs w:val="20"/>
          <w:color w:val="auto"/>
        </w:rPr>
      </w:pPr>
      <w:r>
        <w:rPr>
          <w:rFonts w:ascii="Times New Roman" w:cs="Times New Roman" w:eastAsia="Times New Roman" w:hAnsi="Times New Roman"/>
          <w:sz w:val="17"/>
          <w:szCs w:val="17"/>
          <w:color w:val="auto"/>
        </w:rPr>
        <w:t>We continue to monitor the state of the insurance market and the scope and costs of coverage for acts of terrorism and other events. However, we cannot anticipate what coverage will be available on commercially reasonable terms in the future. We are responsible for uninsured losses and for deductibles and losses in excess of our insurance coverage, which could be material.</w:t>
      </w:r>
    </w:p>
    <w:p>
      <w:pPr>
        <w:spacing w:after="0" w:line="1"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Our debt instruments, consisting of mortgage loans secured by our properties, senior unsecured notes and revolving credit agreements contain customary covenants requiring us to maintain insurance. Although we believe that we have adequate insurance coverage for purposes of these agreements, we may not be able to obtain an equivalent amount of coverage at reasonable costs in the future. Further, if lenders insist on greater coverage than we are able to obtain it could adversely affect our ability to finance or refinance our properties and expand our portfolio.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Other Commitments and Contingencies</w:t>
      </w:r>
    </w:p>
    <w:p>
      <w:pPr>
        <w:spacing w:after="0" w:line="66"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We are from time to time involved in legal actions arising in the ordinary course of business. In our opinion, after consultation with legal counsel, the outcome of such matters is not currently expected to have a material adverse effect on our financial position, results of operations or cash flows.</w:t>
      </w:r>
    </w:p>
    <w:p>
      <w:pPr>
        <w:spacing w:after="0" w:line="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Each of our properties has been subjected to varying degrees of environmental assessment at various times. The environmental assessments did not reveal any material environmental contamination. However, there can be no assurance that the identification of new areas of contamination, changes in the extent or known scope of contamination, the discovery of additional sites, or changes in cleanup requirements would not result in significant costs to us.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 - continued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Other Commitments and Contingencies - continued</w:t>
      </w:r>
    </w:p>
    <w:p>
      <w:pPr>
        <w:spacing w:after="0" w:line="6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may, from time to time, enter into guarantees including, but not limited to, payment guarantees to lenders of unconsolidated joint ventures for tax purposes, completion guarantees for development and redevelopment projects, and guarantees to fund leasing costs. These agreements terminate either upon the satisfaction of specified obligations or repayment of the underlying loans. As of December 31, 2024, the aggregate dollar amount of these guarantees is approximately $516,872,000, including the payment guarantee for the mortgage loan secured by 7 West 34th Street. Other than these loans, our mortgage loans are non-recourse to us.</w:t>
      </w:r>
    </w:p>
    <w:p>
      <w:pPr>
        <w:spacing w:after="0" w:line="13"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As of December 31, 2024, $57,643,000 of letters of credit were outstanding under our unsecured revolving credit facilities. Our unsecured revolving credit facilities contain financial covenants that require us to maintain minimum interest coverage and maximum debt to market capitalization ratios, and provide for increased interest rates in the event of a decline in the credit rating assigned to our senior unsecured notes. Our unsecured revolving credit facilities also contain customary conditions precedent to borrowing, including representations and warranties, and also contain customary events of default that could give rise to accelerated repayment, including such items as failure to pay interest or principal.</w:t>
      </w:r>
    </w:p>
    <w:p>
      <w:pPr>
        <w:spacing w:after="0" w:line="13"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Our 95% consolidated joint venture (5% is owned by Related Companies ("Related")) developed and owns the Farley Building. In connection with the development of the property, the joint venture admitted a historic Tax Credit Investor partner. Under the terms of the historic tax credit arrangement, the joint venture is required to comply with various laws, regulations, and contractual provisions. Non-compliance with applicable requirements could result in projected tax benefits not being realized and, therefore, may require a refund or reduction of the Tax Credit Investor’s capital contributions. As of December 31, 2024, the Tax Credit Investor has made $208,407,000 in capital contributions. Vornado and Related have guaranteed certain of the joint venture’s obligations to the Tax Credit Investor.</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2024, we had construction commitments aggregating approximately $61,016,000.</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Funds From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Vornado Realty Trust</w:t>
      </w:r>
    </w:p>
    <w:p>
      <w:pPr>
        <w:spacing w:after="0" w:line="36" w:lineRule="exact"/>
        <w:rPr>
          <w:sz w:val="20"/>
          <w:szCs w:val="20"/>
          <w:color w:val="auto"/>
        </w:rPr>
      </w:pPr>
    </w:p>
    <w:p>
      <w:pPr>
        <w:jc w:val="both"/>
        <w:ind w:firstLine="314"/>
        <w:spacing w:after="0" w:line="258" w:lineRule="auto"/>
        <w:rPr>
          <w:sz w:val="20"/>
          <w:szCs w:val="20"/>
          <w:color w:val="auto"/>
        </w:rPr>
      </w:pPr>
      <w:r>
        <w:rPr>
          <w:rFonts w:ascii="Times New Roman" w:cs="Times New Roman" w:eastAsia="Times New Roman" w:hAnsi="Times New Roman"/>
          <w:sz w:val="17"/>
          <w:szCs w:val="17"/>
          <w:color w:val="auto"/>
        </w:rPr>
        <w:t xml:space="preserve">FFO is computed in accordance with the definition adopted by the Board of Governors of the National Association of Real Estate Investment Trusts (“NAREIT”). NAREIT defines FFO as GAAP net income or loss adjusted to exclude net gains from sales of certain real estate assets, impairment write-downs of certain real estate assets and investments in entities when the impairment is directly attributable to decreases in the value of depreciable real estate held by the entity, depreciation and amortization expense from real estate assets and other specified items, including the pro rata share of such adjustments of unconsolidated subsidiaries. FFO and FFO per diluted share are non-GAAP financial measures used by management, investors and analysts to facilitate meaningful comparisons of operating performance between periods and among our peers because it excludes the effect of real estate depreciation and amortization and net gains on sales, which are based on historical costs and implicitly assume that the value of real estate diminishes predictably over time, rather than fluctuating based on existing market conditions. FFO does not represent cash generated from operating activities and is not necessarily indicative of cash available to fund cash requirements and should not be considered as an alternative to net income as a performance measure or cash flow as a liquidity measure. FFO may not be comparable to similarly titled measures employed by other companies. The calculations of both the numerator and denominator used in the computation of income per share are disclosed in Note 12 – </w:t>
      </w:r>
      <w:r>
        <w:rPr>
          <w:rFonts w:ascii="Times New Roman" w:cs="Times New Roman" w:eastAsia="Times New Roman" w:hAnsi="Times New Roman"/>
          <w:sz w:val="17"/>
          <w:szCs w:val="17"/>
          <w:i w:val="1"/>
          <w:iCs w:val="1"/>
          <w:color w:val="auto"/>
        </w:rPr>
        <w:t>Income (Loss) Per Share and Per Class A Unit</w:t>
      </w:r>
      <w:r>
        <w:rPr>
          <w:rFonts w:ascii="Times New Roman" w:cs="Times New Roman" w:eastAsia="Times New Roman" w:hAnsi="Times New Roman"/>
          <w:sz w:val="17"/>
          <w:szCs w:val="17"/>
          <w:color w:val="auto"/>
        </w:rPr>
        <w:t>, in our consolidated financial statements in Part II, Item 8 of this Annual Report on Form 10-K. Details of certain items that impact FFO are discussed in the financial results summary of our “Overview.”</w:t>
      </w:r>
    </w:p>
    <w:p>
      <w:pPr>
        <w:spacing w:after="0" w:line="2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Below is a reconciliation of net income attributable to common shareholders to FFO attributable to common shareholders plus assumed conversions for the years ended December 31, 2024 and 2023.</w:t>
      </w: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share amounts)</w:t>
            </w:r>
          </w:p>
        </w:tc>
        <w:tc>
          <w:tcPr>
            <w:tcW w:w="400" w:type="dxa"/>
            <w:vAlign w:val="bottom"/>
          </w:tcPr>
          <w:p>
            <w:pPr>
              <w:spacing w:after="0"/>
              <w:rPr>
                <w:sz w:val="16"/>
                <w:szCs w:val="16"/>
                <w:color w:val="auto"/>
              </w:rPr>
            </w:pPr>
          </w:p>
        </w:tc>
        <w:tc>
          <w:tcPr>
            <w:tcW w:w="3060" w:type="dxa"/>
            <w:vAlign w:val="bottom"/>
            <w:gridSpan w:val="4"/>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6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20"/>
        </w:trPr>
        <w:tc>
          <w:tcPr>
            <w:tcW w:w="760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Reconciliation of net income attributable to common shareholders to FFO attributable to common shareholders plus assumed</w:t>
            </w: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76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conversions: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shareholders</w:t>
            </w: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43,378</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Per diluted share</w:t>
            </w: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FFO adjustments: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76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of real property</w:t>
            </w: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399,694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385,608</w:t>
            </w:r>
          </w:p>
        </w:tc>
        <w:tc>
          <w:tcPr>
            <w:tcW w:w="0" w:type="dxa"/>
            <w:vAlign w:val="bottom"/>
          </w:tcPr>
          <w:p>
            <w:pPr>
              <w:spacing w:after="0"/>
              <w:rPr>
                <w:sz w:val="1"/>
                <w:szCs w:val="1"/>
                <w:color w:val="auto"/>
              </w:rPr>
            </w:pPr>
          </w:p>
        </w:tc>
      </w:tr>
      <w:tr>
        <w:trPr>
          <w:trHeight w:val="189"/>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gains on sale of real estate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(53,305)</w:t>
            </w:r>
          </w:p>
        </w:tc>
        <w:tc>
          <w:tcPr>
            <w:tcW w:w="0" w:type="dxa"/>
            <w:vAlign w:val="bottom"/>
          </w:tcPr>
          <w:p>
            <w:pPr>
              <w:spacing w:after="0"/>
              <w:rPr>
                <w:sz w:val="1"/>
                <w:szCs w:val="1"/>
                <w:color w:val="auto"/>
              </w:rPr>
            </w:pPr>
          </w:p>
        </w:tc>
      </w:tr>
      <w:tr>
        <w:trPr>
          <w:trHeight w:val="262"/>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impairment losses</w:t>
            </w:r>
          </w:p>
        </w:tc>
        <w:tc>
          <w:tcPr>
            <w:tcW w:w="4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22,831</w:t>
            </w:r>
          </w:p>
        </w:tc>
        <w:tc>
          <w:tcPr>
            <w:tcW w:w="0" w:type="dxa"/>
            <w:vAlign w:val="bottom"/>
          </w:tcPr>
          <w:p>
            <w:pPr>
              <w:spacing w:after="0"/>
              <w:rPr>
                <w:sz w:val="1"/>
                <w:szCs w:val="1"/>
                <w:color w:val="auto"/>
              </w:rPr>
            </w:pPr>
          </w:p>
        </w:tc>
      </w:tr>
      <w:tr>
        <w:trPr>
          <w:trHeight w:val="189"/>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Our share of partially owned entities: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 of real property</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101,195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108,088</w:t>
            </w:r>
          </w:p>
        </w:tc>
        <w:tc>
          <w:tcPr>
            <w:tcW w:w="0" w:type="dxa"/>
            <w:vAlign w:val="bottom"/>
          </w:tcPr>
          <w:p>
            <w:pPr>
              <w:spacing w:after="0"/>
              <w:rPr>
                <w:sz w:val="1"/>
                <w:szCs w:val="1"/>
                <w:color w:val="auto"/>
              </w:rPr>
            </w:pPr>
          </w:p>
        </w:tc>
      </w:tr>
      <w:tr>
        <w:trPr>
          <w:trHeight w:val="189"/>
        </w:trPr>
        <w:tc>
          <w:tcPr>
            <w:tcW w:w="7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gain on sale of real estate</w:t>
            </w:r>
          </w:p>
        </w:tc>
        <w:tc>
          <w:tcPr>
            <w:tcW w:w="4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(16,545)</w:t>
            </w:r>
          </w:p>
        </w:tc>
        <w:tc>
          <w:tcPr>
            <w:tcW w:w="0" w:type="dxa"/>
            <w:vAlign w:val="bottom"/>
          </w:tcPr>
          <w:p>
            <w:pPr>
              <w:spacing w:after="0"/>
              <w:rPr>
                <w:sz w:val="1"/>
                <w:szCs w:val="1"/>
                <w:color w:val="auto"/>
              </w:rPr>
            </w:pPr>
          </w:p>
        </w:tc>
      </w:tr>
      <w:tr>
        <w:trPr>
          <w:trHeight w:val="204"/>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Real estate impairment losses</w:t>
            </w:r>
          </w:p>
        </w:tc>
        <w:tc>
          <w:tcPr>
            <w:tcW w:w="4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50,458</w:t>
            </w:r>
          </w:p>
        </w:tc>
        <w:tc>
          <w:tcPr>
            <w:tcW w:w="0" w:type="dxa"/>
            <w:vAlign w:val="bottom"/>
          </w:tcPr>
          <w:p>
            <w:pPr>
              <w:spacing w:after="0"/>
              <w:rPr>
                <w:sz w:val="1"/>
                <w:szCs w:val="1"/>
                <w:color w:val="auto"/>
              </w:rPr>
            </w:pPr>
          </w:p>
        </w:tc>
      </w:tr>
      <w:tr>
        <w:trPr>
          <w:trHeight w:val="18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FFO adjustments, net</w:t>
            </w:r>
          </w:p>
        </w:tc>
        <w:tc>
          <w:tcPr>
            <w:tcW w:w="4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500,016</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497,135</w:t>
            </w:r>
          </w:p>
        </w:tc>
        <w:tc>
          <w:tcPr>
            <w:tcW w:w="0" w:type="dxa"/>
            <w:vAlign w:val="bottom"/>
          </w:tcPr>
          <w:p>
            <w:pPr>
              <w:spacing w:after="0"/>
              <w:rPr>
                <w:sz w:val="1"/>
                <w:szCs w:val="1"/>
                <w:color w:val="auto"/>
              </w:rPr>
            </w:pPr>
          </w:p>
        </w:tc>
      </w:tr>
      <w:tr>
        <w:trPr>
          <w:trHeight w:val="20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assumed conversion of dilutive convertible securities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1,642</w:t>
            </w: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 share of above adjustments on a dilutive basis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(38,363)</w:t>
            </w:r>
          </w:p>
        </w:tc>
        <w:tc>
          <w:tcPr>
            <w:tcW w:w="0" w:type="dxa"/>
            <w:vAlign w:val="bottom"/>
          </w:tcPr>
          <w:p>
            <w:pPr>
              <w:spacing w:after="0"/>
              <w:rPr>
                <w:sz w:val="1"/>
                <w:szCs w:val="1"/>
                <w:color w:val="auto"/>
              </w:rPr>
            </w:pPr>
          </w:p>
        </w:tc>
      </w:tr>
      <w:tr>
        <w:trPr>
          <w:trHeight w:val="221"/>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FFO attributable to common shareholders plus assumed conversions</w:t>
            </w: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470,021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503,792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Per diluted share</w:t>
            </w: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weighted average shares outstanding:</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76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190,539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191,005</w:t>
            </w:r>
          </w:p>
        </w:tc>
        <w:tc>
          <w:tcPr>
            <w:tcW w:w="0" w:type="dxa"/>
            <w:vAlign w:val="bottom"/>
          </w:tcPr>
          <w:p>
            <w:pPr>
              <w:spacing w:after="0"/>
              <w:rPr>
                <w:sz w:val="1"/>
                <w:szCs w:val="1"/>
                <w:color w:val="auto"/>
              </w:rPr>
            </w:pPr>
          </w:p>
        </w:tc>
      </w:tr>
      <w:tr>
        <w:trPr>
          <w:trHeight w:val="189"/>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Convertible securities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2,468</w:t>
            </w: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Share-based payment awards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851</w:t>
            </w:r>
          </w:p>
        </w:tc>
        <w:tc>
          <w:tcPr>
            <w:tcW w:w="0" w:type="dxa"/>
            <w:vAlign w:val="bottom"/>
          </w:tcPr>
          <w:p>
            <w:pPr>
              <w:spacing w:after="0"/>
              <w:rPr>
                <w:sz w:val="1"/>
                <w:szCs w:val="1"/>
                <w:color w:val="auto"/>
              </w:rPr>
            </w:pPr>
          </w:p>
        </w:tc>
      </w:tr>
      <w:tr>
        <w:trPr>
          <w:trHeight w:val="221"/>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 for FFO per diluted share</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198,182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194,324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6" w:name="page57"/>
    <w:bookmarkEnd w:id="56"/>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DISCLOSURES ABOUT MARKET RISK</w:t>
      </w:r>
    </w:p>
    <w:p>
      <w:pPr>
        <w:spacing w:after="0" w:line="68"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We have exposure to fluctuations in market interest rates. Market interest rates are sensitive to many factors that are beyond our control. Our exposure to a change in interest rates on our consolidated and non-consolidated debt (all of which arises out of non-trading activity) is as follows:</w:t>
      </w:r>
    </w:p>
    <w:p>
      <w:pPr>
        <w:spacing w:after="0" w:line="64" w:lineRule="exact"/>
        <w:rPr>
          <w:sz w:val="20"/>
          <w:szCs w:val="20"/>
          <w:color w:val="auto"/>
        </w:rPr>
      </w:pPr>
    </w:p>
    <w:tbl>
      <w:tblPr>
        <w:tblLayout w:type="fixed"/>
        <w:tblInd w:w="140" w:type="dxa"/>
        <w:tblCellMar>
          <w:top w:w="0" w:type="dxa"/>
          <w:left w:w="0" w:type="dxa"/>
          <w:bottom w:w="0" w:type="dxa"/>
          <w:right w:w="0" w:type="dxa"/>
        </w:tblCellMar>
      </w:tblPr>
      <w:tr>
        <w:trPr>
          <w:trHeight w:val="182"/>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share and unit amounts)</w:t>
            </w: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As of December 31, 2024</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5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56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5680" w:type="dxa"/>
            <w:vAlign w:val="bottom"/>
          </w:tcPr>
          <w:p>
            <w:pPr>
              <w:spacing w:after="0"/>
              <w:rPr>
                <w:sz w:val="13"/>
                <w:szCs w:val="13"/>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00" w:type="dxa"/>
            <w:vAlign w:val="bottom"/>
          </w:tcPr>
          <w:p>
            <w:pPr>
              <w:spacing w:after="0"/>
              <w:rPr>
                <w:sz w:val="13"/>
                <w:szCs w:val="13"/>
                <w:color w:val="auto"/>
              </w:rPr>
            </w:pPr>
          </w:p>
        </w:tc>
        <w:tc>
          <w:tcPr>
            <w:tcW w:w="1540" w:type="dxa"/>
            <w:vAlign w:val="bottom"/>
          </w:tcPr>
          <w:p>
            <w:pPr>
              <w:jc w:val="right"/>
              <w:ind w:right="50"/>
              <w:spacing w:after="0" w:line="151" w:lineRule="exact"/>
              <w:rPr>
                <w:sz w:val="20"/>
                <w:szCs w:val="20"/>
                <w:color w:val="auto"/>
              </w:rPr>
            </w:pPr>
            <w:r>
              <w:rPr>
                <w:rFonts w:ascii="Times New Roman" w:cs="Times New Roman" w:eastAsia="Times New Roman" w:hAnsi="Times New Roman"/>
                <w:sz w:val="14"/>
                <w:szCs w:val="14"/>
                <w:b w:val="1"/>
                <w:bCs w:val="1"/>
                <w:color w:val="auto"/>
                <w:w w:val="98"/>
              </w:rPr>
              <w:t>Effect of 1% Change In</w:t>
            </w:r>
          </w:p>
        </w:tc>
        <w:tc>
          <w:tcPr>
            <w:tcW w:w="0" w:type="dxa"/>
            <w:vAlign w:val="bottom"/>
          </w:tcPr>
          <w:p>
            <w:pPr>
              <w:spacing w:after="0"/>
              <w:rPr>
                <w:sz w:val="1"/>
                <w:szCs w:val="1"/>
                <w:color w:val="auto"/>
              </w:rPr>
            </w:pPr>
          </w:p>
        </w:tc>
      </w:tr>
      <w:tr>
        <w:trPr>
          <w:trHeight w:val="94"/>
        </w:trPr>
        <w:tc>
          <w:tcPr>
            <w:tcW w:w="56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Interest Rate</w:t>
            </w:r>
            <w:r>
              <w:rPr>
                <w:rFonts w:ascii="Times New Roman" w:cs="Times New Roman" w:eastAsia="Times New Roman" w:hAnsi="Times New Roman"/>
                <w:sz w:val="9"/>
                <w:szCs w:val="9"/>
                <w:b w:val="1"/>
                <w:bCs w:val="1"/>
                <w:color w:val="auto"/>
                <w:w w:val="99"/>
              </w:rPr>
              <w:t>(1)</w:t>
            </w:r>
          </w:p>
        </w:tc>
        <w:tc>
          <w:tcPr>
            <w:tcW w:w="100" w:type="dxa"/>
            <w:vAlign w:val="bottom"/>
          </w:tcPr>
          <w:p>
            <w:pPr>
              <w:spacing w:after="0"/>
              <w:rPr>
                <w:sz w:val="8"/>
                <w:szCs w:val="8"/>
                <w:color w:val="auto"/>
              </w:rPr>
            </w:pPr>
          </w:p>
        </w:tc>
        <w:tc>
          <w:tcPr>
            <w:tcW w:w="1540" w:type="dxa"/>
            <w:vAlign w:val="bottom"/>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Base Rates</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95"/>
        </w:trPr>
        <w:tc>
          <w:tcPr>
            <w:tcW w:w="5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debt:</w:t>
            </w:r>
          </w:p>
        </w:tc>
        <w:tc>
          <w:tcPr>
            <w:tcW w:w="7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shd w:val="clear" w:color="auto" w:fill="CCEEFF"/>
          </w:tcPr>
          <w:p>
            <w:pPr>
              <w:ind w:left="440"/>
              <w:spacing w:after="0" w:line="196" w:lineRule="exact"/>
              <w:rPr>
                <w:sz w:val="20"/>
                <w:szCs w:val="20"/>
                <w:color w:val="auto"/>
              </w:rPr>
            </w:pPr>
            <w:r>
              <w:rPr>
                <w:rFonts w:ascii="Times New Roman" w:cs="Times New Roman" w:eastAsia="Times New Roman" w:hAnsi="Times New Roman"/>
                <w:sz w:val="14"/>
                <w:szCs w:val="14"/>
                <w:color w:val="auto"/>
              </w:rPr>
              <w:t>Fixed rate</w:t>
            </w:r>
            <w:r>
              <w:rPr>
                <w:rFonts w:ascii="Times New Roman" w:cs="Times New Roman" w:eastAsia="Times New Roman" w:hAnsi="Times New Roman"/>
                <w:sz w:val="18"/>
                <w:szCs w:val="18"/>
                <w:b w:val="1"/>
                <w:bCs w:val="1"/>
                <w:color w:val="auto"/>
                <w:vertAlign w:val="superscript"/>
              </w:rPr>
              <w:t>(3)</w:t>
            </w: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7,066,400</w:t>
            </w:r>
          </w:p>
        </w:tc>
        <w:tc>
          <w:tcPr>
            <w:tcW w:w="17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4.28%</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680" w:type="dxa"/>
            <w:vAlign w:val="bottom"/>
            <w:tcBorders>
              <w:bottom w:val="single" w:sz="8" w:color="CCEEFF"/>
            </w:tcBorders>
          </w:tcPr>
          <w:p>
            <w:pPr>
              <w:ind w:left="440"/>
              <w:spacing w:after="0" w:line="196" w:lineRule="exact"/>
              <w:rPr>
                <w:sz w:val="20"/>
                <w:szCs w:val="20"/>
                <w:color w:val="auto"/>
              </w:rPr>
            </w:pPr>
            <w:r>
              <w:rPr>
                <w:rFonts w:ascii="Times New Roman" w:cs="Times New Roman" w:eastAsia="Times New Roman" w:hAnsi="Times New Roman"/>
                <w:sz w:val="14"/>
                <w:szCs w:val="14"/>
                <w:color w:val="auto"/>
              </w:rPr>
              <w:t>Variable rate</w:t>
            </w:r>
            <w:r>
              <w:rPr>
                <w:rFonts w:ascii="Times New Roman" w:cs="Times New Roman" w:eastAsia="Times New Roman" w:hAnsi="Times New Roman"/>
                <w:sz w:val="18"/>
                <w:szCs w:val="18"/>
                <w:b w:val="1"/>
                <w:bCs w:val="1"/>
                <w:color w:val="auto"/>
                <w:vertAlign w:val="superscript"/>
              </w:rPr>
              <w:t>(4)</w:t>
            </w:r>
          </w:p>
        </w:tc>
        <w:tc>
          <w:tcPr>
            <w:tcW w:w="7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1,215,776</w:t>
            </w:r>
          </w:p>
        </w:tc>
        <w:tc>
          <w:tcPr>
            <w:tcW w:w="1740" w:type="dxa"/>
            <w:vAlign w:val="bottom"/>
            <w:tcBorders>
              <w:bottom w:val="single" w:sz="8" w:color="CCEEFF"/>
            </w:tcBorders>
            <w:gridSpan w:val="2"/>
          </w:tcPr>
          <w:p>
            <w:pPr>
              <w:jc w:val="center"/>
              <w:ind w:right="430"/>
              <w:spacing w:after="0" w:line="196" w:lineRule="exact"/>
              <w:rPr>
                <w:sz w:val="20"/>
                <w:szCs w:val="20"/>
                <w:color w:val="auto"/>
              </w:rPr>
            </w:pPr>
            <w:r>
              <w:rPr>
                <w:rFonts w:ascii="Times New Roman" w:cs="Times New Roman" w:eastAsia="Times New Roman" w:hAnsi="Times New Roman"/>
                <w:sz w:val="14"/>
                <w:szCs w:val="14"/>
                <w:color w:val="auto"/>
              </w:rPr>
              <w:t>5.80%</w:t>
            </w:r>
            <w:r>
              <w:rPr>
                <w:rFonts w:ascii="Times New Roman" w:cs="Times New Roman" w:eastAsia="Times New Roman" w:hAnsi="Times New Roman"/>
                <w:sz w:val="18"/>
                <w:szCs w:val="18"/>
                <w:b w:val="1"/>
                <w:bCs w:val="1"/>
                <w:color w:val="auto"/>
                <w:vertAlign w:val="superscript"/>
              </w:rPr>
              <w:t>(5)</w:t>
            </w: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6,548</w:t>
            </w:r>
          </w:p>
        </w:tc>
        <w:tc>
          <w:tcPr>
            <w:tcW w:w="0" w:type="dxa"/>
            <w:vAlign w:val="bottom"/>
          </w:tcPr>
          <w:p>
            <w:pPr>
              <w:spacing w:after="0"/>
              <w:rPr>
                <w:sz w:val="1"/>
                <w:szCs w:val="1"/>
                <w:color w:val="auto"/>
              </w:rPr>
            </w:pPr>
          </w:p>
        </w:tc>
      </w:tr>
      <w:tr>
        <w:trPr>
          <w:trHeight w:val="255"/>
        </w:trPr>
        <w:tc>
          <w:tcPr>
            <w:tcW w:w="5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8,282,176</w:t>
            </w:r>
          </w:p>
        </w:tc>
        <w:tc>
          <w:tcPr>
            <w:tcW w:w="17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4.50%</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6,548</w:t>
            </w:r>
          </w:p>
        </w:tc>
        <w:tc>
          <w:tcPr>
            <w:tcW w:w="0" w:type="dxa"/>
            <w:vAlign w:val="bottom"/>
          </w:tcPr>
          <w:p>
            <w:pPr>
              <w:spacing w:after="0"/>
              <w:rPr>
                <w:sz w:val="1"/>
                <w:szCs w:val="1"/>
                <w:color w:val="auto"/>
              </w:rPr>
            </w:pPr>
          </w:p>
        </w:tc>
      </w:tr>
      <w:tr>
        <w:trPr>
          <w:trHeight w:val="136"/>
        </w:trPr>
        <w:tc>
          <w:tcPr>
            <w:tcW w:w="5680" w:type="dxa"/>
            <w:vAlign w:val="bottom"/>
            <w:tcBorders>
              <w:top w:val="single" w:sz="8" w:color="CCEEFF"/>
            </w:tcBorders>
          </w:tcPr>
          <w:p>
            <w:pPr>
              <w:ind w:left="20"/>
              <w:spacing w:after="0" w:line="136" w:lineRule="exact"/>
              <w:rPr>
                <w:sz w:val="20"/>
                <w:szCs w:val="20"/>
                <w:color w:val="auto"/>
              </w:rPr>
            </w:pPr>
            <w:r>
              <w:rPr>
                <w:rFonts w:ascii="Times New Roman" w:cs="Times New Roman" w:eastAsia="Times New Roman" w:hAnsi="Times New Roman"/>
                <w:sz w:val="14"/>
                <w:szCs w:val="14"/>
                <w:color w:val="auto"/>
              </w:rPr>
              <w:t>Pro rata share of debt of non-consolidated entities:</w:t>
            </w:r>
          </w:p>
        </w:tc>
        <w:tc>
          <w:tcPr>
            <w:tcW w:w="7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4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5680" w:type="dxa"/>
            <w:vAlign w:val="bottom"/>
            <w:shd w:val="clear" w:color="auto" w:fill="CCEEFF"/>
          </w:tcPr>
          <w:p>
            <w:pPr>
              <w:ind w:left="440"/>
              <w:spacing w:after="0" w:line="203" w:lineRule="exact"/>
              <w:rPr>
                <w:sz w:val="20"/>
                <w:szCs w:val="20"/>
                <w:color w:val="auto"/>
              </w:rPr>
            </w:pPr>
            <w:r>
              <w:rPr>
                <w:rFonts w:ascii="Times New Roman" w:cs="Times New Roman" w:eastAsia="Times New Roman" w:hAnsi="Times New Roman"/>
                <w:sz w:val="14"/>
                <w:szCs w:val="14"/>
                <w:color w:val="auto"/>
              </w:rPr>
              <w:t>Fixed rate</w:t>
            </w:r>
            <w:r>
              <w:rPr>
                <w:rFonts w:ascii="Times New Roman" w:cs="Times New Roman" w:eastAsia="Times New Roman" w:hAnsi="Times New Roman"/>
                <w:sz w:val="18"/>
                <w:szCs w:val="18"/>
                <w:b w:val="1"/>
                <w:bCs w:val="1"/>
                <w:color w:val="auto"/>
                <w:vertAlign w:val="superscript"/>
              </w:rPr>
              <w:t>(3)</w:t>
            </w: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2,033,525</w:t>
            </w:r>
          </w:p>
        </w:tc>
        <w:tc>
          <w:tcPr>
            <w:tcW w:w="17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4.85%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680" w:type="dxa"/>
            <w:vAlign w:val="bottom"/>
            <w:tcBorders>
              <w:bottom w:val="single" w:sz="8" w:color="CCEEFF"/>
            </w:tcBorders>
          </w:tcPr>
          <w:p>
            <w:pPr>
              <w:ind w:left="440"/>
              <w:spacing w:after="0" w:line="196" w:lineRule="exact"/>
              <w:rPr>
                <w:sz w:val="20"/>
                <w:szCs w:val="20"/>
                <w:color w:val="auto"/>
              </w:rPr>
            </w:pPr>
            <w:r>
              <w:rPr>
                <w:rFonts w:ascii="Times New Roman" w:cs="Times New Roman" w:eastAsia="Times New Roman" w:hAnsi="Times New Roman"/>
                <w:sz w:val="14"/>
                <w:szCs w:val="14"/>
                <w:color w:val="auto"/>
              </w:rPr>
              <w:t>Variable rate</w:t>
            </w:r>
            <w:r>
              <w:rPr>
                <w:rFonts w:ascii="Times New Roman" w:cs="Times New Roman" w:eastAsia="Times New Roman" w:hAnsi="Times New Roman"/>
                <w:sz w:val="18"/>
                <w:szCs w:val="18"/>
                <w:b w:val="1"/>
                <w:bCs w:val="1"/>
                <w:color w:val="auto"/>
                <w:vertAlign w:val="superscript"/>
              </w:rPr>
              <w:t>(6)</w:t>
            </w:r>
          </w:p>
        </w:tc>
        <w:tc>
          <w:tcPr>
            <w:tcW w:w="7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444,176</w:t>
            </w:r>
          </w:p>
        </w:tc>
        <w:tc>
          <w:tcPr>
            <w:tcW w:w="174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9"/>
              </w:rPr>
              <w:t>6.43%</w:t>
            </w: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0" w:type="dxa"/>
            <w:vAlign w:val="bottom"/>
          </w:tcPr>
          <w:p>
            <w:pPr>
              <w:spacing w:after="0"/>
              <w:rPr>
                <w:sz w:val="1"/>
                <w:szCs w:val="1"/>
                <w:color w:val="auto"/>
              </w:rPr>
            </w:pPr>
          </w:p>
        </w:tc>
      </w:tr>
      <w:tr>
        <w:trPr>
          <w:trHeight w:val="255"/>
        </w:trPr>
        <w:tc>
          <w:tcPr>
            <w:tcW w:w="5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2,477,701</w:t>
            </w:r>
          </w:p>
        </w:tc>
        <w:tc>
          <w:tcPr>
            <w:tcW w:w="17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5.13%</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0" w:type="dxa"/>
            <w:vAlign w:val="bottom"/>
          </w:tcPr>
          <w:p>
            <w:pPr>
              <w:spacing w:after="0"/>
              <w:rPr>
                <w:sz w:val="1"/>
                <w:szCs w:val="1"/>
                <w:color w:val="auto"/>
              </w:rPr>
            </w:pPr>
          </w:p>
        </w:tc>
      </w:tr>
      <w:tr>
        <w:trPr>
          <w:trHeight w:val="149"/>
        </w:trPr>
        <w:tc>
          <w:tcPr>
            <w:tcW w:w="5680" w:type="dxa"/>
            <w:vAlign w:val="bottom"/>
            <w:tcBorders>
              <w:top w:val="single" w:sz="8" w:color="CCEEFF"/>
              <w:bottom w:val="single" w:sz="8" w:color="CCEEFF"/>
            </w:tcBorders>
          </w:tcPr>
          <w:p>
            <w:pPr>
              <w:ind w:left="180"/>
              <w:spacing w:after="0" w:line="143" w:lineRule="exact"/>
              <w:rPr>
                <w:sz w:val="20"/>
                <w:szCs w:val="20"/>
                <w:color w:val="auto"/>
              </w:rPr>
            </w:pPr>
            <w:r>
              <w:rPr>
                <w:rFonts w:ascii="Times New Roman" w:cs="Times New Roman" w:eastAsia="Times New Roman" w:hAnsi="Times New Roman"/>
                <w:sz w:val="14"/>
                <w:szCs w:val="14"/>
                <w:color w:val="auto"/>
              </w:rPr>
              <w:t>Noncontrolling interests’ share of consolidated subsidiaries</w:t>
            </w:r>
          </w:p>
        </w:tc>
        <w:tc>
          <w:tcPr>
            <w:tcW w:w="76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640" w:type="dxa"/>
            <w:vAlign w:val="bottom"/>
            <w:tcBorders>
              <w:top w:val="single" w:sz="8" w:color="CCEEFF"/>
              <w:bottom w:val="single" w:sz="8" w:color="CCEEFF"/>
            </w:tcBorders>
          </w:tcPr>
          <w:p>
            <w:pPr>
              <w:spacing w:after="0"/>
              <w:rPr>
                <w:sz w:val="12"/>
                <w:szCs w:val="12"/>
                <w:color w:val="auto"/>
              </w:rPr>
            </w:pPr>
          </w:p>
        </w:tc>
        <w:tc>
          <w:tcPr>
            <w:tcW w:w="28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(3,971)</w:t>
            </w:r>
          </w:p>
        </w:tc>
        <w:tc>
          <w:tcPr>
            <w:tcW w:w="0" w:type="dxa"/>
            <w:vAlign w:val="bottom"/>
          </w:tcPr>
          <w:p>
            <w:pPr>
              <w:spacing w:after="0"/>
              <w:rPr>
                <w:sz w:val="1"/>
                <w:szCs w:val="1"/>
                <w:color w:val="auto"/>
              </w:rPr>
            </w:pPr>
          </w:p>
        </w:tc>
      </w:tr>
      <w:tr>
        <w:trPr>
          <w:trHeight w:val="19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change in annual net income attributable to the Operating Partnership</w:t>
            </w:r>
          </w:p>
        </w:tc>
        <w:tc>
          <w:tcPr>
            <w:tcW w:w="7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4,589</w:t>
            </w:r>
          </w:p>
        </w:tc>
        <w:tc>
          <w:tcPr>
            <w:tcW w:w="0" w:type="dxa"/>
            <w:vAlign w:val="bottom"/>
          </w:tcPr>
          <w:p>
            <w:pPr>
              <w:spacing w:after="0"/>
              <w:rPr>
                <w:sz w:val="1"/>
                <w:szCs w:val="1"/>
                <w:color w:val="auto"/>
              </w:rPr>
            </w:pPr>
          </w:p>
        </w:tc>
      </w:tr>
      <w:tr>
        <w:trPr>
          <w:trHeight w:val="190"/>
        </w:trPr>
        <w:tc>
          <w:tcPr>
            <w:tcW w:w="5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Noncontrolling interests’ share of the Operating Partnership</w:t>
            </w:r>
          </w:p>
        </w:tc>
        <w:tc>
          <w:tcPr>
            <w:tcW w:w="76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221"/>
        </w:trPr>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change in annual net income attributable to Vornado</w:t>
            </w:r>
          </w:p>
        </w:tc>
        <w:tc>
          <w:tcPr>
            <w:tcW w:w="7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4,213</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180"/>
              <w:spacing w:after="0" w:line="118" w:lineRule="exact"/>
              <w:rPr>
                <w:sz w:val="20"/>
                <w:szCs w:val="20"/>
                <w:color w:val="auto"/>
              </w:rPr>
            </w:pPr>
            <w:r>
              <w:rPr>
                <w:rFonts w:ascii="Times New Roman" w:cs="Times New Roman" w:eastAsia="Times New Roman" w:hAnsi="Times New Roman"/>
                <w:sz w:val="13"/>
                <w:szCs w:val="13"/>
                <w:color w:val="auto"/>
              </w:rPr>
              <w:t>Total change in annual net income attributable to the</w:t>
            </w:r>
          </w:p>
        </w:tc>
        <w:tc>
          <w:tcPr>
            <w:tcW w:w="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5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75"/>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Partnership per diluted Class A unit</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5680" w:type="dxa"/>
            <w:vAlign w:val="bottom"/>
            <w:shd w:val="clear" w:color="auto" w:fill="CCEEFF"/>
          </w:tcPr>
          <w:p>
            <w:pPr>
              <w:ind w:left="180"/>
              <w:spacing w:after="0" w:line="97" w:lineRule="exact"/>
              <w:rPr>
                <w:sz w:val="20"/>
                <w:szCs w:val="20"/>
                <w:color w:val="auto"/>
              </w:rPr>
            </w:pPr>
            <w:r>
              <w:rPr>
                <w:rFonts w:ascii="Times New Roman" w:cs="Times New Roman" w:eastAsia="Times New Roman" w:hAnsi="Times New Roman"/>
                <w:sz w:val="10"/>
                <w:szCs w:val="10"/>
                <w:color w:val="auto"/>
              </w:rPr>
              <w:t>Total change in annual net income attributable to Vornado</w:t>
            </w:r>
          </w:p>
        </w:tc>
        <w:tc>
          <w:tcPr>
            <w:tcW w:w="7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90"/>
        </w:trPr>
        <w:tc>
          <w:tcPr>
            <w:tcW w:w="5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per diluted common share</w:t>
            </w:r>
          </w:p>
        </w:tc>
        <w:tc>
          <w:tcPr>
            <w:tcW w:w="7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5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w:t>
      </w:r>
    </w:p>
    <w:p>
      <w:pPr>
        <w:spacing w:after="0" w:line="22" w:lineRule="exact"/>
        <w:rPr>
          <w:sz w:val="20"/>
          <w:szCs w:val="20"/>
          <w:color w:val="auto"/>
        </w:rPr>
      </w:pPr>
    </w:p>
    <w:p>
      <w:pPr>
        <w:ind w:left="320" w:hanging="315"/>
        <w:spacing w:after="0"/>
        <w:tabs>
          <w:tab w:leader="none" w:pos="320" w:val="left"/>
        </w:tabs>
        <w:numPr>
          <w:ilvl w:val="0"/>
          <w:numId w:val="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Represents the interest rate in effect as of period end based on the appropriate reference rate as of the contractual reset date plus contractual spread, adjusted for hedging instruments, as applicable.</w:t>
      </w:r>
    </w:p>
    <w:p>
      <w:pPr>
        <w:spacing w:after="0" w:line="30" w:lineRule="exact"/>
        <w:rPr>
          <w:rFonts w:ascii="Times New Roman" w:cs="Times New Roman" w:eastAsia="Times New Roman" w:hAnsi="Times New Roman"/>
          <w:sz w:val="13"/>
          <w:szCs w:val="13"/>
          <w:b w:val="1"/>
          <w:bCs w:val="1"/>
          <w:color w:val="auto"/>
        </w:rPr>
      </w:pPr>
    </w:p>
    <w:p>
      <w:pPr>
        <w:ind w:left="320" w:hanging="315"/>
        <w:spacing w:after="0"/>
        <w:tabs>
          <w:tab w:leader="none" w:pos="320"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impact of the interest rate cap arrangements discussed on the following page is reflected in our calculation of the effect of 1% change in base rates.</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line="246" w:lineRule="auto"/>
        <w:tabs>
          <w:tab w:leader="none" w:pos="312"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debt with interest rates fixed by interest rate swap arrangements and the $950,000 1290 Avenue of the Americas mortgage loan which is subject to a 1.00% SOFR interest rate cap arrangement.</w:t>
      </w:r>
    </w:p>
    <w:p>
      <w:pPr>
        <w:spacing w:after="0" w:line="1" w:lineRule="exact"/>
        <w:rPr>
          <w:rFonts w:ascii="Times New Roman" w:cs="Times New Roman" w:eastAsia="Times New Roman" w:hAnsi="Times New Roman"/>
          <w:sz w:val="14"/>
          <w:szCs w:val="14"/>
          <w:b w:val="1"/>
          <w:bCs w:val="1"/>
          <w:color w:val="auto"/>
        </w:rPr>
      </w:pPr>
    </w:p>
    <w:p>
      <w:pPr>
        <w:ind w:left="320" w:hanging="315"/>
        <w:spacing w:after="0" w:line="250" w:lineRule="auto"/>
        <w:tabs>
          <w:tab w:leader="none" w:pos="312"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debt subject to interest rate cap arrangements with a total notional amount of $960,000, of which $360,000 is attributable to noncontrolling interests. The interest rate cap arrangements have a weighted average strike rate of 4.79% and a weighted average remaining term of four months.</w:t>
      </w:r>
    </w:p>
    <w:p>
      <w:pPr>
        <w:spacing w:after="0" w:line="1"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Excludes additional 3.00% default interest on the 606 Broadway mortgage loan.</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line="267" w:lineRule="auto"/>
        <w:tabs>
          <w:tab w:leader="none" w:pos="312"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debt subject to interest rate cap arrangements with a total notional amount of $244,272 at our pro rata share. The interest rate cap arrangements have a weighted average strike rate of 4.16% and a weighted average remaining term of nine months.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Debt</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estimated fair value of our consolidated debt is calculated based on current market prices and discounted cash flows at the current rate at which similar loans would be made to borrowers with similar credit ratings for the remaining term of such debt. As of December 31, 2024, the estimated fair value of our consolidated debt was $7,990,000,000.</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7" w:name="page58"/>
    <w:bookmarkEnd w:id="57"/>
    <w:p>
      <w:pPr>
        <w:ind w:right="3240"/>
        <w:spacing w:after="0" w:line="322" w:lineRule="auto"/>
        <w:rPr>
          <w:sz w:val="20"/>
          <w:szCs w:val="20"/>
          <w:color w:val="auto"/>
        </w:rPr>
      </w:pPr>
      <w:r>
        <w:rPr>
          <w:rFonts w:ascii="Times New Roman" w:cs="Times New Roman" w:eastAsia="Times New Roman" w:hAnsi="Times New Roman"/>
          <w:sz w:val="17"/>
          <w:szCs w:val="17"/>
          <w:b w:val="1"/>
          <w:bCs w:val="1"/>
          <w:color w:val="auto"/>
        </w:rPr>
        <w:t xml:space="preserve">ITEM 7A. QUANTITATIVE AND QUALITATIVE DISCLOSURES ABOUT MARKET RISK - continued </w:t>
      </w:r>
      <w:r>
        <w:rPr>
          <w:rFonts w:ascii="Times New Roman" w:cs="Times New Roman" w:eastAsia="Times New Roman" w:hAnsi="Times New Roman"/>
          <w:sz w:val="17"/>
          <w:szCs w:val="17"/>
          <w:i w:val="1"/>
          <w:iCs w:val="1"/>
          <w:color w:val="auto"/>
        </w:rPr>
        <w:t>Derivatives and Hedging</w:t>
      </w:r>
    </w:p>
    <w:p>
      <w:pPr>
        <w:spacing w:after="0" w:line="1" w:lineRule="exact"/>
        <w:rPr>
          <w:sz w:val="20"/>
          <w:szCs w:val="20"/>
          <w:color w:val="auto"/>
        </w:rPr>
      </w:pPr>
    </w:p>
    <w:p>
      <w:pPr>
        <w:ind w:right="100" w:firstLine="314"/>
        <w:spacing w:after="0" w:line="268" w:lineRule="auto"/>
        <w:rPr>
          <w:sz w:val="20"/>
          <w:szCs w:val="20"/>
          <w:color w:val="auto"/>
        </w:rPr>
      </w:pPr>
      <w:r>
        <w:rPr>
          <w:rFonts w:ascii="Times New Roman" w:cs="Times New Roman" w:eastAsia="Times New Roman" w:hAnsi="Times New Roman"/>
          <w:sz w:val="17"/>
          <w:szCs w:val="17"/>
          <w:color w:val="auto"/>
        </w:rPr>
        <w:t>We utilize various financial instruments to mitigate the impact of interest rate fluctuations on our cash flows and earnings, including hedging strategies, depending on our analysis of the interest rate environment and the costs and risks of such strategies. The following table summarizes our consolidated hedging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instruments,</w:t>
            </w: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of</w:t>
            </w: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which</w:t>
            </w:r>
          </w:p>
        </w:tc>
        <w:tc>
          <w:tcPr>
            <w:tcW w:w="9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hedge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variable</w:t>
            </w: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auto"/>
              </w:rPr>
              <w:t>rate</w:t>
            </w: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debt,</w:t>
            </w:r>
          </w:p>
        </w:tc>
        <w:tc>
          <w:tcPr>
            <w:tcW w:w="520" w:type="dxa"/>
            <w:vAlign w:val="bottom"/>
          </w:tcPr>
          <w:p>
            <w:pPr>
              <w:jc w:val="right"/>
              <w:ind w:right="84"/>
              <w:spacing w:after="0"/>
              <w:rPr>
                <w:sz w:val="20"/>
                <w:szCs w:val="20"/>
                <w:color w:val="auto"/>
              </w:rPr>
            </w:pPr>
            <w:r>
              <w:rPr>
                <w:rFonts w:ascii="Times New Roman" w:cs="Times New Roman" w:eastAsia="Times New Roman" w:hAnsi="Times New Roman"/>
                <w:sz w:val="17"/>
                <w:szCs w:val="17"/>
                <w:color w:val="auto"/>
              </w:rPr>
              <w:t>as</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of</w:t>
            </w:r>
          </w:p>
        </w:tc>
        <w:tc>
          <w:tcPr>
            <w:tcW w:w="1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December</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7"/>
                <w:szCs w:val="17"/>
                <w:color w:val="auto"/>
              </w:rPr>
              <w:t>31,</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182"/>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(Amounts in thousands)</w:t>
            </w: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Debt Balance</w:t>
            </w:r>
          </w:p>
        </w:tc>
        <w:tc>
          <w:tcPr>
            <w:tcW w:w="10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14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4"/>
                <w:szCs w:val="14"/>
                <w:b w:val="1"/>
                <w:bCs w:val="1"/>
                <w:color w:val="auto"/>
              </w:rPr>
              <w:t>Variable Rate</w:t>
            </w:r>
          </w:p>
        </w:tc>
        <w:tc>
          <w:tcPr>
            <w:tcW w:w="118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80" w:type="dxa"/>
            <w:vAlign w:val="bottom"/>
            <w:vMerge w:val="restart"/>
          </w:tcPr>
          <w:p>
            <w:pPr>
              <w:spacing w:after="0"/>
              <w:rPr>
                <w:sz w:val="13"/>
                <w:szCs w:val="13"/>
                <w:color w:val="auto"/>
              </w:rPr>
            </w:pPr>
          </w:p>
        </w:tc>
        <w:tc>
          <w:tcPr>
            <w:tcW w:w="118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8"/>
              </w:rPr>
              <w:t>All-In Swapped</w:t>
            </w:r>
          </w:p>
        </w:tc>
        <w:tc>
          <w:tcPr>
            <w:tcW w:w="180" w:type="dxa"/>
            <w:vAlign w:val="bottom"/>
          </w:tcPr>
          <w:p>
            <w:pPr>
              <w:spacing w:after="0"/>
              <w:rPr>
                <w:sz w:val="13"/>
                <w:szCs w:val="13"/>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00" w:type="dxa"/>
            <w:vAlign w:val="bottom"/>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80" w:type="dxa"/>
            <w:vAlign w:val="bottom"/>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38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color w:val="auto"/>
              </w:rPr>
              <w:t>Interest rate swaps:</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xml:space="preserve">840,000 </w:t>
            </w:r>
            <w:r>
              <w:rPr>
                <w:rFonts w:ascii="Times New Roman" w:cs="Times New Roman" w:eastAsia="Times New Roman" w:hAnsi="Times New Roman"/>
                <w:sz w:val="18"/>
                <w:szCs w:val="18"/>
                <w:b w:val="1"/>
                <w:bCs w:val="1"/>
                <w:color w:val="auto"/>
                <w:vertAlign w:val="superscript"/>
              </w:rPr>
              <w:t>(1)</w:t>
            </w: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5"/>
              </w:rPr>
              <w:t>555</w:t>
            </w:r>
          </w:p>
        </w:tc>
        <w:tc>
          <w:tcPr>
            <w:tcW w:w="24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California Street mortgage loan</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1,200,000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S+205</w:t>
            </w:r>
          </w:p>
        </w:tc>
        <w:tc>
          <w:tcPr>
            <w:tcW w:w="520" w:type="dxa"/>
            <w:vAlign w:val="bottom"/>
          </w:tcPr>
          <w:p>
            <w:pPr>
              <w:jc w:val="right"/>
              <w:ind w:right="364"/>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continue"/>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05/26</w:t>
            </w:r>
          </w:p>
        </w:tc>
        <w:tc>
          <w:tcPr>
            <w:tcW w:w="0" w:type="dxa"/>
            <w:vAlign w:val="bottom"/>
          </w:tcPr>
          <w:p>
            <w:pPr>
              <w:spacing w:after="0"/>
              <w:rPr>
                <w:sz w:val="1"/>
                <w:szCs w:val="1"/>
                <w:color w:val="auto"/>
              </w:rPr>
            </w:pPr>
          </w:p>
        </w:tc>
      </w:tr>
      <w:tr>
        <w:trPr>
          <w:trHeight w:val="189"/>
        </w:trPr>
        <w:tc>
          <w:tcPr>
            <w:tcW w:w="3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5"/>
              </w:rPr>
              <w:t>770</w:t>
            </w: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Broadway mortgage loan</w:t>
            </w: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S+225</w:t>
            </w:r>
          </w:p>
        </w:tc>
        <w:tc>
          <w:tcPr>
            <w:tcW w:w="5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2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4.98%</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07/27</w:t>
            </w:r>
          </w:p>
        </w:tc>
        <w:tc>
          <w:tcPr>
            <w:tcW w:w="0" w:type="dxa"/>
            <w:vAlign w:val="bottom"/>
          </w:tcPr>
          <w:p>
            <w:pPr>
              <w:spacing w:after="0"/>
              <w:rPr>
                <w:sz w:val="1"/>
                <w:szCs w:val="1"/>
                <w:color w:val="auto"/>
              </w:rPr>
            </w:pPr>
          </w:p>
        </w:tc>
      </w:tr>
      <w:tr>
        <w:trPr>
          <w:trHeight w:val="204"/>
        </w:trPr>
        <w:tc>
          <w:tcPr>
            <w:tcW w:w="2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PENN 11 mortgage loan</w:t>
            </w: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8"/>
              </w:rPr>
              <w:t>S+206</w:t>
            </w: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6.28%</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r>
        <w:trPr>
          <w:trHeight w:val="189"/>
        </w:trPr>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Unsecured revolving credit facility</w:t>
            </w: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S+115</w:t>
            </w:r>
          </w:p>
        </w:tc>
        <w:tc>
          <w:tcPr>
            <w:tcW w:w="5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2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3.88%</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08/27</w:t>
            </w:r>
          </w:p>
        </w:tc>
        <w:tc>
          <w:tcPr>
            <w:tcW w:w="0" w:type="dxa"/>
            <w:vAlign w:val="bottom"/>
          </w:tcPr>
          <w:p>
            <w:pPr>
              <w:spacing w:after="0"/>
              <w:rPr>
                <w:sz w:val="1"/>
                <w:szCs w:val="1"/>
                <w:color w:val="auto"/>
              </w:rPr>
            </w:pPr>
          </w:p>
        </w:tc>
      </w:tr>
      <w:tr>
        <w:trPr>
          <w:trHeight w:val="204"/>
        </w:trPr>
        <w:tc>
          <w:tcPr>
            <w:tcW w:w="1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Unsecured term loan:</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8"/>
              </w:rPr>
              <w:t>S+130</w:t>
            </w: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In-place swap through 7/25</w:t>
            </w: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2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4.53%</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07/25</w:t>
            </w:r>
          </w:p>
        </w:tc>
        <w:tc>
          <w:tcPr>
            <w:tcW w:w="0" w:type="dxa"/>
            <w:vAlign w:val="bottom"/>
          </w:tcPr>
          <w:p>
            <w:pPr>
              <w:spacing w:after="0"/>
              <w:rPr>
                <w:sz w:val="1"/>
                <w:szCs w:val="1"/>
                <w:color w:val="auto"/>
              </w:rPr>
            </w:pPr>
          </w:p>
        </w:tc>
      </w:tr>
      <w:tr>
        <w:trPr>
          <w:trHeight w:val="204"/>
        </w:trPr>
        <w:tc>
          <w:tcPr>
            <w:tcW w:w="34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In-place swap through 10/26</w:t>
            </w: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4.36%</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rPr>
              <w:t>10/26</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In-place swap through 8/27</w:t>
            </w: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4.04%</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08/27</w:t>
            </w:r>
          </w:p>
        </w:tc>
        <w:tc>
          <w:tcPr>
            <w:tcW w:w="0" w:type="dxa"/>
            <w:vAlign w:val="bottom"/>
          </w:tcPr>
          <w:p>
            <w:pPr>
              <w:spacing w:after="0"/>
              <w:rPr>
                <w:sz w:val="1"/>
                <w:szCs w:val="1"/>
                <w:color w:val="auto"/>
              </w:rPr>
            </w:pPr>
          </w:p>
        </w:tc>
      </w:tr>
      <w:tr>
        <w:trPr>
          <w:trHeight w:val="204"/>
        </w:trPr>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100</w:t>
            </w:r>
          </w:p>
        </w:tc>
        <w:tc>
          <w:tcPr>
            <w:tcW w:w="24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West 33rd Street mortgage loan</w:t>
            </w:r>
          </w:p>
        </w:tc>
        <w:tc>
          <w:tcPr>
            <w:tcW w:w="7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8"/>
              </w:rPr>
              <w:t>S+185</w:t>
            </w: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480,000</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5.26%</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rPr>
              <w:t>06/27</w:t>
            </w:r>
          </w:p>
        </w:tc>
        <w:tc>
          <w:tcPr>
            <w:tcW w:w="0" w:type="dxa"/>
            <w:vAlign w:val="bottom"/>
          </w:tcPr>
          <w:p>
            <w:pPr>
              <w:spacing w:after="0"/>
              <w:rPr>
                <w:sz w:val="1"/>
                <w:szCs w:val="1"/>
                <w:color w:val="auto"/>
              </w:rPr>
            </w:pPr>
          </w:p>
        </w:tc>
      </w:tr>
      <w:tr>
        <w:trPr>
          <w:trHeight w:val="189"/>
        </w:trPr>
        <w:tc>
          <w:tcPr>
            <w:tcW w:w="3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5"/>
              </w:rPr>
              <w:t>888</w:t>
            </w:r>
          </w:p>
        </w:tc>
        <w:tc>
          <w:tcPr>
            <w:tcW w:w="24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Seventh Avenue mortgage loan</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S+180</w:t>
            </w:r>
          </w:p>
        </w:tc>
        <w:tc>
          <w:tcPr>
            <w:tcW w:w="5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2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4.76%</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09/27</w:t>
            </w:r>
          </w:p>
        </w:tc>
        <w:tc>
          <w:tcPr>
            <w:tcW w:w="0" w:type="dxa"/>
            <w:vAlign w:val="bottom"/>
          </w:tcPr>
          <w:p>
            <w:pPr>
              <w:spacing w:after="0"/>
              <w:rPr>
                <w:sz w:val="1"/>
                <w:szCs w:val="1"/>
                <w:color w:val="auto"/>
              </w:rPr>
            </w:pPr>
          </w:p>
        </w:tc>
      </w:tr>
      <w:tr>
        <w:trPr>
          <w:trHeight w:val="204"/>
        </w:trPr>
        <w:tc>
          <w:tcPr>
            <w:tcW w:w="27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4 Union Square South mortgage loan</w:t>
            </w:r>
          </w:p>
        </w:tc>
        <w:tc>
          <w:tcPr>
            <w:tcW w:w="7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8"/>
              </w:rPr>
              <w:t>S+150</w:t>
            </w: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96,400</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3.74%</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rPr>
              <w:t>01/25</w:t>
            </w:r>
          </w:p>
        </w:tc>
        <w:tc>
          <w:tcPr>
            <w:tcW w:w="0" w:type="dxa"/>
            <w:vAlign w:val="bottom"/>
          </w:tcPr>
          <w:p>
            <w:pPr>
              <w:spacing w:after="0"/>
              <w:rPr>
                <w:sz w:val="1"/>
                <w:szCs w:val="1"/>
                <w:color w:val="auto"/>
              </w:rPr>
            </w:pPr>
          </w:p>
        </w:tc>
      </w:tr>
      <w:tr>
        <w:trPr>
          <w:trHeight w:val="182"/>
        </w:trPr>
        <w:tc>
          <w:tcPr>
            <w:tcW w:w="3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5"/>
              </w:rPr>
              <w:t>435</w:t>
            </w:r>
          </w:p>
        </w:tc>
        <w:tc>
          <w:tcPr>
            <w:tcW w:w="24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Seventh Avenue mortgage loan</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S+210</w:t>
            </w:r>
          </w:p>
        </w:tc>
        <w:tc>
          <w:tcPr>
            <w:tcW w:w="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6.96%</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04/26</w:t>
            </w:r>
          </w:p>
        </w:tc>
        <w:tc>
          <w:tcPr>
            <w:tcW w:w="0" w:type="dxa"/>
            <w:vAlign w:val="bottom"/>
          </w:tcPr>
          <w:p>
            <w:pPr>
              <w:spacing w:after="0"/>
              <w:rPr>
                <w:sz w:val="1"/>
                <w:szCs w:val="1"/>
                <w:color w:val="auto"/>
              </w:rPr>
            </w:pPr>
          </w:p>
        </w:tc>
      </w:tr>
      <w:tr>
        <w:trPr>
          <w:trHeight w:val="292"/>
        </w:trPr>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Index Strike Rate</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Interest rate caps:</w:t>
            </w: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38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760" w:type="dxa"/>
            <w:vAlign w:val="bottom"/>
            <w:gridSpan w:val="4"/>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gridSpan w:val="4"/>
            <w:shd w:val="clear" w:color="auto" w:fill="CCEEFF"/>
          </w:tcPr>
          <w:p>
            <w:pPr>
              <w:ind w:left="120"/>
              <w:spacing w:after="0" w:line="196" w:lineRule="exact"/>
              <w:rPr>
                <w:sz w:val="20"/>
                <w:szCs w:val="20"/>
                <w:color w:val="auto"/>
              </w:rPr>
            </w:pPr>
            <w:r>
              <w:rPr>
                <w:rFonts w:ascii="Times New Roman" w:cs="Times New Roman" w:eastAsia="Times New Roman" w:hAnsi="Times New Roman"/>
                <w:sz w:val="14"/>
                <w:szCs w:val="14"/>
                <w:color w:val="auto"/>
                <w:w w:val="98"/>
              </w:rPr>
              <w:t>1290 Avenue of the Americas mortgage loan</w:t>
            </w:r>
            <w:r>
              <w:rPr>
                <w:rFonts w:ascii="Times New Roman" w:cs="Times New Roman" w:eastAsia="Times New Roman" w:hAnsi="Times New Roman"/>
                <w:sz w:val="18"/>
                <w:szCs w:val="18"/>
                <w:b w:val="1"/>
                <w:bCs w:val="1"/>
                <w:color w:val="auto"/>
                <w:w w:val="98"/>
                <w:vertAlign w:val="superscript"/>
              </w:rPr>
              <w:t>(2)</w:t>
            </w:r>
          </w:p>
        </w:tc>
        <w:tc>
          <w:tcPr>
            <w:tcW w:w="7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8"/>
              </w:rPr>
              <w:t>S+162</w:t>
            </w: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950,000</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1.00%</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rPr>
              <w:t>11/25</w:t>
            </w:r>
          </w:p>
        </w:tc>
        <w:tc>
          <w:tcPr>
            <w:tcW w:w="0" w:type="dxa"/>
            <w:vAlign w:val="bottom"/>
          </w:tcPr>
          <w:p>
            <w:pPr>
              <w:spacing w:after="0"/>
              <w:rPr>
                <w:sz w:val="1"/>
                <w:szCs w:val="1"/>
                <w:color w:val="auto"/>
              </w:rPr>
            </w:pPr>
          </w:p>
        </w:tc>
      </w:tr>
      <w:tr>
        <w:trPr>
          <w:trHeight w:val="189"/>
        </w:trPr>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One Park Avenue mortgage loan</w:t>
            </w: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S+122</w:t>
            </w:r>
          </w:p>
        </w:tc>
        <w:tc>
          <w:tcPr>
            <w:tcW w:w="5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525,000</w:t>
            </w:r>
          </w:p>
        </w:tc>
        <w:tc>
          <w:tcPr>
            <w:tcW w:w="2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3.89%</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03/25</w:t>
            </w:r>
          </w:p>
        </w:tc>
        <w:tc>
          <w:tcPr>
            <w:tcW w:w="0" w:type="dxa"/>
            <w:vAlign w:val="bottom"/>
          </w:tcPr>
          <w:p>
            <w:pPr>
              <w:spacing w:after="0"/>
              <w:rPr>
                <w:sz w:val="1"/>
                <w:szCs w:val="1"/>
                <w:color w:val="auto"/>
              </w:rPr>
            </w:pPr>
          </w:p>
        </w:tc>
      </w:tr>
      <w:tr>
        <w:trPr>
          <w:trHeight w:val="204"/>
        </w:trPr>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150</w:t>
            </w:r>
          </w:p>
        </w:tc>
        <w:tc>
          <w:tcPr>
            <w:tcW w:w="24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West 34th Street mortgage loan</w:t>
            </w:r>
          </w:p>
        </w:tc>
        <w:tc>
          <w:tcPr>
            <w:tcW w:w="7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8"/>
              </w:rPr>
              <w:t>S+215</w:t>
            </w: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rPr>
              <w:t>02/26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-2186940</wp:posOffset>
            </wp:positionV>
            <wp:extent cx="7136130" cy="1244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12446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w:t>
      </w:r>
    </w:p>
    <w:p>
      <w:pPr>
        <w:spacing w:after="0" w:line="46" w:lineRule="exact"/>
        <w:rPr>
          <w:sz w:val="20"/>
          <w:szCs w:val="20"/>
          <w:color w:val="auto"/>
        </w:rPr>
      </w:pPr>
    </w:p>
    <w:p>
      <w:pPr>
        <w:ind w:left="320" w:hanging="315"/>
        <w:spacing w:after="0"/>
        <w:tabs>
          <w:tab w:leader="none" w:pos="320"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our 70.0% share of the $1.2 billion mortgage loan.</w:t>
      </w:r>
    </w:p>
    <w:p>
      <w:pPr>
        <w:spacing w:after="0" w:line="21"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connection with the arrangement, we made a $63,100 up-front payment in 2023, of which $18,930 was attributable to noncontrolling interests.</w:t>
      </w:r>
    </w:p>
    <w:p>
      <w:pPr>
        <w:spacing w:after="0" w:line="211" w:lineRule="exact"/>
        <w:rPr>
          <w:sz w:val="20"/>
          <w:szCs w:val="20"/>
          <w:color w:val="auto"/>
        </w:rPr>
      </w:pPr>
    </w:p>
    <w:p>
      <w:pPr>
        <w:ind w:right="100" w:firstLine="314"/>
        <w:spacing w:after="0" w:line="296" w:lineRule="auto"/>
        <w:rPr>
          <w:sz w:val="20"/>
          <w:szCs w:val="20"/>
          <w:color w:val="auto"/>
        </w:rPr>
      </w:pPr>
      <w:r>
        <w:rPr>
          <w:rFonts w:ascii="Times New Roman" w:cs="Times New Roman" w:eastAsia="Times New Roman" w:hAnsi="Times New Roman"/>
          <w:sz w:val="17"/>
          <w:szCs w:val="17"/>
          <w:color w:val="auto"/>
        </w:rPr>
        <w:t>The following table summarizes our hedging instruments of our unconsolidated subsidiaries (shown at our pro rata ownership interest) as of December 31, 2024.</w:t>
      </w:r>
    </w:p>
    <w:p>
      <w:pPr>
        <w:spacing w:after="0" w:line="25"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(Amounts in thousands and at share)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Debt Balance</w:t>
            </w:r>
          </w:p>
        </w:tc>
        <w:tc>
          <w:tcPr>
            <w:tcW w:w="128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4"/>
                <w:szCs w:val="14"/>
                <w:b w:val="1"/>
                <w:bCs w:val="1"/>
                <w:color w:val="auto"/>
                <w:w w:val="98"/>
              </w:rPr>
              <w:t>Variable Rate</w:t>
            </w: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36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4"/>
                <w:szCs w:val="14"/>
                <w:b w:val="1"/>
                <w:bCs w:val="1"/>
                <w:color w:val="auto"/>
              </w:rPr>
              <w:t>All-In Swapped</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Expiration Da</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Spread</w:t>
            </w:r>
          </w:p>
        </w:tc>
        <w:tc>
          <w:tcPr>
            <w:tcW w:w="1460" w:type="dxa"/>
            <w:vAlign w:val="bottom"/>
            <w:gridSpan w:val="3"/>
            <w:vMerge w:val="continue"/>
          </w:tcPr>
          <w:p>
            <w:pPr>
              <w:spacing w:after="0"/>
              <w:rPr>
                <w:sz w:val="16"/>
                <w:szCs w:val="16"/>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7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Park Avenue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537,500</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S+178</w:t>
            </w: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537,500</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5.84%</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09/28</w:t>
            </w:r>
          </w:p>
        </w:tc>
        <w:tc>
          <w:tcPr>
            <w:tcW w:w="0" w:type="dxa"/>
            <w:vAlign w:val="bottom"/>
          </w:tcPr>
          <w:p>
            <w:pPr>
              <w:spacing w:after="0"/>
              <w:rPr>
                <w:sz w:val="1"/>
                <w:szCs w:val="1"/>
                <w:color w:val="auto"/>
              </w:rPr>
            </w:pPr>
          </w:p>
        </w:tc>
      </w:tr>
      <w:tr>
        <w:trPr>
          <w:trHeight w:val="182"/>
        </w:trPr>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Lexington Avenue retail condominium</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97,200</w:t>
            </w:r>
          </w:p>
        </w:tc>
        <w:tc>
          <w:tcPr>
            <w:tcW w:w="80" w:type="dxa"/>
            <w:vAlign w:val="bottom"/>
          </w:tcPr>
          <w:p>
            <w:pPr>
              <w:spacing w:after="0"/>
              <w:rPr>
                <w:sz w:val="15"/>
                <w:szCs w:val="15"/>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S+151</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97,200</w:t>
            </w:r>
          </w:p>
        </w:tc>
        <w:tc>
          <w:tcPr>
            <w:tcW w:w="2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1.76%</w:t>
            </w:r>
          </w:p>
        </w:tc>
        <w:tc>
          <w:tcPr>
            <w:tcW w:w="180" w:type="dxa"/>
            <w:vAlign w:val="bottom"/>
          </w:tcPr>
          <w:p>
            <w:pPr>
              <w:spacing w:after="0"/>
              <w:rPr>
                <w:sz w:val="15"/>
                <w:szCs w:val="15"/>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05/25</w:t>
            </w:r>
          </w:p>
        </w:tc>
        <w:tc>
          <w:tcPr>
            <w:tcW w:w="0" w:type="dxa"/>
            <w:vAlign w:val="bottom"/>
          </w:tcPr>
          <w:p>
            <w:pPr>
              <w:spacing w:after="0"/>
              <w:rPr>
                <w:sz w:val="1"/>
                <w:szCs w:val="1"/>
                <w:color w:val="auto"/>
              </w:rPr>
            </w:pPr>
          </w:p>
        </w:tc>
      </w:tr>
    </w:tbl>
    <w:p>
      <w:pPr>
        <w:spacing w:after="0" w:line="10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Index Strike Rate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Interest rate caps:</w:t>
            </w:r>
          </w:p>
        </w:tc>
        <w:tc>
          <w:tcPr>
            <w:tcW w:w="2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3760" w:type="dxa"/>
            <w:vAlign w:val="bottom"/>
            <w:vMerge w:val="continue"/>
          </w:tcPr>
          <w:p>
            <w:pPr>
              <w:spacing w:after="0"/>
              <w:rPr>
                <w:sz w:val="13"/>
                <w:szCs w:val="13"/>
                <w:color w:val="auto"/>
              </w:rPr>
            </w:pPr>
          </w:p>
        </w:tc>
        <w:tc>
          <w:tcPr>
            <w:tcW w:w="2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61 Ninth Avenue</w:t>
            </w:r>
          </w:p>
        </w:tc>
        <w:tc>
          <w:tcPr>
            <w:tcW w:w="2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75,543</w:t>
            </w:r>
          </w:p>
        </w:tc>
        <w:tc>
          <w:tcPr>
            <w:tcW w:w="1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S+146</w:t>
            </w:r>
          </w:p>
        </w:tc>
        <w:tc>
          <w:tcPr>
            <w:tcW w:w="1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75,543</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4.39%</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01/26</w:t>
            </w:r>
          </w:p>
        </w:tc>
        <w:tc>
          <w:tcPr>
            <w:tcW w:w="0" w:type="dxa"/>
            <w:vAlign w:val="bottom"/>
          </w:tcPr>
          <w:p>
            <w:pPr>
              <w:spacing w:after="0"/>
              <w:rPr>
                <w:sz w:val="1"/>
                <w:szCs w:val="1"/>
                <w:color w:val="auto"/>
              </w:rPr>
            </w:pPr>
          </w:p>
        </w:tc>
      </w:tr>
      <w:tr>
        <w:trPr>
          <w:trHeight w:val="189"/>
        </w:trPr>
        <w:tc>
          <w:tcPr>
            <w:tcW w:w="3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512 West 22nd Street</w:t>
            </w:r>
          </w:p>
        </w:tc>
        <w:tc>
          <w:tcPr>
            <w:tcW w:w="2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68,980</w:t>
            </w:r>
          </w:p>
        </w:tc>
        <w:tc>
          <w:tcPr>
            <w:tcW w:w="1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S+235</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68,980</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06/25</w:t>
            </w:r>
          </w:p>
        </w:tc>
        <w:tc>
          <w:tcPr>
            <w:tcW w:w="0" w:type="dxa"/>
            <w:vAlign w:val="bottom"/>
          </w:tcPr>
          <w:p>
            <w:pPr>
              <w:spacing w:after="0"/>
              <w:rPr>
                <w:sz w:val="1"/>
                <w:szCs w:val="1"/>
                <w:color w:val="auto"/>
              </w:rPr>
            </w:pPr>
          </w:p>
        </w:tc>
      </w:tr>
      <w:tr>
        <w:trPr>
          <w:trHeight w:val="204"/>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Rego Park II</w:t>
            </w:r>
          </w:p>
        </w:tc>
        <w:tc>
          <w:tcPr>
            <w:tcW w:w="2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65,624</w:t>
            </w:r>
          </w:p>
        </w:tc>
        <w:tc>
          <w:tcPr>
            <w:tcW w:w="1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S+145</w:t>
            </w:r>
          </w:p>
        </w:tc>
        <w:tc>
          <w:tcPr>
            <w:tcW w:w="1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65,624</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4.15%</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12/25</w:t>
            </w:r>
          </w:p>
        </w:tc>
        <w:tc>
          <w:tcPr>
            <w:tcW w:w="0" w:type="dxa"/>
            <w:vAlign w:val="bottom"/>
          </w:tcPr>
          <w:p>
            <w:pPr>
              <w:spacing w:after="0"/>
              <w:rPr>
                <w:sz w:val="1"/>
                <w:szCs w:val="1"/>
                <w:color w:val="auto"/>
              </w:rPr>
            </w:pPr>
          </w:p>
        </w:tc>
      </w:tr>
      <w:tr>
        <w:trPr>
          <w:trHeight w:val="182"/>
        </w:trPr>
        <w:tc>
          <w:tcPr>
            <w:tcW w:w="3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Fashion Centre/Washington Tower</w:t>
            </w:r>
          </w:p>
        </w:tc>
        <w:tc>
          <w:tcPr>
            <w:tcW w:w="2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34,125</w:t>
            </w:r>
          </w:p>
        </w:tc>
        <w:tc>
          <w:tcPr>
            <w:tcW w:w="1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S+305</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34,125</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05/25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062"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0"/>
        </w:trPr>
        <w:tc>
          <w:tcPr>
            <w:tcW w:w="9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tc>
        <w:tc>
          <w:tcPr>
            <w:tcW w:w="1360" w:type="dxa"/>
            <w:vAlign w:val="bottom"/>
          </w:tcPr>
          <w:p>
            <w:pPr>
              <w:spacing w:after="0"/>
              <w:rPr>
                <w:sz w:val="19"/>
                <w:szCs w:val="19"/>
                <w:color w:val="auto"/>
              </w:rPr>
            </w:pPr>
          </w:p>
        </w:tc>
      </w:tr>
      <w:tr>
        <w:trPr>
          <w:trHeight w:val="629"/>
        </w:trPr>
        <w:tc>
          <w:tcPr>
            <w:tcW w:w="9880" w:type="dxa"/>
            <w:vAlign w:val="bottom"/>
          </w:tcPr>
          <w:p>
            <w:pPr>
              <w:ind w:left="4240"/>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tc>
        <w:tc>
          <w:tcPr>
            <w:tcW w:w="1360" w:type="dxa"/>
            <w:vAlign w:val="bottom"/>
          </w:tcPr>
          <w:p>
            <w:pPr>
              <w:spacing w:after="0"/>
              <w:rPr>
                <w:sz w:val="24"/>
                <w:szCs w:val="24"/>
                <w:color w:val="auto"/>
              </w:rPr>
            </w:pPr>
          </w:p>
        </w:tc>
      </w:tr>
      <w:tr>
        <w:trPr>
          <w:trHeight w:val="289"/>
        </w:trPr>
        <w:tc>
          <w:tcPr>
            <w:tcW w:w="98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30"/>
        </w:trPr>
        <w:tc>
          <w:tcPr>
            <w:tcW w:w="988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Number</w:t>
            </w:r>
          </w:p>
        </w:tc>
      </w:tr>
      <w:tr>
        <w:trPr>
          <w:trHeight w:val="222"/>
        </w:trPr>
        <w:tc>
          <w:tcPr>
            <w:tcW w:w="9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Vornado Realty Trust</w:t>
            </w:r>
          </w:p>
        </w:tc>
        <w:tc>
          <w:tcPr>
            <w:tcW w:w="1360" w:type="dxa"/>
            <w:vAlign w:val="bottom"/>
          </w:tcPr>
          <w:p>
            <w:pPr>
              <w:spacing w:after="0"/>
              <w:rPr>
                <w:sz w:val="19"/>
                <w:szCs w:val="19"/>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(PCAOB ID No. 34)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60</w:t>
            </w:r>
          </w:p>
        </w:tc>
      </w:tr>
      <w:tr>
        <w:trPr>
          <w:trHeight w:val="223"/>
        </w:trPr>
        <w:tc>
          <w:tcPr>
            <w:tcW w:w="98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Consolidated Balance Sheets as of December 31, 2024 and 2023</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62</w:t>
            </w:r>
          </w:p>
        </w:tc>
      </w:tr>
      <w:tr>
        <w:trPr>
          <w:trHeight w:val="223"/>
        </w:trPr>
        <w:tc>
          <w:tcPr>
            <w:tcW w:w="98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Consolidated Statements of Income for the years ended December 31, 2024, 2023 and 2022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63</w:t>
            </w:r>
          </w:p>
        </w:tc>
      </w:tr>
      <w:tr>
        <w:trPr>
          <w:trHeight w:val="223"/>
        </w:trPr>
        <w:tc>
          <w:tcPr>
            <w:tcW w:w="98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Consolidated Statements of Comprehensive Income for the years ended December 31, 2024, 2023 and 2022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64</w:t>
            </w:r>
          </w:p>
        </w:tc>
      </w:tr>
      <w:tr>
        <w:trPr>
          <w:trHeight w:val="223"/>
        </w:trPr>
        <w:tc>
          <w:tcPr>
            <w:tcW w:w="98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Consolidated Statements of Changes in Equity for the years ended December 31, 2024, 2023 and 2022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65</w:t>
            </w:r>
          </w:p>
        </w:tc>
      </w:tr>
      <w:tr>
        <w:trPr>
          <w:trHeight w:val="223"/>
        </w:trPr>
        <w:tc>
          <w:tcPr>
            <w:tcW w:w="98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Consolidated Statements of Cash Flows for the years ended December 31, 2024, 2023 and 2022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68</w:t>
            </w:r>
          </w:p>
        </w:tc>
      </w:tr>
      <w:tr>
        <w:trPr>
          <w:trHeight w:val="471"/>
        </w:trPr>
        <w:tc>
          <w:tcPr>
            <w:tcW w:w="9880" w:type="dxa"/>
            <w:vAlign w:val="bottom"/>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Vornado Realty L.P.</w:t>
            </w:r>
          </w:p>
        </w:tc>
        <w:tc>
          <w:tcPr>
            <w:tcW w:w="1360" w:type="dxa"/>
            <w:vAlign w:val="bottom"/>
          </w:tcPr>
          <w:p>
            <w:pPr>
              <w:spacing w:after="0"/>
              <w:rPr>
                <w:sz w:val="24"/>
                <w:szCs w:val="24"/>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(PCAOB ID No. 34)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70</w:t>
            </w:r>
          </w:p>
        </w:tc>
      </w:tr>
      <w:tr>
        <w:trPr>
          <w:trHeight w:val="223"/>
        </w:trPr>
        <w:tc>
          <w:tcPr>
            <w:tcW w:w="98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Consolidated Balance Sheets as of December 31, 2024 and 2023</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72</w:t>
            </w:r>
          </w:p>
        </w:tc>
      </w:tr>
      <w:tr>
        <w:trPr>
          <w:trHeight w:val="223"/>
        </w:trPr>
        <w:tc>
          <w:tcPr>
            <w:tcW w:w="98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Consolidated Statements of Income for the years ended December 31, 2024, 2023 and 2022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73</w:t>
            </w:r>
          </w:p>
        </w:tc>
      </w:tr>
      <w:tr>
        <w:trPr>
          <w:trHeight w:val="223"/>
        </w:trPr>
        <w:tc>
          <w:tcPr>
            <w:tcW w:w="98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Consolidated Statements of Comprehensive Income for the years ended December 31, 2024, 2023 and 2022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74</w:t>
            </w:r>
          </w:p>
        </w:tc>
      </w:tr>
      <w:tr>
        <w:trPr>
          <w:trHeight w:val="223"/>
        </w:trPr>
        <w:tc>
          <w:tcPr>
            <w:tcW w:w="98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Consolidated Statements of Changes in Equity for the years ended December 31, 2024, 2023 and 2022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75</w:t>
            </w:r>
          </w:p>
        </w:tc>
      </w:tr>
      <w:tr>
        <w:trPr>
          <w:trHeight w:val="223"/>
        </w:trPr>
        <w:tc>
          <w:tcPr>
            <w:tcW w:w="98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Consolidated Statements of Cash Flows for the years ended December 31, 2024, 2023 and 2022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78</w:t>
            </w:r>
          </w:p>
        </w:tc>
      </w:tr>
      <w:tr>
        <w:trPr>
          <w:trHeight w:val="471"/>
        </w:trPr>
        <w:tc>
          <w:tcPr>
            <w:tcW w:w="9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Vornado Realty Trust and Vornado Realty L.P.</w:t>
            </w:r>
          </w:p>
        </w:tc>
        <w:tc>
          <w:tcPr>
            <w:tcW w:w="1360" w:type="dxa"/>
            <w:vAlign w:val="bottom"/>
          </w:tcPr>
          <w:p>
            <w:pPr>
              <w:spacing w:after="0"/>
              <w:rPr>
                <w:sz w:val="24"/>
                <w:szCs w:val="24"/>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80</w:t>
            </w:r>
          </w:p>
        </w:tc>
      </w:tr>
      <w:tr>
        <w:trPr>
          <w:trHeight w:val="943"/>
        </w:trPr>
        <w:tc>
          <w:tcPr>
            <w:tcW w:w="9880" w:type="dxa"/>
            <w:vAlign w:val="bottom"/>
          </w:tcPr>
          <w:p>
            <w:pPr>
              <w:ind w:left="5700"/>
              <w:spacing w:after="0"/>
              <w:rPr>
                <w:sz w:val="20"/>
                <w:szCs w:val="20"/>
                <w:color w:val="auto"/>
              </w:rPr>
            </w:pPr>
            <w:r>
              <w:rPr>
                <w:rFonts w:ascii="Times New Roman" w:cs="Times New Roman" w:eastAsia="Times New Roman" w:hAnsi="Times New Roman"/>
                <w:sz w:val="17"/>
                <w:szCs w:val="17"/>
                <w:color w:val="auto"/>
              </w:rPr>
              <w:t>59</w:t>
            </w:r>
          </w:p>
        </w:tc>
        <w:tc>
          <w:tcPr>
            <w:tcW w:w="1360" w:type="dxa"/>
            <w:vAlign w:val="bottom"/>
          </w:tcPr>
          <w:p>
            <w:pPr>
              <w:spacing w:after="0"/>
              <w:rPr>
                <w:sz w:val="24"/>
                <w:szCs w:val="24"/>
                <w:color w:val="auto"/>
              </w:rPr>
            </w:pPr>
          </w:p>
        </w:tc>
      </w:tr>
      <w:tr>
        <w:trPr>
          <w:trHeight w:val="111"/>
        </w:trPr>
        <w:tc>
          <w:tcPr>
            <w:tcW w:w="98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9" w:name="page60"/>
    <w:bookmarkEnd w:id="59"/>
    <w:p>
      <w:pPr>
        <w:ind w:right="2460" w:firstLine="2787"/>
        <w:spacing w:after="0" w:line="548"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Shareholders and the Board of Trustees of Vornado Realty Trust </w:t>
      </w:r>
      <w:r>
        <w:rPr>
          <w:rFonts w:ascii="Times New Roman" w:cs="Times New Roman" w:eastAsia="Times New Roman" w:hAnsi="Times New Roman"/>
          <w:sz w:val="17"/>
          <w:szCs w:val="17"/>
          <w:b w:val="1"/>
          <w:bCs w:val="1"/>
          <w:color w:val="auto"/>
        </w:rPr>
        <w:t>Opinion on the Financial Statements</w:t>
      </w:r>
    </w:p>
    <w:p>
      <w:pPr>
        <w:spacing w:after="0" w:line="10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Vornado Realty Trust and subsidiaries (the “Company”) as of December 31, 2024 and 2023, the related consolidated statements of income, comprehensive income, changes in equity, and cash flows, for each of the three years in the period ended December 31, 2024, and the related notes and the schedule listed in the Index at Item 15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and our report dated February 10, 2025, expressed an unqualified opinion on the Company’s internal control over financial reporting.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6" w:lineRule="exact"/>
        <w:rPr>
          <w:sz w:val="20"/>
          <w:szCs w:val="20"/>
          <w:color w:val="auto"/>
        </w:rPr>
      </w:pPr>
    </w:p>
    <w:p>
      <w:pPr>
        <w:ind w:right="5060"/>
        <w:spacing w:after="0" w:line="322" w:lineRule="auto"/>
        <w:rPr>
          <w:sz w:val="20"/>
          <w:szCs w:val="20"/>
          <w:color w:val="auto"/>
        </w:rPr>
      </w:pPr>
      <w:r>
        <w:rPr>
          <w:rFonts w:ascii="Times New Roman" w:cs="Times New Roman" w:eastAsia="Times New Roman" w:hAnsi="Times New Roman"/>
          <w:sz w:val="17"/>
          <w:szCs w:val="17"/>
          <w:b w:val="1"/>
          <w:bCs w:val="1"/>
          <w:color w:val="auto"/>
        </w:rPr>
        <w:t xml:space="preserve">Real Estate Recoverability Assessment – Refer to Note 2 to the financial statements </w:t>
      </w:r>
      <w:r>
        <w:rPr>
          <w:rFonts w:ascii="Times New Roman" w:cs="Times New Roman" w:eastAsia="Times New Roman" w:hAnsi="Times New Roman"/>
          <w:sz w:val="17"/>
          <w:szCs w:val="17"/>
          <w:i w:val="1"/>
          <w:iCs w:val="1"/>
          <w:color w:val="auto"/>
        </w:rPr>
        <w:t>Critical Audit Matter Description</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Company’s real estate properties are individually reviewed for impairment whenever events or changes in circumstances indicate that the carrying amount may not be recoverable. An impairment exists when the carrying amount of an asset exceeds the aggregate projected future cash flows over the anticipated holding period on an undiscounted basis. The recoverability assessment is determined based on projected future cash flows that utilize capitalization rates and available market information. Preparation of the Company’s undiscounted cash flows requires management to make significant estimates and assumptions related to future market rental rates and capitalization rates.</w:t>
      </w:r>
    </w:p>
    <w:p>
      <w:pPr>
        <w:spacing w:after="0" w:line="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identified the recoverability assessment of real estate properties as a critical audit matter because of the significant estimates and assumptions related to future market rental rates and capitalization rates. Performing audit procedures to evaluate the reasonableness of these estimates and assumptions required a high degree of auditor judgment and an increased extent of effort, including the need to involve our fair value specialists.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the recoverability assessment of real estate properties included the following, among others:</w:t>
      </w:r>
    </w:p>
    <w:p>
      <w:pPr>
        <w:spacing w:after="0" w:line="66" w:lineRule="exact"/>
        <w:rPr>
          <w:sz w:val="20"/>
          <w:szCs w:val="20"/>
          <w:color w:val="auto"/>
        </w:rPr>
      </w:pPr>
    </w:p>
    <w:p>
      <w:pPr>
        <w:ind w:left="640" w:hanging="321"/>
        <w:spacing w:after="0" w:line="268" w:lineRule="auto"/>
        <w:tabs>
          <w:tab w:leader="none" w:pos="6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management’s evaluation of recoverability of its real estate properties, including those over future market rental rates and capitalization rates used in the assessment.</w:t>
      </w:r>
    </w:p>
    <w:p>
      <w:pPr>
        <w:jc w:val="both"/>
        <w:ind w:left="640" w:hanging="321"/>
        <w:spacing w:after="0" w:line="257" w:lineRule="auto"/>
        <w:tabs>
          <w:tab w:leader="none" w:pos="6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reasonableness of future market rental rates and capitalization rates used by management with independent market data, focusing on geographical location and property type. In addition, we developed ranges of independent estimates of future market rental rates and capitalization rates and compared those to the amounts used by management.</w:t>
      </w:r>
    </w:p>
    <w:p>
      <w:pPr>
        <w:ind w:left="640" w:hanging="321"/>
        <w:spacing w:after="0" w:line="257" w:lineRule="auto"/>
        <w:tabs>
          <w:tab w:leader="none" w:pos="6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involved our fair value specialists in providing comparable market transaction details to further evaluate management’s selected future market rental rates and capitalization rates, as applicable.</w:t>
      </w:r>
    </w:p>
    <w:p>
      <w:pPr>
        <w:ind w:left="640" w:hanging="321"/>
        <w:spacing w:after="0" w:line="257" w:lineRule="auto"/>
        <w:tabs>
          <w:tab w:leader="none" w:pos="6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reasonableness of management’s projected future cash flow analyses by performing a retrospective analysis of the Company’s actual results compared to the prior projected future cash flow analyses.</w:t>
      </w:r>
    </w:p>
    <w:p>
      <w:pPr>
        <w:ind w:left="620" w:hanging="301"/>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whether the assumptions were consistent with evidence obtained in other areas of the audit.</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10, 2025</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1976.</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61" w:name="page62"/>
    <w:bookmarkEnd w:id="61"/>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unit, share and per share amounts)</w:t>
            </w:r>
          </w:p>
        </w:tc>
        <w:tc>
          <w:tcPr>
            <w:tcW w:w="380" w:type="dxa"/>
            <w:vAlign w:val="bottom"/>
          </w:tcPr>
          <w:p>
            <w:pPr>
              <w:spacing w:after="0"/>
              <w:rPr>
                <w:sz w:val="16"/>
                <w:szCs w:val="16"/>
                <w:color w:val="auto"/>
              </w:rPr>
            </w:pPr>
          </w:p>
        </w:tc>
        <w:tc>
          <w:tcPr>
            <w:tcW w:w="19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8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7840" w:type="dxa"/>
            <w:vAlign w:val="bottom"/>
          </w:tcPr>
          <w:p>
            <w:pPr>
              <w:ind w:left="36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at cost:</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Land</w:t>
            </w: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2,434,209</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2,436,221</w:t>
            </w:r>
          </w:p>
        </w:tc>
        <w:tc>
          <w:tcPr>
            <w:tcW w:w="0" w:type="dxa"/>
            <w:vAlign w:val="bottom"/>
          </w:tcPr>
          <w:p>
            <w:pPr>
              <w:spacing w:after="0"/>
              <w:rPr>
                <w:sz w:val="1"/>
                <w:szCs w:val="1"/>
                <w:color w:val="auto"/>
              </w:rPr>
            </w:pPr>
          </w:p>
        </w:tc>
      </w:tr>
      <w:tr>
        <w:trPr>
          <w:trHeight w:val="189"/>
        </w:trPr>
        <w:tc>
          <w:tcPr>
            <w:tcW w:w="78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10,439,113</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9,952,954</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Development costs and construction in progress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1,097,395</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1,281,076</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Leasehold improvements and equipment</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120,915</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130,953</w:t>
            </w: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14,091,632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13,801,204</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(4,025,349)</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(3,752,827)</w:t>
            </w: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net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10,066,283</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10,048,377</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678,804</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680,044</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733,947</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997,002</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215,672</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264,582</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Tenant and other receivables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58,853</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69,543</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partially owned entities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2,691,478</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2,610,558</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Receivable arising from the straight-lining of rents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707,020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701,666</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leasing costs, net of accumulated amortization of $268,532 and $249,347</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354,882</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355,010</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Identified intangible assets, net of accumulated amortization of $75,002 and $98,589</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118,215</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127,082</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373,454</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333,801</w:t>
            </w:r>
          </w:p>
        </w:tc>
        <w:tc>
          <w:tcPr>
            <w:tcW w:w="0" w:type="dxa"/>
            <w:vAlign w:val="bottom"/>
          </w:tcPr>
          <w:p>
            <w:pPr>
              <w:spacing w:after="0"/>
              <w:rPr>
                <w:sz w:val="1"/>
                <w:szCs w:val="1"/>
                <w:color w:val="auto"/>
              </w:rPr>
            </w:pPr>
          </w:p>
        </w:tc>
      </w:tr>
      <w:tr>
        <w:trPr>
          <w:trHeight w:val="215"/>
        </w:trPr>
        <w:tc>
          <w:tcPr>
            <w:tcW w:w="78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15,998,608</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16,187,665</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Mortgages payable, net</w:t>
            </w: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5,676,014</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5,688,020</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unsecured notes, net</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1,195,914</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1,193,873</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 term loan, net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795,948</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794,559</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Unsecured revolving credit facilities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575,000</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749,759</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732,859</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374,013</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411,044</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28,424</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32,199</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compensation plan</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114,580</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105,245</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317,087</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311,132</w:t>
            </w:r>
          </w:p>
        </w:tc>
        <w:tc>
          <w:tcPr>
            <w:tcW w:w="0" w:type="dxa"/>
            <w:vAlign w:val="bottom"/>
          </w:tcPr>
          <w:p>
            <w:pPr>
              <w:spacing w:after="0"/>
              <w:rPr>
                <w:sz w:val="1"/>
                <w:szCs w:val="1"/>
                <w:color w:val="auto"/>
              </w:rPr>
            </w:pPr>
          </w:p>
        </w:tc>
      </w:tr>
      <w:tr>
        <w:trPr>
          <w:trHeight w:val="183"/>
        </w:trPr>
        <w:tc>
          <w:tcPr>
            <w:tcW w:w="78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9,826,739</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9,843,931</w:t>
            </w:r>
          </w:p>
        </w:tc>
        <w:tc>
          <w:tcPr>
            <w:tcW w:w="0" w:type="dxa"/>
            <w:vAlign w:val="bottom"/>
          </w:tcPr>
          <w:p>
            <w:pPr>
              <w:spacing w:after="0"/>
              <w:rPr>
                <w:sz w:val="1"/>
                <w:szCs w:val="1"/>
                <w:color w:val="auto"/>
              </w:rPr>
            </w:pPr>
          </w:p>
        </w:tc>
      </w:tr>
      <w:tr>
        <w:trPr>
          <w:trHeight w:val="18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Class A units - 16,850,803 and 17,000,030 units outstanding</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708,408</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480,251</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Series D cumulative redeemable preferred units - 141,400 units outstanding</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3,535</w:t>
            </w: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Total redeemable noncontrolling partnership units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711,943</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483,786</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Redeemable noncontrolling interest in a consolidated subsidiary</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122,715</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154,662</w:t>
            </w: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redeemable noncontrolling interests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834,658</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638,448</w:t>
            </w:r>
          </w:p>
        </w:tc>
        <w:tc>
          <w:tcPr>
            <w:tcW w:w="0" w:type="dxa"/>
            <w:vAlign w:val="bottom"/>
          </w:tcPr>
          <w:p>
            <w:pPr>
              <w:spacing w:after="0"/>
              <w:rPr>
                <w:sz w:val="1"/>
                <w:szCs w:val="1"/>
                <w:color w:val="auto"/>
              </w:rPr>
            </w:pPr>
          </w:p>
        </w:tc>
      </w:tr>
      <w:tr>
        <w:trPr>
          <w:trHeight w:val="16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4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Preferred shares of beneficial interest: no par value per share; authorized 110,000,000 shares; issued and outstanding 48,789,180 and</w:t>
            </w:r>
          </w:p>
        </w:tc>
        <w:tc>
          <w:tcPr>
            <w:tcW w:w="3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1,182,364</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1,182,459</w:t>
            </w:r>
          </w:p>
        </w:tc>
        <w:tc>
          <w:tcPr>
            <w:tcW w:w="0" w:type="dxa"/>
            <w:vAlign w:val="bottom"/>
          </w:tcPr>
          <w:p>
            <w:pPr>
              <w:spacing w:after="0"/>
              <w:rPr>
                <w:sz w:val="1"/>
                <w:szCs w:val="1"/>
                <w:color w:val="auto"/>
              </w:rPr>
            </w:pPr>
          </w:p>
        </w:tc>
      </w:tr>
      <w:tr>
        <w:trPr>
          <w:trHeight w:val="193"/>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48,792,902 shares</w:t>
            </w:r>
          </w:p>
        </w:tc>
        <w:tc>
          <w:tcPr>
            <w:tcW w:w="38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840" w:type="dxa"/>
            <w:vAlign w:val="bottom"/>
          </w:tcPr>
          <w:p>
            <w:pPr>
              <w:ind w:left="320"/>
              <w:spacing w:after="0" w:line="135" w:lineRule="exact"/>
              <w:rPr>
                <w:sz w:val="20"/>
                <w:szCs w:val="20"/>
                <w:color w:val="auto"/>
              </w:rPr>
            </w:pPr>
            <w:r>
              <w:rPr>
                <w:rFonts w:ascii="Times New Roman" w:cs="Times New Roman" w:eastAsia="Times New Roman" w:hAnsi="Times New Roman"/>
                <w:sz w:val="14"/>
                <w:szCs w:val="14"/>
                <w:color w:val="auto"/>
              </w:rPr>
              <w:t>Common shares of beneficial interest: $0.04 par value per share; authorized 250,000,000 shares; issued and outstanding 190,846,580</w:t>
            </w:r>
          </w:p>
        </w:tc>
        <w:tc>
          <w:tcPr>
            <w:tcW w:w="3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7,634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7,594</w:t>
            </w:r>
          </w:p>
        </w:tc>
        <w:tc>
          <w:tcPr>
            <w:tcW w:w="0" w:type="dxa"/>
            <w:vAlign w:val="bottom"/>
          </w:tcPr>
          <w:p>
            <w:pPr>
              <w:spacing w:after="0"/>
              <w:rPr>
                <w:sz w:val="1"/>
                <w:szCs w:val="1"/>
                <w:color w:val="auto"/>
              </w:rPr>
            </w:pPr>
          </w:p>
        </w:tc>
      </w:tr>
      <w:tr>
        <w:trPr>
          <w:trHeight w:val="188"/>
        </w:trPr>
        <w:tc>
          <w:tcPr>
            <w:tcW w:w="78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and 190,390,703 shares</w:t>
            </w:r>
          </w:p>
        </w:tc>
        <w:tc>
          <w:tcPr>
            <w:tcW w:w="3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Additional capital</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8,052,793</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8,263,291</w:t>
            </w:r>
          </w:p>
        </w:tc>
        <w:tc>
          <w:tcPr>
            <w:tcW w:w="0" w:type="dxa"/>
            <w:vAlign w:val="bottom"/>
          </w:tcPr>
          <w:p>
            <w:pPr>
              <w:spacing w:after="0"/>
              <w:rPr>
                <w:sz w:val="1"/>
                <w:szCs w:val="1"/>
                <w:color w:val="auto"/>
              </w:rPr>
            </w:pPr>
          </w:p>
        </w:tc>
      </w:tr>
      <w:tr>
        <w:trPr>
          <w:trHeight w:val="189"/>
        </w:trPr>
        <w:tc>
          <w:tcPr>
            <w:tcW w:w="7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Earnings less than distributions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(4,142,249)</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(4,009,395)</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57,700</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65,115</w:t>
            </w:r>
          </w:p>
        </w:tc>
        <w:tc>
          <w:tcPr>
            <w:tcW w:w="0" w:type="dxa"/>
            <w:vAlign w:val="bottom"/>
          </w:tcPr>
          <w:p>
            <w:pPr>
              <w:spacing w:after="0"/>
              <w:rPr>
                <w:sz w:val="1"/>
                <w:szCs w:val="1"/>
                <w:color w:val="auto"/>
              </w:rPr>
            </w:pPr>
          </w:p>
        </w:tc>
      </w:tr>
      <w:tr>
        <w:trPr>
          <w:trHeight w:val="183"/>
        </w:trPr>
        <w:tc>
          <w:tcPr>
            <w:tcW w:w="78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5,158,242</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5,509,064</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 in consolidated subsidiaries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178,969</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196,222</w:t>
            </w:r>
          </w:p>
        </w:tc>
        <w:tc>
          <w:tcPr>
            <w:tcW w:w="0" w:type="dxa"/>
            <w:vAlign w:val="bottom"/>
          </w:tcPr>
          <w:p>
            <w:pPr>
              <w:spacing w:after="0"/>
              <w:rPr>
                <w:sz w:val="1"/>
                <w:szCs w:val="1"/>
                <w:color w:val="auto"/>
              </w:rPr>
            </w:pPr>
          </w:p>
        </w:tc>
      </w:tr>
      <w:tr>
        <w:trPr>
          <w:trHeight w:val="183"/>
        </w:trPr>
        <w:tc>
          <w:tcPr>
            <w:tcW w:w="78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equity</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5,337,211</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5,705,286</w:t>
            </w:r>
          </w:p>
        </w:tc>
        <w:tc>
          <w:tcPr>
            <w:tcW w:w="0" w:type="dxa"/>
            <w:vAlign w:val="bottom"/>
          </w:tcPr>
          <w:p>
            <w:pPr>
              <w:spacing w:after="0"/>
              <w:rPr>
                <w:sz w:val="1"/>
                <w:szCs w:val="1"/>
                <w:color w:val="auto"/>
              </w:rPr>
            </w:pPr>
          </w:p>
        </w:tc>
      </w:tr>
      <w:tr>
        <w:trPr>
          <w:trHeight w:val="215"/>
        </w:trPr>
        <w:tc>
          <w:tcPr>
            <w:tcW w:w="78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15,998,608</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16,187,665</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40" w:top="591" w:right="339" w:bottom="1440" w:gutter="0" w:footer="0" w:header="0"/>
        </w:sectPr>
      </w:pPr>
    </w:p>
    <w:bookmarkStart w:id="62" w:name="page63"/>
    <w:bookmarkEnd w:id="62"/>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CONSOLIDATED STATEMENTS OF INCOME</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share amounts)</w:t>
            </w:r>
          </w:p>
        </w:tc>
        <w:tc>
          <w:tcPr>
            <w:tcW w:w="360" w:type="dxa"/>
            <w:vAlign w:val="bottom"/>
          </w:tcPr>
          <w:p>
            <w:pPr>
              <w:spacing w:after="0"/>
              <w:rPr>
                <w:sz w:val="16"/>
                <w:szCs w:val="16"/>
                <w:color w:val="auto"/>
              </w:rPr>
            </w:pPr>
          </w:p>
        </w:tc>
        <w:tc>
          <w:tcPr>
            <w:tcW w:w="332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4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Rental revenues</w:t>
            </w: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1,568,806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1,607,486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1,607,685</w:t>
            </w:r>
          </w:p>
        </w:tc>
        <w:tc>
          <w:tcPr>
            <w:tcW w:w="0" w:type="dxa"/>
            <w:vAlign w:val="bottom"/>
          </w:tcPr>
          <w:p>
            <w:pPr>
              <w:spacing w:after="0"/>
              <w:rPr>
                <w:sz w:val="1"/>
                <w:szCs w:val="1"/>
                <w:color w:val="auto"/>
              </w:rPr>
            </w:pPr>
          </w:p>
        </w:tc>
      </w:tr>
      <w:tr>
        <w:trPr>
          <w:trHeight w:val="190"/>
        </w:trPr>
        <w:tc>
          <w:tcPr>
            <w:tcW w:w="6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Fee and other income</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218,880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203,677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192,310</w:t>
            </w: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1,787,686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1,811,163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1,799,995</w:t>
            </w:r>
          </w:p>
        </w:tc>
        <w:tc>
          <w:tcPr>
            <w:tcW w:w="0" w:type="dxa"/>
            <w:vAlign w:val="bottom"/>
          </w:tcPr>
          <w:p>
            <w:pPr>
              <w:spacing w:after="0"/>
              <w:rPr>
                <w:sz w:val="1"/>
                <w:szCs w:val="1"/>
                <w:color w:val="auto"/>
              </w:rPr>
            </w:pPr>
          </w:p>
        </w:tc>
      </w:tr>
      <w:tr>
        <w:trPr>
          <w:trHeight w:val="170"/>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Operating</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(927,796)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(905,158)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(873,911)</w:t>
            </w:r>
          </w:p>
        </w:tc>
        <w:tc>
          <w:tcPr>
            <w:tcW w:w="0" w:type="dxa"/>
            <w:vAlign w:val="bottom"/>
          </w:tcPr>
          <w:p>
            <w:pPr>
              <w:spacing w:after="0"/>
              <w:rPr>
                <w:sz w:val="1"/>
                <w:szCs w:val="1"/>
                <w:color w:val="auto"/>
              </w:rPr>
            </w:pPr>
          </w:p>
        </w:tc>
      </w:tr>
      <w:tr>
        <w:trPr>
          <w:trHeight w:val="189"/>
        </w:trPr>
        <w:tc>
          <w:tcPr>
            <w:tcW w:w="6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(447,500)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(434,273)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(504,502)</w:t>
            </w:r>
          </w:p>
        </w:tc>
        <w:tc>
          <w:tcPr>
            <w:tcW w:w="0" w:type="dxa"/>
            <w:vAlign w:val="bottom"/>
          </w:tcPr>
          <w:p>
            <w:pPr>
              <w:spacing w:after="0"/>
              <w:rPr>
                <w:sz w:val="1"/>
                <w:szCs w:val="1"/>
                <w:color w:val="auto"/>
              </w:rPr>
            </w:pPr>
          </w:p>
        </w:tc>
      </w:tr>
      <w:tr>
        <w:trPr>
          <w:trHeight w:val="204"/>
        </w:trPr>
        <w:tc>
          <w:tcPr>
            <w:tcW w:w="6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(162,883)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(133,731)</w:t>
            </w:r>
          </w:p>
        </w:tc>
        <w:tc>
          <w:tcPr>
            <w:tcW w:w="0" w:type="dxa"/>
            <w:vAlign w:val="bottom"/>
          </w:tcPr>
          <w:p>
            <w:pPr>
              <w:spacing w:after="0"/>
              <w:rPr>
                <w:sz w:val="1"/>
                <w:szCs w:val="1"/>
                <w:color w:val="auto"/>
              </w:rPr>
            </w:pPr>
          </w:p>
        </w:tc>
      </w:tr>
      <w:tr>
        <w:trPr>
          <w:trHeight w:val="189"/>
        </w:trPr>
        <w:tc>
          <w:tcPr>
            <w:tcW w:w="6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(Expense) benefit from deferred compensation plan liability</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9,617</w:t>
            </w:r>
          </w:p>
        </w:tc>
        <w:tc>
          <w:tcPr>
            <w:tcW w:w="0" w:type="dxa"/>
            <w:vAlign w:val="bottom"/>
          </w:tcPr>
          <w:p>
            <w:pPr>
              <w:spacing w:after="0"/>
              <w:rPr>
                <w:sz w:val="1"/>
                <w:szCs w:val="1"/>
                <w:color w:val="auto"/>
              </w:rPr>
            </w:pPr>
          </w:p>
        </w:tc>
      </w:tr>
      <w:tr>
        <w:trPr>
          <w:trHeight w:val="204"/>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Transaction related costs, impairment losses and other</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(50,691)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(31,722)</w:t>
            </w:r>
          </w:p>
        </w:tc>
        <w:tc>
          <w:tcPr>
            <w:tcW w:w="0" w:type="dxa"/>
            <w:vAlign w:val="bottom"/>
          </w:tcPr>
          <w:p>
            <w:pPr>
              <w:spacing w:after="0"/>
              <w:rPr>
                <w:sz w:val="1"/>
                <w:szCs w:val="1"/>
                <w:color w:val="auto"/>
              </w:rPr>
            </w:pPr>
          </w:p>
        </w:tc>
      </w:tr>
      <w:tr>
        <w:trPr>
          <w:trHeight w:val="18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(1,541,696)</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(1,565,167)</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(1,534,249)</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partially owned entities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112,464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(461,351)</w:t>
            </w:r>
          </w:p>
        </w:tc>
        <w:tc>
          <w:tcPr>
            <w:tcW w:w="0" w:type="dxa"/>
            <w:vAlign w:val="bottom"/>
          </w:tcPr>
          <w:p>
            <w:pPr>
              <w:spacing w:after="0"/>
              <w:rPr>
                <w:sz w:val="1"/>
                <w:szCs w:val="1"/>
                <w:color w:val="auto"/>
              </w:rPr>
            </w:pPr>
          </w:p>
        </w:tc>
      </w:tr>
      <w:tr>
        <w:trPr>
          <w:trHeight w:val="189"/>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investment income, net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45,974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43,287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23,410</w:t>
            </w:r>
          </w:p>
        </w:tc>
        <w:tc>
          <w:tcPr>
            <w:tcW w:w="0" w:type="dxa"/>
            <w:vAlign w:val="bottom"/>
          </w:tcPr>
          <w:p>
            <w:pPr>
              <w:spacing w:after="0"/>
              <w:rPr>
                <w:sz w:val="1"/>
                <w:szCs w:val="1"/>
                <w:color w:val="auto"/>
              </w:rPr>
            </w:pPr>
          </w:p>
        </w:tc>
      </w:tr>
      <w:tr>
        <w:trPr>
          <w:trHeight w:val="20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deferred compensation plan assets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(9,617)</w:t>
            </w:r>
          </w:p>
        </w:tc>
        <w:tc>
          <w:tcPr>
            <w:tcW w:w="0" w:type="dxa"/>
            <w:vAlign w:val="bottom"/>
          </w:tcPr>
          <w:p>
            <w:pPr>
              <w:spacing w:after="0"/>
              <w:rPr>
                <w:sz w:val="1"/>
                <w:szCs w:val="1"/>
                <w:color w:val="auto"/>
              </w:rPr>
            </w:pPr>
          </w:p>
        </w:tc>
      </w:tr>
      <w:tr>
        <w:trPr>
          <w:trHeight w:val="189"/>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debt expense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(390,269)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(349,223)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(279,765)</w:t>
            </w:r>
          </w:p>
        </w:tc>
        <w:tc>
          <w:tcPr>
            <w:tcW w:w="0" w:type="dxa"/>
            <w:vAlign w:val="bottom"/>
          </w:tcPr>
          <w:p>
            <w:pPr>
              <w:spacing w:after="0"/>
              <w:rPr>
                <w:sz w:val="1"/>
                <w:szCs w:val="1"/>
                <w:color w:val="auto"/>
              </w:rPr>
            </w:pPr>
          </w:p>
        </w:tc>
      </w:tr>
      <w:tr>
        <w:trPr>
          <w:trHeight w:val="20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71,199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100,625</w:t>
            </w:r>
          </w:p>
        </w:tc>
        <w:tc>
          <w:tcPr>
            <w:tcW w:w="0" w:type="dxa"/>
            <w:vAlign w:val="bottom"/>
          </w:tcPr>
          <w:p>
            <w:pPr>
              <w:spacing w:after="0"/>
              <w:rPr>
                <w:sz w:val="1"/>
                <w:szCs w:val="1"/>
                <w:color w:val="auto"/>
              </w:rPr>
            </w:pPr>
          </w:p>
        </w:tc>
      </w:tr>
      <w:tr>
        <w:trPr>
          <w:trHeight w:val="18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42,845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(360,952)</w:t>
            </w:r>
          </w:p>
        </w:tc>
        <w:tc>
          <w:tcPr>
            <w:tcW w:w="0" w:type="dxa"/>
            <w:vAlign w:val="bottom"/>
          </w:tcPr>
          <w:p>
            <w:pPr>
              <w:spacing w:after="0"/>
              <w:rPr>
                <w:sz w:val="1"/>
                <w:szCs w:val="1"/>
                <w:color w:val="auto"/>
              </w:rPr>
            </w:pPr>
          </w:p>
        </w:tc>
      </w:tr>
      <w:tr>
        <w:trPr>
          <w:trHeight w:val="20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(21,660)</w:t>
            </w:r>
          </w:p>
        </w:tc>
        <w:tc>
          <w:tcPr>
            <w:tcW w:w="0" w:type="dxa"/>
            <w:vAlign w:val="bottom"/>
          </w:tcPr>
          <w:p>
            <w:pPr>
              <w:spacing w:after="0"/>
              <w:rPr>
                <w:sz w:val="1"/>
                <w:szCs w:val="1"/>
                <w:color w:val="auto"/>
              </w:rPr>
            </w:pPr>
          </w:p>
        </w:tc>
      </w:tr>
      <w:tr>
        <w:trPr>
          <w:trHeight w:val="18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32,888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(382,612)</w:t>
            </w:r>
          </w:p>
        </w:tc>
        <w:tc>
          <w:tcPr>
            <w:tcW w:w="0" w:type="dxa"/>
            <w:vAlign w:val="bottom"/>
          </w:tcPr>
          <w:p>
            <w:pPr>
              <w:spacing w:after="0"/>
              <w:rPr>
                <w:sz w:val="1"/>
                <w:szCs w:val="1"/>
                <w:color w:val="auto"/>
              </w:rPr>
            </w:pPr>
          </w:p>
        </w:tc>
      </w:tr>
      <w:tr>
        <w:trPr>
          <w:trHeight w:val="20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 in: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Consolidated subsidiaries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75,967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5,737</w:t>
            </w:r>
          </w:p>
        </w:tc>
        <w:tc>
          <w:tcPr>
            <w:tcW w:w="0" w:type="dxa"/>
            <w:vAlign w:val="bottom"/>
          </w:tcPr>
          <w:p>
            <w:pPr>
              <w:spacing w:after="0"/>
              <w:rPr>
                <w:sz w:val="1"/>
                <w:szCs w:val="1"/>
                <w:color w:val="auto"/>
              </w:rPr>
            </w:pPr>
          </w:p>
        </w:tc>
      </w:tr>
      <w:tr>
        <w:trPr>
          <w:trHeight w:val="204"/>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Partnership</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30,376</w:t>
            </w:r>
          </w:p>
        </w:tc>
        <w:tc>
          <w:tcPr>
            <w:tcW w:w="0" w:type="dxa"/>
            <w:vAlign w:val="bottom"/>
          </w:tcPr>
          <w:p>
            <w:pPr>
              <w:spacing w:after="0"/>
              <w:rPr>
                <w:sz w:val="1"/>
                <w:szCs w:val="1"/>
                <w:color w:val="auto"/>
              </w:rPr>
            </w:pPr>
          </w:p>
        </w:tc>
      </w:tr>
      <w:tr>
        <w:trPr>
          <w:trHeight w:val="18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Vornado</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70,387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105,494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(346,499)</w:t>
            </w:r>
          </w:p>
        </w:tc>
        <w:tc>
          <w:tcPr>
            <w:tcW w:w="0" w:type="dxa"/>
            <w:vAlign w:val="bottom"/>
          </w:tcPr>
          <w:p>
            <w:pPr>
              <w:spacing w:after="0"/>
              <w:rPr>
                <w:sz w:val="1"/>
                <w:szCs w:val="1"/>
                <w:color w:val="auto"/>
              </w:rPr>
            </w:pPr>
          </w:p>
        </w:tc>
      </w:tr>
      <w:tr>
        <w:trPr>
          <w:trHeight w:val="20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 dividends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(62,112)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(62,116)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(62,116)</w:t>
            </w:r>
          </w:p>
        </w:tc>
        <w:tc>
          <w:tcPr>
            <w:tcW w:w="0" w:type="dxa"/>
            <w:vAlign w:val="bottom"/>
          </w:tcPr>
          <w:p>
            <w:pPr>
              <w:spacing w:after="0"/>
              <w:rPr>
                <w:sz w:val="1"/>
                <w:szCs w:val="1"/>
                <w:color w:val="auto"/>
              </w:rPr>
            </w:pPr>
          </w:p>
        </w:tc>
      </w:tr>
      <w:tr>
        <w:trPr>
          <w:trHeight w:val="16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common shareholders</w:t>
            </w:r>
          </w:p>
        </w:tc>
        <w:tc>
          <w:tcPr>
            <w:tcW w:w="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43,378</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(408,615)</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PER COMMON SHARE - BASIC:</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6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income (loss) per common share</w:t>
            </w: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190,539</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191,005</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191,775</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PER COMMON SHARE - DILUTED:</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6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 (loss) per common share</w:t>
            </w: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196,626</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191,856</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191,775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63" w:name="page64"/>
    <w:bookmarkEnd w:id="63"/>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000" w:type="dxa"/>
            <w:vAlign w:val="bottom"/>
          </w:tcPr>
          <w:p>
            <w:pPr>
              <w:spacing w:after="0"/>
              <w:rPr>
                <w:sz w:val="16"/>
                <w:szCs w:val="16"/>
                <w:color w:val="auto"/>
              </w:rPr>
            </w:pPr>
          </w:p>
        </w:tc>
        <w:tc>
          <w:tcPr>
            <w:tcW w:w="268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6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(382,612)</w:t>
            </w:r>
          </w:p>
        </w:tc>
      </w:tr>
      <w:tr>
        <w:trPr>
          <w:trHeight w:val="189"/>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4"/>
        </w:trPr>
        <w:tc>
          <w:tcPr>
            <w:tcW w:w="6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comprehensive (loss) income of nonconsolidated subsidiaries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18,874</w:t>
            </w:r>
          </w:p>
        </w:tc>
      </w:tr>
      <w:tr>
        <w:trPr>
          <w:trHeight w:val="190"/>
        </w:trPr>
        <w:tc>
          <w:tcPr>
            <w:tcW w:w="64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Change in fair value of interest rate swaps and other</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(112,051)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190,493</w:t>
            </w:r>
          </w:p>
        </w:tc>
      </w:tr>
      <w:tr>
        <w:trPr>
          <w:trHeight w:val="19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(87,449)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(173,245)</w:t>
            </w:r>
          </w:p>
        </w:tc>
      </w:tr>
      <w:tr>
        <w:trPr>
          <w:trHeight w:val="19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comprehensive loss attributable to noncontrolling interests</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48,876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85,665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19,247</w:t>
            </w:r>
          </w:p>
        </w:tc>
      </w:tr>
      <w:tr>
        <w:trPr>
          <w:trHeight w:val="221"/>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 attributable to Vornado</w:t>
            </w:r>
          </w:p>
        </w:tc>
        <w:tc>
          <w:tcPr>
            <w:tcW w:w="100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62,947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(153,998)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64" w:name="page65"/>
    <w:bookmarkEnd w:id="64"/>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(Amounts in thousands, except per share amount)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31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vMerge w:val="restart"/>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8"/>
                <w:szCs w:val="8"/>
                <w:color w:val="auto"/>
              </w:rPr>
            </w:pPr>
          </w:p>
        </w:tc>
        <w:tc>
          <w:tcPr>
            <w:tcW w:w="1000" w:type="dxa"/>
            <w:vAlign w:val="bottom"/>
            <w:gridSpan w:val="2"/>
            <w:vMerge w:val="restart"/>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260" w:type="dxa"/>
            <w:vAlign w:val="bottom"/>
          </w:tcPr>
          <w:p>
            <w:pPr>
              <w:spacing w:after="0"/>
              <w:rPr>
                <w:sz w:val="11"/>
                <w:szCs w:val="11"/>
                <w:color w:val="auto"/>
              </w:rPr>
            </w:pPr>
          </w:p>
        </w:tc>
        <w:tc>
          <w:tcPr>
            <w:tcW w:w="1680" w:type="dxa"/>
            <w:vAlign w:val="bottom"/>
            <w:gridSpan w:val="4"/>
            <w:vMerge w:val="restart"/>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Preferred Shares</w:t>
            </w:r>
          </w:p>
        </w:tc>
        <w:tc>
          <w:tcPr>
            <w:tcW w:w="120" w:type="dxa"/>
            <w:vAlign w:val="bottom"/>
            <w:vMerge w:val="restart"/>
          </w:tcPr>
          <w:p>
            <w:pPr>
              <w:spacing w:after="0"/>
              <w:rPr>
                <w:sz w:val="11"/>
                <w:szCs w:val="11"/>
                <w:color w:val="auto"/>
              </w:rPr>
            </w:pPr>
          </w:p>
        </w:tc>
        <w:tc>
          <w:tcPr>
            <w:tcW w:w="1660" w:type="dxa"/>
            <w:vAlign w:val="bottom"/>
            <w:gridSpan w:val="4"/>
            <w:vMerge w:val="restart"/>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9"/>
              </w:rPr>
              <w:t>Interests in</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260" w:type="dxa"/>
            <w:vAlign w:val="bottom"/>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8"/>
                <w:szCs w:val="8"/>
                <w:color w:val="auto"/>
              </w:rPr>
            </w:pPr>
          </w:p>
        </w:tc>
        <w:tc>
          <w:tcPr>
            <w:tcW w:w="100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100" w:type="dxa"/>
            <w:vAlign w:val="bottom"/>
          </w:tcPr>
          <w:p>
            <w:pPr>
              <w:spacing w:after="0"/>
              <w:rPr>
                <w:sz w:val="8"/>
                <w:szCs w:val="8"/>
                <w:color w:val="auto"/>
              </w:rPr>
            </w:pPr>
          </w:p>
        </w:tc>
        <w:tc>
          <w:tcPr>
            <w:tcW w:w="116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8"/>
                <w:szCs w:val="8"/>
                <w:color w:val="auto"/>
              </w:rPr>
            </w:pPr>
          </w:p>
        </w:tc>
        <w:tc>
          <w:tcPr>
            <w:tcW w:w="100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1"/>
                <w:szCs w:val="11"/>
                <w:b w:val="1"/>
                <w:bCs w:val="1"/>
                <w:color w:val="auto"/>
              </w:rPr>
              <w:t>Consolidated</w:t>
            </w:r>
          </w:p>
        </w:tc>
        <w:tc>
          <w:tcPr>
            <w:tcW w:w="180" w:type="dxa"/>
            <w:vAlign w:val="bottom"/>
          </w:tcPr>
          <w:p>
            <w:pPr>
              <w:spacing w:after="0"/>
              <w:rPr>
                <w:sz w:val="8"/>
                <w:szCs w:val="8"/>
                <w:color w:val="auto"/>
              </w:rPr>
            </w:pPr>
          </w:p>
        </w:tc>
        <w:tc>
          <w:tcPr>
            <w:tcW w:w="760" w:type="dxa"/>
            <w:vAlign w:val="bottom"/>
          </w:tcPr>
          <w:p>
            <w:pPr>
              <w:jc w:val="right"/>
              <w:ind w:right="275"/>
              <w:spacing w:after="0" w:line="99"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90"/>
        </w:trPr>
        <w:tc>
          <w:tcPr>
            <w:tcW w:w="226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10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80" w:type="dxa"/>
            <w:vAlign w:val="bottom"/>
          </w:tcPr>
          <w:p>
            <w:pPr>
              <w:spacing w:after="0"/>
              <w:rPr>
                <w:sz w:val="16"/>
                <w:szCs w:val="16"/>
                <w:color w:val="auto"/>
              </w:rPr>
            </w:pP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2"/>
        </w:trPr>
        <w:tc>
          <w:tcPr>
            <w:tcW w:w="2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7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48,793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1,182,459</w:t>
            </w: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190,391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8,263,291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(4,009,395)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65,115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196,222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5,705,286</w:t>
            </w:r>
          </w:p>
        </w:tc>
        <w:tc>
          <w:tcPr>
            <w:tcW w:w="0" w:type="dxa"/>
            <w:vAlign w:val="bottom"/>
          </w:tcPr>
          <w:p>
            <w:pPr>
              <w:spacing w:after="0"/>
              <w:rPr>
                <w:sz w:val="1"/>
                <w:szCs w:val="1"/>
                <w:color w:val="auto"/>
              </w:rPr>
            </w:pPr>
          </w:p>
        </w:tc>
      </w:tr>
      <w:tr>
        <w:trPr>
          <w:trHeight w:val="177"/>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Vornado</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70,387</w:t>
            </w: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loss attributable to nonredeemable</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60" w:type="dxa"/>
            <w:vAlign w:val="bottom"/>
            <w:shd w:val="clear" w:color="auto" w:fill="CCEEFF"/>
          </w:tcPr>
          <w:p>
            <w:pPr>
              <w:ind w:left="160"/>
              <w:spacing w:after="0" w:line="131" w:lineRule="exact"/>
              <w:rPr>
                <w:sz w:val="20"/>
                <w:szCs w:val="20"/>
                <w:color w:val="auto"/>
              </w:rPr>
            </w:pPr>
            <w:r>
              <w:rPr>
                <w:rFonts w:ascii="Times New Roman" w:cs="Times New Roman" w:eastAsia="Times New Roman" w:hAnsi="Times New Roman"/>
                <w:sz w:val="13"/>
                <w:szCs w:val="13"/>
                <w:color w:val="auto"/>
              </w:rPr>
              <w:t>noncontrolling interests in</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(19,964)</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Dividends on common shares ($0.74 per</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(141,103)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(141,103)</w:t>
            </w:r>
          </w:p>
        </w:tc>
        <w:tc>
          <w:tcPr>
            <w:tcW w:w="0" w:type="dxa"/>
            <w:vAlign w:val="bottom"/>
          </w:tcPr>
          <w:p>
            <w:pPr>
              <w:spacing w:after="0"/>
              <w:rPr>
                <w:sz w:val="1"/>
                <w:szCs w:val="1"/>
                <w:color w:val="auto"/>
              </w:rPr>
            </w:pPr>
          </w:p>
        </w:tc>
      </w:tr>
      <w:tr>
        <w:trPr>
          <w:trHeight w:val="177"/>
        </w:trPr>
        <w:tc>
          <w:tcPr>
            <w:tcW w:w="2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w:t>
            </w: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Dividends on preferred shares (see Note</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(62,112)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(62,112)</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10 for dividends per share amounts)</w:t>
            </w: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Common shares issued upon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60" w:type="dxa"/>
            <w:vAlign w:val="bottom"/>
          </w:tcPr>
          <w:p>
            <w:pPr>
              <w:ind w:left="160"/>
              <w:spacing w:after="0" w:line="131" w:lineRule="exact"/>
              <w:rPr>
                <w:sz w:val="20"/>
                <w:szCs w:val="20"/>
                <w:color w:val="auto"/>
              </w:rPr>
            </w:pPr>
            <w:r>
              <w:rPr>
                <w:rFonts w:ascii="Times New Roman" w:cs="Times New Roman" w:eastAsia="Times New Roman" w:hAnsi="Times New Roman"/>
                <w:sz w:val="13"/>
                <w:szCs w:val="13"/>
                <w:color w:val="auto"/>
              </w:rPr>
              <w:t>redemption of Class A units, at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15,894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15,912</w:t>
            </w:r>
          </w:p>
        </w:tc>
        <w:tc>
          <w:tcPr>
            <w:tcW w:w="0" w:type="dxa"/>
            <w:vAlign w:val="bottom"/>
          </w:tcPr>
          <w:p>
            <w:pPr>
              <w:spacing w:after="0"/>
              <w:rPr>
                <w:sz w:val="1"/>
                <w:szCs w:val="1"/>
                <w:color w:val="auto"/>
              </w:rPr>
            </w:pPr>
          </w:p>
        </w:tc>
      </w:tr>
      <w:tr>
        <w:trPr>
          <w:trHeight w:val="177"/>
        </w:trPr>
        <w:tc>
          <w:tcPr>
            <w:tcW w:w="2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redemption value</w:t>
            </w: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Conversion of Series A preferred shares</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 common shares</w:t>
            </w: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Contributions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1,961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1,961</w:t>
            </w:r>
          </w:p>
        </w:tc>
        <w:tc>
          <w:tcPr>
            <w:tcW w:w="0" w:type="dxa"/>
            <w:vAlign w:val="bottom"/>
          </w:tcPr>
          <w:p>
            <w:pPr>
              <w:spacing w:after="0"/>
              <w:rPr>
                <w:sz w:val="1"/>
                <w:szCs w:val="1"/>
                <w:color w:val="auto"/>
              </w:rPr>
            </w:pPr>
          </w:p>
        </w:tc>
      </w:tr>
      <w:tr>
        <w:trPr>
          <w:trHeight w:val="19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Distributions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0" w:type="dxa"/>
            <w:vAlign w:val="bottom"/>
          </w:tcPr>
          <w:p>
            <w:pPr>
              <w:spacing w:after="0"/>
              <w:rPr>
                <w:sz w:val="1"/>
                <w:szCs w:val="1"/>
                <w:color w:val="auto"/>
              </w:rPr>
            </w:pPr>
          </w:p>
        </w:tc>
      </w:tr>
      <w:tr>
        <w:trPr>
          <w:trHeight w:val="131"/>
        </w:trPr>
        <w:tc>
          <w:tcPr>
            <w:tcW w:w="22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Other comprehensive loss of</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(6,992)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(6,992)</w:t>
            </w:r>
          </w:p>
        </w:tc>
        <w:tc>
          <w:tcPr>
            <w:tcW w:w="0" w:type="dxa"/>
            <w:vAlign w:val="bottom"/>
          </w:tcPr>
          <w:p>
            <w:pPr>
              <w:spacing w:after="0"/>
              <w:rPr>
                <w:sz w:val="1"/>
                <w:szCs w:val="1"/>
                <w:color w:val="auto"/>
              </w:rPr>
            </w:pPr>
          </w:p>
        </w:tc>
      </w:tr>
      <w:tr>
        <w:trPr>
          <w:trHeight w:val="177"/>
        </w:trPr>
        <w:tc>
          <w:tcPr>
            <w:tcW w:w="2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nonconsolidated subsidiaries</w:t>
            </w: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Change in fair value of consolidated</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947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947</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interest rate hedges and other</w:t>
            </w: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Redeemable Class A unit measurement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(226,612)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(226,586)</w:t>
            </w:r>
          </w:p>
        </w:tc>
        <w:tc>
          <w:tcPr>
            <w:tcW w:w="0" w:type="dxa"/>
            <w:vAlign w:val="bottom"/>
          </w:tcPr>
          <w:p>
            <w:pPr>
              <w:spacing w:after="0"/>
              <w:rPr>
                <w:sz w:val="1"/>
                <w:szCs w:val="1"/>
                <w:color w:val="auto"/>
              </w:rPr>
            </w:pPr>
          </w:p>
        </w:tc>
      </w:tr>
      <w:tr>
        <w:trPr>
          <w:trHeight w:val="177"/>
        </w:trPr>
        <w:tc>
          <w:tcPr>
            <w:tcW w:w="2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adjustment</w:t>
            </w: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Other comprehensive loss (income)</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60" w:type="dxa"/>
            <w:vAlign w:val="bottom"/>
            <w:shd w:val="clear" w:color="auto" w:fill="CCEEFF"/>
          </w:tcPr>
          <w:p>
            <w:pPr>
              <w:ind w:left="160"/>
              <w:spacing w:after="0" w:line="131" w:lineRule="exact"/>
              <w:rPr>
                <w:sz w:val="20"/>
                <w:szCs w:val="20"/>
                <w:color w:val="auto"/>
              </w:rPr>
            </w:pPr>
            <w:r>
              <w:rPr>
                <w:rFonts w:ascii="Times New Roman" w:cs="Times New Roman" w:eastAsia="Times New Roman" w:hAnsi="Times New Roman"/>
                <w:sz w:val="13"/>
                <w:szCs w:val="13"/>
                <w:color w:val="auto"/>
              </w:rPr>
              <w:t>attributable to noncontrolling</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interests in:</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Operating Partnership</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693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693</w:t>
            </w:r>
          </w:p>
        </w:tc>
        <w:tc>
          <w:tcPr>
            <w:tcW w:w="0" w:type="dxa"/>
            <w:vAlign w:val="bottom"/>
          </w:tcPr>
          <w:p>
            <w:pPr>
              <w:spacing w:after="0"/>
              <w:rPr>
                <w:sz w:val="1"/>
                <w:szCs w:val="1"/>
                <w:color w:val="auto"/>
              </w:rPr>
            </w:pPr>
          </w:p>
        </w:tc>
      </w:tr>
      <w:tr>
        <w:trPr>
          <w:trHeight w:val="190"/>
        </w:trPr>
        <w:tc>
          <w:tcPr>
            <w:tcW w:w="2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2,087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7"/>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208"/>
        </w:trPr>
        <w:tc>
          <w:tcPr>
            <w:tcW w:w="2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7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48,789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1,182,364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190,847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8,052,793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(4,142,249)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57,700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178,969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5,337,211</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74295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591" w:right="339" w:bottom="1440" w:gutter="0" w:footer="0" w:header="0"/>
        </w:sectPr>
      </w:pPr>
    </w:p>
    <w:bookmarkStart w:id="65" w:name="page66"/>
    <w:bookmarkEnd w:id="65"/>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 - CONTINUED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(Amounts in thousands, except per share amount)</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1680" w:type="dxa"/>
            <w:vAlign w:val="bottom"/>
            <w:gridSpan w:val="4"/>
            <w:vMerge w:val="restart"/>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Preferred Shares</w:t>
            </w:r>
          </w:p>
        </w:tc>
        <w:tc>
          <w:tcPr>
            <w:tcW w:w="100" w:type="dxa"/>
            <w:vAlign w:val="bottom"/>
            <w:vMerge w:val="restart"/>
          </w:tcPr>
          <w:p>
            <w:pPr>
              <w:spacing w:after="0"/>
              <w:rPr>
                <w:sz w:val="11"/>
                <w:szCs w:val="11"/>
                <w:color w:val="auto"/>
              </w:rPr>
            </w:pPr>
          </w:p>
        </w:tc>
        <w:tc>
          <w:tcPr>
            <w:tcW w:w="1680" w:type="dxa"/>
            <w:vAlign w:val="bottom"/>
            <w:gridSpan w:val="4"/>
            <w:vMerge w:val="restart"/>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9"/>
              </w:rPr>
              <w:t>Interests in</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60" w:type="dxa"/>
            <w:vAlign w:val="bottom"/>
          </w:tcPr>
          <w:p>
            <w:pPr>
              <w:spacing w:after="0"/>
              <w:rPr>
                <w:sz w:val="9"/>
                <w:szCs w:val="9"/>
                <w:color w:val="auto"/>
              </w:rPr>
            </w:pPr>
          </w:p>
        </w:tc>
        <w:tc>
          <w:tcPr>
            <w:tcW w:w="168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68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9"/>
                <w:szCs w:val="9"/>
                <w:color w:val="auto"/>
              </w:rPr>
            </w:pPr>
          </w:p>
        </w:tc>
        <w:tc>
          <w:tcPr>
            <w:tcW w:w="100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Less Than</w:t>
            </w:r>
          </w:p>
        </w:tc>
        <w:tc>
          <w:tcPr>
            <w:tcW w:w="100" w:type="dxa"/>
            <w:vAlign w:val="bottom"/>
          </w:tcPr>
          <w:p>
            <w:pPr>
              <w:spacing w:after="0"/>
              <w:rPr>
                <w:sz w:val="9"/>
                <w:szCs w:val="9"/>
                <w:color w:val="auto"/>
              </w:rPr>
            </w:pPr>
          </w:p>
        </w:tc>
        <w:tc>
          <w:tcPr>
            <w:tcW w:w="116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9"/>
                <w:szCs w:val="9"/>
                <w:color w:val="auto"/>
              </w:rPr>
            </w:pPr>
          </w:p>
        </w:tc>
        <w:tc>
          <w:tcPr>
            <w:tcW w:w="100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Consolidated</w:t>
            </w:r>
          </w:p>
        </w:tc>
        <w:tc>
          <w:tcPr>
            <w:tcW w:w="180" w:type="dxa"/>
            <w:vAlign w:val="bottom"/>
          </w:tcPr>
          <w:p>
            <w:pPr>
              <w:spacing w:after="0"/>
              <w:rPr>
                <w:sz w:val="9"/>
                <w:szCs w:val="9"/>
                <w:color w:val="auto"/>
              </w:rPr>
            </w:pPr>
          </w:p>
        </w:tc>
        <w:tc>
          <w:tcPr>
            <w:tcW w:w="760" w:type="dxa"/>
            <w:vAlign w:val="bottom"/>
          </w:tcPr>
          <w:p>
            <w:pPr>
              <w:jc w:val="right"/>
              <w:ind w:right="275"/>
              <w:spacing w:after="0" w:line="111"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77"/>
        </w:trPr>
        <w:tc>
          <w:tcPr>
            <w:tcW w:w="2260" w:type="dxa"/>
            <w:vAlign w:val="bottom"/>
          </w:tcPr>
          <w:p>
            <w:pPr>
              <w:spacing w:after="0"/>
              <w:rPr>
                <w:sz w:val="15"/>
                <w:szCs w:val="15"/>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80" w:type="dxa"/>
            <w:vAlign w:val="bottom"/>
          </w:tcPr>
          <w:p>
            <w:pPr>
              <w:spacing w:after="0"/>
              <w:rPr>
                <w:sz w:val="15"/>
                <w:szCs w:val="15"/>
                <w:color w:val="auto"/>
              </w:rPr>
            </w:pP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2"/>
        </w:trPr>
        <w:tc>
          <w:tcPr>
            <w:tcW w:w="2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48,793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1,182,459</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191,867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8,369,228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(3,894,580)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174,967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236,652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6,076,380</w:t>
            </w:r>
          </w:p>
        </w:tc>
        <w:tc>
          <w:tcPr>
            <w:tcW w:w="0" w:type="dxa"/>
            <w:vAlign w:val="bottom"/>
          </w:tcPr>
          <w:p>
            <w:pPr>
              <w:spacing w:after="0"/>
              <w:rPr>
                <w:sz w:val="1"/>
                <w:szCs w:val="1"/>
                <w:color w:val="auto"/>
              </w:rPr>
            </w:pPr>
          </w:p>
        </w:tc>
      </w:tr>
      <w:tr>
        <w:trPr>
          <w:trHeight w:val="177"/>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Vornado</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105,494</w:t>
            </w: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loss attributable to nonredeemable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60" w:type="dxa"/>
            <w:vAlign w:val="bottom"/>
            <w:shd w:val="clear" w:color="auto" w:fill="CCEEFF"/>
          </w:tcPr>
          <w:p>
            <w:pPr>
              <w:ind w:left="160"/>
              <w:spacing w:after="0" w:line="131" w:lineRule="exact"/>
              <w:rPr>
                <w:sz w:val="20"/>
                <w:szCs w:val="20"/>
                <w:color w:val="auto"/>
              </w:rPr>
            </w:pPr>
            <w:r>
              <w:rPr>
                <w:rFonts w:ascii="Times New Roman" w:cs="Times New Roman" w:eastAsia="Times New Roman" w:hAnsi="Times New Roman"/>
                <w:sz w:val="13"/>
                <w:szCs w:val="13"/>
                <w:color w:val="auto"/>
              </w:rPr>
              <w:t>noncontrolling interests in</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(36,582)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(36,582)</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Dividends on common shares ($0.675</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(129,066)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(129,066)</w:t>
            </w:r>
          </w:p>
        </w:tc>
        <w:tc>
          <w:tcPr>
            <w:tcW w:w="0" w:type="dxa"/>
            <w:vAlign w:val="bottom"/>
          </w:tcPr>
          <w:p>
            <w:pPr>
              <w:spacing w:after="0"/>
              <w:rPr>
                <w:sz w:val="1"/>
                <w:szCs w:val="1"/>
                <w:color w:val="auto"/>
              </w:rPr>
            </w:pPr>
          </w:p>
        </w:tc>
      </w:tr>
      <w:tr>
        <w:trPr>
          <w:trHeight w:val="177"/>
        </w:trPr>
        <w:tc>
          <w:tcPr>
            <w:tcW w:w="2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per share)</w:t>
            </w: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Dividends on preferred shares (see Note</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(62,116)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(62,116)</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10 for dividends per share amounts)</w:t>
            </w: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Common shares issued:</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ind w:left="160"/>
              <w:spacing w:after="0" w:line="138" w:lineRule="exact"/>
              <w:rPr>
                <w:sz w:val="20"/>
                <w:szCs w:val="20"/>
                <w:color w:val="auto"/>
              </w:rPr>
            </w:pPr>
            <w:r>
              <w:rPr>
                <w:rFonts w:ascii="Times New Roman" w:cs="Times New Roman" w:eastAsia="Times New Roman" w:hAnsi="Times New Roman"/>
                <w:sz w:val="13"/>
                <w:szCs w:val="13"/>
                <w:color w:val="auto"/>
              </w:rPr>
              <w:t>Upon redemption of Class A units, at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539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8,489</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redemption value</w:t>
            </w: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Under dividend reinvestment plan</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9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Contributions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24,033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24,033</w:t>
            </w:r>
          </w:p>
        </w:tc>
        <w:tc>
          <w:tcPr>
            <w:tcW w:w="0" w:type="dxa"/>
            <w:vAlign w:val="bottom"/>
          </w:tcPr>
          <w:p>
            <w:pPr>
              <w:spacing w:after="0"/>
              <w:rPr>
                <w:sz w:val="1"/>
                <w:szCs w:val="1"/>
                <w:color w:val="auto"/>
              </w:rPr>
            </w:pPr>
          </w:p>
        </w:tc>
      </w:tr>
      <w:tr>
        <w:trPr>
          <w:trHeight w:val="177"/>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Distributions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(21,526)</w:t>
            </w: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Deferred compensation shares and</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296</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common shares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(29,183)</w:t>
            </w: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Other comprehensive loss of</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(8,286)</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nonconsolidated subsidiaries</w:t>
            </w: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Change in fair value of interest rate</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(112,051)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(112,051)</w:t>
            </w:r>
          </w:p>
        </w:tc>
        <w:tc>
          <w:tcPr>
            <w:tcW w:w="0" w:type="dxa"/>
            <w:vAlign w:val="bottom"/>
          </w:tcPr>
          <w:p>
            <w:pPr>
              <w:spacing w:after="0"/>
              <w:rPr>
                <w:sz w:val="1"/>
                <w:szCs w:val="1"/>
                <w:color w:val="auto"/>
              </w:rPr>
            </w:pPr>
          </w:p>
        </w:tc>
      </w:tr>
      <w:tr>
        <w:trPr>
          <w:trHeight w:val="177"/>
        </w:trPr>
        <w:tc>
          <w:tcPr>
            <w:tcW w:w="2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swaps and other</w:t>
            </w: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Unearned 2020 Out-Performance Plan</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60" w:type="dxa"/>
            <w:vAlign w:val="bottom"/>
            <w:shd w:val="clear" w:color="auto" w:fill="CCEEFF"/>
          </w:tcPr>
          <w:p>
            <w:pPr>
              <w:ind w:left="160"/>
              <w:spacing w:after="0" w:line="131" w:lineRule="exact"/>
              <w:rPr>
                <w:sz w:val="20"/>
                <w:szCs w:val="20"/>
                <w:color w:val="auto"/>
              </w:rPr>
            </w:pPr>
            <w:r>
              <w:rPr>
                <w:rFonts w:ascii="Times New Roman" w:cs="Times New Roman" w:eastAsia="Times New Roman" w:hAnsi="Times New Roman"/>
                <w:sz w:val="13"/>
                <w:szCs w:val="13"/>
                <w:color w:val="auto"/>
              </w:rPr>
              <w:t>and 2019 Performance AO LTIP</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20,668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20,668</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awards</w:t>
            </w: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Redeemable Class A unit measurement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(135,540)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(2,574)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(138,114)</w:t>
            </w:r>
          </w:p>
        </w:tc>
        <w:tc>
          <w:tcPr>
            <w:tcW w:w="0" w:type="dxa"/>
            <w:vAlign w:val="bottom"/>
          </w:tcPr>
          <w:p>
            <w:pPr>
              <w:spacing w:after="0"/>
              <w:rPr>
                <w:sz w:val="1"/>
                <w:szCs w:val="1"/>
                <w:color w:val="auto"/>
              </w:rPr>
            </w:pPr>
          </w:p>
        </w:tc>
      </w:tr>
      <w:tr>
        <w:trPr>
          <w:trHeight w:val="177"/>
        </w:trPr>
        <w:tc>
          <w:tcPr>
            <w:tcW w:w="2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adjustment</w:t>
            </w: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Other comprehensive loss attributable to</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noncontrolling interests in:</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Operating Partnership</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9,340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9,340</w:t>
            </w:r>
          </w:p>
        </w:tc>
        <w:tc>
          <w:tcPr>
            <w:tcW w:w="0" w:type="dxa"/>
            <w:vAlign w:val="bottom"/>
          </w:tcPr>
          <w:p>
            <w:pPr>
              <w:spacing w:after="0"/>
              <w:rPr>
                <w:sz w:val="1"/>
                <w:szCs w:val="1"/>
                <w:color w:val="auto"/>
              </w:rPr>
            </w:pPr>
          </w:p>
        </w:tc>
      </w:tr>
      <w:tr>
        <w:trPr>
          <w:trHeight w:val="190"/>
        </w:trPr>
        <w:tc>
          <w:tcPr>
            <w:tcW w:w="2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3,719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1"/>
        </w:trPr>
        <w:tc>
          <w:tcPr>
            <w:tcW w:w="22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Deconsolidation of partially owned</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(2,636)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(2,636)</w:t>
            </w:r>
          </w:p>
        </w:tc>
        <w:tc>
          <w:tcPr>
            <w:tcW w:w="0" w:type="dxa"/>
            <w:vAlign w:val="bottom"/>
          </w:tcPr>
          <w:p>
            <w:pPr>
              <w:spacing w:after="0"/>
              <w:rPr>
                <w:sz w:val="1"/>
                <w:szCs w:val="1"/>
                <w:color w:val="auto"/>
              </w:rPr>
            </w:pPr>
          </w:p>
        </w:tc>
      </w:tr>
      <w:tr>
        <w:trPr>
          <w:trHeight w:val="177"/>
        </w:trPr>
        <w:tc>
          <w:tcPr>
            <w:tcW w:w="2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entity</w:t>
            </w: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1,182,459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190,391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8,263,291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(4,009,395)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65,115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196,222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5,705,286</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74295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591" w:right="339" w:bottom="1440" w:gutter="0" w:footer="0" w:header="0"/>
        </w:sectPr>
      </w:pPr>
    </w:p>
    <w:bookmarkStart w:id="66" w:name="page67"/>
    <w:bookmarkEnd w:id="66"/>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 - CONTINUED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color w:val="auto"/>
              </w:rPr>
              <w:t>(Amounts in thousands, except per share amounts)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Non-</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1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8"/>
              </w:rPr>
              <w:t>controlling</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1680" w:type="dxa"/>
            <w:vAlign w:val="bottom"/>
            <w:gridSpan w:val="4"/>
            <w:vMerge w:val="restart"/>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Preferred Shares</w:t>
            </w:r>
          </w:p>
        </w:tc>
        <w:tc>
          <w:tcPr>
            <w:tcW w:w="120" w:type="dxa"/>
            <w:vAlign w:val="bottom"/>
            <w:vMerge w:val="restart"/>
          </w:tcPr>
          <w:p>
            <w:pPr>
              <w:spacing w:after="0"/>
              <w:rPr>
                <w:sz w:val="11"/>
                <w:szCs w:val="11"/>
                <w:color w:val="auto"/>
              </w:rPr>
            </w:pPr>
          </w:p>
        </w:tc>
        <w:tc>
          <w:tcPr>
            <w:tcW w:w="1660" w:type="dxa"/>
            <w:vAlign w:val="bottom"/>
            <w:gridSpan w:val="4"/>
            <w:vMerge w:val="restart"/>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9"/>
              </w:rPr>
              <w:t>Interests in</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00" w:type="dxa"/>
            <w:vAlign w:val="bottom"/>
          </w:tcPr>
          <w:p>
            <w:pPr>
              <w:spacing w:after="0"/>
              <w:rPr>
                <w:sz w:val="9"/>
                <w:szCs w:val="9"/>
                <w:color w:val="auto"/>
              </w:rPr>
            </w:pPr>
          </w:p>
        </w:tc>
        <w:tc>
          <w:tcPr>
            <w:tcW w:w="168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66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9"/>
                <w:szCs w:val="9"/>
                <w:color w:val="auto"/>
              </w:rPr>
            </w:pPr>
          </w:p>
        </w:tc>
        <w:tc>
          <w:tcPr>
            <w:tcW w:w="100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Less Than</w:t>
            </w:r>
          </w:p>
        </w:tc>
        <w:tc>
          <w:tcPr>
            <w:tcW w:w="120" w:type="dxa"/>
            <w:vAlign w:val="bottom"/>
          </w:tcPr>
          <w:p>
            <w:pPr>
              <w:spacing w:after="0"/>
              <w:rPr>
                <w:sz w:val="9"/>
                <w:szCs w:val="9"/>
                <w:color w:val="auto"/>
              </w:rPr>
            </w:pPr>
          </w:p>
        </w:tc>
        <w:tc>
          <w:tcPr>
            <w:tcW w:w="114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9"/>
                <w:szCs w:val="9"/>
                <w:color w:val="auto"/>
              </w:rPr>
            </w:pPr>
          </w:p>
        </w:tc>
        <w:tc>
          <w:tcPr>
            <w:tcW w:w="102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2"/>
                <w:szCs w:val="12"/>
                <w:b w:val="1"/>
                <w:bCs w:val="1"/>
                <w:color w:val="auto"/>
              </w:rPr>
              <w:t>Consolidated</w:t>
            </w:r>
          </w:p>
        </w:tc>
        <w:tc>
          <w:tcPr>
            <w:tcW w:w="180" w:type="dxa"/>
            <w:vAlign w:val="bottom"/>
          </w:tcPr>
          <w:p>
            <w:pPr>
              <w:spacing w:after="0"/>
              <w:rPr>
                <w:sz w:val="9"/>
                <w:szCs w:val="9"/>
                <w:color w:val="auto"/>
              </w:rPr>
            </w:pPr>
          </w:p>
        </w:tc>
        <w:tc>
          <w:tcPr>
            <w:tcW w:w="740" w:type="dxa"/>
            <w:vAlign w:val="bottom"/>
          </w:tcPr>
          <w:p>
            <w:pPr>
              <w:jc w:val="right"/>
              <w:ind w:right="255"/>
              <w:spacing w:after="0" w:line="111"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77"/>
        </w:trPr>
        <w:tc>
          <w:tcPr>
            <w:tcW w:w="2300" w:type="dxa"/>
            <w:vAlign w:val="bottom"/>
          </w:tcPr>
          <w:p>
            <w:pPr>
              <w:spacing w:after="0"/>
              <w:rPr>
                <w:sz w:val="15"/>
                <w:szCs w:val="15"/>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80" w:type="dxa"/>
            <w:vAlign w:val="bottom"/>
          </w:tcPr>
          <w:p>
            <w:pPr>
              <w:spacing w:after="0"/>
              <w:rPr>
                <w:sz w:val="15"/>
                <w:szCs w:val="15"/>
                <w:color w:val="auto"/>
              </w:rPr>
            </w:pPr>
          </w:p>
        </w:tc>
        <w:tc>
          <w:tcPr>
            <w:tcW w:w="740" w:type="dxa"/>
            <w:vAlign w:val="bottom"/>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2"/>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2021</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48,793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1,182,459</w:t>
            </w: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191,724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8,143,093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(3,079,320)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(17,534)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278,892</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6,515,238</w:t>
            </w:r>
          </w:p>
        </w:tc>
        <w:tc>
          <w:tcPr>
            <w:tcW w:w="0" w:type="dxa"/>
            <w:vAlign w:val="bottom"/>
          </w:tcPr>
          <w:p>
            <w:pPr>
              <w:spacing w:after="0"/>
              <w:rPr>
                <w:sz w:val="1"/>
                <w:szCs w:val="1"/>
                <w:color w:val="auto"/>
              </w:rPr>
            </w:pPr>
          </w:p>
        </w:tc>
      </w:tr>
      <w:tr>
        <w:trPr>
          <w:trHeight w:val="177"/>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attributable to Vornado</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(346,499)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(346,499)</w:t>
            </w:r>
          </w:p>
        </w:tc>
        <w:tc>
          <w:tcPr>
            <w:tcW w:w="0" w:type="dxa"/>
            <w:vAlign w:val="bottom"/>
          </w:tcPr>
          <w:p>
            <w:pPr>
              <w:spacing w:after="0"/>
              <w:rPr>
                <w:sz w:val="1"/>
                <w:szCs w:val="1"/>
                <w:color w:val="auto"/>
              </w:rPr>
            </w:pPr>
          </w:p>
        </w:tc>
      </w:tr>
      <w:tr>
        <w:trPr>
          <w:trHeight w:val="137"/>
        </w:trPr>
        <w:tc>
          <w:tcPr>
            <w:tcW w:w="23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Net income attributable to</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nonredeemable noncontrolling</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3,931</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3,931</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interests in consolidated subsidiaries</w:t>
            </w:r>
          </w:p>
        </w:tc>
        <w:tc>
          <w:tcPr>
            <w:tcW w:w="8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3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Dividends on common shares ($2.12 per</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(406,562)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(406,562)</w:t>
            </w:r>
          </w:p>
        </w:tc>
        <w:tc>
          <w:tcPr>
            <w:tcW w:w="0" w:type="dxa"/>
            <w:vAlign w:val="bottom"/>
          </w:tcPr>
          <w:p>
            <w:pPr>
              <w:spacing w:after="0"/>
              <w:rPr>
                <w:sz w:val="1"/>
                <w:szCs w:val="1"/>
                <w:color w:val="auto"/>
              </w:rPr>
            </w:pPr>
          </w:p>
        </w:tc>
      </w:tr>
      <w:tr>
        <w:trPr>
          <w:trHeight w:val="177"/>
        </w:trPr>
        <w:tc>
          <w:tcPr>
            <w:tcW w:w="2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3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Dividends on preferred shares (see Note</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(62,116)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(62,116)</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10 for dividends per share amounts)</w:t>
            </w:r>
          </w:p>
        </w:tc>
        <w:tc>
          <w:tcPr>
            <w:tcW w:w="8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shares issued:</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30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rPr>
              <w:t>Upon redemption of Class A units, at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3,524</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redemption value</w:t>
            </w:r>
          </w:p>
        </w:tc>
        <w:tc>
          <w:tcPr>
            <w:tcW w:w="8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Under employees' share option plan</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90"/>
        </w:trPr>
        <w:tc>
          <w:tcPr>
            <w:tcW w:w="2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Under dividend reinvestment plan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0" w:type="dxa"/>
            <w:vAlign w:val="bottom"/>
          </w:tcPr>
          <w:p>
            <w:pPr>
              <w:spacing w:after="0"/>
              <w:rPr>
                <w:sz w:val="1"/>
                <w:szCs w:val="1"/>
                <w:color w:val="auto"/>
              </w:rPr>
            </w:pPr>
          </w:p>
        </w:tc>
      </w:tr>
      <w:tr>
        <w:trPr>
          <w:trHeight w:val="177"/>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Contributions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5,609</w:t>
            </w:r>
          </w:p>
        </w:tc>
        <w:tc>
          <w:tcPr>
            <w:tcW w:w="0" w:type="dxa"/>
            <w:vAlign w:val="bottom"/>
          </w:tcPr>
          <w:p>
            <w:pPr>
              <w:spacing w:after="0"/>
              <w:rPr>
                <w:sz w:val="1"/>
                <w:szCs w:val="1"/>
                <w:color w:val="auto"/>
              </w:rPr>
            </w:pPr>
          </w:p>
        </w:tc>
      </w:tr>
      <w:tr>
        <w:trPr>
          <w:trHeight w:val="19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(54,388)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(54,388)</w:t>
            </w:r>
          </w:p>
        </w:tc>
        <w:tc>
          <w:tcPr>
            <w:tcW w:w="0" w:type="dxa"/>
            <w:vAlign w:val="bottom"/>
          </w:tcPr>
          <w:p>
            <w:pPr>
              <w:spacing w:after="0"/>
              <w:rPr>
                <w:sz w:val="1"/>
                <w:szCs w:val="1"/>
                <w:color w:val="auto"/>
              </w:rPr>
            </w:pPr>
          </w:p>
        </w:tc>
      </w:tr>
      <w:tr>
        <w:trPr>
          <w:trHeight w:val="131"/>
        </w:trPr>
        <w:tc>
          <w:tcPr>
            <w:tcW w:w="23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Deferred compensation shares and</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0" w:type="dxa"/>
            <w:vAlign w:val="bottom"/>
          </w:tcPr>
          <w:p>
            <w:pPr>
              <w:spacing w:after="0"/>
              <w:rPr>
                <w:sz w:val="1"/>
                <w:szCs w:val="1"/>
                <w:color w:val="auto"/>
              </w:rPr>
            </w:pPr>
          </w:p>
        </w:tc>
      </w:tr>
      <w:tr>
        <w:trPr>
          <w:trHeight w:val="177"/>
        </w:trPr>
        <w:tc>
          <w:tcPr>
            <w:tcW w:w="23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3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Other comprehensive income of</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18,874</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nonconsolidated subsidiaries</w:t>
            </w:r>
          </w:p>
        </w:tc>
        <w:tc>
          <w:tcPr>
            <w:tcW w:w="8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3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Change in fair value of interest rate</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190,494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190,494</w:t>
            </w:r>
          </w:p>
        </w:tc>
        <w:tc>
          <w:tcPr>
            <w:tcW w:w="0" w:type="dxa"/>
            <w:vAlign w:val="bottom"/>
          </w:tcPr>
          <w:p>
            <w:pPr>
              <w:spacing w:after="0"/>
              <w:rPr>
                <w:sz w:val="1"/>
                <w:szCs w:val="1"/>
                <w:color w:val="auto"/>
              </w:rPr>
            </w:pPr>
          </w:p>
        </w:tc>
      </w:tr>
      <w:tr>
        <w:trPr>
          <w:trHeight w:val="177"/>
        </w:trPr>
        <w:tc>
          <w:tcPr>
            <w:tcW w:w="2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swaps and other</w:t>
            </w: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3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Redeemable Class A unit measurement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221,145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221,145</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adjustment</w:t>
            </w:r>
          </w:p>
        </w:tc>
        <w:tc>
          <w:tcPr>
            <w:tcW w:w="8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3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Other comprehensive income</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attributable to noncontrolling</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interests in:</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Operating Partnership</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(14,250)</w:t>
            </w:r>
          </w:p>
        </w:tc>
        <w:tc>
          <w:tcPr>
            <w:tcW w:w="0" w:type="dxa"/>
            <w:vAlign w:val="bottom"/>
          </w:tcPr>
          <w:p>
            <w:pPr>
              <w:spacing w:after="0"/>
              <w:rPr>
                <w:sz w:val="1"/>
                <w:szCs w:val="1"/>
                <w:color w:val="auto"/>
              </w:rPr>
            </w:pPr>
          </w:p>
        </w:tc>
      </w:tr>
      <w:tr>
        <w:trPr>
          <w:trHeight w:val="177"/>
        </w:trPr>
        <w:tc>
          <w:tcPr>
            <w:tcW w:w="2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83"/>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48,793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1,182,459</w:t>
            </w:r>
          </w:p>
        </w:tc>
        <w:tc>
          <w:tcPr>
            <w:tcW w:w="12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191,867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7,654</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8,369,228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(3,894,580)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174,967</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236,652</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6,076,380</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67" w:name="page68"/>
    <w:bookmarkEnd w:id="67"/>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20" w:type="dxa"/>
            <w:vAlign w:val="bottom"/>
          </w:tcPr>
          <w:p>
            <w:pPr>
              <w:spacing w:after="0"/>
              <w:rPr>
                <w:sz w:val="16"/>
                <w:szCs w:val="16"/>
                <w:color w:val="auto"/>
              </w:rPr>
            </w:pPr>
          </w:p>
        </w:tc>
        <w:tc>
          <w:tcPr>
            <w:tcW w:w="300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Pr>
          <w:p>
            <w:pPr>
              <w:spacing w:after="0"/>
              <w:rPr>
                <w:sz w:val="16"/>
                <w:szCs w:val="16"/>
                <w:color w:val="auto"/>
              </w:rPr>
            </w:pPr>
          </w:p>
        </w:tc>
      </w:tr>
      <w:tr>
        <w:trPr>
          <w:trHeight w:val="23"/>
        </w:trPr>
        <w:tc>
          <w:tcPr>
            <w:tcW w:w="6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3"/>
        </w:trPr>
        <w:tc>
          <w:tcPr>
            <w:tcW w:w="6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0"/>
        </w:trPr>
        <w:tc>
          <w:tcPr>
            <w:tcW w:w="69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(382,612)</w:t>
            </w:r>
          </w:p>
        </w:tc>
      </w:tr>
      <w:tr>
        <w:trPr>
          <w:trHeight w:val="18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 (including amortization of deferred financing costs)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469,423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457,574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526,306</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 of income from partially owned entities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142,880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172,873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184,501</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in net (income) loss of partially owned entities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(112,464)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461,351</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interest rate cap premiums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41,745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30,172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43,201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29,249</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(71,199)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(100,625)</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deferred tax liability</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14,005</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Straight-lining of rents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(46,177)</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below-market leases, net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(5,178)</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Real estate impairment losses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19,098</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Credit losses on investments</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realized and unrealized (gain) loss on real estate fund investments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Return of capital from real estate fund investments</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5,141</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non-cash adjustments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w:t>
            </w:r>
          </w:p>
        </w:tc>
      </w:tr>
      <w:tr>
        <w:trPr>
          <w:trHeight w:val="204"/>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9"/>
        </w:trPr>
        <w:tc>
          <w:tcPr>
            <w:tcW w:w="69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Tenant and other receivables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(4,437)</w:t>
            </w:r>
          </w:p>
        </w:tc>
      </w:tr>
      <w:tr>
        <w:trPr>
          <w:trHeight w:val="204"/>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Prepaid 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104,186</w:t>
            </w:r>
          </w:p>
        </w:tc>
      </w:tr>
      <w:tr>
        <w:trPr>
          <w:trHeight w:val="189"/>
        </w:trPr>
        <w:tc>
          <w:tcPr>
            <w:tcW w:w="69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(79,110)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(34,615)</w:t>
            </w:r>
          </w:p>
        </w:tc>
      </w:tr>
      <w:tr>
        <w:trPr>
          <w:trHeight w:val="204"/>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Lease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15,658</w:t>
            </w:r>
          </w:p>
        </w:tc>
      </w:tr>
      <w:tr>
        <w:trPr>
          <w:trHeight w:val="189"/>
        </w:trPr>
        <w:tc>
          <w:tcPr>
            <w:tcW w:w="69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5,718</w:t>
            </w:r>
          </w:p>
        </w:tc>
      </w:tr>
      <w:tr>
        <w:trPr>
          <w:trHeight w:val="204"/>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10,979</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r>
      <w:tr>
        <w:trPr>
          <w:trHeight w:val="183"/>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537,723</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648,152</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798,944</w:t>
            </w:r>
          </w:p>
        </w:tc>
      </w:tr>
      <w:tr>
        <w:trPr>
          <w:trHeight w:val="422"/>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Development costs and construction in progress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(242,874)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(552,701)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(737,999)</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Additions to real estate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(222,739)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(211,899)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(159,796)</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Investments in partially owned entities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(115,357)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(57,297)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(33,172)</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in loan receivable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 of condominium units at 220 Central Park South</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31,605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88,019</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sales of real estate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123,519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373,264</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maturities of U.S. Treasury bills</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468,598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597,499</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repayment of participation in 150 West 34th Street mortgage loan</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Acquisitions of real estate and other</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 of capital from partially owned entities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34,417</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Deconsolidation of cash and restricted cash held by a previously consolidated entity</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of U.S. Treasury bills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(1,066,096)</w:t>
            </w:r>
          </w:p>
        </w:tc>
      </w:tr>
      <w:tr>
        <w:trPr>
          <w:trHeight w:val="190"/>
        </w:trPr>
        <w:tc>
          <w:tcPr>
            <w:tcW w:w="69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(597,365)</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(128,788)</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(906,864)</w:t>
            </w:r>
          </w:p>
        </w:tc>
      </w:tr>
    </w:tbl>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68" w:name="page69"/>
    <w:bookmarkEnd w:id="68"/>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 CONTINUED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20" w:type="dxa"/>
            <w:vAlign w:val="bottom"/>
          </w:tcPr>
          <w:p>
            <w:pPr>
              <w:spacing w:after="0"/>
              <w:rPr>
                <w:sz w:val="16"/>
                <w:szCs w:val="16"/>
                <w:color w:val="auto"/>
              </w:rPr>
            </w:pPr>
          </w:p>
        </w:tc>
        <w:tc>
          <w:tcPr>
            <w:tcW w:w="300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0"/>
        </w:trPr>
        <w:tc>
          <w:tcPr>
            <w:tcW w:w="69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paid on common shares</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(141,103)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(129,066)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(406,562)</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Repayments of borrowings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(97,439)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(1,251,373)</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1,029,773</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paid on preferred shares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(62,116)</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(38,970)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(84,699)</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financing costs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(32,706)</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132,701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5,609</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of common shares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financing activity, net</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83"/>
        </w:trPr>
        <w:tc>
          <w:tcPr>
            <w:tcW w:w="6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(252,323)</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(278,937)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(801,274)</w:t>
            </w: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 and restricted cash</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(311,965)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240,427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(909,194)</w:t>
            </w: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1,261,584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1,021,157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1,930,351</w:t>
            </w:r>
          </w:p>
        </w:tc>
        <w:tc>
          <w:tcPr>
            <w:tcW w:w="0" w:type="dxa"/>
            <w:vAlign w:val="bottom"/>
          </w:tcPr>
          <w:p>
            <w:pPr>
              <w:spacing w:after="0"/>
              <w:rPr>
                <w:sz w:val="1"/>
                <w:szCs w:val="1"/>
                <w:color w:val="auto"/>
              </w:rPr>
            </w:pPr>
          </w:p>
        </w:tc>
      </w:tr>
      <w:tr>
        <w:trPr>
          <w:trHeight w:val="221"/>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949,619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1,261,584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1,021,157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997,002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889,689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1,760,225</w:t>
            </w: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Restricted cash at beginning of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264,582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131,468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170,126</w:t>
            </w:r>
          </w:p>
        </w:tc>
        <w:tc>
          <w:tcPr>
            <w:tcW w:w="0" w:type="dxa"/>
            <w:vAlign w:val="bottom"/>
          </w:tcPr>
          <w:p>
            <w:pPr>
              <w:spacing w:after="0"/>
              <w:rPr>
                <w:sz w:val="1"/>
                <w:szCs w:val="1"/>
                <w:color w:val="auto"/>
              </w:rPr>
            </w:pPr>
          </w:p>
        </w:tc>
      </w:tr>
      <w:tr>
        <w:trPr>
          <w:trHeight w:val="221"/>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1,261,584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1,021,157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1,930,351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733,947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997,002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889,689</w:t>
            </w: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Restricted cash at end of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215,672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264,582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131,468</w:t>
            </w:r>
          </w:p>
        </w:tc>
        <w:tc>
          <w:tcPr>
            <w:tcW w:w="0" w:type="dxa"/>
            <w:vAlign w:val="bottom"/>
          </w:tcPr>
          <w:p>
            <w:pPr>
              <w:spacing w:after="0"/>
              <w:rPr>
                <w:sz w:val="1"/>
                <w:szCs w:val="1"/>
                <w:color w:val="auto"/>
              </w:rPr>
            </w:pPr>
          </w:p>
        </w:tc>
      </w:tr>
      <w:tr>
        <w:trPr>
          <w:trHeight w:val="221"/>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949,619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1,261,584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1,021,157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payments for interest (excluding capitalized interest) and interest rate cap premiums</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322,774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381,410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252,371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payments for income taxes</w:t>
            </w: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7,608</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10,365</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7,947</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Information:</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6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Redeemable Class A unit measurement adjustment</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(226,586)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(138,114)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221,145</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Write-off of fully depreciated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(122,548)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(82,343)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(278,561)</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capital expenditures included in accounts payable and accrued expenses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39,784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52,091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104,750</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Reclassification of assets held for sale (included in "other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consolidated interest rate hedges and other</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190,494</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Initial investment in Sunset Pier 94 Joint Venture upon contribution of leasehold interest</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50,090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Decrease in assets and liabilities resulting from the deconsolidation of Pier 94:</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Real estate</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Right-of-use assets</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9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Lease liabilities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(20,692)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estimated lease liability arising from the recognition of right-of-use asset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0" w:type="dxa"/>
            <w:vAlign w:val="bottom"/>
          </w:tcPr>
          <w:p>
            <w:pPr>
              <w:spacing w:after="0"/>
              <w:rPr>
                <w:sz w:val="1"/>
                <w:szCs w:val="1"/>
                <w:color w:val="auto"/>
              </w:rPr>
            </w:pPr>
          </w:p>
        </w:tc>
      </w:tr>
      <w:tr>
        <w:trPr>
          <w:trHeight w:val="182"/>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Reclassification of condominium units from "development costs and construction in progress" to "other assets"</w:t>
            </w:r>
          </w:p>
        </w:tc>
        <w:tc>
          <w:tcPr>
            <w:tcW w:w="3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32,604</w:t>
            </w:r>
          </w:p>
        </w:tc>
        <w:tc>
          <w:tcPr>
            <w:tcW w:w="0" w:type="dxa"/>
            <w:vAlign w:val="bottom"/>
          </w:tcPr>
          <w:p>
            <w:pPr>
              <w:spacing w:after="0"/>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69" w:name="page70"/>
    <w:bookmarkEnd w:id="69"/>
    <w:p>
      <w:pPr>
        <w:ind w:right="2620" w:firstLine="2630"/>
        <w:spacing w:after="0" w:line="408"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Partners of Vornado Realty L.P. and the Board of Trustees of Vornado Realty Trust </w:t>
      </w:r>
      <w:r>
        <w:rPr>
          <w:rFonts w:ascii="Times New Roman" w:cs="Times New Roman" w:eastAsia="Times New Roman" w:hAnsi="Times New Roman"/>
          <w:sz w:val="17"/>
          <w:szCs w:val="17"/>
          <w:b w:val="1"/>
          <w:bCs w:val="1"/>
          <w:color w:val="auto"/>
        </w:rPr>
        <w:t>Opinion on the Financial Statements</w:t>
      </w:r>
    </w:p>
    <w:p>
      <w:pPr>
        <w:spacing w:after="0" w:line="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Vornado Realty L.P. and subsidiaries (the “Partnership”) as of December 31, 2024 and 2023, the related consolidated statements of income, comprehensive income, changes in equity, and cash flows, for each of the three years in the period ended December 31, 2024, and the related notes and the schedule listed in the Index at Item 15 (collectively referred to as the “financial statements”). In our opinion, the financial statements present fairly, in all material respects, the financial position of the Partnership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Partnership’s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and our report dated February 10, 2025, expressed an unqualified opinion on the Partnership’s internal control over financial reporting.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6" w:lineRule="exact"/>
        <w:rPr>
          <w:sz w:val="20"/>
          <w:szCs w:val="20"/>
          <w:color w:val="auto"/>
        </w:rPr>
      </w:pPr>
    </w:p>
    <w:p>
      <w:pPr>
        <w:ind w:right="5060"/>
        <w:spacing w:after="0" w:line="322" w:lineRule="auto"/>
        <w:rPr>
          <w:sz w:val="20"/>
          <w:szCs w:val="20"/>
          <w:color w:val="auto"/>
        </w:rPr>
      </w:pPr>
      <w:r>
        <w:rPr>
          <w:rFonts w:ascii="Times New Roman" w:cs="Times New Roman" w:eastAsia="Times New Roman" w:hAnsi="Times New Roman"/>
          <w:sz w:val="17"/>
          <w:szCs w:val="17"/>
          <w:b w:val="1"/>
          <w:bCs w:val="1"/>
          <w:color w:val="auto"/>
        </w:rPr>
        <w:t xml:space="preserve">Real Estate Recoverability Assessment – Refer to Note 2 to the financial statements </w:t>
      </w:r>
      <w:r>
        <w:rPr>
          <w:rFonts w:ascii="Times New Roman" w:cs="Times New Roman" w:eastAsia="Times New Roman" w:hAnsi="Times New Roman"/>
          <w:sz w:val="17"/>
          <w:szCs w:val="17"/>
          <w:i w:val="1"/>
          <w:iCs w:val="1"/>
          <w:color w:val="auto"/>
        </w:rPr>
        <w:t>Critical Audit Matter Description</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Partnership’s real estate properties are individually reviewed for impairment whenever events or changes in circumstances indicate that the carrying amount may not be recoverable. An impairment exists when the carrying amount of an asset exceeds the aggregate projected future cash flows over the anticipated holding period on an undiscounted basis. The recoverability assessment is determined based on projected future cash flows that utilize capitalization rates and available market information. Preparation of the Partnership’s undiscounted cash flows requires management to make significant estimates and assumptions related to future market rental rates and capitalization rates.</w:t>
      </w:r>
    </w:p>
    <w:p>
      <w:pPr>
        <w:spacing w:after="0" w:line="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identified the recoverability assessment of real estate properties as a critical audit matter because of the significant estimates and assumptions related to future market rental rates and capitalization rates. Performing audit procedures to evaluate the reasonableness of these estimates and assumptions required a high degree of auditor judgment and an increased extent of effort, including the need to involve our fair value specialists.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the recoverability assessment of real estate properties included the following, among others:</w:t>
      </w:r>
    </w:p>
    <w:p>
      <w:pPr>
        <w:spacing w:after="0" w:line="66" w:lineRule="exact"/>
        <w:rPr>
          <w:sz w:val="20"/>
          <w:szCs w:val="20"/>
          <w:color w:val="auto"/>
        </w:rPr>
      </w:pPr>
    </w:p>
    <w:p>
      <w:pPr>
        <w:ind w:left="640" w:hanging="321"/>
        <w:spacing w:after="0" w:line="268" w:lineRule="auto"/>
        <w:tabs>
          <w:tab w:leader="none" w:pos="6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management’s evaluation of recoverability of its real estate properties, including those over future market rental rates and capitalization rates used in the assessment.</w:t>
      </w:r>
    </w:p>
    <w:p>
      <w:pPr>
        <w:jc w:val="both"/>
        <w:ind w:left="640" w:hanging="321"/>
        <w:spacing w:after="0" w:line="257" w:lineRule="auto"/>
        <w:tabs>
          <w:tab w:leader="none" w:pos="6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reasonableness of future market rental rates and capitalization rates used by management with independent market data, focusing on geographical location and property type. In addition, we developed ranges of independent estimates of future market rental rates and capitalization rates and compared those to the amounts used by management.</w:t>
      </w:r>
    </w:p>
    <w:p>
      <w:pPr>
        <w:ind w:left="640" w:hanging="321"/>
        <w:spacing w:after="0" w:line="257" w:lineRule="auto"/>
        <w:tabs>
          <w:tab w:leader="none" w:pos="6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involved our fair value specialists in providing comparable market transaction details to further evaluate management’s selected future market rental rates and capitalization rates, as applicable.</w:t>
      </w:r>
    </w:p>
    <w:p>
      <w:pPr>
        <w:ind w:left="640" w:hanging="321"/>
        <w:spacing w:after="0" w:line="257" w:lineRule="auto"/>
        <w:tabs>
          <w:tab w:leader="none" w:pos="6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reasonableness of management’s projected future cash flow analyses by performing a retrospective analysis of the Partnership’s actual results compared to the prior projected future cash flow analyses.</w:t>
      </w:r>
    </w:p>
    <w:p>
      <w:pPr>
        <w:ind w:left="620" w:hanging="301"/>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whether the assumptions were consistent with evidence obtained in other areas of the audit.</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10, 2025</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Partnership’s auditor since 1997.</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71" w:name="page72"/>
    <w:bookmarkEnd w:id="71"/>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VORNADO REALTY L.P.</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unit amounts)</w:t>
            </w:r>
          </w:p>
        </w:tc>
        <w:tc>
          <w:tcPr>
            <w:tcW w:w="380" w:type="dxa"/>
            <w:vAlign w:val="bottom"/>
          </w:tcPr>
          <w:p>
            <w:pPr>
              <w:spacing w:after="0"/>
              <w:rPr>
                <w:sz w:val="16"/>
                <w:szCs w:val="16"/>
                <w:color w:val="auto"/>
              </w:rPr>
            </w:pPr>
          </w:p>
        </w:tc>
        <w:tc>
          <w:tcPr>
            <w:tcW w:w="19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8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7840" w:type="dxa"/>
            <w:vAlign w:val="bottom"/>
          </w:tcPr>
          <w:p>
            <w:pPr>
              <w:ind w:left="36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at cost:</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Land</w:t>
            </w: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2,434,209</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2,436,221</w:t>
            </w:r>
          </w:p>
        </w:tc>
        <w:tc>
          <w:tcPr>
            <w:tcW w:w="0" w:type="dxa"/>
            <w:vAlign w:val="bottom"/>
          </w:tcPr>
          <w:p>
            <w:pPr>
              <w:spacing w:after="0"/>
              <w:rPr>
                <w:sz w:val="1"/>
                <w:szCs w:val="1"/>
                <w:color w:val="auto"/>
              </w:rPr>
            </w:pPr>
          </w:p>
        </w:tc>
      </w:tr>
      <w:tr>
        <w:trPr>
          <w:trHeight w:val="189"/>
        </w:trPr>
        <w:tc>
          <w:tcPr>
            <w:tcW w:w="78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10,439,113</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9,952,954</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Development costs and construction in progress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1,097,395</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1,281,076</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Leasehold improvements and equipment</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120,915</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130,953</w:t>
            </w: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14,091,632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13,801,204</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(4,025,349)</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(3,752,827)</w:t>
            </w: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net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10,066,283</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10,048,377</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678,804</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680,044</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733,947</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997,002</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215,672</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264,582</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Tenant and other receivables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58,853</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69,543</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partially owned entities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2,691,478</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2,610,558</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Receivable arising from the straight-lining of rents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707,020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701,666</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leasing costs, net of accumulated amortization of $268,532 and $249,347</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354,882</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355,010</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Identified intangible assets, net of accumulated amortization of $75,002 and $98,589</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118,215</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127,082</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373,454</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333,801</w:t>
            </w:r>
          </w:p>
        </w:tc>
        <w:tc>
          <w:tcPr>
            <w:tcW w:w="0" w:type="dxa"/>
            <w:vAlign w:val="bottom"/>
          </w:tcPr>
          <w:p>
            <w:pPr>
              <w:spacing w:after="0"/>
              <w:rPr>
                <w:sz w:val="1"/>
                <w:szCs w:val="1"/>
                <w:color w:val="auto"/>
              </w:rPr>
            </w:pPr>
          </w:p>
        </w:tc>
      </w:tr>
      <w:tr>
        <w:trPr>
          <w:trHeight w:val="215"/>
        </w:trPr>
        <w:tc>
          <w:tcPr>
            <w:tcW w:w="78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15,998,608</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16,187,665</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Mortgages payable, net</w:t>
            </w: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5,676,014</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5,688,020</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unsecured notes, net</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1,195,914</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1,193,873</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 term loan, net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795,948</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794,559</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Unsecured revolving credit facilities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575,000</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749,759</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732,859</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374,013</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411,044</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28,424</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32,199</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compensation plan</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114,580</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105,245</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317,087</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311,132</w:t>
            </w:r>
          </w:p>
        </w:tc>
        <w:tc>
          <w:tcPr>
            <w:tcW w:w="0" w:type="dxa"/>
            <w:vAlign w:val="bottom"/>
          </w:tcPr>
          <w:p>
            <w:pPr>
              <w:spacing w:after="0"/>
              <w:rPr>
                <w:sz w:val="1"/>
                <w:szCs w:val="1"/>
                <w:color w:val="auto"/>
              </w:rPr>
            </w:pPr>
          </w:p>
        </w:tc>
      </w:tr>
      <w:tr>
        <w:trPr>
          <w:trHeight w:val="183"/>
        </w:trPr>
        <w:tc>
          <w:tcPr>
            <w:tcW w:w="78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Total liabilities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9,826,739</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9,843,931</w:t>
            </w:r>
          </w:p>
        </w:tc>
        <w:tc>
          <w:tcPr>
            <w:tcW w:w="0" w:type="dxa"/>
            <w:vAlign w:val="bottom"/>
          </w:tcPr>
          <w:p>
            <w:pPr>
              <w:spacing w:after="0"/>
              <w:rPr>
                <w:sz w:val="1"/>
                <w:szCs w:val="1"/>
                <w:color w:val="auto"/>
              </w:rPr>
            </w:pPr>
          </w:p>
        </w:tc>
      </w:tr>
      <w:tr>
        <w:trPr>
          <w:trHeight w:val="18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Class A units - 16,850,803 and 17,000,030 units outstanding</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708,408</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480,251</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Series D cumulative redeemable preferred units - 141,400 units outstanding</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3,535</w:t>
            </w: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redeemable noncontrolling partnership units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711,943</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483,786</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Redeemable noncontrolling interest in a consolidated subsidiary</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122,715</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154,662</w:t>
            </w: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redeemable noncontrolling interests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834,658</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638,448</w:t>
            </w:r>
          </w:p>
        </w:tc>
        <w:tc>
          <w:tcPr>
            <w:tcW w:w="0" w:type="dxa"/>
            <w:vAlign w:val="bottom"/>
          </w:tcPr>
          <w:p>
            <w:pPr>
              <w:spacing w:after="0"/>
              <w:rPr>
                <w:sz w:val="1"/>
                <w:szCs w:val="1"/>
                <w:color w:val="auto"/>
              </w:rPr>
            </w:pPr>
          </w:p>
        </w:tc>
      </w:tr>
      <w:tr>
        <w:trPr>
          <w:trHeight w:val="16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Partners' equity:</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Partners' capital</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9,242,791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9,453,344</w:t>
            </w:r>
          </w:p>
        </w:tc>
        <w:tc>
          <w:tcPr>
            <w:tcW w:w="0" w:type="dxa"/>
            <w:vAlign w:val="bottom"/>
          </w:tcPr>
          <w:p>
            <w:pPr>
              <w:spacing w:after="0"/>
              <w:rPr>
                <w:sz w:val="1"/>
                <w:szCs w:val="1"/>
                <w:color w:val="auto"/>
              </w:rPr>
            </w:pPr>
          </w:p>
        </w:tc>
      </w:tr>
      <w:tr>
        <w:trPr>
          <w:trHeight w:val="189"/>
        </w:trPr>
        <w:tc>
          <w:tcPr>
            <w:tcW w:w="7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Earnings less than distributions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(4,142,249)</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(4,009,395)</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57,700</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65,115</w:t>
            </w:r>
          </w:p>
        </w:tc>
        <w:tc>
          <w:tcPr>
            <w:tcW w:w="0" w:type="dxa"/>
            <w:vAlign w:val="bottom"/>
          </w:tcPr>
          <w:p>
            <w:pPr>
              <w:spacing w:after="0"/>
              <w:rPr>
                <w:sz w:val="1"/>
                <w:szCs w:val="1"/>
                <w:color w:val="auto"/>
              </w:rPr>
            </w:pPr>
          </w:p>
        </w:tc>
      </w:tr>
      <w:tr>
        <w:trPr>
          <w:trHeight w:val="183"/>
        </w:trPr>
        <w:tc>
          <w:tcPr>
            <w:tcW w:w="78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partners' equity</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5,158,242</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5,509,064</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 in consolidated subsidiaries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178,969</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196,222</w:t>
            </w:r>
          </w:p>
        </w:tc>
        <w:tc>
          <w:tcPr>
            <w:tcW w:w="0" w:type="dxa"/>
            <w:vAlign w:val="bottom"/>
          </w:tcPr>
          <w:p>
            <w:pPr>
              <w:spacing w:after="0"/>
              <w:rPr>
                <w:sz w:val="1"/>
                <w:szCs w:val="1"/>
                <w:color w:val="auto"/>
              </w:rPr>
            </w:pPr>
          </w:p>
        </w:tc>
      </w:tr>
      <w:tr>
        <w:trPr>
          <w:trHeight w:val="183"/>
        </w:trPr>
        <w:tc>
          <w:tcPr>
            <w:tcW w:w="78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equity</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5,337,211</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5,705,286</w:t>
            </w:r>
          </w:p>
        </w:tc>
        <w:tc>
          <w:tcPr>
            <w:tcW w:w="0" w:type="dxa"/>
            <w:vAlign w:val="bottom"/>
          </w:tcPr>
          <w:p>
            <w:pPr>
              <w:spacing w:after="0"/>
              <w:rPr>
                <w:sz w:val="1"/>
                <w:szCs w:val="1"/>
                <w:color w:val="auto"/>
              </w:rPr>
            </w:pPr>
          </w:p>
        </w:tc>
      </w:tr>
      <w:tr>
        <w:trPr>
          <w:trHeight w:val="215"/>
        </w:trPr>
        <w:tc>
          <w:tcPr>
            <w:tcW w:w="78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15,998,608</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16,187,665</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40" w:top="643" w:right="339" w:bottom="1440" w:gutter="0" w:footer="0" w:header="0"/>
        </w:sectPr>
      </w:pPr>
    </w:p>
    <w:bookmarkStart w:id="72" w:name="page73"/>
    <w:bookmarkEnd w:id="72"/>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VORNADO REALTY L.P.</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CONSOLIDATED STATEMENTS OF INCOME</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unit amounts)</w:t>
            </w:r>
          </w:p>
        </w:tc>
        <w:tc>
          <w:tcPr>
            <w:tcW w:w="360" w:type="dxa"/>
            <w:vAlign w:val="bottom"/>
          </w:tcPr>
          <w:p>
            <w:pPr>
              <w:spacing w:after="0"/>
              <w:rPr>
                <w:sz w:val="16"/>
                <w:szCs w:val="16"/>
                <w:color w:val="auto"/>
              </w:rPr>
            </w:pPr>
          </w:p>
        </w:tc>
        <w:tc>
          <w:tcPr>
            <w:tcW w:w="332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3"/>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Rental revenues</w:t>
            </w: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1,568,806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1,607,486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1,607,685</w:t>
            </w: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Fee and other income</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218,880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203,677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192,310</w:t>
            </w: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1,787,686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1,811,163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1,799,995</w:t>
            </w:r>
          </w:p>
        </w:tc>
        <w:tc>
          <w:tcPr>
            <w:tcW w:w="0" w:type="dxa"/>
            <w:vAlign w:val="bottom"/>
          </w:tcPr>
          <w:p>
            <w:pPr>
              <w:spacing w:after="0"/>
              <w:rPr>
                <w:sz w:val="1"/>
                <w:szCs w:val="1"/>
                <w:color w:val="auto"/>
              </w:rPr>
            </w:pPr>
          </w:p>
        </w:tc>
      </w:tr>
      <w:tr>
        <w:trPr>
          <w:trHeight w:val="170"/>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(927,796)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(905,158)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(873,911)</w:t>
            </w:r>
          </w:p>
        </w:tc>
        <w:tc>
          <w:tcPr>
            <w:tcW w:w="0" w:type="dxa"/>
            <w:vAlign w:val="bottom"/>
          </w:tcPr>
          <w:p>
            <w:pPr>
              <w:spacing w:after="0"/>
              <w:rPr>
                <w:sz w:val="1"/>
                <w:szCs w:val="1"/>
                <w:color w:val="auto"/>
              </w:rPr>
            </w:pPr>
          </w:p>
        </w:tc>
      </w:tr>
      <w:tr>
        <w:trPr>
          <w:trHeight w:val="189"/>
        </w:trPr>
        <w:tc>
          <w:tcPr>
            <w:tcW w:w="6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(447,500)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(434,273)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(504,502)</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(148,520)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(162,883)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(133,731)</w:t>
            </w:r>
          </w:p>
        </w:tc>
        <w:tc>
          <w:tcPr>
            <w:tcW w:w="0" w:type="dxa"/>
            <w:vAlign w:val="bottom"/>
          </w:tcPr>
          <w:p>
            <w:pPr>
              <w:spacing w:after="0"/>
              <w:rPr>
                <w:sz w:val="1"/>
                <w:szCs w:val="1"/>
                <w:color w:val="auto"/>
              </w:rPr>
            </w:pPr>
          </w:p>
        </w:tc>
      </w:tr>
      <w:tr>
        <w:trPr>
          <w:trHeight w:val="189"/>
        </w:trPr>
        <w:tc>
          <w:tcPr>
            <w:tcW w:w="6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(Expense) benefit from deferred compensation plan liability</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9,617</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Transaction related costs, impairment losses and other</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(50,691)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(31,722)</w:t>
            </w:r>
          </w:p>
        </w:tc>
        <w:tc>
          <w:tcPr>
            <w:tcW w:w="0" w:type="dxa"/>
            <w:vAlign w:val="bottom"/>
          </w:tcPr>
          <w:p>
            <w:pPr>
              <w:spacing w:after="0"/>
              <w:rPr>
                <w:sz w:val="1"/>
                <w:szCs w:val="1"/>
                <w:color w:val="auto"/>
              </w:rPr>
            </w:pPr>
          </w:p>
        </w:tc>
      </w:tr>
      <w:tr>
        <w:trPr>
          <w:trHeight w:val="183"/>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(1,541,696)</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(1,565,167)</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(1,534,249)</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partially owned entities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112,464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(461,351)</w:t>
            </w:r>
          </w:p>
        </w:tc>
        <w:tc>
          <w:tcPr>
            <w:tcW w:w="0" w:type="dxa"/>
            <w:vAlign w:val="bottom"/>
          </w:tcPr>
          <w:p>
            <w:pPr>
              <w:spacing w:after="0"/>
              <w:rPr>
                <w:sz w:val="1"/>
                <w:szCs w:val="1"/>
                <w:color w:val="auto"/>
              </w:rPr>
            </w:pPr>
          </w:p>
        </w:tc>
      </w:tr>
      <w:tr>
        <w:trPr>
          <w:trHeight w:val="189"/>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investment income, net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45,974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43,287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23,410</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deferred compensation plan assets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(9,617)</w:t>
            </w:r>
          </w:p>
        </w:tc>
        <w:tc>
          <w:tcPr>
            <w:tcW w:w="0" w:type="dxa"/>
            <w:vAlign w:val="bottom"/>
          </w:tcPr>
          <w:p>
            <w:pPr>
              <w:spacing w:after="0"/>
              <w:rPr>
                <w:sz w:val="1"/>
                <w:szCs w:val="1"/>
                <w:color w:val="auto"/>
              </w:rPr>
            </w:pPr>
          </w:p>
        </w:tc>
      </w:tr>
      <w:tr>
        <w:trPr>
          <w:trHeight w:val="189"/>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debt expense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(390,269)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(349,223)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(279,765)</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16,048</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71,199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100,625</w:t>
            </w:r>
          </w:p>
        </w:tc>
        <w:tc>
          <w:tcPr>
            <w:tcW w:w="0" w:type="dxa"/>
            <w:vAlign w:val="bottom"/>
          </w:tcPr>
          <w:p>
            <w:pPr>
              <w:spacing w:after="0"/>
              <w:rPr>
                <w:sz w:val="1"/>
                <w:szCs w:val="1"/>
                <w:color w:val="auto"/>
              </w:rPr>
            </w:pPr>
          </w:p>
        </w:tc>
      </w:tr>
      <w:tr>
        <w:trPr>
          <w:trHeight w:val="183"/>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42,845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(360,952)</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(22,729)</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(21,660)</w:t>
            </w:r>
          </w:p>
        </w:tc>
        <w:tc>
          <w:tcPr>
            <w:tcW w:w="0" w:type="dxa"/>
            <w:vAlign w:val="bottom"/>
          </w:tcPr>
          <w:p>
            <w:pPr>
              <w:spacing w:after="0"/>
              <w:rPr>
                <w:sz w:val="1"/>
                <w:szCs w:val="1"/>
                <w:color w:val="auto"/>
              </w:rPr>
            </w:pPr>
          </w:p>
        </w:tc>
      </w:tr>
      <w:tr>
        <w:trPr>
          <w:trHeight w:val="183"/>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32,888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(382,612)</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attributable to noncontrolling interests in consolidated subsidiaries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51,131</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75,967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5,737</w:t>
            </w:r>
          </w:p>
        </w:tc>
        <w:tc>
          <w:tcPr>
            <w:tcW w:w="0" w:type="dxa"/>
            <w:vAlign w:val="bottom"/>
          </w:tcPr>
          <w:p>
            <w:pPr>
              <w:spacing w:after="0"/>
              <w:rPr>
                <w:sz w:val="1"/>
                <w:szCs w:val="1"/>
                <w:color w:val="auto"/>
              </w:rPr>
            </w:pPr>
          </w:p>
        </w:tc>
      </w:tr>
      <w:tr>
        <w:trPr>
          <w:trHeight w:val="183"/>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Vornado Realty L.P.</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71,247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108,855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(376,875)</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unit distributions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(62,227)</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(62,231)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(62,231)</w:t>
            </w:r>
          </w:p>
        </w:tc>
        <w:tc>
          <w:tcPr>
            <w:tcW w:w="0" w:type="dxa"/>
            <w:vAlign w:val="bottom"/>
          </w:tcPr>
          <w:p>
            <w:pPr>
              <w:spacing w:after="0"/>
              <w:rPr>
                <w:sz w:val="1"/>
                <w:szCs w:val="1"/>
                <w:color w:val="auto"/>
              </w:rPr>
            </w:pPr>
          </w:p>
        </w:tc>
      </w:tr>
      <w:tr>
        <w:trPr>
          <w:trHeight w:val="163"/>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Class A unitholders</w:t>
            </w:r>
          </w:p>
        </w:tc>
        <w:tc>
          <w:tcPr>
            <w:tcW w:w="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9,020</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46,624</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(439,106)</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PER CLASS A UNIT - BASIC:</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6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3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income (loss) per Class A unit</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Weighted average units outstanding</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204,981</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205,105</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205,315</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PER CLASS A UNIT - DILUTED:</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6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3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income (loss) per Class A unit</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Weighted average units outstanding</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211,068</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205,956</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205,315</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40" w:top="643" w:right="339" w:bottom="1440" w:gutter="0" w:footer="0" w:header="0"/>
        </w:sectPr>
      </w:pPr>
    </w:p>
    <w:bookmarkStart w:id="73" w:name="page74"/>
    <w:bookmarkEnd w:id="73"/>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000" w:type="dxa"/>
            <w:vAlign w:val="bottom"/>
          </w:tcPr>
          <w:p>
            <w:pPr>
              <w:spacing w:after="0"/>
              <w:rPr>
                <w:sz w:val="16"/>
                <w:szCs w:val="16"/>
                <w:color w:val="auto"/>
              </w:rPr>
            </w:pPr>
          </w:p>
        </w:tc>
        <w:tc>
          <w:tcPr>
            <w:tcW w:w="268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4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(382,612)</w:t>
            </w:r>
          </w:p>
        </w:tc>
        <w:tc>
          <w:tcPr>
            <w:tcW w:w="0" w:type="dxa"/>
            <w:vAlign w:val="bottom"/>
          </w:tcPr>
          <w:p>
            <w:pPr>
              <w:spacing w:after="0"/>
              <w:rPr>
                <w:sz w:val="1"/>
                <w:szCs w:val="1"/>
                <w:color w:val="auto"/>
              </w:rPr>
            </w:pPr>
          </w:p>
        </w:tc>
      </w:tr>
      <w:tr>
        <w:trPr>
          <w:trHeight w:val="189"/>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comprehensive (loss) income of nonconsolidated subsidiaries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18,874</w:t>
            </w:r>
          </w:p>
        </w:tc>
        <w:tc>
          <w:tcPr>
            <w:tcW w:w="0" w:type="dxa"/>
            <w:vAlign w:val="bottom"/>
          </w:tcPr>
          <w:p>
            <w:pPr>
              <w:spacing w:after="0"/>
              <w:rPr>
                <w:sz w:val="1"/>
                <w:szCs w:val="1"/>
                <w:color w:val="auto"/>
              </w:rPr>
            </w:pPr>
          </w:p>
        </w:tc>
      </w:tr>
      <w:tr>
        <w:trPr>
          <w:trHeight w:val="190"/>
        </w:trPr>
        <w:tc>
          <w:tcPr>
            <w:tcW w:w="64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Change in fair value of interest rate swaps and other</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(112,051)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190,493</w:t>
            </w: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(87,449)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(173,245)</w:t>
            </w:r>
          </w:p>
        </w:tc>
        <w:tc>
          <w:tcPr>
            <w:tcW w:w="0" w:type="dxa"/>
            <w:vAlign w:val="bottom"/>
          </w:tcPr>
          <w:p>
            <w:pPr>
              <w:spacing w:after="0"/>
              <w:rPr>
                <w:sz w:val="1"/>
                <w:szCs w:val="1"/>
                <w:color w:val="auto"/>
              </w:rPr>
            </w:pPr>
          </w:p>
        </w:tc>
      </w:tr>
      <w:tr>
        <w:trPr>
          <w:trHeight w:val="135"/>
        </w:trPr>
        <w:tc>
          <w:tcPr>
            <w:tcW w:w="64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Less comprehensive loss attributable to noncontrolling interests in consolidated</w:t>
            </w:r>
          </w:p>
        </w:tc>
        <w:tc>
          <w:tcPr>
            <w:tcW w:w="10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49,043</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79,686</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3,121</w:t>
            </w:r>
          </w:p>
        </w:tc>
        <w:tc>
          <w:tcPr>
            <w:tcW w:w="0" w:type="dxa"/>
            <w:vAlign w:val="bottom"/>
          </w:tcPr>
          <w:p>
            <w:pPr>
              <w:spacing w:after="0"/>
              <w:rPr>
                <w:sz w:val="1"/>
                <w:szCs w:val="1"/>
                <w:color w:val="auto"/>
              </w:rPr>
            </w:pPr>
          </w:p>
        </w:tc>
      </w:tr>
      <w:tr>
        <w:trPr>
          <w:trHeight w:val="188"/>
        </w:trPr>
        <w:tc>
          <w:tcPr>
            <w:tcW w:w="6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subsidiaries</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 attributable to Vornado Realty L.P.</w:t>
            </w:r>
          </w:p>
        </w:tc>
        <w:tc>
          <w:tcPr>
            <w:tcW w:w="100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63,114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(170,124)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74" w:name="page75"/>
    <w:bookmarkEnd w:id="74"/>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 thousands, except per unit amount)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Non-</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Class A Units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8"/>
              </w:rPr>
              <w:t>controlling</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3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vMerge w:val="restart"/>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4"/>
                <w:szCs w:val="4"/>
                <w:color w:val="auto"/>
              </w:rPr>
            </w:pPr>
          </w:p>
        </w:tc>
        <w:tc>
          <w:tcPr>
            <w:tcW w:w="1180" w:type="dxa"/>
            <w:vAlign w:val="bottom"/>
            <w:gridSpan w:val="2"/>
            <w:vMerge w:val="restart"/>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4"/>
                <w:szCs w:val="4"/>
                <w:color w:val="auto"/>
              </w:rPr>
            </w:pPr>
          </w:p>
        </w:tc>
        <w:tc>
          <w:tcPr>
            <w:tcW w:w="1100" w:type="dxa"/>
            <w:vAlign w:val="bottom"/>
            <w:gridSpan w:val="2"/>
            <w:vMerge w:val="restart"/>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9"/>
              </w:rPr>
              <w:t>Interests in</w:t>
            </w: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3180" w:type="dxa"/>
            <w:vAlign w:val="bottom"/>
          </w:tcPr>
          <w:p>
            <w:pPr>
              <w:spacing w:after="0"/>
              <w:rPr>
                <w:sz w:val="6"/>
                <w:szCs w:val="6"/>
                <w:color w:val="auto"/>
              </w:rPr>
            </w:pPr>
          </w:p>
        </w:tc>
        <w:tc>
          <w:tcPr>
            <w:tcW w:w="1560" w:type="dxa"/>
            <w:vAlign w:val="bottom"/>
            <w:gridSpan w:val="4"/>
            <w:vMerge w:val="restart"/>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Preferred Units</w:t>
            </w:r>
          </w:p>
        </w:tc>
        <w:tc>
          <w:tcPr>
            <w:tcW w:w="120" w:type="dxa"/>
            <w:vAlign w:val="bottom"/>
            <w:vMerge w:val="restart"/>
          </w:tcPr>
          <w:p>
            <w:pPr>
              <w:spacing w:after="0"/>
              <w:rPr>
                <w:sz w:val="6"/>
                <w:szCs w:val="6"/>
                <w:color w:val="auto"/>
              </w:rPr>
            </w:pPr>
          </w:p>
        </w:tc>
        <w:tc>
          <w:tcPr>
            <w:tcW w:w="16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Owned by Vornado</w:t>
            </w:r>
          </w:p>
        </w:tc>
        <w:tc>
          <w:tcPr>
            <w:tcW w:w="10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180" w:type="dxa"/>
            <w:vAlign w:val="bottom"/>
          </w:tcPr>
          <w:p>
            <w:pPr>
              <w:spacing w:after="0"/>
              <w:rPr>
                <w:sz w:val="8"/>
                <w:szCs w:val="8"/>
                <w:color w:val="auto"/>
              </w:rPr>
            </w:pPr>
          </w:p>
        </w:tc>
        <w:tc>
          <w:tcPr>
            <w:tcW w:w="15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4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tcPr>
          <w:p>
            <w:pPr>
              <w:jc w:val="center"/>
              <w:ind w:right="220"/>
              <w:spacing w:after="0" w:line="100"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120" w:type="dxa"/>
            <w:vAlign w:val="bottom"/>
          </w:tcPr>
          <w:p>
            <w:pPr>
              <w:spacing w:after="0"/>
              <w:rPr>
                <w:sz w:val="8"/>
                <w:szCs w:val="8"/>
                <w:color w:val="auto"/>
              </w:rPr>
            </w:pPr>
          </w:p>
        </w:tc>
        <w:tc>
          <w:tcPr>
            <w:tcW w:w="1180" w:type="dxa"/>
            <w:vAlign w:val="bottom"/>
            <w:gridSpan w:val="2"/>
          </w:tcPr>
          <w:p>
            <w:pPr>
              <w:jc w:val="center"/>
              <w:ind w:right="220"/>
              <w:spacing w:after="0" w:line="10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40" w:type="dxa"/>
            <w:vAlign w:val="bottom"/>
          </w:tcPr>
          <w:p>
            <w:pPr>
              <w:spacing w:after="0"/>
              <w:rPr>
                <w:sz w:val="8"/>
                <w:szCs w:val="8"/>
                <w:color w:val="auto"/>
              </w:rPr>
            </w:pPr>
          </w:p>
        </w:tc>
        <w:tc>
          <w:tcPr>
            <w:tcW w:w="1100" w:type="dxa"/>
            <w:vAlign w:val="bottom"/>
            <w:gridSpan w:val="2"/>
          </w:tcPr>
          <w:p>
            <w:pPr>
              <w:jc w:val="center"/>
              <w:ind w:right="240"/>
              <w:spacing w:after="0" w:line="100" w:lineRule="exact"/>
              <w:rPr>
                <w:sz w:val="20"/>
                <w:szCs w:val="20"/>
                <w:color w:val="auto"/>
              </w:rPr>
            </w:pPr>
            <w:r>
              <w:rPr>
                <w:rFonts w:ascii="Times New Roman" w:cs="Times New Roman" w:eastAsia="Times New Roman" w:hAnsi="Times New Roman"/>
                <w:sz w:val="11"/>
                <w:szCs w:val="11"/>
                <w:b w:val="1"/>
                <w:bCs w:val="1"/>
                <w:color w:val="auto"/>
              </w:rPr>
              <w:t>Consolidated</w:t>
            </w:r>
          </w:p>
        </w:tc>
        <w:tc>
          <w:tcPr>
            <w:tcW w:w="160" w:type="dxa"/>
            <w:vAlign w:val="bottom"/>
          </w:tcPr>
          <w:p>
            <w:pPr>
              <w:spacing w:after="0"/>
              <w:rPr>
                <w:sz w:val="8"/>
                <w:szCs w:val="8"/>
                <w:color w:val="auto"/>
              </w:rPr>
            </w:pPr>
          </w:p>
        </w:tc>
        <w:tc>
          <w:tcPr>
            <w:tcW w:w="720" w:type="dxa"/>
            <w:vAlign w:val="bottom"/>
          </w:tcPr>
          <w:p>
            <w:pPr>
              <w:jc w:val="right"/>
              <w:ind w:right="235"/>
              <w:spacing w:after="0" w:line="100"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60" w:type="dxa"/>
            <w:vAlign w:val="bottom"/>
          </w:tcPr>
          <w:p>
            <w:pPr>
              <w:spacing w:after="0"/>
              <w:rPr>
                <w:sz w:val="16"/>
                <w:szCs w:val="16"/>
                <w:color w:val="auto"/>
              </w:rPr>
            </w:pPr>
          </w:p>
        </w:tc>
        <w:tc>
          <w:tcPr>
            <w:tcW w:w="720" w:type="dxa"/>
            <w:vAlign w:val="bottom"/>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2"/>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48,793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1,182,459</w:t>
            </w: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190,391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8,270,885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(4,009,395)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65,115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196,222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5,705,286</w:t>
            </w:r>
          </w:p>
        </w:tc>
        <w:tc>
          <w:tcPr>
            <w:tcW w:w="0" w:type="dxa"/>
            <w:vAlign w:val="bottom"/>
          </w:tcPr>
          <w:p>
            <w:pPr>
              <w:spacing w:after="0"/>
              <w:rPr>
                <w:sz w:val="1"/>
                <w:szCs w:val="1"/>
                <w:color w:val="auto"/>
              </w:rPr>
            </w:pPr>
          </w:p>
        </w:tc>
      </w:tr>
      <w:tr>
        <w:trPr>
          <w:trHeight w:val="177"/>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attributable to Vornado Realty L.P.</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71,247</w:t>
            </w:r>
          </w:p>
        </w:tc>
        <w:tc>
          <w:tcPr>
            <w:tcW w:w="0" w:type="dxa"/>
            <w:vAlign w:val="bottom"/>
          </w:tcPr>
          <w:p>
            <w:pPr>
              <w:spacing w:after="0"/>
              <w:rPr>
                <w:sz w:val="1"/>
                <w:szCs w:val="1"/>
                <w:color w:val="auto"/>
              </w:rPr>
            </w:pPr>
          </w:p>
        </w:tc>
      </w:tr>
      <w:tr>
        <w:trPr>
          <w:trHeight w:val="19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attributable to redeemable partnership units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0" w:type="dxa"/>
            <w:vAlign w:val="bottom"/>
          </w:tcPr>
          <w:p>
            <w:pPr>
              <w:spacing w:after="0"/>
              <w:rPr>
                <w:sz w:val="1"/>
                <w:szCs w:val="1"/>
                <w:color w:val="auto"/>
              </w:rPr>
            </w:pPr>
          </w:p>
        </w:tc>
      </w:tr>
      <w:tr>
        <w:trPr>
          <w:trHeight w:val="131"/>
        </w:trPr>
        <w:tc>
          <w:tcPr>
            <w:tcW w:w="31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Net loss attributable to nonredeemable noncontrolling</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(19,964)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(19,964)</w:t>
            </w:r>
          </w:p>
        </w:tc>
        <w:tc>
          <w:tcPr>
            <w:tcW w:w="0" w:type="dxa"/>
            <w:vAlign w:val="bottom"/>
          </w:tcPr>
          <w:p>
            <w:pPr>
              <w:spacing w:after="0"/>
              <w:rPr>
                <w:sz w:val="1"/>
                <w:szCs w:val="1"/>
                <w:color w:val="auto"/>
              </w:rPr>
            </w:pPr>
          </w:p>
        </w:tc>
      </w:tr>
      <w:tr>
        <w:trPr>
          <w:trHeight w:val="177"/>
        </w:trPr>
        <w:tc>
          <w:tcPr>
            <w:tcW w:w="3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interests in consolidated subsidiaries</w:t>
            </w: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Vornado ($0.74 per unit)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(141,103)</w:t>
            </w:r>
          </w:p>
        </w:tc>
        <w:tc>
          <w:tcPr>
            <w:tcW w:w="0" w:type="dxa"/>
            <w:vAlign w:val="bottom"/>
          </w:tcPr>
          <w:p>
            <w:pPr>
              <w:spacing w:after="0"/>
              <w:rPr>
                <w:sz w:val="1"/>
                <w:szCs w:val="1"/>
                <w:color w:val="auto"/>
              </w:rPr>
            </w:pPr>
          </w:p>
        </w:tc>
      </w:tr>
      <w:tr>
        <w:trPr>
          <w:trHeight w:val="131"/>
        </w:trPr>
        <w:tc>
          <w:tcPr>
            <w:tcW w:w="31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Distributions to preferred unitholders (see Note 10 for</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(62,112)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(62,112)</w:t>
            </w:r>
          </w:p>
        </w:tc>
        <w:tc>
          <w:tcPr>
            <w:tcW w:w="0" w:type="dxa"/>
            <w:vAlign w:val="bottom"/>
          </w:tcPr>
          <w:p>
            <w:pPr>
              <w:spacing w:after="0"/>
              <w:rPr>
                <w:sz w:val="1"/>
                <w:szCs w:val="1"/>
                <w:color w:val="auto"/>
              </w:rPr>
            </w:pPr>
          </w:p>
        </w:tc>
      </w:tr>
      <w:tr>
        <w:trPr>
          <w:trHeight w:val="177"/>
        </w:trPr>
        <w:tc>
          <w:tcPr>
            <w:tcW w:w="3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 per unit amounts)</w:t>
            </w: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Class A units redeemed for common shares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15,912</w:t>
            </w:r>
          </w:p>
        </w:tc>
        <w:tc>
          <w:tcPr>
            <w:tcW w:w="0" w:type="dxa"/>
            <w:vAlign w:val="bottom"/>
          </w:tcPr>
          <w:p>
            <w:pPr>
              <w:spacing w:after="0"/>
              <w:rPr>
                <w:sz w:val="1"/>
                <w:szCs w:val="1"/>
                <w:color w:val="auto"/>
              </w:rPr>
            </w:pPr>
          </w:p>
        </w:tc>
      </w:tr>
      <w:tr>
        <w:trPr>
          <w:trHeight w:val="131"/>
        </w:trPr>
        <w:tc>
          <w:tcPr>
            <w:tcW w:w="31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Conversion of Series A preferred units to</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7"/>
        </w:trPr>
        <w:tc>
          <w:tcPr>
            <w:tcW w:w="3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common shares</w:t>
            </w: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Contributions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1,961</w:t>
            </w:r>
          </w:p>
        </w:tc>
        <w:tc>
          <w:tcPr>
            <w:tcW w:w="0" w:type="dxa"/>
            <w:vAlign w:val="bottom"/>
          </w:tcPr>
          <w:p>
            <w:pPr>
              <w:spacing w:after="0"/>
              <w:rPr>
                <w:sz w:val="1"/>
                <w:szCs w:val="1"/>
                <w:color w:val="auto"/>
              </w:rPr>
            </w:pPr>
          </w:p>
        </w:tc>
      </w:tr>
      <w:tr>
        <w:trPr>
          <w:trHeight w:val="177"/>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0" w:type="dxa"/>
            <w:vAlign w:val="bottom"/>
          </w:tcPr>
          <w:p>
            <w:pPr>
              <w:spacing w:after="0"/>
              <w:rPr>
                <w:sz w:val="1"/>
                <w:szCs w:val="1"/>
                <w:color w:val="auto"/>
              </w:rPr>
            </w:pPr>
          </w:p>
        </w:tc>
      </w:tr>
      <w:tr>
        <w:trPr>
          <w:trHeight w:val="137"/>
        </w:trPr>
        <w:tc>
          <w:tcPr>
            <w:tcW w:w="31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Other comprehensive loss of nonconsolidated</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(6,992)</w:t>
            </w:r>
          </w:p>
        </w:tc>
        <w:tc>
          <w:tcPr>
            <w:tcW w:w="0" w:type="dxa"/>
            <w:vAlign w:val="bottom"/>
          </w:tcPr>
          <w:p>
            <w:pPr>
              <w:spacing w:after="0"/>
              <w:rPr>
                <w:sz w:val="1"/>
                <w:szCs w:val="1"/>
                <w:color w:val="auto"/>
              </w:rPr>
            </w:pPr>
          </w:p>
        </w:tc>
      </w:tr>
      <w:tr>
        <w:trPr>
          <w:trHeight w:val="183"/>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subsidiaries</w:t>
            </w: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1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Change in fair value of consolidated interest rate hedges</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947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947</w:t>
            </w:r>
          </w:p>
        </w:tc>
        <w:tc>
          <w:tcPr>
            <w:tcW w:w="0" w:type="dxa"/>
            <w:vAlign w:val="bottom"/>
          </w:tcPr>
          <w:p>
            <w:pPr>
              <w:spacing w:after="0"/>
              <w:rPr>
                <w:sz w:val="1"/>
                <w:szCs w:val="1"/>
                <w:color w:val="auto"/>
              </w:rPr>
            </w:pPr>
          </w:p>
        </w:tc>
      </w:tr>
      <w:tr>
        <w:trPr>
          <w:trHeight w:val="177"/>
        </w:trPr>
        <w:tc>
          <w:tcPr>
            <w:tcW w:w="3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and other</w:t>
            </w: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Redeemable Class A unit measurement adjustment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(226,612)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(226,586)</w:t>
            </w:r>
          </w:p>
        </w:tc>
        <w:tc>
          <w:tcPr>
            <w:tcW w:w="0" w:type="dxa"/>
            <w:vAlign w:val="bottom"/>
          </w:tcPr>
          <w:p>
            <w:pPr>
              <w:spacing w:after="0"/>
              <w:rPr>
                <w:sz w:val="1"/>
                <w:szCs w:val="1"/>
                <w:color w:val="auto"/>
              </w:rPr>
            </w:pPr>
          </w:p>
        </w:tc>
      </w:tr>
      <w:tr>
        <w:trPr>
          <w:trHeight w:val="131"/>
        </w:trPr>
        <w:tc>
          <w:tcPr>
            <w:tcW w:w="31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Other comprehensive loss (income) attributable to</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noncontrolling interests in:</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Redeemable partnership units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0" w:type="dxa"/>
            <w:vAlign w:val="bottom"/>
          </w:tcPr>
          <w:p>
            <w:pPr>
              <w:spacing w:after="0"/>
              <w:rPr>
                <w:sz w:val="1"/>
                <w:szCs w:val="1"/>
                <w:color w:val="auto"/>
              </w:rPr>
            </w:pPr>
          </w:p>
        </w:tc>
      </w:tr>
      <w:tr>
        <w:trPr>
          <w:trHeight w:val="177"/>
        </w:trPr>
        <w:tc>
          <w:tcPr>
            <w:tcW w:w="31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83"/>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48,789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1,182,364</w:t>
            </w:r>
          </w:p>
        </w:tc>
        <w:tc>
          <w:tcPr>
            <w:tcW w:w="12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190,847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8,060,427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(4,142,249)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57,700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178,969</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5,337,211</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75" w:name="page76"/>
    <w:bookmarkEnd w:id="75"/>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VORNADO REALTY L.P.</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(Amounts in thousands, except per unit amount)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Non-</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5"/>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Class A Units</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3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restart"/>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4"/>
                <w:szCs w:val="4"/>
                <w:color w:val="auto"/>
              </w:rPr>
            </w:pPr>
          </w:p>
        </w:tc>
        <w:tc>
          <w:tcPr>
            <w:tcW w:w="1160" w:type="dxa"/>
            <w:vAlign w:val="bottom"/>
            <w:gridSpan w:val="2"/>
            <w:vMerge w:val="restart"/>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9"/>
              </w:rPr>
              <w:t>Interests in</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3100" w:type="dxa"/>
            <w:vAlign w:val="bottom"/>
          </w:tcPr>
          <w:p>
            <w:pPr>
              <w:spacing w:after="0"/>
              <w:rPr>
                <w:sz w:val="6"/>
                <w:szCs w:val="6"/>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Preferred Units</w:t>
            </w:r>
          </w:p>
        </w:tc>
        <w:tc>
          <w:tcPr>
            <w:tcW w:w="100" w:type="dxa"/>
            <w:vAlign w:val="bottom"/>
            <w:vMerge w:val="restart"/>
          </w:tcPr>
          <w:p>
            <w:pPr>
              <w:spacing w:after="0"/>
              <w:rPr>
                <w:sz w:val="6"/>
                <w:szCs w:val="6"/>
                <w:color w:val="auto"/>
              </w:rPr>
            </w:pPr>
          </w:p>
        </w:tc>
        <w:tc>
          <w:tcPr>
            <w:tcW w:w="1700" w:type="dxa"/>
            <w:vAlign w:val="bottom"/>
            <w:gridSpan w:val="4"/>
            <w:vMerge w:val="restart"/>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Owned by Vornado</w:t>
            </w:r>
          </w:p>
        </w:tc>
        <w:tc>
          <w:tcPr>
            <w:tcW w:w="10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100" w:type="dxa"/>
            <w:vAlign w:val="bottom"/>
          </w:tcPr>
          <w:p>
            <w:pPr>
              <w:spacing w:after="0"/>
              <w:rPr>
                <w:sz w:val="8"/>
                <w:szCs w:val="8"/>
                <w:color w:val="auto"/>
              </w:rPr>
            </w:pPr>
          </w:p>
        </w:tc>
        <w:tc>
          <w:tcPr>
            <w:tcW w:w="15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70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jc w:val="center"/>
              <w:ind w:right="240"/>
              <w:spacing w:after="0" w:line="100"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120" w:type="dxa"/>
            <w:vAlign w:val="bottom"/>
          </w:tcPr>
          <w:p>
            <w:pPr>
              <w:spacing w:after="0"/>
              <w:rPr>
                <w:sz w:val="8"/>
                <w:szCs w:val="8"/>
                <w:color w:val="auto"/>
              </w:rPr>
            </w:pPr>
          </w:p>
        </w:tc>
        <w:tc>
          <w:tcPr>
            <w:tcW w:w="1160" w:type="dxa"/>
            <w:vAlign w:val="bottom"/>
            <w:gridSpan w:val="2"/>
          </w:tcPr>
          <w:p>
            <w:pPr>
              <w:jc w:val="center"/>
              <w:ind w:right="240"/>
              <w:spacing w:after="0" w:line="10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8"/>
                <w:szCs w:val="8"/>
                <w:color w:val="auto"/>
              </w:rPr>
            </w:pPr>
          </w:p>
        </w:tc>
        <w:tc>
          <w:tcPr>
            <w:tcW w:w="1100" w:type="dxa"/>
            <w:vAlign w:val="bottom"/>
            <w:gridSpan w:val="2"/>
          </w:tcPr>
          <w:p>
            <w:pPr>
              <w:jc w:val="center"/>
              <w:ind w:right="240"/>
              <w:spacing w:after="0" w:line="100" w:lineRule="exact"/>
              <w:rPr>
                <w:sz w:val="20"/>
                <w:szCs w:val="20"/>
                <w:color w:val="auto"/>
              </w:rPr>
            </w:pPr>
            <w:r>
              <w:rPr>
                <w:rFonts w:ascii="Times New Roman" w:cs="Times New Roman" w:eastAsia="Times New Roman" w:hAnsi="Times New Roman"/>
                <w:sz w:val="11"/>
                <w:szCs w:val="11"/>
                <w:b w:val="1"/>
                <w:bCs w:val="1"/>
                <w:color w:val="auto"/>
              </w:rPr>
              <w:t>Consolidated</w:t>
            </w:r>
          </w:p>
        </w:tc>
        <w:tc>
          <w:tcPr>
            <w:tcW w:w="200" w:type="dxa"/>
            <w:vAlign w:val="bottom"/>
          </w:tcPr>
          <w:p>
            <w:pPr>
              <w:spacing w:after="0"/>
              <w:rPr>
                <w:sz w:val="8"/>
                <w:szCs w:val="8"/>
                <w:color w:val="auto"/>
              </w:rPr>
            </w:pPr>
          </w:p>
        </w:tc>
        <w:tc>
          <w:tcPr>
            <w:tcW w:w="800" w:type="dxa"/>
            <w:vAlign w:val="bottom"/>
          </w:tcPr>
          <w:p>
            <w:pPr>
              <w:jc w:val="right"/>
              <w:ind w:right="295"/>
              <w:spacing w:after="0" w:line="100"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90"/>
        </w:trPr>
        <w:tc>
          <w:tcPr>
            <w:tcW w:w="3100" w:type="dxa"/>
            <w:vAlign w:val="bottom"/>
          </w:tcPr>
          <w:p>
            <w:pPr>
              <w:spacing w:after="0"/>
              <w:rPr>
                <w:sz w:val="16"/>
                <w:szCs w:val="16"/>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200" w:type="dxa"/>
            <w:vAlign w:val="bottom"/>
          </w:tcPr>
          <w:p>
            <w:pPr>
              <w:spacing w:after="0"/>
              <w:rPr>
                <w:sz w:val="16"/>
                <w:szCs w:val="16"/>
                <w:color w:val="auto"/>
              </w:rPr>
            </w:pP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2"/>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48,793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1,182,459</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191,867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8,376,882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(3,894,580)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174,967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236,652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6,076,380</w:t>
            </w:r>
          </w:p>
        </w:tc>
        <w:tc>
          <w:tcPr>
            <w:tcW w:w="0" w:type="dxa"/>
            <w:vAlign w:val="bottom"/>
          </w:tcPr>
          <w:p>
            <w:pPr>
              <w:spacing w:after="0"/>
              <w:rPr>
                <w:sz w:val="1"/>
                <w:szCs w:val="1"/>
                <w:color w:val="auto"/>
              </w:rPr>
            </w:pPr>
          </w:p>
        </w:tc>
      </w:tr>
      <w:tr>
        <w:trPr>
          <w:trHeight w:val="177"/>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Vornado Realty L.P.</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108,855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108,855</w:t>
            </w: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redeemable partnership units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(3,361)</w:t>
            </w:r>
          </w:p>
        </w:tc>
        <w:tc>
          <w:tcPr>
            <w:tcW w:w="0" w:type="dxa"/>
            <w:vAlign w:val="bottom"/>
          </w:tcPr>
          <w:p>
            <w:pPr>
              <w:spacing w:after="0"/>
              <w:rPr>
                <w:sz w:val="1"/>
                <w:szCs w:val="1"/>
                <w:color w:val="auto"/>
              </w:rPr>
            </w:pPr>
          </w:p>
        </w:tc>
      </w:tr>
      <w:tr>
        <w:trPr>
          <w:trHeight w:val="131"/>
        </w:trPr>
        <w:tc>
          <w:tcPr>
            <w:tcW w:w="31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Net loss attributable to nonredeemable noncontrolling</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(36,582)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(36,582)</w:t>
            </w:r>
          </w:p>
        </w:tc>
        <w:tc>
          <w:tcPr>
            <w:tcW w:w="0" w:type="dxa"/>
            <w:vAlign w:val="bottom"/>
          </w:tcPr>
          <w:p>
            <w:pPr>
              <w:spacing w:after="0"/>
              <w:rPr>
                <w:sz w:val="1"/>
                <w:szCs w:val="1"/>
                <w:color w:val="auto"/>
              </w:rPr>
            </w:pPr>
          </w:p>
        </w:tc>
      </w:tr>
      <w:tr>
        <w:trPr>
          <w:trHeight w:val="177"/>
        </w:trPr>
        <w:tc>
          <w:tcPr>
            <w:tcW w:w="31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interests in consolidated subsidiaries</w:t>
            </w: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Distributions to Vornado ($0.675 per unit)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(129,066)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(129,066)</w:t>
            </w:r>
          </w:p>
        </w:tc>
        <w:tc>
          <w:tcPr>
            <w:tcW w:w="0" w:type="dxa"/>
            <w:vAlign w:val="bottom"/>
          </w:tcPr>
          <w:p>
            <w:pPr>
              <w:spacing w:after="0"/>
              <w:rPr>
                <w:sz w:val="1"/>
                <w:szCs w:val="1"/>
                <w:color w:val="auto"/>
              </w:rPr>
            </w:pPr>
          </w:p>
        </w:tc>
      </w:tr>
      <w:tr>
        <w:trPr>
          <w:trHeight w:val="131"/>
        </w:trPr>
        <w:tc>
          <w:tcPr>
            <w:tcW w:w="31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Distributions to preferred unitholders (see Note 10 for</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(62,116)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(62,116)</w:t>
            </w:r>
          </w:p>
        </w:tc>
        <w:tc>
          <w:tcPr>
            <w:tcW w:w="0" w:type="dxa"/>
            <w:vAlign w:val="bottom"/>
          </w:tcPr>
          <w:p>
            <w:pPr>
              <w:spacing w:after="0"/>
              <w:rPr>
                <w:sz w:val="1"/>
                <w:szCs w:val="1"/>
                <w:color w:val="auto"/>
              </w:rPr>
            </w:pPr>
          </w:p>
        </w:tc>
      </w:tr>
      <w:tr>
        <w:trPr>
          <w:trHeight w:val="177"/>
        </w:trPr>
        <w:tc>
          <w:tcPr>
            <w:tcW w:w="31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 per unit amounts)</w:t>
            </w: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Class A units issued to Vornado:</w:t>
            </w: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100" w:type="dxa"/>
            <w:vAlign w:val="bottom"/>
          </w:tcPr>
          <w:p>
            <w:pPr>
              <w:ind w:left="100"/>
              <w:spacing w:after="0" w:line="131" w:lineRule="exact"/>
              <w:rPr>
                <w:sz w:val="20"/>
                <w:szCs w:val="20"/>
                <w:color w:val="auto"/>
              </w:rPr>
            </w:pPr>
            <w:r>
              <w:rPr>
                <w:rFonts w:ascii="Times New Roman" w:cs="Times New Roman" w:eastAsia="Times New Roman" w:hAnsi="Times New Roman"/>
                <w:sz w:val="13"/>
                <w:szCs w:val="13"/>
                <w:color w:val="auto"/>
              </w:rPr>
              <w:t>Upon redemption of redeemable Class A units, at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539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8,489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8,489</w:t>
            </w:r>
          </w:p>
        </w:tc>
        <w:tc>
          <w:tcPr>
            <w:tcW w:w="0" w:type="dxa"/>
            <w:vAlign w:val="bottom"/>
          </w:tcPr>
          <w:p>
            <w:pPr>
              <w:spacing w:after="0"/>
              <w:rPr>
                <w:sz w:val="1"/>
                <w:szCs w:val="1"/>
                <w:color w:val="auto"/>
              </w:rPr>
            </w:pPr>
          </w:p>
        </w:tc>
      </w:tr>
      <w:tr>
        <w:trPr>
          <w:trHeight w:val="177"/>
        </w:trPr>
        <w:tc>
          <w:tcPr>
            <w:tcW w:w="3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redemption value</w:t>
            </w: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Under Vornado's dividend reinvestment plan</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77"/>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Contributions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24,033</w:t>
            </w: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Distributions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(21,526)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(21,526)</w:t>
            </w:r>
          </w:p>
        </w:tc>
        <w:tc>
          <w:tcPr>
            <w:tcW w:w="0" w:type="dxa"/>
            <w:vAlign w:val="bottom"/>
          </w:tcPr>
          <w:p>
            <w:pPr>
              <w:spacing w:after="0"/>
              <w:rPr>
                <w:sz w:val="1"/>
                <w:szCs w:val="1"/>
                <w:color w:val="auto"/>
              </w:rPr>
            </w:pPr>
          </w:p>
        </w:tc>
      </w:tr>
      <w:tr>
        <w:trPr>
          <w:trHeight w:val="177"/>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Deferred compensation units and options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296</w:t>
            </w: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 of Class A units owned by Vornado</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(29,102)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(29,183)</w:t>
            </w:r>
          </w:p>
        </w:tc>
        <w:tc>
          <w:tcPr>
            <w:tcW w:w="0" w:type="dxa"/>
            <w:vAlign w:val="bottom"/>
          </w:tcPr>
          <w:p>
            <w:pPr>
              <w:spacing w:after="0"/>
              <w:rPr>
                <w:sz w:val="1"/>
                <w:szCs w:val="1"/>
                <w:color w:val="auto"/>
              </w:rPr>
            </w:pPr>
          </w:p>
        </w:tc>
      </w:tr>
      <w:tr>
        <w:trPr>
          <w:trHeight w:val="131"/>
        </w:trPr>
        <w:tc>
          <w:tcPr>
            <w:tcW w:w="31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Other comprehensive loss of nonconsolidated</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(8,286)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(8,286)</w:t>
            </w:r>
          </w:p>
        </w:tc>
        <w:tc>
          <w:tcPr>
            <w:tcW w:w="0" w:type="dxa"/>
            <w:vAlign w:val="bottom"/>
          </w:tcPr>
          <w:p>
            <w:pPr>
              <w:spacing w:after="0"/>
              <w:rPr>
                <w:sz w:val="1"/>
                <w:szCs w:val="1"/>
                <w:color w:val="auto"/>
              </w:rPr>
            </w:pPr>
          </w:p>
        </w:tc>
      </w:tr>
      <w:tr>
        <w:trPr>
          <w:trHeight w:val="177"/>
        </w:trPr>
        <w:tc>
          <w:tcPr>
            <w:tcW w:w="31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subsidiaries</w:t>
            </w: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of interest rate swaps and other</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(112,051)</w:t>
            </w:r>
          </w:p>
        </w:tc>
        <w:tc>
          <w:tcPr>
            <w:tcW w:w="0" w:type="dxa"/>
            <w:vAlign w:val="bottom"/>
          </w:tcPr>
          <w:p>
            <w:pPr>
              <w:spacing w:after="0"/>
              <w:rPr>
                <w:sz w:val="1"/>
                <w:szCs w:val="1"/>
                <w:color w:val="auto"/>
              </w:rPr>
            </w:pPr>
          </w:p>
        </w:tc>
      </w:tr>
      <w:tr>
        <w:trPr>
          <w:trHeight w:val="131"/>
        </w:trPr>
        <w:tc>
          <w:tcPr>
            <w:tcW w:w="31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Unearned 2020 Out-Performance Plan and 2019</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20,668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20,668</w:t>
            </w:r>
          </w:p>
        </w:tc>
        <w:tc>
          <w:tcPr>
            <w:tcW w:w="0" w:type="dxa"/>
            <w:vAlign w:val="bottom"/>
          </w:tcPr>
          <w:p>
            <w:pPr>
              <w:spacing w:after="0"/>
              <w:rPr>
                <w:sz w:val="1"/>
                <w:szCs w:val="1"/>
                <w:color w:val="auto"/>
              </w:rPr>
            </w:pPr>
          </w:p>
        </w:tc>
      </w:tr>
      <w:tr>
        <w:trPr>
          <w:trHeight w:val="177"/>
        </w:trPr>
        <w:tc>
          <w:tcPr>
            <w:tcW w:w="31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Performance AO LTIP awards</w:t>
            </w: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Redeemable Class A unit measurement adjustment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(138,114)</w:t>
            </w:r>
          </w:p>
        </w:tc>
        <w:tc>
          <w:tcPr>
            <w:tcW w:w="0" w:type="dxa"/>
            <w:vAlign w:val="bottom"/>
          </w:tcPr>
          <w:p>
            <w:pPr>
              <w:spacing w:after="0"/>
              <w:rPr>
                <w:sz w:val="1"/>
                <w:szCs w:val="1"/>
                <w:color w:val="auto"/>
              </w:rPr>
            </w:pPr>
          </w:p>
        </w:tc>
      </w:tr>
      <w:tr>
        <w:trPr>
          <w:trHeight w:val="131"/>
        </w:trPr>
        <w:tc>
          <w:tcPr>
            <w:tcW w:w="31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Other comprehensive income attributable to</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1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noncontrolling interests in:</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Redeemable partnership units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9,340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9,340</w:t>
            </w:r>
          </w:p>
        </w:tc>
        <w:tc>
          <w:tcPr>
            <w:tcW w:w="0" w:type="dxa"/>
            <w:vAlign w:val="bottom"/>
          </w:tcPr>
          <w:p>
            <w:pPr>
              <w:spacing w:after="0"/>
              <w:rPr>
                <w:sz w:val="1"/>
                <w:szCs w:val="1"/>
                <w:color w:val="auto"/>
              </w:rPr>
            </w:pPr>
          </w:p>
        </w:tc>
      </w:tr>
      <w:tr>
        <w:trPr>
          <w:trHeight w:val="177"/>
        </w:trPr>
        <w:tc>
          <w:tcPr>
            <w:tcW w:w="3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3,719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Deconsolidation of partially owned entity</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(2,636)</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48,793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1,182,459</w:t>
            </w: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190,391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8,270,885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(4,009,395)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65,115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196,222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5,705,286</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74295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591" w:right="339" w:bottom="1440" w:gutter="0" w:footer="0" w:header="0"/>
        </w:sectPr>
      </w:pPr>
    </w:p>
    <w:bookmarkStart w:id="76" w:name="page77"/>
    <w:bookmarkEnd w:id="76"/>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VORNADO REALTY L.P.</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 – CONTINUED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 thousands, except per unit amounts)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Non-</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Class A Units</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8"/>
              </w:rPr>
              <w:t>controlling</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3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4"/>
                <w:szCs w:val="4"/>
                <w:color w:val="auto"/>
              </w:rPr>
            </w:pPr>
          </w:p>
        </w:tc>
        <w:tc>
          <w:tcPr>
            <w:tcW w:w="1140" w:type="dxa"/>
            <w:vAlign w:val="bottom"/>
            <w:gridSpan w:val="2"/>
            <w:vMerge w:val="restart"/>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4"/>
                <w:szCs w:val="4"/>
                <w:color w:val="auto"/>
              </w:rPr>
            </w:pPr>
          </w:p>
        </w:tc>
        <w:tc>
          <w:tcPr>
            <w:tcW w:w="1080" w:type="dxa"/>
            <w:vAlign w:val="bottom"/>
            <w:gridSpan w:val="2"/>
            <w:vMerge w:val="restart"/>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rPr>
              <w:t>Interests in</w:t>
            </w: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3200" w:type="dxa"/>
            <w:vAlign w:val="bottom"/>
          </w:tcPr>
          <w:p>
            <w:pPr>
              <w:spacing w:after="0"/>
              <w:rPr>
                <w:sz w:val="6"/>
                <w:szCs w:val="6"/>
                <w:color w:val="auto"/>
              </w:rPr>
            </w:pPr>
          </w:p>
        </w:tc>
        <w:tc>
          <w:tcPr>
            <w:tcW w:w="16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Preferred Units</w:t>
            </w:r>
          </w:p>
        </w:tc>
        <w:tc>
          <w:tcPr>
            <w:tcW w:w="100" w:type="dxa"/>
            <w:vAlign w:val="bottom"/>
            <w:vMerge w:val="restart"/>
          </w:tcPr>
          <w:p>
            <w:pPr>
              <w:spacing w:after="0"/>
              <w:rPr>
                <w:sz w:val="6"/>
                <w:szCs w:val="6"/>
                <w:color w:val="auto"/>
              </w:rPr>
            </w:pPr>
          </w:p>
        </w:tc>
        <w:tc>
          <w:tcPr>
            <w:tcW w:w="16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Owned by Vornado</w:t>
            </w:r>
          </w:p>
        </w:tc>
        <w:tc>
          <w:tcPr>
            <w:tcW w:w="12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200" w:type="dxa"/>
            <w:vAlign w:val="bottom"/>
          </w:tcPr>
          <w:p>
            <w:pPr>
              <w:spacing w:after="0"/>
              <w:rPr>
                <w:sz w:val="8"/>
                <w:szCs w:val="8"/>
                <w:color w:val="auto"/>
              </w:rPr>
            </w:pPr>
          </w:p>
        </w:tc>
        <w:tc>
          <w:tcPr>
            <w:tcW w:w="160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4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tcPr>
          <w:p>
            <w:pPr>
              <w:jc w:val="center"/>
              <w:ind w:right="220"/>
              <w:spacing w:after="0" w:line="100"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120" w:type="dxa"/>
            <w:vAlign w:val="bottom"/>
          </w:tcPr>
          <w:p>
            <w:pPr>
              <w:spacing w:after="0"/>
              <w:rPr>
                <w:sz w:val="8"/>
                <w:szCs w:val="8"/>
                <w:color w:val="auto"/>
              </w:rPr>
            </w:pPr>
          </w:p>
        </w:tc>
        <w:tc>
          <w:tcPr>
            <w:tcW w:w="1140" w:type="dxa"/>
            <w:vAlign w:val="bottom"/>
            <w:gridSpan w:val="2"/>
          </w:tcPr>
          <w:p>
            <w:pPr>
              <w:jc w:val="center"/>
              <w:ind w:right="220"/>
              <w:spacing w:after="0" w:line="10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40" w:type="dxa"/>
            <w:vAlign w:val="bottom"/>
          </w:tcPr>
          <w:p>
            <w:pPr>
              <w:spacing w:after="0"/>
              <w:rPr>
                <w:sz w:val="8"/>
                <w:szCs w:val="8"/>
                <w:color w:val="auto"/>
              </w:rPr>
            </w:pPr>
          </w:p>
        </w:tc>
        <w:tc>
          <w:tcPr>
            <w:tcW w:w="1080" w:type="dxa"/>
            <w:vAlign w:val="bottom"/>
            <w:gridSpan w:val="2"/>
          </w:tcPr>
          <w:p>
            <w:pPr>
              <w:jc w:val="center"/>
              <w:ind w:right="240"/>
              <w:spacing w:after="0" w:line="100" w:lineRule="exact"/>
              <w:rPr>
                <w:sz w:val="20"/>
                <w:szCs w:val="20"/>
                <w:color w:val="auto"/>
              </w:rPr>
            </w:pPr>
            <w:r>
              <w:rPr>
                <w:rFonts w:ascii="Times New Roman" w:cs="Times New Roman" w:eastAsia="Times New Roman" w:hAnsi="Times New Roman"/>
                <w:sz w:val="11"/>
                <w:szCs w:val="11"/>
                <w:b w:val="1"/>
                <w:bCs w:val="1"/>
                <w:color w:val="auto"/>
              </w:rPr>
              <w:t>Consolidated</w:t>
            </w:r>
          </w:p>
        </w:tc>
        <w:tc>
          <w:tcPr>
            <w:tcW w:w="160" w:type="dxa"/>
            <w:vAlign w:val="bottom"/>
          </w:tcPr>
          <w:p>
            <w:pPr>
              <w:spacing w:after="0"/>
              <w:rPr>
                <w:sz w:val="8"/>
                <w:szCs w:val="8"/>
                <w:color w:val="auto"/>
              </w:rPr>
            </w:pPr>
          </w:p>
        </w:tc>
        <w:tc>
          <w:tcPr>
            <w:tcW w:w="760" w:type="dxa"/>
            <w:vAlign w:val="bottom"/>
          </w:tcPr>
          <w:p>
            <w:pPr>
              <w:jc w:val="right"/>
              <w:ind w:right="255"/>
              <w:spacing w:after="0" w:line="100"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Distributions</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60" w:type="dxa"/>
            <w:vAlign w:val="bottom"/>
          </w:tcPr>
          <w:p>
            <w:pPr>
              <w:spacing w:after="0"/>
              <w:rPr>
                <w:sz w:val="16"/>
                <w:szCs w:val="16"/>
                <w:color w:val="auto"/>
              </w:rPr>
            </w:pPr>
          </w:p>
        </w:tc>
        <w:tc>
          <w:tcPr>
            <w:tcW w:w="760" w:type="dxa"/>
            <w:vAlign w:val="bottom"/>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2"/>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2021</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48,793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1,182,459</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191,724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8,150,741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(3,079,320)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(17,534)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278,892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6,515,238</w:t>
            </w: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attributable to Vornado Realty L.P.</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(376,875)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(376,875)</w:t>
            </w: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redeemable partnership units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30,376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30,376</w:t>
            </w:r>
          </w:p>
        </w:tc>
        <w:tc>
          <w:tcPr>
            <w:tcW w:w="0" w:type="dxa"/>
            <w:vAlign w:val="bottom"/>
          </w:tcPr>
          <w:p>
            <w:pPr>
              <w:spacing w:after="0"/>
              <w:rPr>
                <w:sz w:val="1"/>
                <w:szCs w:val="1"/>
                <w:color w:val="auto"/>
              </w:rPr>
            </w:pPr>
          </w:p>
        </w:tc>
      </w:tr>
      <w:tr>
        <w:trPr>
          <w:trHeight w:val="131"/>
        </w:trPr>
        <w:tc>
          <w:tcPr>
            <w:tcW w:w="32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Net income attributable to nonredeemable noncontrolling</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3,931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3,931</w:t>
            </w:r>
          </w:p>
        </w:tc>
        <w:tc>
          <w:tcPr>
            <w:tcW w:w="0" w:type="dxa"/>
            <w:vAlign w:val="bottom"/>
          </w:tcPr>
          <w:p>
            <w:pPr>
              <w:spacing w:after="0"/>
              <w:rPr>
                <w:sz w:val="1"/>
                <w:szCs w:val="1"/>
                <w:color w:val="auto"/>
              </w:rPr>
            </w:pPr>
          </w:p>
        </w:tc>
      </w:tr>
      <w:tr>
        <w:trPr>
          <w:trHeight w:val="177"/>
        </w:trPr>
        <w:tc>
          <w:tcPr>
            <w:tcW w:w="3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interests in consolidated subsidiaries</w:t>
            </w: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Vornado ($2.12 per unit)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(406,562)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(406,562)</w:t>
            </w:r>
          </w:p>
        </w:tc>
        <w:tc>
          <w:tcPr>
            <w:tcW w:w="0" w:type="dxa"/>
            <w:vAlign w:val="bottom"/>
          </w:tcPr>
          <w:p>
            <w:pPr>
              <w:spacing w:after="0"/>
              <w:rPr>
                <w:sz w:val="1"/>
                <w:szCs w:val="1"/>
                <w:color w:val="auto"/>
              </w:rPr>
            </w:pPr>
          </w:p>
        </w:tc>
      </w:tr>
      <w:tr>
        <w:trPr>
          <w:trHeight w:val="131"/>
        </w:trPr>
        <w:tc>
          <w:tcPr>
            <w:tcW w:w="32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Distributions to preferred unitholders (see Note 10 for</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(62,116)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(62,116)</w:t>
            </w:r>
          </w:p>
        </w:tc>
        <w:tc>
          <w:tcPr>
            <w:tcW w:w="0" w:type="dxa"/>
            <w:vAlign w:val="bottom"/>
          </w:tcPr>
          <w:p>
            <w:pPr>
              <w:spacing w:after="0"/>
              <w:rPr>
                <w:sz w:val="1"/>
                <w:szCs w:val="1"/>
                <w:color w:val="auto"/>
              </w:rPr>
            </w:pPr>
          </w:p>
        </w:tc>
      </w:tr>
      <w:tr>
        <w:trPr>
          <w:trHeight w:val="177"/>
        </w:trPr>
        <w:tc>
          <w:tcPr>
            <w:tcW w:w="3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 per unit amounts)</w:t>
            </w: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Class A units issued to Vornado:</w:t>
            </w: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20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rPr>
              <w:t>Upon redemption of redeemable Class A units, at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3,524</w:t>
            </w:r>
          </w:p>
        </w:tc>
        <w:tc>
          <w:tcPr>
            <w:tcW w:w="0" w:type="dxa"/>
            <w:vAlign w:val="bottom"/>
          </w:tcPr>
          <w:p>
            <w:pPr>
              <w:spacing w:after="0"/>
              <w:rPr>
                <w:sz w:val="1"/>
                <w:szCs w:val="1"/>
                <w:color w:val="auto"/>
              </w:rPr>
            </w:pPr>
          </w:p>
        </w:tc>
      </w:tr>
      <w:tr>
        <w:trPr>
          <w:trHeight w:val="177"/>
        </w:trPr>
        <w:tc>
          <w:tcPr>
            <w:tcW w:w="32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redemption value</w:t>
            </w: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Under Vornado's employees' share option plan</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7"/>
        </w:trPr>
        <w:tc>
          <w:tcPr>
            <w:tcW w:w="3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Under Vornado's dividend reinvestment plan</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Contributions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5,609</w:t>
            </w: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(54,388)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(54,388)</w:t>
            </w: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compensation units and options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0" w:type="dxa"/>
            <w:vAlign w:val="bottom"/>
          </w:tcPr>
          <w:p>
            <w:pPr>
              <w:spacing w:after="0"/>
              <w:rPr>
                <w:sz w:val="1"/>
                <w:szCs w:val="1"/>
                <w:color w:val="auto"/>
              </w:rPr>
            </w:pPr>
          </w:p>
        </w:tc>
      </w:tr>
      <w:tr>
        <w:trPr>
          <w:trHeight w:val="131"/>
        </w:trPr>
        <w:tc>
          <w:tcPr>
            <w:tcW w:w="32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Other comprehensive income of nonconsolidated</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18,874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18,874</w:t>
            </w:r>
          </w:p>
        </w:tc>
        <w:tc>
          <w:tcPr>
            <w:tcW w:w="0" w:type="dxa"/>
            <w:vAlign w:val="bottom"/>
          </w:tcPr>
          <w:p>
            <w:pPr>
              <w:spacing w:after="0"/>
              <w:rPr>
                <w:sz w:val="1"/>
                <w:szCs w:val="1"/>
                <w:color w:val="auto"/>
              </w:rPr>
            </w:pPr>
          </w:p>
        </w:tc>
      </w:tr>
      <w:tr>
        <w:trPr>
          <w:trHeight w:val="177"/>
        </w:trPr>
        <w:tc>
          <w:tcPr>
            <w:tcW w:w="3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subsidiaries</w:t>
            </w: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fair value of interest rate swaps and other</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190,494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190,494</w:t>
            </w: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Redeemable Class A unit measurement adjustment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221,145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221,145</w:t>
            </w:r>
          </w:p>
        </w:tc>
        <w:tc>
          <w:tcPr>
            <w:tcW w:w="0" w:type="dxa"/>
            <w:vAlign w:val="bottom"/>
          </w:tcPr>
          <w:p>
            <w:pPr>
              <w:spacing w:after="0"/>
              <w:rPr>
                <w:sz w:val="1"/>
                <w:szCs w:val="1"/>
                <w:color w:val="auto"/>
              </w:rPr>
            </w:pPr>
          </w:p>
        </w:tc>
      </w:tr>
      <w:tr>
        <w:trPr>
          <w:trHeight w:val="137"/>
        </w:trPr>
        <w:tc>
          <w:tcPr>
            <w:tcW w:w="32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Other comprehensive income attributable to</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noncontrolling interests in:</w:t>
            </w: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Redeemable partnership units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(14,250)</w:t>
            </w: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208"/>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1,182,459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191,867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8,376,882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(3,894,580)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174,967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236,652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6,076,380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40" w:top="591" w:right="339" w:bottom="1440" w:gutter="0" w:footer="0" w:header="0"/>
        </w:sectPr>
      </w:pPr>
    </w:p>
    <w:bookmarkStart w:id="77" w:name="page78"/>
    <w:bookmarkEnd w:id="77"/>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20" w:type="dxa"/>
            <w:vAlign w:val="bottom"/>
          </w:tcPr>
          <w:p>
            <w:pPr>
              <w:spacing w:after="0"/>
              <w:rPr>
                <w:sz w:val="16"/>
                <w:szCs w:val="16"/>
                <w:color w:val="auto"/>
              </w:rPr>
            </w:pPr>
          </w:p>
        </w:tc>
        <w:tc>
          <w:tcPr>
            <w:tcW w:w="300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Pr>
          <w:p>
            <w:pPr>
              <w:spacing w:after="0"/>
              <w:rPr>
                <w:sz w:val="16"/>
                <w:szCs w:val="16"/>
                <w:color w:val="auto"/>
              </w:rPr>
            </w:pPr>
          </w:p>
        </w:tc>
      </w:tr>
      <w:tr>
        <w:trPr>
          <w:trHeight w:val="23"/>
        </w:trPr>
        <w:tc>
          <w:tcPr>
            <w:tcW w:w="6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3"/>
        </w:trPr>
        <w:tc>
          <w:tcPr>
            <w:tcW w:w="6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0"/>
        </w:trPr>
        <w:tc>
          <w:tcPr>
            <w:tcW w:w="69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(382,612)</w:t>
            </w:r>
          </w:p>
        </w:tc>
      </w:tr>
      <w:tr>
        <w:trPr>
          <w:trHeight w:val="18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 (including amortization of deferred financing costs)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469,423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457,574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526,306</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 of income from partially owned entities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142,880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172,873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184,501</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in net (income) loss of partially owned entities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(112,464)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461,351</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interest rate cap premiums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41,745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30,172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43,201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29,249</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(71,199)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(100,625)</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deferred tax liability</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14,005</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Straight-lining of rents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(46,177)</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below-market leases, net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(5,178)</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Real estate impairment losses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19,098</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Credit losses on investments</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realized and unrealized (gain) loss on real estate fund investments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Return of capital from real estate fund investments</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5,141</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non-cash adjustments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9"/>
        </w:trPr>
        <w:tc>
          <w:tcPr>
            <w:tcW w:w="69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Tenant and other receivables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(4,437)</w:t>
            </w:r>
          </w:p>
        </w:tc>
      </w:tr>
      <w:tr>
        <w:trPr>
          <w:trHeight w:val="204"/>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Prepaid 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104,186</w:t>
            </w:r>
          </w:p>
        </w:tc>
      </w:tr>
      <w:tr>
        <w:trPr>
          <w:trHeight w:val="189"/>
        </w:trPr>
        <w:tc>
          <w:tcPr>
            <w:tcW w:w="69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(79,110)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(34,615)</w:t>
            </w:r>
          </w:p>
        </w:tc>
      </w:tr>
      <w:tr>
        <w:trPr>
          <w:trHeight w:val="204"/>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Lease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15,658</w:t>
            </w:r>
          </w:p>
        </w:tc>
      </w:tr>
      <w:tr>
        <w:trPr>
          <w:trHeight w:val="189"/>
        </w:trPr>
        <w:tc>
          <w:tcPr>
            <w:tcW w:w="69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5,718</w:t>
            </w:r>
          </w:p>
        </w:tc>
      </w:tr>
      <w:tr>
        <w:trPr>
          <w:trHeight w:val="204"/>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10,979</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r>
      <w:tr>
        <w:trPr>
          <w:trHeight w:val="183"/>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537,723</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648,152</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798,944</w:t>
            </w:r>
          </w:p>
        </w:tc>
      </w:tr>
      <w:tr>
        <w:trPr>
          <w:trHeight w:val="422"/>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Development costs and construction in progress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(242,874)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(552,701)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(737,999)</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Additions to real estate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(222,739)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(211,899)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(159,796)</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Investments in partially owned entities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(115,357)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(57,297)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(33,172)</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in loan receivable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 of condominium units at 220 Central Park South</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31,605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88,019</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sales of real estate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123,519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373,264</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maturities of U.S. Treasury bills</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468,598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597,499</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repayment of participation in 150 West 34th Street mortgage loan</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Acquisitions of real estate and other</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 of capital from partially owned entities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34,417</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Deconsolidation of cash and restricted cash held by a previously consolidated entity</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of U.S. Treasury bills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(1,066,096)</w:t>
            </w:r>
          </w:p>
        </w:tc>
      </w:tr>
      <w:tr>
        <w:trPr>
          <w:trHeight w:val="190"/>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(597,365)</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(128,788)</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(906,864)</w:t>
            </w:r>
          </w:p>
        </w:tc>
      </w:tr>
    </w:tbl>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78" w:name="page79"/>
    <w:bookmarkEnd w:id="78"/>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 CONTINUED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20" w:type="dxa"/>
            <w:vAlign w:val="bottom"/>
          </w:tcPr>
          <w:p>
            <w:pPr>
              <w:spacing w:after="0"/>
              <w:rPr>
                <w:sz w:val="16"/>
                <w:szCs w:val="16"/>
                <w:color w:val="auto"/>
              </w:rPr>
            </w:pPr>
          </w:p>
        </w:tc>
        <w:tc>
          <w:tcPr>
            <w:tcW w:w="300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0"/>
        </w:trPr>
        <w:tc>
          <w:tcPr>
            <w:tcW w:w="69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Distributions to Vornado</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(141,103)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(129,066)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(406,562)</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Repayments of borrowings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(97,439)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(1,251,373)</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1,029,773</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 to preferred unitholders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(62,116)</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Distributions to redeemable security holders and noncontrolling interests in consolidated subsidiaries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(38,970)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(84,699)</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financing costs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(32,706)</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Contributions from noncontrolling interests in consolidated subsidiaries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132,701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5,609</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of Class A units owned by Vornado</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financing activity, net</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83"/>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(252,323)</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(278,937)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(801,274)</w:t>
            </w: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 and restricted cash</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(311,965)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240,427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(909,194)</w:t>
            </w: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1,261,584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1,021,157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1,930,351</w:t>
            </w:r>
          </w:p>
        </w:tc>
        <w:tc>
          <w:tcPr>
            <w:tcW w:w="0" w:type="dxa"/>
            <w:vAlign w:val="bottom"/>
          </w:tcPr>
          <w:p>
            <w:pPr>
              <w:spacing w:after="0"/>
              <w:rPr>
                <w:sz w:val="1"/>
                <w:szCs w:val="1"/>
                <w:color w:val="auto"/>
              </w:rPr>
            </w:pPr>
          </w:p>
        </w:tc>
      </w:tr>
      <w:tr>
        <w:trPr>
          <w:trHeight w:val="221"/>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949,619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1,261,584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1,021,157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997,002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889,689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1,760,225</w:t>
            </w: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Restricted cash at beginning of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264,582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131,468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170,126</w:t>
            </w:r>
          </w:p>
        </w:tc>
        <w:tc>
          <w:tcPr>
            <w:tcW w:w="0" w:type="dxa"/>
            <w:vAlign w:val="bottom"/>
          </w:tcPr>
          <w:p>
            <w:pPr>
              <w:spacing w:after="0"/>
              <w:rPr>
                <w:sz w:val="1"/>
                <w:szCs w:val="1"/>
                <w:color w:val="auto"/>
              </w:rPr>
            </w:pPr>
          </w:p>
        </w:tc>
      </w:tr>
      <w:tr>
        <w:trPr>
          <w:trHeight w:val="221"/>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1,261,584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1,021,157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1,930,351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733,947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997,002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889,689</w:t>
            </w: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Restricted cash at end of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215,672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264,582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131,468</w:t>
            </w:r>
          </w:p>
        </w:tc>
        <w:tc>
          <w:tcPr>
            <w:tcW w:w="0" w:type="dxa"/>
            <w:vAlign w:val="bottom"/>
          </w:tcPr>
          <w:p>
            <w:pPr>
              <w:spacing w:after="0"/>
              <w:rPr>
                <w:sz w:val="1"/>
                <w:szCs w:val="1"/>
                <w:color w:val="auto"/>
              </w:rPr>
            </w:pPr>
          </w:p>
        </w:tc>
      </w:tr>
      <w:tr>
        <w:trPr>
          <w:trHeight w:val="221"/>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949,619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1,261,584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1,021,157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payments for interest (excluding capitalized interest) and interest rate cap premiums</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322,774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381,410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252,371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payments for income taxes</w:t>
            </w: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7,608</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10,365</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7,947</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Information:</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6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Redeemable Class A unit measurement adjustment</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(226,586)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(138,114)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221,145</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Write-off of fully depreciated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(122,548)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(82,343)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(278,561)</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capital expenditures included in accounts payable and accrued expenses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39,784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52,091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104,750</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Reclassification of assets held for sale (included in "other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consolidated interest rate hedges and other</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190,494</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Initial investment in Sunset Pier 94 Joint Venture upon contribution of leasehold interest</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50,090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Decrease in assets and liabilities resulting from the deconsolidation of Pier 94:</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9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Real estate</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Right-of-use assets</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9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Lease liabilities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(20,692)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estimated lease liability arising from the recognition of right-of-use asset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0" w:type="dxa"/>
            <w:vAlign w:val="bottom"/>
          </w:tcPr>
          <w:p>
            <w:pPr>
              <w:spacing w:after="0"/>
              <w:rPr>
                <w:sz w:val="1"/>
                <w:szCs w:val="1"/>
                <w:color w:val="auto"/>
              </w:rPr>
            </w:pPr>
          </w:p>
        </w:tc>
      </w:tr>
      <w:tr>
        <w:trPr>
          <w:trHeight w:val="182"/>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Reclassification of condominium units from "development costs and construction in progress" to "other assets"</w:t>
            </w:r>
          </w:p>
        </w:tc>
        <w:tc>
          <w:tcPr>
            <w:tcW w:w="3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32,604</w:t>
            </w:r>
          </w:p>
        </w:tc>
        <w:tc>
          <w:tcPr>
            <w:tcW w:w="0" w:type="dxa"/>
            <w:vAlign w:val="bottom"/>
          </w:tcPr>
          <w:p>
            <w:pPr>
              <w:spacing w:after="0"/>
              <w:rPr>
                <w:sz w:val="1"/>
                <w:szCs w:val="1"/>
                <w:color w:val="auto"/>
              </w:rPr>
            </w:pPr>
          </w:p>
        </w:tc>
      </w:tr>
    </w:tbl>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79" w:name="page80"/>
    <w:bookmarkEnd w:id="79"/>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1.</w:t>
        <w:tab/>
        <w:t>Organization and Business</w:t>
      </w:r>
    </w:p>
    <w:p>
      <w:pPr>
        <w:spacing w:after="0" w:line="34" w:lineRule="exact"/>
        <w:rPr>
          <w:sz w:val="20"/>
          <w:szCs w:val="20"/>
          <w:color w:val="auto"/>
        </w:rPr>
      </w:pPr>
    </w:p>
    <w:p>
      <w:pPr>
        <w:jc w:val="both"/>
        <w:ind w:firstLine="314"/>
        <w:spacing w:after="0" w:line="219" w:lineRule="exact"/>
        <w:rPr>
          <w:sz w:val="20"/>
          <w:szCs w:val="20"/>
          <w:color w:val="auto"/>
        </w:rPr>
      </w:pPr>
      <w:r>
        <w:rPr>
          <w:rFonts w:ascii="Times New Roman" w:cs="Times New Roman" w:eastAsia="Times New Roman" w:hAnsi="Times New Roman"/>
          <w:sz w:val="17"/>
          <w:szCs w:val="17"/>
          <w:color w:val="auto"/>
        </w:rPr>
        <w:t>Vornado Realty Trust (“Vornado”) is a fully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integrated real estate investment trust (“REIT”) and conducts its business through, and substantially all of its interests in properties are held by, Vornado Realty L.P. (the “Operating Partnership”), a Delaware limited partnership. Accordingly, Vornado’s cash flow and ability to pay dividends to its shareholders are dependent upon the cash flow of the Operating Partnership and the ability of its direct and indirect subsidiaries to first satisfy their obligations to creditors. Vornado is the sole general partner of and owned approximately 91.4% of the common limited partnership interest in the Operating Partnership as of December 31, 2024. All references to the “Company,” “we,” “us” and “our” mean, collectively, Vornado, the Operating Partnership and those subsidiaries consolidated by Vornado.</w:t>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currently own all or portions of:</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u w:val="single" w:color="auto"/>
          <w:color w:val="auto"/>
        </w:rPr>
        <w:t>New York:</w:t>
      </w:r>
    </w:p>
    <w:p>
      <w:pPr>
        <w:spacing w:after="0" w:line="68" w:lineRule="exact"/>
        <w:rPr>
          <w:sz w:val="20"/>
          <w:szCs w:val="20"/>
          <w:color w:val="auto"/>
        </w:rPr>
      </w:pPr>
    </w:p>
    <w:p>
      <w:pPr>
        <w:ind w:left="620" w:hanging="301"/>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56 Manhattan operating properties consisting of:</w:t>
      </w:r>
    </w:p>
    <w:p>
      <w:pPr>
        <w:spacing w:after="0" w:line="32" w:lineRule="exact"/>
        <w:rPr>
          <w:rFonts w:ascii="Times New Roman" w:cs="Times New Roman" w:eastAsia="Times New Roman" w:hAnsi="Times New Roman"/>
          <w:sz w:val="17"/>
          <w:szCs w:val="17"/>
          <w:color w:val="auto"/>
        </w:rPr>
      </w:pPr>
    </w:p>
    <w:p>
      <w:pPr>
        <w:ind w:left="1260" w:hanging="391"/>
        <w:spacing w:after="0"/>
        <w:tabs>
          <w:tab w:leader="none" w:pos="12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 million square feet of office space in 30 of the properties;</w:t>
      </w:r>
    </w:p>
    <w:p>
      <w:pPr>
        <w:spacing w:after="0" w:line="14" w:lineRule="exact"/>
        <w:rPr>
          <w:rFonts w:ascii="Times New Roman" w:cs="Times New Roman" w:eastAsia="Times New Roman" w:hAnsi="Times New Roman"/>
          <w:sz w:val="17"/>
          <w:szCs w:val="17"/>
          <w:color w:val="auto"/>
        </w:rPr>
      </w:pPr>
    </w:p>
    <w:p>
      <w:pPr>
        <w:ind w:left="1260" w:hanging="391"/>
        <w:spacing w:after="0"/>
        <w:tabs>
          <w:tab w:leader="none" w:pos="12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 million square feet of street retail space in 49 of the properties;</w:t>
      </w:r>
    </w:p>
    <w:p>
      <w:pPr>
        <w:spacing w:after="0" w:line="14" w:lineRule="exact"/>
        <w:rPr>
          <w:rFonts w:ascii="Times New Roman" w:cs="Times New Roman" w:eastAsia="Times New Roman" w:hAnsi="Times New Roman"/>
          <w:sz w:val="17"/>
          <w:szCs w:val="17"/>
          <w:color w:val="auto"/>
        </w:rPr>
      </w:pPr>
    </w:p>
    <w:p>
      <w:pPr>
        <w:ind w:left="1260" w:hanging="391"/>
        <w:spacing w:after="0"/>
        <w:tabs>
          <w:tab w:leader="none" w:pos="12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1,330 units in two Manhattan residential properties;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development sites, including 350 Park Avenue, Sunset Pier 94 Studios, the Hotel Pennsylvania site (PENN 15) and other PENN District sites;</w:t>
      </w:r>
    </w:p>
    <w:p>
      <w:pPr>
        <w:spacing w:after="0" w:line="14"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32.4% interest in Alexander’s, Inc. (“Alexander’s”) (NYSE: ALX), which owns five properties in the greater New York metropolitan area, including 731 Lexington Avenue, the 1.1 million square foot Bloomberg, L.P. headquarters building, and The Alexander, a 312-unit apartment tower in Queens;</w:t>
      </w:r>
    </w:p>
    <w:p>
      <w:pPr>
        <w:ind w:left="620" w:hanging="301"/>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Signage throughout the PENN District and Times Square; and</w:t>
      </w:r>
    </w:p>
    <w:p>
      <w:pPr>
        <w:spacing w:after="0" w:line="14" w:lineRule="exact"/>
        <w:rPr>
          <w:rFonts w:ascii="Times New Roman" w:cs="Times New Roman" w:eastAsia="Times New Roman" w:hAnsi="Times New Roman"/>
          <w:sz w:val="17"/>
          <w:szCs w:val="17"/>
          <w:color w:val="auto"/>
        </w:rPr>
      </w:pPr>
    </w:p>
    <w:p>
      <w:pPr>
        <w:ind w:left="640" w:hanging="321"/>
        <w:spacing w:after="0" w:line="274" w:lineRule="auto"/>
        <w:tabs>
          <w:tab w:leader="none" w:pos="63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Building Maintenance Services LLC ("BMS"), a wholly owned subsidiary, which provides cleaning and security services for our buildings and third parties.</w: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u w:val="single" w:color="auto"/>
          <w:color w:val="auto"/>
        </w:rPr>
        <w:t>Other Real Estate and Investments:</w:t>
      </w:r>
    </w:p>
    <w:p>
      <w:pPr>
        <w:spacing w:after="0" w:line="68" w:lineRule="exact"/>
        <w:rPr>
          <w:sz w:val="20"/>
          <w:szCs w:val="20"/>
          <w:color w:val="auto"/>
        </w:rPr>
      </w:pPr>
    </w:p>
    <w:p>
      <w:pPr>
        <w:ind w:left="620" w:hanging="301"/>
        <w:spacing w:after="0"/>
        <w:tabs>
          <w:tab w:leader="none" w:pos="62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3.7 million square foot THE MART in Chicago;</w:t>
      </w:r>
    </w:p>
    <w:p>
      <w:pPr>
        <w:spacing w:after="0" w:line="32"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70% controlling interest in 555 California Street, a three-building office complex in San Francisco’s financial district aggregating 1.8 million square feet; and</w:t>
      </w:r>
    </w:p>
    <w:p>
      <w:pPr>
        <w:ind w:left="620" w:hanging="301"/>
        <w:spacing w:after="0"/>
        <w:tabs>
          <w:tab w:leader="none" w:pos="62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real estate and investments.</w:t>
      </w:r>
    </w:p>
    <w:p>
      <w:pPr>
        <w:spacing w:after="0" w:line="98" w:lineRule="exact"/>
        <w:rPr>
          <w:rFonts w:ascii="Times New Roman" w:cs="Times New Roman" w:eastAsia="Times New Roman" w:hAnsi="Times New Roman"/>
          <w:sz w:val="17"/>
          <w:szCs w:val="17"/>
          <w:color w:val="auto"/>
        </w:rPr>
      </w:pPr>
    </w:p>
    <w:p>
      <w:pPr>
        <w:ind w:left="360" w:hanging="355"/>
        <w:spacing w:after="0"/>
        <w:tabs>
          <w:tab w:leader="none" w:pos="36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and Significant Accounting Policies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70" w:lineRule="exact"/>
        <w:rPr>
          <w:sz w:val="20"/>
          <w:szCs w:val="20"/>
          <w:color w:val="auto"/>
        </w:rPr>
      </w:pPr>
    </w:p>
    <w:p>
      <w:pPr>
        <w:jc w:val="both"/>
        <w:ind w:firstLine="314"/>
        <w:spacing w:after="0" w:line="266"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Vornado and the Operating Partnership and their consolidated subsidiaries. All inter-company amounts have been eliminated. Our consolidated financial statements are prepared in accordance with accounting principles generally accepted in the United States of America (“GAAP”), which require us to make estimates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 In addition, certain prior year balances have been reclassified in order to conform to the current period presentation.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Literature</w:t>
      </w:r>
    </w:p>
    <w:p>
      <w:pPr>
        <w:spacing w:after="0" w:line="68"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color w:val="auto"/>
        </w:rPr>
        <w:t xml:space="preserve">In November 2023, the Financial Accounting Standards Board (“FASB”) issued Accounting Standards Update (“ASU”) 2023-07, </w:t>
      </w:r>
      <w:r>
        <w:rPr>
          <w:rFonts w:ascii="Times New Roman" w:cs="Times New Roman" w:eastAsia="Times New Roman" w:hAnsi="Times New Roman"/>
          <w:sz w:val="17"/>
          <w:szCs w:val="17"/>
          <w:i w:val="1"/>
          <w:iCs w:val="1"/>
          <w:color w:val="auto"/>
        </w:rPr>
        <w:t>Segment Reporting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280): Improvements to Reportable Segment Disclosures </w:t>
      </w:r>
      <w:r>
        <w:rPr>
          <w:rFonts w:ascii="Times New Roman" w:cs="Times New Roman" w:eastAsia="Times New Roman" w:hAnsi="Times New Roman"/>
          <w:sz w:val="17"/>
          <w:szCs w:val="17"/>
          <w:color w:val="auto"/>
        </w:rPr>
        <w:t>(“ASU 2023-07”). ASU 2023-07 aims to improve reportable segment disclosure requirements,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primarily through enhanced disclosures about significant segment expenses. ASU 2023-07 requires disclosure of significant segment expenses that are regularly provided to the chief operating decision maker and included within each reported measure of segment profit or loss. The update also requires disclosure regarding the chief operating decision maker and expands the interim segment disclosure requirements. ASU 2023-07 is effective for fiscal years beginning after December 15, 2023, and interim periods within fiscal years beginning after December 15, 2024, with early adoption permitted. We adopted this update effective December 15, 2024. The adoption of ASU 2023-07 did not have a material impact on our disclosures.</w:t>
      </w:r>
    </w:p>
    <w:p>
      <w:pPr>
        <w:spacing w:after="0" w:line="14" w:lineRule="exact"/>
        <w:rPr>
          <w:sz w:val="20"/>
          <w:szCs w:val="20"/>
          <w:color w:val="auto"/>
        </w:rPr>
      </w:pPr>
    </w:p>
    <w:p>
      <w:pPr>
        <w:jc w:val="both"/>
        <w:ind w:firstLine="314"/>
        <w:spacing w:after="0" w:line="271"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(“ASU 2023-09”). ASU 2023-09 requires entities to disclose additional information with respect to the effective tax rate reconciliation and to disclose the disaggregation by jurisdiction of income tax expense and income taxes paid. ASU 2023-09 is effective for fiscal years beginning after December 15, 2024, with early adoption permitted. We are currently evaluating the impact of ASU 2023-09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80" w:name="page81"/>
    <w:bookmarkEnd w:id="80"/>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66" w:lineRule="exact"/>
        <w:rPr>
          <w:sz w:val="20"/>
          <w:szCs w:val="20"/>
          <w:color w:val="auto"/>
        </w:rPr>
      </w:pPr>
    </w:p>
    <w:p>
      <w:pPr>
        <w:ind w:right="5760" w:firstLine="5"/>
        <w:spacing w:after="0" w:line="321" w:lineRule="auto"/>
        <w:tabs>
          <w:tab w:leader="none" w:pos="349"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Basis of Presentation and Significant Accounting Policies - continued </w:t>
      </w:r>
      <w:r>
        <w:rPr>
          <w:rFonts w:ascii="Times New Roman" w:cs="Times New Roman" w:eastAsia="Times New Roman" w:hAnsi="Times New Roman"/>
          <w:sz w:val="17"/>
          <w:szCs w:val="17"/>
          <w:b w:val="1"/>
          <w:bCs w:val="1"/>
          <w:i w:val="1"/>
          <w:iCs w:val="1"/>
          <w:color w:val="auto"/>
        </w:rPr>
        <w:t>Recently Issued Accounting Literature - continued</w:t>
      </w:r>
    </w:p>
    <w:p>
      <w:pPr>
        <w:spacing w:after="0" w:line="1"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 Disclosures (Subtopic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220-40): Disaggregation of Income Statement Expenses </w:t>
      </w:r>
      <w:r>
        <w:rPr>
          <w:rFonts w:ascii="Times New Roman" w:cs="Times New Roman" w:eastAsia="Times New Roman" w:hAnsi="Times New Roman"/>
          <w:sz w:val="17"/>
          <w:szCs w:val="17"/>
          <w:color w:val="auto"/>
        </w:rPr>
        <w:t>(“ASU 2024-03”), and in January 2025, the FASB issued ASU 2025-01,</w:t>
      </w:r>
      <w:r>
        <w:rPr>
          <w:rFonts w:ascii="Times New Roman" w:cs="Times New Roman" w:eastAsia="Times New Roman" w:hAnsi="Times New Roman"/>
          <w:sz w:val="17"/>
          <w:szCs w:val="17"/>
          <w:i w:val="1"/>
          <w:iCs w:val="1"/>
          <w:color w:val="auto"/>
        </w:rPr>
        <w:t xml:space="preserve"> Income Statement - Reporting Comprehensive Income - Expense Disaggregation Disclosures (Subtopic 220-40): Clarifying the Effective Date </w:t>
      </w:r>
      <w:r>
        <w:rPr>
          <w:rFonts w:ascii="Times New Roman" w:cs="Times New Roman" w:eastAsia="Times New Roman" w:hAnsi="Times New Roman"/>
          <w:sz w:val="17"/>
          <w:szCs w:val="17"/>
          <w:color w:val="auto"/>
        </w:rPr>
        <w:t>("ASU 2025-01"). ASU 2024-03 requires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additional disclosure of the nature of expenses included in the income statement as well as disclosures about specific types of expenses included in the expense captions presented in the income statement. ASU 2024-03, as clarified by ASU 2025-01, is effective for fiscal years beginning after December 15, 2026, and interim periods within fiscal years beginning after December 15, 2027, with early adoption permitted. We are currently evaluating the impact of these standards on our consolidated financial statements.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Policies</w:t>
      </w:r>
    </w:p>
    <w:p>
      <w:pPr>
        <w:spacing w:after="0" w:line="6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Real Estate: </w:t>
      </w:r>
      <w:r>
        <w:rPr>
          <w:rFonts w:ascii="Times New Roman" w:cs="Times New Roman" w:eastAsia="Times New Roman" w:hAnsi="Times New Roman"/>
          <w:sz w:val="17"/>
          <w:szCs w:val="17"/>
          <w:color w:val="auto"/>
        </w:rPr>
        <w:t>Real estate is carried at cost, net of accumulated depreciation and amortization. Betterments, major renewals and certain costs directly related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improvement and leasing of real estate are capitalized. Maintenance and repairs are expensed as incurred. For redevelopment of existing operating properties, the net book value of the existing property under redevelopment plus the cost for the construction and improvements incurred in connection with the redevelopment, including interest and debt expense, are capitalized to the extent the capitalized costs of the property do not exceed the estimated fair value of the redeveloped property when complete. If the cost of the redeveloped property, including the net book value of the existing property, exceeds the estimated fair value of the redeveloped property, the excess is charged to expense. Depreciation is recognized on a straight-line basis over the estimated useful lives of these assets which range from 7 to 40 years. Tenant allowances are amortized on a straight-line basis over the lives of the related leases, which approximate the useful lives of the assets.</w:t>
      </w:r>
    </w:p>
    <w:p>
      <w:pPr>
        <w:spacing w:after="0" w:line="231"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Upon the acquisition of real estate, we assess whether the transaction should be accounted for as an asset acquisition or as a business combination. Acquisitions of integrated sets of assets and activities that do not meet the definition of a business are accounted for as asset acquisitions. Our acquisitions of real estate generally will not meet the definition of a business because substantially all of the fair value is concentrated in a single identifiable asset or group of similar identifiable assets (i.e. land, buildings, and related identified intangible assets).</w:t>
      </w:r>
    </w:p>
    <w:p>
      <w:pPr>
        <w:spacing w:after="0" w:line="11"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We assess the fair value of acquired assets (including land, buildings and improvements, identified intangibles, such as acquired above and below-market leases, acquired in-place leases and tenant relationships) and acquired liabilities and we allocate the purchase price based on these assessments which are on a relative fair value basis. We assess fair value based on estimated cash flow projections that utilize appropriate discount and capitalization rates and available market information. Estimates of future cash flows are based on a number of factors including historical operating results, known trends, and market/economic conditions. We amortize identified intangibles that have finite lives over the period they are expected to contribute directly or indirectly to the future cash flows of the property or business acquired.</w:t>
      </w:r>
    </w:p>
    <w:p>
      <w:pPr>
        <w:spacing w:after="0" w:line="15"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Our properties, including any related right-of-use ("ROU") assets and intangible assets, are individually reviewed for impairment whenever events or changes in circumstances indicate that the carrying amount may not be recoverable. An impairment exists when the carrying amount of an asset exceeds the aggregate projected future cash flows over the anticipated holding period on an undiscounted basis. An impairment loss is measured based on the excess of the property’s carrying amount over its estimated fair value. Impairment analyses are based on information available at the time the analyses are prepared. Estimates of future cash flows are subjective and are based, in part, on assumptions regarding future rental revenues, operating expenses, capital expenditures, discount rates and capitalization rates which could differ materially from actual results.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81" w:name="page82"/>
    <w:bookmarkEnd w:id="81"/>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66" w:lineRule="exact"/>
        <w:rPr>
          <w:sz w:val="20"/>
          <w:szCs w:val="20"/>
          <w:color w:val="auto"/>
        </w:rPr>
      </w:pPr>
    </w:p>
    <w:p>
      <w:pPr>
        <w:ind w:right="5760" w:firstLine="5"/>
        <w:spacing w:after="0" w:line="321" w:lineRule="auto"/>
        <w:tabs>
          <w:tab w:leader="none" w:pos="349"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Basis of Presentation and Significant Accounting Policies - continued </w:t>
      </w:r>
      <w:r>
        <w:rPr>
          <w:rFonts w:ascii="Times New Roman" w:cs="Times New Roman" w:eastAsia="Times New Roman" w:hAnsi="Times New Roman"/>
          <w:sz w:val="17"/>
          <w:szCs w:val="17"/>
          <w:b w:val="1"/>
          <w:bCs w:val="1"/>
          <w:i w:val="1"/>
          <w:iCs w:val="1"/>
          <w:color w:val="auto"/>
        </w:rPr>
        <w:t>Significant Accounting Policies - continued</w:t>
      </w:r>
    </w:p>
    <w:p>
      <w:pPr>
        <w:spacing w:after="0" w:line="1"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Partially Owned Entities: </w:t>
      </w:r>
      <w:r>
        <w:rPr>
          <w:rFonts w:ascii="Times New Roman" w:cs="Times New Roman" w:eastAsia="Times New Roman" w:hAnsi="Times New Roman"/>
          <w:sz w:val="17"/>
          <w:szCs w:val="17"/>
          <w:color w:val="auto"/>
        </w:rPr>
        <w:t>We consolidate entities in which we have a controlling financial interest. In determining whether we have a controlling financial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interest in a partially owned entity and the requirement to consolidate the accounts of that entity, we consider (i) whether the entity is a variable interest entity (“VIE”) in which we are the primary beneficiary or (ii) whether the entity is a voting interest entity in which we have a majority of the voting interests of the entity. We are deemed to be the primary beneficiary of a VIE when we have (i) the power to direct the activities of the VIE that most significantly impact the VIE’s economic performance and (ii) the obligation to absorb losses or receive benefits that could potentially be significant to the VIE. We generally do not control a partially owned entity if the approval of all of the partners/members is contractually required with respect to decisions that most significantly impact the performance of the partially owned entity. This includes decisions regarding operating/capital budgets, and the placement of new or additional financing secured by the assets of the venture, among others. We account for investments under the equity method when the requirements for consolidation are not met, and we have significant influence over the operations of the investee. Equity method investments are initially recorded at cost and subsequently adjusted for our share of net income or loss and cash contributions and distributions each period. Equity investments that do not qualify for consolidation or equity method accounting are recorded at fair value in accordance with ASC Topic 321, </w:t>
      </w:r>
      <w:r>
        <w:rPr>
          <w:rFonts w:ascii="Times New Roman" w:cs="Times New Roman" w:eastAsia="Times New Roman" w:hAnsi="Times New Roman"/>
          <w:sz w:val="17"/>
          <w:szCs w:val="17"/>
          <w:i w:val="1"/>
          <w:iCs w:val="1"/>
          <w:color w:val="auto"/>
        </w:rPr>
        <w:t>Investments-Equity Securities</w:t>
      </w:r>
      <w:r>
        <w:rPr>
          <w:rFonts w:ascii="Times New Roman" w:cs="Times New Roman" w:eastAsia="Times New Roman" w:hAnsi="Times New Roman"/>
          <w:sz w:val="17"/>
          <w:szCs w:val="17"/>
          <w:color w:val="auto"/>
        </w:rPr>
        <w:t xml:space="preserve"> ("ASC 321") or, if fair value is not readily determinable, are initially recognized at cost and subsequently remeasured if there is an orderly transaction in an identical or similar investment of the same issuer or if the investment is impaired.</w:t>
      </w:r>
    </w:p>
    <w:p>
      <w:pPr>
        <w:spacing w:after="0" w:line="26"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Investments in unconsolidated partially owned entities are reviewed for impairment whenever events or changes in circumstances indicate that the carrying amount may not be recoverable. An impairment loss is recorded when there is a decline in the fair value of an investment below its carrying value and we conclude that the decline is other-than-temporary during our intended holding period. An impairment loss is measured based on the excess of the carrying amount of an investment over its estimated fair value. Impairment analyses are based on information available at the time the analyses are prepared. Estimates of future cash flows are subjective and are based, in part, on assumptions regarding future rental revenues, operating expenses, capital expenditures, discount rates and capitalization rates which could differ materially from actual results.</w:t>
      </w:r>
    </w:p>
    <w:p>
      <w:pPr>
        <w:spacing w:after="0" w:line="13" w:lineRule="exact"/>
        <w:rPr>
          <w:sz w:val="20"/>
          <w:szCs w:val="20"/>
          <w:color w:val="auto"/>
        </w:rPr>
      </w:pPr>
    </w:p>
    <w:p>
      <w:pPr>
        <w:jc w:val="both"/>
        <w:ind w:firstLine="314"/>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Cash and Cash Equivalents: </w:t>
      </w:r>
      <w:r>
        <w:rPr>
          <w:rFonts w:ascii="Times New Roman" w:cs="Times New Roman" w:eastAsia="Times New Roman" w:hAnsi="Times New Roman"/>
          <w:sz w:val="17"/>
          <w:szCs w:val="17"/>
          <w:color w:val="auto"/>
        </w:rPr>
        <w:t>Cash and cash equivalents consist of highly liquid investments with original maturities of three months or less and are carried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 cost, which approximates fair value due to their short-term maturities. The majority of our cash and cash equivalents consists of (i) deposits at major commercial banks, which may at times exceed the Federal Deposit Insurance Corporation limit and (ii) Certificate of Deposits placed through an Account Registry Service.</w:t>
      </w:r>
    </w:p>
    <w:p>
      <w:pPr>
        <w:spacing w:after="0" w:line="219" w:lineRule="exact"/>
        <w:rPr>
          <w:sz w:val="20"/>
          <w:szCs w:val="20"/>
          <w:color w:val="auto"/>
        </w:rPr>
      </w:pPr>
    </w:p>
    <w:p>
      <w:pPr>
        <w:jc w:val="both"/>
        <w:ind w:firstLine="314"/>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Restricted Cash: </w:t>
      </w:r>
      <w:r>
        <w:rPr>
          <w:rFonts w:ascii="Times New Roman" w:cs="Times New Roman" w:eastAsia="Times New Roman" w:hAnsi="Times New Roman"/>
          <w:sz w:val="17"/>
          <w:szCs w:val="17"/>
          <w:color w:val="auto"/>
        </w:rPr>
        <w:t>Restricted cash consists of cash escrowed under loan agreements (including for debt service, real estate taxes, property insurance, leasing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costs and capital improvements), security deposits, cash restricted for the purposes of facilitating a Section 1031 Like-Kind exchange and cash restricted in connection with our deferred compensation plan.</w:t>
      </w:r>
    </w:p>
    <w:p>
      <w:pPr>
        <w:spacing w:after="0" w:line="2" w:lineRule="exact"/>
        <w:rPr>
          <w:sz w:val="20"/>
          <w:szCs w:val="20"/>
          <w:color w:val="auto"/>
        </w:rPr>
      </w:pPr>
    </w:p>
    <w:p>
      <w:pPr>
        <w:jc w:val="both"/>
        <w:ind w:firstLine="314"/>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Deferred Charges: </w:t>
      </w:r>
      <w:r>
        <w:rPr>
          <w:rFonts w:ascii="Times New Roman" w:cs="Times New Roman" w:eastAsia="Times New Roman" w:hAnsi="Times New Roman"/>
          <w:sz w:val="17"/>
          <w:szCs w:val="17"/>
          <w:color w:val="auto"/>
        </w:rPr>
        <w:t>Direct financing costs are deferred and amortized on a straight-line basis, which approximates the effective interest rate method, over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terms of the related agreements as a component of interest expense. Direct and incremental costs related to successful leasing activities are capitalized and amortized on a straight-line basis over the lives of the related leases.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82" w:name="page83"/>
    <w:bookmarkEnd w:id="82"/>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66" w:lineRule="exact"/>
        <w:rPr>
          <w:sz w:val="20"/>
          <w:szCs w:val="20"/>
          <w:color w:val="auto"/>
        </w:rPr>
      </w:pPr>
    </w:p>
    <w:p>
      <w:pPr>
        <w:ind w:right="5760" w:firstLine="5"/>
        <w:spacing w:after="0" w:line="321" w:lineRule="auto"/>
        <w:tabs>
          <w:tab w:leader="none" w:pos="349"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Basis of Presentation and Significant Accounting Policies - continued </w:t>
      </w:r>
      <w:r>
        <w:rPr>
          <w:rFonts w:ascii="Times New Roman" w:cs="Times New Roman" w:eastAsia="Times New Roman" w:hAnsi="Times New Roman"/>
          <w:sz w:val="17"/>
          <w:szCs w:val="17"/>
          <w:b w:val="1"/>
          <w:bCs w:val="1"/>
          <w:i w:val="1"/>
          <w:iCs w:val="1"/>
          <w:color w:val="auto"/>
        </w:rPr>
        <w:t>Significant Accounting Policies - continued</w:t>
      </w:r>
    </w:p>
    <w:p>
      <w:pPr>
        <w:spacing w:after="0" w:line="1"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w:t>
      </w:r>
    </w:p>
    <w:p>
      <w:pPr>
        <w:spacing w:after="0" w:line="68" w:lineRule="exact"/>
        <w:rPr>
          <w:rFonts w:ascii="Times New Roman" w:cs="Times New Roman" w:eastAsia="Times New Roman" w:hAnsi="Times New Roman"/>
          <w:sz w:val="17"/>
          <w:szCs w:val="17"/>
          <w:b w:val="1"/>
          <w:bCs w:val="1"/>
          <w:color w:val="auto"/>
        </w:rPr>
      </w:pPr>
    </w:p>
    <w:p>
      <w:pPr>
        <w:ind w:left="620" w:hanging="301"/>
        <w:spacing w:after="0"/>
        <w:tabs>
          <w:tab w:leader="none" w:pos="62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Rental revenues include revenues from the leasing of space at our properties to tenants, trade shows, tenant services and parking garage revenues.</w:t>
      </w:r>
    </w:p>
    <w:p>
      <w:pPr>
        <w:spacing w:after="0" w:line="66" w:lineRule="exact"/>
        <w:rPr>
          <w:rFonts w:ascii="Times New Roman" w:cs="Times New Roman" w:eastAsia="Times New Roman" w:hAnsi="Times New Roman"/>
          <w:sz w:val="17"/>
          <w:szCs w:val="17"/>
          <w:color w:val="auto"/>
        </w:rPr>
      </w:pPr>
    </w:p>
    <w:p>
      <w:pPr>
        <w:jc w:val="both"/>
        <w:ind w:left="1260" w:hanging="312"/>
        <w:spacing w:after="0" w:line="270" w:lineRule="auto"/>
        <w:tabs>
          <w:tab w:leader="none" w:pos="1256" w:val="left"/>
        </w:tabs>
        <w:numPr>
          <w:ilvl w:val="2"/>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Revenues from the leasing of space at our properties to tenants include (i) lease components, including fixed and variable lease payments, and nonlease components which include reimbursement of common area maintenance expenses, and (ii) reimbursement of real estate taxes and insurance expenses. As lessor, we have elected to combine the lease and nonlease components of our operating lease agreements and account for the components as a single lease component in accordance with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(“ASC 842”).</w:t>
      </w:r>
    </w:p>
    <w:p>
      <w:pPr>
        <w:spacing w:after="0" w:line="11" w:lineRule="exact"/>
        <w:rPr>
          <w:rFonts w:ascii="Times New Roman" w:cs="Times New Roman" w:eastAsia="Times New Roman" w:hAnsi="Times New Roman"/>
          <w:sz w:val="17"/>
          <w:szCs w:val="17"/>
          <w:color w:val="auto"/>
        </w:rPr>
      </w:pPr>
    </w:p>
    <w:p>
      <w:pPr>
        <w:jc w:val="both"/>
        <w:ind w:left="1900" w:hanging="323"/>
        <w:spacing w:after="0" w:line="276" w:lineRule="auto"/>
        <w:tabs>
          <w:tab w:leader="none" w:pos="1895" w:val="left"/>
        </w:tabs>
        <w:numPr>
          <w:ilvl w:val="3"/>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Revenues from fixed lease payments for operating leases are recognized on a straight-line basis over the non-cancelable term of the lease, together with renewal options that are reasonably certain of being exercised. We commence revenue recognition when the tenant takes possession of the leased space and the leased space is substantially ready for its intended use.</w:t>
      </w:r>
    </w:p>
    <w:p>
      <w:pPr>
        <w:spacing w:after="0" w:line="6" w:lineRule="exact"/>
        <w:rPr>
          <w:rFonts w:ascii="Times New Roman" w:cs="Times New Roman" w:eastAsia="Times New Roman" w:hAnsi="Times New Roman"/>
          <w:sz w:val="17"/>
          <w:szCs w:val="17"/>
          <w:color w:val="auto"/>
        </w:rPr>
      </w:pPr>
    </w:p>
    <w:p>
      <w:pPr>
        <w:ind w:left="1900" w:hanging="323"/>
        <w:spacing w:after="0" w:line="289" w:lineRule="auto"/>
        <w:tabs>
          <w:tab w:leader="none" w:pos="1895" w:val="left"/>
        </w:tabs>
        <w:numPr>
          <w:ilvl w:val="3"/>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Revenues derived from the reimbursement of real estate taxes, insurance expenses and common area maintenance expenses are variable, and are generally recognized in the same period as the related expenses are incurred.</w:t>
      </w:r>
    </w:p>
    <w:p>
      <w:pPr>
        <w:ind w:left="1900" w:hanging="323"/>
        <w:spacing w:after="0" w:line="289" w:lineRule="auto"/>
        <w:tabs>
          <w:tab w:leader="none" w:pos="1895" w:val="left"/>
        </w:tabs>
        <w:numPr>
          <w:ilvl w:val="3"/>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We recognize amortization of acquired below-market leases as an increase to rental revenues and amortization of acquired above-market leases as a decrease to rental revenues over the term of the lease (see Note 7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Identified Intangible Assets and Liabilities</w:t>
      </w:r>
      <w:r>
        <w:rPr>
          <w:rFonts w:ascii="Times New Roman" w:cs="Times New Roman" w:eastAsia="Times New Roman" w:hAnsi="Times New Roman"/>
          <w:sz w:val="17"/>
          <w:szCs w:val="17"/>
          <w:color w:val="auto"/>
        </w:rPr>
        <w:t>).</w:t>
      </w:r>
    </w:p>
    <w:p>
      <w:pPr>
        <w:ind w:left="1260" w:hanging="312"/>
        <w:spacing w:after="0" w:line="289" w:lineRule="auto"/>
        <w:tabs>
          <w:tab w:leader="none" w:pos="1256" w:val="left"/>
        </w:tabs>
        <w:numPr>
          <w:ilvl w:val="2"/>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Revenues from the operation of trade shows at our properties, primarily derived from booth rentals, are recognized when the trade show booths are made available for use by the exhibitors, in accordance with ASC 842.</w:t>
      </w:r>
    </w:p>
    <w:p>
      <w:pPr>
        <w:ind w:left="1260" w:hanging="312"/>
        <w:spacing w:after="0" w:line="289" w:lineRule="auto"/>
        <w:tabs>
          <w:tab w:leader="none" w:pos="1256" w:val="left"/>
        </w:tabs>
        <w:numPr>
          <w:ilvl w:val="2"/>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Revenues derived from sub-metered electric, service elevator, trash removal and other services provided to our tenants at their request are recognized as the services are transferred in accordance with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606").</w:t>
      </w:r>
    </w:p>
    <w:p>
      <w:pPr>
        <w:ind w:left="1260" w:hanging="312"/>
        <w:spacing w:after="0" w:line="289" w:lineRule="auto"/>
        <w:tabs>
          <w:tab w:leader="none" w:pos="1256" w:val="left"/>
        </w:tabs>
        <w:numPr>
          <w:ilvl w:val="2"/>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Revenues derived from the operations of our parking facilities, which charge hourly or monthly fees to provide parking services to customers, are recognized as the services are transferred in accordance with ASC 606.</w:t>
      </w:r>
    </w:p>
    <w:p>
      <w:pPr>
        <w:jc w:val="both"/>
        <w:ind w:left="640" w:hanging="321"/>
        <w:spacing w:after="0" w:line="276" w:lineRule="auto"/>
        <w:tabs>
          <w:tab w:leader="none" w:pos="635"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classify revenues derived from management, leasing and other contractual agreements (including BMS cleaning, engineering and security services) with third parties or with partially owned entities as “fee and other income” and recognize revenue as the services are transferred in accordance with ASC 606.</w:t>
      </w:r>
    </w:p>
    <w:p>
      <w:pPr>
        <w:spacing w:after="0" w:line="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evaluate on an individual lease basis whether it is probable that we will collect substantially all amounts due from our tenants and recognize changes in the collectability assessment of our operating leases as adjustments to rental revenue. Management exercises judgment in assessing collectability of tenant receivables and considers payment history, current credit status and publicly available information about the financial condition of the tenant, and other factors. Tenant receivables, including receivables arising from the straight-lining of rents, are written off when management deems that the collectability of substantially all future lease payments from a specific lease is not probable of collection, at which point, the Company will limit future rental revenues to cash received.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83" w:name="page84"/>
    <w:bookmarkEnd w:id="83"/>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66" w:lineRule="exact"/>
        <w:rPr>
          <w:sz w:val="20"/>
          <w:szCs w:val="20"/>
          <w:color w:val="auto"/>
        </w:rPr>
      </w:pPr>
    </w:p>
    <w:p>
      <w:pPr>
        <w:ind w:right="5820" w:firstLine="5"/>
        <w:spacing w:after="0" w:line="301" w:lineRule="auto"/>
        <w:tabs>
          <w:tab w:leader="none" w:pos="305"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Basis of Presentation and Significant Accounting Policies - continued </w:t>
      </w:r>
      <w:r>
        <w:rPr>
          <w:rFonts w:ascii="Times New Roman" w:cs="Times New Roman" w:eastAsia="Times New Roman" w:hAnsi="Times New Roman"/>
          <w:sz w:val="17"/>
          <w:szCs w:val="17"/>
          <w:b w:val="1"/>
          <w:bCs w:val="1"/>
          <w:i w:val="1"/>
          <w:iCs w:val="1"/>
          <w:color w:val="auto"/>
        </w:rPr>
        <w:t>Significant Accounting Policies - continued</w:t>
      </w:r>
    </w:p>
    <w:p>
      <w:pPr>
        <w:spacing w:after="0" w:line="1" w:lineRule="exact"/>
        <w:rPr>
          <w:sz w:val="20"/>
          <w:szCs w:val="20"/>
          <w:color w:val="auto"/>
        </w:rPr>
      </w:pPr>
    </w:p>
    <w:p>
      <w:pPr>
        <w:jc w:val="both"/>
        <w:ind w:firstLine="314"/>
        <w:spacing w:after="0" w:line="220" w:lineRule="exact"/>
        <w:rPr>
          <w:sz w:val="20"/>
          <w:szCs w:val="20"/>
          <w:color w:val="auto"/>
        </w:rPr>
      </w:pP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color w:val="auto"/>
        </w:rPr>
        <w:t>Vornado operates in a manner intended to enable it to continue to qualify as a REIT under Sections 856</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860 of the Internal Revenue Code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1986, as amended. Under those sections, a REIT which distributes at least 90% of its REIT taxable income as a dividend to its shareholders each year and which meets certain other conditions will not be taxed on that portion of its taxable income which is distributed to its shareholders. Vornado distributes to its shareholders 100% of its REIT taxable income and therefore, no provision for Federal income taxes is required. Dividends distributed for the years ended December 31, 2024, 2023 and 2022 were characterized, for federal income tax purposes, as ordinary income under Section 199A of the Internal Revenue Code.</w:t>
      </w:r>
    </w:p>
    <w:p>
      <w:pPr>
        <w:spacing w:after="0" w:line="35"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We have elected to treat certain consolidated subsidiaries, and may in the future elect to treat newly formed subsidiaries, as taxable REIT subsidiaries pursuant to an amendment to the Internal Revenue Code that became effective January 1, 2001. Taxable REIT subsidiaries may participate in non-real estate related activities and/or perform non-customary services for tenants and are subject to Federal and State income tax at regular corporate tax rates. The Farley Building and our 220 Central Park South (“220 CPS”) condominium project are held through taxable REIT subsidiaries.</w:t>
      </w:r>
    </w:p>
    <w:p>
      <w:pPr>
        <w:spacing w:after="0" w:line="1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As of December 31, 2024 and 2023, our taxable REIT subsidiaries had deferred tax assets, net of valuation allowances, of $6,142,000 and $7,557,000, respectively, which are included in “other assets” on our consolidated balance sheets. As of December 31, 2024 and 2023, our taxable REIT subsidiaries had deferred tax liabilities of $84,877,000 and $74,721,000, respectively, which are included in "other liabilities" on our consolidated balance sheets. The deferred tax assets relate to net operating loss carry forwards and temporary differences between the book and tax basis of our assets. The deferred tax liabilities relate to temporary differences between the book and tax basis of our assets.</w:t>
      </w:r>
    </w:p>
    <w:p>
      <w:pPr>
        <w:spacing w:after="0" w:line="1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As of December 31, 2024, our taxable REIT subsidiaries have an estimated $181,000,000 of federal net operating loss ("NOL") carryforwards and $246,000,000 of state and local NOL carryforwards, which are reduced by valuation allowances of $162,000,000 for federal NOL carryforwards and $246,000,000 for state and local NOL carryforwards. The NOL carryforwards are subject to certain limitations.</w:t>
      </w:r>
    </w:p>
    <w:p>
      <w:pPr>
        <w:spacing w:after="0" w:line="7"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For the year ended December 31, 2024, we recognized $22,729,000 of income tax expense based on an effective tax rate of approximately 53.0%. For the years ended December 31, 2023 and 2022, we recognized $29,222,000 and $21,660,000 of income tax expense, based on effective tax rates of approximately 47.0% and negative 6.0%, respectively. Income tax expense recorded in each of the years primarily relates to our consolidated taxable REIT subsidiaries, and certain state, local, and franchise taxes. The year ended December 31, 2024 included $14,353,000 of income tax expense resulting from book to tax differences (primarily straight-line rent adjustments and depreciation) on our investment in The Farley Building and $2,106,000 of income tax expense recognized on the sale of 220 CPS condominium units. The year ended December 31, 2023 included $11,722,000 of income tax expense resulting from book to tax differences on our investment in The Farley Building and $2,168,000 of income tax expense recognized on the sale of 220 CPS condominium units. The year ended December 31, 2022 included $13,665,000 of income tax expense resulting from book to tax differences on our investment in The Farley Building and $6,016,000 of income tax expense recognized on the sale of 220 CPS condominium units. The Company has no uncertain tax positions recognized as of December 31, 2024 and 2023.</w:t>
      </w:r>
    </w:p>
    <w:p>
      <w:pPr>
        <w:spacing w:after="0" w:line="2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Operating Partnership’s partners are required to report their respective share of taxable income on their individual tax returns.</w:t>
      </w:r>
    </w:p>
    <w:p>
      <w:pPr>
        <w:spacing w:after="0" w:line="66"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The estimated taxable income attributable to Vornado common shareholders (unaudited) for the years ended December 31, 2024, 2023 and 2022 was approximately $145,630,000, $102,903,000, and $398,644,000, respectively. The book to tax differences between net income (loss) and estimated taxable income primarily result from differences in the income recognition or deductibility of depreciation and amortization, gain or loss from the sale of real estate and other capital transactions, impairment losses, straight-line rent adjustments, stock option expense and repairs expense related to the tangible property regulations.</w:t>
      </w:r>
    </w:p>
    <w:p>
      <w:pPr>
        <w:spacing w:after="0" w:line="227" w:lineRule="exact"/>
        <w:rPr>
          <w:sz w:val="20"/>
          <w:szCs w:val="20"/>
          <w:color w:val="auto"/>
        </w:rPr>
      </w:pPr>
    </w:p>
    <w:p>
      <w:pPr>
        <w:jc w:val="both"/>
        <w:ind w:firstLine="362"/>
        <w:spacing w:after="0" w:line="296" w:lineRule="auto"/>
        <w:rPr>
          <w:sz w:val="20"/>
          <w:szCs w:val="20"/>
          <w:color w:val="auto"/>
        </w:rPr>
      </w:pPr>
      <w:r>
        <w:rPr>
          <w:rFonts w:ascii="Times New Roman" w:cs="Times New Roman" w:eastAsia="Times New Roman" w:hAnsi="Times New Roman"/>
          <w:sz w:val="17"/>
          <w:szCs w:val="17"/>
          <w:color w:val="auto"/>
        </w:rPr>
        <w:t>The net basis of Vornado’s assets and liabilities for tax reporting purposes is approximately $1.4 billion lower than the amounts reported in Vornado’s consolidated balance sheet as of December 31, 2024.</w:t>
      </w:r>
    </w:p>
    <w:p>
      <w:pPr>
        <w:spacing w:after="0" w:line="200" w:lineRule="exact"/>
        <w:rPr>
          <w:sz w:val="20"/>
          <w:szCs w:val="20"/>
          <w:color w:val="auto"/>
        </w:rPr>
      </w:pPr>
    </w:p>
    <w:p>
      <w:pPr>
        <w:spacing w:after="0" w:line="3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84" w:name="page85"/>
    <w:bookmarkEnd w:id="84"/>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ind w:left="360" w:hanging="355"/>
        <w:spacing w:after="0"/>
        <w:tabs>
          <w:tab w:leader="none" w:pos="360"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w:t>
      </w:r>
    </w:p>
    <w:p>
      <w:pPr>
        <w:spacing w:after="0" w:line="68"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 xml:space="preserve">Below is a summary of our revenues by segment. Additional financial information related to these reportable segments for the years ended December 31, 2024, 2023 and 2022 is set forth in Note 22 - </w:t>
      </w:r>
      <w:r>
        <w:rPr>
          <w:rFonts w:ascii="Times New Roman" w:cs="Times New Roman" w:eastAsia="Times New Roman" w:hAnsi="Times New Roman"/>
          <w:sz w:val="17"/>
          <w:szCs w:val="17"/>
          <w:i w:val="1"/>
          <w:iCs w:val="1"/>
          <w:color w:val="auto"/>
        </w:rPr>
        <w:t>Segment Information.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200" w:type="dxa"/>
            <w:vAlign w:val="bottom"/>
          </w:tcPr>
          <w:p>
            <w:pPr>
              <w:spacing w:after="0"/>
              <w:rPr>
                <w:sz w:val="16"/>
                <w:szCs w:val="16"/>
                <w:color w:val="auto"/>
              </w:rPr>
            </w:pPr>
          </w:p>
        </w:tc>
        <w:tc>
          <w:tcPr>
            <w:tcW w:w="31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r>
      <w:tr>
        <w:trPr>
          <w:trHeight w:val="184"/>
        </w:trPr>
        <w:tc>
          <w:tcPr>
            <w:tcW w:w="534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400" w:type="dxa"/>
            <w:vAlign w:val="bottom"/>
          </w:tcPr>
          <w:p>
            <w:pPr>
              <w:spacing w:after="0"/>
              <w:rPr>
                <w:sz w:val="15"/>
                <w:szCs w:val="15"/>
                <w:color w:val="auto"/>
              </w:rPr>
            </w:pPr>
          </w:p>
        </w:tc>
        <w:tc>
          <w:tcPr>
            <w:tcW w:w="1520" w:type="dxa"/>
            <w:vAlign w:val="bottom"/>
            <w:gridSpan w:val="2"/>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6"/>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rentals</w:t>
            </w:r>
          </w:p>
        </w:tc>
        <w:tc>
          <w:tcPr>
            <w:tcW w:w="120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1,486,503</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1,215,854</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270,649</w:t>
            </w:r>
          </w:p>
        </w:tc>
        <w:tc>
          <w:tcPr>
            <w:tcW w:w="280" w:type="dxa"/>
            <w:vAlign w:val="bottom"/>
            <w:tcBorders>
              <w:top w:val="single" w:sz="8" w:color="CCEEFF"/>
            </w:tcBorders>
            <w:shd w:val="clear" w:color="auto" w:fill="CCEEFF"/>
          </w:tcPr>
          <w:p>
            <w:pPr>
              <w:spacing w:after="0"/>
              <w:rPr>
                <w:sz w:val="17"/>
                <w:szCs w:val="17"/>
                <w:color w:val="auto"/>
              </w:rPr>
            </w:pPr>
          </w:p>
        </w:tc>
      </w:tr>
      <w:tr>
        <w:trPr>
          <w:trHeight w:val="190"/>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shows</w:t>
            </w:r>
          </w:p>
        </w:tc>
        <w:tc>
          <w:tcPr>
            <w:tcW w:w="1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21,541</w:t>
            </w:r>
          </w:p>
        </w:tc>
        <w:tc>
          <w:tcPr>
            <w:tcW w:w="280" w:type="dxa"/>
            <w:vAlign w:val="bottom"/>
          </w:tcPr>
          <w:p>
            <w:pPr>
              <w:spacing w:after="0"/>
              <w:rPr>
                <w:sz w:val="16"/>
                <w:szCs w:val="16"/>
                <w:color w:val="auto"/>
              </w:rPr>
            </w:pPr>
          </w:p>
        </w:tc>
      </w:tr>
      <w:tr>
        <w:trPr>
          <w:trHeight w:val="196"/>
        </w:trPr>
        <w:tc>
          <w:tcPr>
            <w:tcW w:w="5340" w:type="dxa"/>
            <w:vAlign w:val="bottom"/>
            <w:tcBorders>
              <w:top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4"/>
                <w:szCs w:val="14"/>
                <w:color w:val="auto"/>
              </w:rPr>
              <w:t>Lease revenues</w:t>
            </w:r>
            <w:r>
              <w:rPr>
                <w:rFonts w:ascii="Times New Roman" w:cs="Times New Roman" w:eastAsia="Times New Roman" w:hAnsi="Times New Roman"/>
                <w:sz w:val="18"/>
                <w:szCs w:val="18"/>
                <w:b w:val="1"/>
                <w:bCs w:val="1"/>
                <w:color w:val="auto"/>
                <w:vertAlign w:val="superscript"/>
              </w:rPr>
              <w:t>(1)</w:t>
            </w:r>
          </w:p>
        </w:tc>
        <w:tc>
          <w:tcPr>
            <w:tcW w:w="1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1,508,044</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1,215,854</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292,190</w:t>
            </w:r>
          </w:p>
        </w:tc>
        <w:tc>
          <w:tcPr>
            <w:tcW w:w="280" w:type="dxa"/>
            <w:vAlign w:val="bottom"/>
            <w:tcBorders>
              <w:top w:val="single" w:sz="8" w:color="CCEEFF"/>
            </w:tcBorders>
            <w:shd w:val="clear" w:color="auto" w:fill="CCEEFF"/>
          </w:tcPr>
          <w:p>
            <w:pPr>
              <w:spacing w:after="0"/>
              <w:rPr>
                <w:sz w:val="17"/>
                <w:szCs w:val="17"/>
                <w:color w:val="auto"/>
              </w:rPr>
            </w:pPr>
          </w:p>
        </w:tc>
      </w:tr>
      <w:tr>
        <w:trPr>
          <w:trHeight w:val="189"/>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Tenant services</w:t>
            </w:r>
          </w:p>
        </w:tc>
        <w:tc>
          <w:tcPr>
            <w:tcW w:w="1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29,344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12,205</w:t>
            </w:r>
          </w:p>
        </w:tc>
        <w:tc>
          <w:tcPr>
            <w:tcW w:w="280" w:type="dxa"/>
            <w:vAlign w:val="bottom"/>
          </w:tcPr>
          <w:p>
            <w:pPr>
              <w:spacing w:after="0"/>
              <w:rPr>
                <w:sz w:val="16"/>
                <w:szCs w:val="16"/>
                <w:color w:val="auto"/>
              </w:rPr>
            </w:pPr>
          </w:p>
        </w:tc>
      </w:tr>
      <w:tr>
        <w:trPr>
          <w:trHeight w:val="20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Parking revenues</w:t>
            </w:r>
          </w:p>
        </w:tc>
        <w:tc>
          <w:tcPr>
            <w:tcW w:w="1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280" w:type="dxa"/>
            <w:vAlign w:val="bottom"/>
            <w:shd w:val="clear" w:color="auto" w:fill="CCEEFF"/>
          </w:tcPr>
          <w:p>
            <w:pPr>
              <w:spacing w:after="0"/>
              <w:rPr>
                <w:sz w:val="17"/>
                <w:szCs w:val="17"/>
                <w:color w:val="auto"/>
              </w:rPr>
            </w:pPr>
          </w:p>
        </w:tc>
      </w:tr>
      <w:tr>
        <w:trPr>
          <w:trHeight w:val="183"/>
        </w:trPr>
        <w:tc>
          <w:tcPr>
            <w:tcW w:w="5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Rental revenues</w:t>
            </w:r>
          </w:p>
        </w:tc>
        <w:tc>
          <w:tcPr>
            <w:tcW w:w="1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1,568,806</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1,260,426</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308,380</w:t>
            </w:r>
          </w:p>
        </w:tc>
        <w:tc>
          <w:tcPr>
            <w:tcW w:w="280" w:type="dxa"/>
            <w:vAlign w:val="bottom"/>
            <w:tcBorders>
              <w:bottom w:val="single" w:sz="8" w:color="CCEEFF"/>
            </w:tcBorders>
          </w:tcPr>
          <w:p>
            <w:pPr>
              <w:spacing w:after="0"/>
              <w:rPr>
                <w:sz w:val="15"/>
                <w:szCs w:val="15"/>
                <w:color w:val="auto"/>
              </w:rPr>
            </w:pPr>
          </w:p>
        </w:tc>
      </w:tr>
      <w:tr>
        <w:trPr>
          <w:trHeight w:val="19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BMS cleaning fees</w:t>
            </w:r>
          </w:p>
        </w:tc>
        <w:tc>
          <w:tcPr>
            <w:tcW w:w="1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149,225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159,903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(10,678)</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b w:val="1"/>
                <w:bCs w:val="1"/>
                <w:color w:val="auto"/>
                <w:w w:val="94"/>
              </w:rPr>
              <w:t>(2)</w:t>
            </w:r>
          </w:p>
        </w:tc>
      </w:tr>
      <w:tr>
        <w:trPr>
          <w:trHeight w:val="189"/>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and leasing fees</w:t>
            </w:r>
          </w:p>
        </w:tc>
        <w:tc>
          <w:tcPr>
            <w:tcW w:w="1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280" w:type="dxa"/>
            <w:vAlign w:val="bottom"/>
          </w:tcPr>
          <w:p>
            <w:pPr>
              <w:spacing w:after="0"/>
              <w:rPr>
                <w:sz w:val="16"/>
                <w:szCs w:val="16"/>
                <w:color w:val="auto"/>
              </w:rPr>
            </w:pPr>
          </w:p>
        </w:tc>
      </w:tr>
      <w:tr>
        <w:trPr>
          <w:trHeight w:val="20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54,975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18,750</w:t>
            </w:r>
          </w:p>
        </w:tc>
        <w:tc>
          <w:tcPr>
            <w:tcW w:w="280" w:type="dxa"/>
            <w:vAlign w:val="bottom"/>
            <w:shd w:val="clear" w:color="auto" w:fill="CCEEFF"/>
          </w:tcPr>
          <w:p>
            <w:pPr>
              <w:spacing w:after="0"/>
              <w:rPr>
                <w:sz w:val="17"/>
                <w:szCs w:val="17"/>
                <w:color w:val="auto"/>
              </w:rPr>
            </w:pPr>
          </w:p>
        </w:tc>
      </w:tr>
      <w:tr>
        <w:trPr>
          <w:trHeight w:val="183"/>
        </w:trPr>
        <w:tc>
          <w:tcPr>
            <w:tcW w:w="5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Fee and other income</w:t>
            </w:r>
          </w:p>
        </w:tc>
        <w:tc>
          <w:tcPr>
            <w:tcW w:w="1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218,880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211,571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7,309</w:t>
            </w:r>
          </w:p>
        </w:tc>
        <w:tc>
          <w:tcPr>
            <w:tcW w:w="280" w:type="dxa"/>
            <w:vAlign w:val="bottom"/>
            <w:tcBorders>
              <w:bottom w:val="single" w:sz="8" w:color="CCEEFF"/>
            </w:tcBorders>
          </w:tcPr>
          <w:p>
            <w:pPr>
              <w:spacing w:after="0"/>
              <w:rPr>
                <w:sz w:val="15"/>
                <w:szCs w:val="15"/>
                <w:color w:val="auto"/>
              </w:rPr>
            </w:pPr>
          </w:p>
        </w:tc>
      </w:tr>
      <w:tr>
        <w:trPr>
          <w:trHeight w:val="221"/>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20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1,787,686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1,471,997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315,689</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200" w:type="dxa"/>
            <w:vAlign w:val="bottom"/>
          </w:tcPr>
          <w:p>
            <w:pPr>
              <w:spacing w:after="0"/>
              <w:rPr>
                <w:sz w:val="16"/>
                <w:szCs w:val="16"/>
                <w:color w:val="auto"/>
              </w:rPr>
            </w:pPr>
          </w:p>
        </w:tc>
        <w:tc>
          <w:tcPr>
            <w:tcW w:w="32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3"/>
        </w:trPr>
        <w:tc>
          <w:tcPr>
            <w:tcW w:w="52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84"/>
        </w:trPr>
        <w:tc>
          <w:tcPr>
            <w:tcW w:w="528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380" w:type="dxa"/>
            <w:vAlign w:val="bottom"/>
          </w:tcPr>
          <w:p>
            <w:pPr>
              <w:spacing w:after="0"/>
              <w:rPr>
                <w:sz w:val="15"/>
                <w:szCs w:val="15"/>
                <w:color w:val="auto"/>
              </w:rPr>
            </w:pP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5"/>
                <w:szCs w:val="15"/>
                <w:color w:val="auto"/>
              </w:rPr>
            </w:pPr>
          </w:p>
        </w:tc>
      </w:tr>
      <w:tr>
        <w:trPr>
          <w:trHeight w:val="196"/>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rentals</w:t>
            </w:r>
          </w:p>
        </w:tc>
        <w:tc>
          <w:tcPr>
            <w:tcW w:w="120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1,523,890</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1,222,229</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301,661</w:t>
            </w:r>
          </w:p>
        </w:tc>
        <w:tc>
          <w:tcPr>
            <w:tcW w:w="280" w:type="dxa"/>
            <w:vAlign w:val="bottom"/>
            <w:tcBorders>
              <w:top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b w:val="1"/>
                <w:bCs w:val="1"/>
                <w:color w:val="auto"/>
                <w:w w:val="94"/>
              </w:rPr>
              <w:t>(3)</w:t>
            </w:r>
          </w:p>
        </w:tc>
      </w:tr>
      <w:tr>
        <w:trPr>
          <w:trHeight w:val="190"/>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shows</w:t>
            </w:r>
          </w:p>
        </w:tc>
        <w:tc>
          <w:tcPr>
            <w:tcW w:w="1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20,781</w:t>
            </w:r>
          </w:p>
        </w:tc>
        <w:tc>
          <w:tcPr>
            <w:tcW w:w="280" w:type="dxa"/>
            <w:vAlign w:val="bottom"/>
          </w:tcPr>
          <w:p>
            <w:pPr>
              <w:spacing w:after="0"/>
              <w:rPr>
                <w:sz w:val="16"/>
                <w:szCs w:val="16"/>
                <w:color w:val="auto"/>
              </w:rPr>
            </w:pPr>
          </w:p>
        </w:tc>
      </w:tr>
      <w:tr>
        <w:trPr>
          <w:trHeight w:val="196"/>
        </w:trPr>
        <w:tc>
          <w:tcPr>
            <w:tcW w:w="5280" w:type="dxa"/>
            <w:vAlign w:val="bottom"/>
            <w:tcBorders>
              <w:top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4"/>
                <w:szCs w:val="14"/>
                <w:color w:val="auto"/>
              </w:rPr>
              <w:t>Lease revenues</w:t>
            </w:r>
            <w:r>
              <w:rPr>
                <w:rFonts w:ascii="Times New Roman" w:cs="Times New Roman" w:eastAsia="Times New Roman" w:hAnsi="Times New Roman"/>
                <w:sz w:val="18"/>
                <w:szCs w:val="18"/>
                <w:b w:val="1"/>
                <w:bCs w:val="1"/>
                <w:color w:val="auto"/>
                <w:vertAlign w:val="superscript"/>
              </w:rPr>
              <w:t>(1)</w:t>
            </w:r>
          </w:p>
        </w:tc>
        <w:tc>
          <w:tcPr>
            <w:tcW w:w="1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1,544,671</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1,222,229</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322,442</w:t>
            </w:r>
          </w:p>
        </w:tc>
        <w:tc>
          <w:tcPr>
            <w:tcW w:w="280" w:type="dxa"/>
            <w:vAlign w:val="bottom"/>
            <w:tcBorders>
              <w:top w:val="single" w:sz="8" w:color="CCEEFF"/>
            </w:tcBorders>
            <w:shd w:val="clear" w:color="auto" w:fill="CCEEFF"/>
          </w:tcPr>
          <w:p>
            <w:pPr>
              <w:spacing w:after="0"/>
              <w:rPr>
                <w:sz w:val="17"/>
                <w:szCs w:val="17"/>
                <w:color w:val="auto"/>
              </w:rPr>
            </w:pPr>
          </w:p>
        </w:tc>
      </w:tr>
      <w:tr>
        <w:trPr>
          <w:trHeight w:val="189"/>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Tenant services</w:t>
            </w:r>
          </w:p>
        </w:tc>
        <w:tc>
          <w:tcPr>
            <w:tcW w:w="1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42,460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31,086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11,374</w:t>
            </w:r>
          </w:p>
        </w:tc>
        <w:tc>
          <w:tcPr>
            <w:tcW w:w="280" w:type="dxa"/>
            <w:vAlign w:val="bottom"/>
          </w:tcPr>
          <w:p>
            <w:pPr>
              <w:spacing w:after="0"/>
              <w:rPr>
                <w:sz w:val="16"/>
                <w:szCs w:val="16"/>
                <w:color w:val="auto"/>
              </w:rPr>
            </w:pPr>
          </w:p>
        </w:tc>
      </w:tr>
      <w:tr>
        <w:trPr>
          <w:trHeight w:val="20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Parking revenues</w:t>
            </w:r>
          </w:p>
        </w:tc>
        <w:tc>
          <w:tcPr>
            <w:tcW w:w="1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16,502</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3,853</w:t>
            </w:r>
          </w:p>
        </w:tc>
        <w:tc>
          <w:tcPr>
            <w:tcW w:w="280" w:type="dxa"/>
            <w:vAlign w:val="bottom"/>
            <w:shd w:val="clear" w:color="auto" w:fill="CCEEFF"/>
          </w:tcPr>
          <w:p>
            <w:pPr>
              <w:spacing w:after="0"/>
              <w:rPr>
                <w:sz w:val="17"/>
                <w:szCs w:val="17"/>
                <w:color w:val="auto"/>
              </w:rPr>
            </w:pPr>
          </w:p>
        </w:tc>
      </w:tr>
      <w:tr>
        <w:trPr>
          <w:trHeight w:val="183"/>
        </w:trPr>
        <w:tc>
          <w:tcPr>
            <w:tcW w:w="5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Rental revenues</w:t>
            </w:r>
          </w:p>
        </w:tc>
        <w:tc>
          <w:tcPr>
            <w:tcW w:w="1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1,607,486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1,269,817</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337,669</w:t>
            </w:r>
          </w:p>
        </w:tc>
        <w:tc>
          <w:tcPr>
            <w:tcW w:w="280" w:type="dxa"/>
            <w:vAlign w:val="bottom"/>
            <w:tcBorders>
              <w:bottom w:val="single" w:sz="8" w:color="CCEEFF"/>
            </w:tcBorders>
          </w:tcPr>
          <w:p>
            <w:pPr>
              <w:spacing w:after="0"/>
              <w:rPr>
                <w:sz w:val="15"/>
                <w:szCs w:val="15"/>
                <w:color w:val="auto"/>
              </w:rPr>
            </w:pPr>
          </w:p>
        </w:tc>
      </w:tr>
      <w:tr>
        <w:trPr>
          <w:trHeight w:val="19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BMS cleaning fees</w:t>
            </w:r>
          </w:p>
        </w:tc>
        <w:tc>
          <w:tcPr>
            <w:tcW w:w="1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141,937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151,608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(9,671)</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b w:val="1"/>
                <w:bCs w:val="1"/>
                <w:color w:val="auto"/>
                <w:w w:val="94"/>
              </w:rPr>
              <w:t>(2)</w:t>
            </w:r>
          </w:p>
        </w:tc>
      </w:tr>
      <w:tr>
        <w:trPr>
          <w:trHeight w:val="189"/>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and leasing fees</w:t>
            </w:r>
          </w:p>
        </w:tc>
        <w:tc>
          <w:tcPr>
            <w:tcW w:w="1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280" w:type="dxa"/>
            <w:vAlign w:val="bottom"/>
          </w:tcPr>
          <w:p>
            <w:pPr>
              <w:spacing w:after="0"/>
              <w:rPr>
                <w:sz w:val="16"/>
                <w:szCs w:val="16"/>
                <w:color w:val="auto"/>
              </w:rPr>
            </w:pPr>
          </w:p>
        </w:tc>
      </w:tr>
      <w:tr>
        <w:trPr>
          <w:trHeight w:val="20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48,700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17,114</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31,586</w:t>
            </w:r>
          </w:p>
        </w:tc>
        <w:tc>
          <w:tcPr>
            <w:tcW w:w="280" w:type="dxa"/>
            <w:vAlign w:val="bottom"/>
            <w:shd w:val="clear" w:color="auto" w:fill="CCEEFF"/>
          </w:tcPr>
          <w:p>
            <w:pPr>
              <w:spacing w:after="0"/>
              <w:rPr>
                <w:sz w:val="17"/>
                <w:szCs w:val="17"/>
                <w:color w:val="auto"/>
              </w:rPr>
            </w:pPr>
          </w:p>
        </w:tc>
      </w:tr>
      <w:tr>
        <w:trPr>
          <w:trHeight w:val="183"/>
        </w:trPr>
        <w:tc>
          <w:tcPr>
            <w:tcW w:w="5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Fee and other income</w:t>
            </w:r>
          </w:p>
        </w:tc>
        <w:tc>
          <w:tcPr>
            <w:tcW w:w="1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203,677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182,341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21,336</w:t>
            </w:r>
          </w:p>
        </w:tc>
        <w:tc>
          <w:tcPr>
            <w:tcW w:w="280" w:type="dxa"/>
            <w:vAlign w:val="bottom"/>
            <w:tcBorders>
              <w:bottom w:val="single" w:sz="8" w:color="CCEEFF"/>
            </w:tcBorders>
          </w:tcPr>
          <w:p>
            <w:pPr>
              <w:spacing w:after="0"/>
              <w:rPr>
                <w:sz w:val="15"/>
                <w:szCs w:val="15"/>
                <w:color w:val="auto"/>
              </w:rPr>
            </w:pPr>
          </w:p>
        </w:tc>
      </w:tr>
      <w:tr>
        <w:trPr>
          <w:trHeight w:val="221"/>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20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1,811,163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1,452,158</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359,005</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on following page.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85" w:name="page86"/>
    <w:bookmarkEnd w:id="85"/>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3.</w:t>
            </w:r>
          </w:p>
        </w:tc>
        <w:tc>
          <w:tcPr>
            <w:tcW w:w="49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Revenue Recognition - continued</w:t>
            </w: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1200" w:type="dxa"/>
            <w:vAlign w:val="bottom"/>
          </w:tcPr>
          <w:p>
            <w:pPr>
              <w:spacing w:after="0"/>
              <w:rPr>
                <w:sz w:val="21"/>
                <w:szCs w:val="21"/>
                <w:color w:val="auto"/>
              </w:rPr>
            </w:pPr>
          </w:p>
        </w:tc>
        <w:tc>
          <w:tcPr>
            <w:tcW w:w="284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4900" w:type="dxa"/>
            <w:vAlign w:val="bottom"/>
            <w:tcBorders>
              <w:bottom w:val="single" w:sz="8" w:color="CCEEFF"/>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6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rentals</w:t>
            </w:r>
          </w:p>
        </w:tc>
        <w:tc>
          <w:tcPr>
            <w:tcW w:w="120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1,510,648</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1,230,851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279,797</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Trade shows</w:t>
            </w:r>
          </w:p>
        </w:tc>
        <w:tc>
          <w:tcPr>
            <w:tcW w:w="12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32,669</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32,669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90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4"/>
                <w:szCs w:val="14"/>
                <w:color w:val="auto"/>
              </w:rPr>
              <w:t>Lease revenues</w:t>
            </w:r>
            <w:r>
              <w:rPr>
                <w:rFonts w:ascii="Times New Roman" w:cs="Times New Roman" w:eastAsia="Times New Roman" w:hAnsi="Times New Roman"/>
                <w:sz w:val="18"/>
                <w:szCs w:val="18"/>
                <w:b w:val="1"/>
                <w:bCs w:val="1"/>
                <w:color w:val="auto"/>
                <w:vertAlign w:val="superscript"/>
              </w:rPr>
              <w:t>(1)</w:t>
            </w:r>
          </w:p>
        </w:tc>
        <w:tc>
          <w:tcPr>
            <w:tcW w:w="1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1,543,317</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1,230,851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312,466</w:t>
            </w: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Tenant services</w:t>
            </w:r>
          </w:p>
        </w:tc>
        <w:tc>
          <w:tcPr>
            <w:tcW w:w="12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45,211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33,351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11,860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Parking revenues</w:t>
            </w:r>
          </w:p>
        </w:tc>
        <w:tc>
          <w:tcPr>
            <w:tcW w:w="1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19,157</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15,979</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3,178</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4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Rental revenues</w:t>
            </w:r>
          </w:p>
        </w:tc>
        <w:tc>
          <w:tcPr>
            <w:tcW w:w="1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1,607,685</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1,280,181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327,504</w:t>
            </w:r>
          </w:p>
        </w:tc>
        <w:tc>
          <w:tcPr>
            <w:tcW w:w="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BMS cleaning fees</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137,673</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(8,857)</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Management and leasing fees</w:t>
            </w:r>
          </w:p>
        </w:tc>
        <w:tc>
          <w:tcPr>
            <w:tcW w:w="12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11,039</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(606)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43,598</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11,086</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32,512</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4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Fee and other income</w:t>
            </w:r>
          </w:p>
        </w:tc>
        <w:tc>
          <w:tcPr>
            <w:tcW w:w="1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192,310</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169,261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23,049</w:t>
            </w:r>
          </w:p>
        </w:tc>
        <w:tc>
          <w:tcPr>
            <w:tcW w:w="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20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1,799,995</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1,449,442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350,553</w:t>
            </w:r>
          </w:p>
        </w:tc>
        <w:tc>
          <w:tcPr>
            <w:tcW w:w="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220" w:type="dxa"/>
            <w:vAlign w:val="bottom"/>
            <w:gridSpan w:val="3"/>
            <w:vMerge w:val="continue"/>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(1)  </w:t>
            </w:r>
            <w:r>
              <w:rPr>
                <w:rFonts w:ascii="Times New Roman" w:cs="Times New Roman" w:eastAsia="Times New Roman" w:hAnsi="Times New Roman"/>
                <w:sz w:val="14"/>
                <w:szCs w:val="14"/>
                <w:color w:val="auto"/>
              </w:rPr>
              <w:t>The components of lease revenues were as follows:</w:t>
            </w: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8"/>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billings</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1,358,256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1,387,731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1,376,527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Variable billings</w:t>
            </w:r>
          </w:p>
        </w:tc>
        <w:tc>
          <w:tcPr>
            <w:tcW w:w="12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153,011</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150,045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122,947</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contractual operating lease billings</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1,511,267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1,537,776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1,499,474</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Adjustment for straight-line rents and amortization of acquired below-market leases and other, net</w:t>
            </w:r>
          </w:p>
        </w:tc>
        <w:tc>
          <w:tcPr>
            <w:tcW w:w="7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(3,223)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6,895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43,843</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revenues</w:t>
            </w:r>
          </w:p>
        </w:tc>
        <w:tc>
          <w:tcPr>
            <w:tcW w:w="1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1,508,044</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1,544,671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1,543,317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20" w:hanging="315"/>
        <w:spacing w:after="0"/>
        <w:tabs>
          <w:tab w:leader="none" w:pos="320"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the elimination of BMS cleaning fees related to THE MART and 555 California Street which are included as income in the New York segment.</w:t>
      </w:r>
    </w:p>
    <w:p>
      <w:pPr>
        <w:spacing w:after="0" w:line="21"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2023 includes the receipt of a $21,350 tenant settlement, of which $6,405 is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91" w:right="359" w:bottom="1440" w:gutter="0" w:footer="0" w:header="0"/>
        </w:sectPr>
      </w:pPr>
    </w:p>
    <w:bookmarkStart w:id="86" w:name="page87"/>
    <w:bookmarkEnd w:id="86"/>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18" w:lineRule="exact"/>
        <w:rPr>
          <w:sz w:val="20"/>
          <w:szCs w:val="20"/>
          <w:color w:val="auto"/>
        </w:rPr>
      </w:pPr>
    </w:p>
    <w:p>
      <w:pPr>
        <w:ind w:right="7960" w:firstLine="5"/>
        <w:spacing w:after="0" w:line="322" w:lineRule="auto"/>
        <w:tabs>
          <w:tab w:leader="none" w:pos="305"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Investments in Partially Owned Entities </w:t>
      </w:r>
      <w:r>
        <w:rPr>
          <w:rFonts w:ascii="Times New Roman" w:cs="Times New Roman" w:eastAsia="Times New Roman" w:hAnsi="Times New Roman"/>
          <w:sz w:val="17"/>
          <w:szCs w:val="17"/>
          <w:i w:val="1"/>
          <w:iCs w:val="1"/>
          <w:color w:val="auto"/>
        </w:rPr>
        <w:t>Fifth Avenue and Times Square JV</w:t>
      </w:r>
    </w:p>
    <w:p>
      <w:pPr>
        <w:spacing w:after="0" w:line="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As of December 31, 2024, we own a 51.5% common interest in a joint venture ("Fifth Avenue and Times Square JV") which owns interests in properties located at 640 Fifth Avenue, 655 Fifth Avenue, 666 Fifth Avenue, 689 Fifth Avenue, 697-703 Fifth Avenue, 1535 Broadway and 1540 Broadway (collectively, the "Properties"). The remaining 48.5% common interest in the joint venture is owned by a group of institutional investors (the "Investors"). Our 51.5% common interest in the joint venture represents an effective 51.0% interest in the Properties. The 48.5% common interest in the joint venture owned by the Investors represents an effective 47.2% interest in the Properties.</w:t>
      </w:r>
    </w:p>
    <w:p>
      <w:pPr>
        <w:spacing w:after="0" w:line="1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also own $1.828 billion aggregate liquidation preference of preferred equity interests in certain of the Properties. The preferred equity had an annual coupon of 4.25% until April 2024. In April 2024, it increased to 4.75% for a five year period and will then be based on a formulaic rate. It can be redeemed under certain conditions on a tax deferred basis.</w:t>
      </w:r>
    </w:p>
    <w:p>
      <w:pPr>
        <w:spacing w:after="0" w:line="7"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Fifth Avenue and Times Square JV operates pursuant to a limited partnership agreement (the “Partnership Agreement”) among VRLP, a wholly owned subsidiary of VRLP (“Vornado GP”) and the Investors. Vornado GP is the general partner of Fifth Avenue and Times Square JV. VRLP is jointly and severally liable with Vornado GP for Vornado GP’s obligations under the Partnership Agreement. Pursuant to the Partnership Agreement and the organizational documents of the entities owning the Properties, the Investors or directors of the entities owning the Properties appointed by the Investors, as the case may be, have the right to approve annual business plans and budgets for the Properties and certain other specified major decisions with respect to the Properties and Fifth Avenue and Times Square JV. The Partnership Agreement affords the Investors the right to remove and replace Vornado GP in the event Vornado GP or certain of its affiliates commit fraud or other bad acts in connection with Fifth Avenue and Times Square JV, become bankrupt or insolvent, or default on certain of their respective obligations under the Partnership Agreement (subject to notice and cure periods in certain circumstances). The Partnership Agreement includes (i) remedies for the failure of any partner to make a required capital contribution for necessary expenses and (ii) liquidity provisions, including transfer rights subject to mutual rights of first offer and a mutual buy-sell, customary for similar partnerships. Subject to certain limitations, either party may transfer more than 50% or control of its respective interests in Fifth Avenue and Times Square JV or exercise a buy-sell on a Property-by-Property basis (with only one property subject to a buy-sell at any time), and commencing April 18, 2029, either party may exercise a buy-sell on multiple properties concurrently. In the event the buy-sell is exercised with respect to any Property in which VRLP holds preferred equity and VRLP is the selling partner in the buy-sell, VRLP may elect whether or not to include its preferred equity in the buy-sell for the Property to be sold.</w:t>
      </w:r>
    </w:p>
    <w:p>
      <w:pPr>
        <w:spacing w:after="0" w:line="22"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As of December 31, 2024, the carrying amount of our investment in the joint venture was less than our share of the equity in the net assets of the joint venture by approximately $803,757,000, the basis difference primarily resulting from the non-cash impairment losses recognized in prior periods. Substantially all of this basis difference was allocated, based on our estimates of the fair values of Fifth Avenue and Times Square JV’s assets and liabilities, to real estate (land and buildings). We are amortizing the basis difference related to the buildings into earnings as a reduction to depreciation expense over their estimated useful lives.</w:t>
      </w:r>
    </w:p>
    <w:p>
      <w:pPr>
        <w:spacing w:after="0" w:line="227"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color w:val="auto"/>
        </w:rPr>
        <w:t>We receive an annual fee for managing the Properties equal to 2% of the gross revenues from the Properties. In addition, we are entitled to a development fee of 5% of development costs, plus reimbursement of certain costs, for development projects performed by us. We are entitled to 1.5% of development costs, plus reimbursement of certain costs, as a supervisory fee for development projects not performed by us. We provide leasing services for fees calculated based on a percentage of rents, less any commissions paid to third-party real estate brokers, if applicable. We jointly provide leasing services for the retail space with Crown Retail Services LLC, and exclusively provide leasing services for the office space. We recognized property management fee income, included in "fee and other income" on our consolidated statements of income, of $4,276,000, $4,587,000 and $4,397,000 for the years ended December 31, 2024, 2023 and 2022, respectively.</w:t>
      </w:r>
    </w:p>
    <w:p>
      <w:pPr>
        <w:spacing w:after="0" w:line="229"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Wholly owned subsidiaries of Vornado provide cleaning, security and engineering services at certain Properties. We recognized income for these services, included in "fee and other income" on our consolidated statements of income, of $4,624,000, $4,499,000 and $4,571,000 for the years ended December 31, 2024, 2023 and 2022, respectively.</w:t>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believe, based on comparable fees charged by other real estate companies, that the fees described above are consistent with the market.</w:t>
      </w:r>
    </w:p>
    <w:p>
      <w:pPr>
        <w:spacing w:after="0" w:line="6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June 10, 2024, the Fifth Avenue and Times Square JV completed a $400,000,000 refinancing of 640 Fifth Avenue. The non-recourse loan matures in July 2029, bears interest at a fixed rate of 7.47% and amortizes at $7,000,000 per annum. The loan replaces the previous $500,000,000 loan, which the joint venture paid down by $100,000,000. The previous loan was fully recourse to the Operating Partnership and bore interest at SOFR plus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87" w:name="page88"/>
    <w:bookmarkEnd w:id="87"/>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ind w:right="7200" w:firstLine="5"/>
        <w:spacing w:after="0" w:line="322" w:lineRule="auto"/>
        <w:tabs>
          <w:tab w:leader="none" w:pos="175"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Investments in Partially Owned Entities - continued </w:t>
      </w:r>
      <w:r>
        <w:rPr>
          <w:rFonts w:ascii="Times New Roman" w:cs="Times New Roman" w:eastAsia="Times New Roman" w:hAnsi="Times New Roman"/>
          <w:sz w:val="17"/>
          <w:szCs w:val="17"/>
          <w:i w:val="1"/>
          <w:iCs w:val="1"/>
          <w:color w:val="auto"/>
        </w:rPr>
        <w:t>Alexander’s, Inc</w:t>
      </w:r>
    </w:p>
    <w:p>
      <w:pPr>
        <w:spacing w:after="0" w:line="1" w:lineRule="exact"/>
        <w:rPr>
          <w:sz w:val="20"/>
          <w:szCs w:val="20"/>
          <w:color w:val="auto"/>
        </w:rPr>
      </w:pPr>
    </w:p>
    <w:p>
      <w:pPr>
        <w:jc w:val="both"/>
        <w:ind w:firstLine="314"/>
        <w:spacing w:after="0" w:line="272" w:lineRule="auto"/>
        <w:rPr>
          <w:sz w:val="20"/>
          <w:szCs w:val="20"/>
          <w:color w:val="auto"/>
        </w:rPr>
      </w:pPr>
      <w:r>
        <w:rPr>
          <w:rFonts w:ascii="Times New Roman" w:cs="Times New Roman" w:eastAsia="Times New Roman" w:hAnsi="Times New Roman"/>
          <w:sz w:val="17"/>
          <w:szCs w:val="17"/>
          <w:color w:val="auto"/>
        </w:rPr>
        <w:t>As of December 31, 2024, we own 1,654,068 Alexander’s common shares, or approximately 32.4% of Alexander’s common equity. We manage, develop and lease Alexander’s properties pursuant to agreements which expire in March of each year and are automatically renewable. As of December 31, 2024 and 2023, Alexander’s owed us an aggregate of $1,159,000 and $715,000, respectively, pursuant to such agreements.</w:t>
      </w:r>
    </w:p>
    <w:p>
      <w:pPr>
        <w:spacing w:after="0" w:line="1"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 xml:space="preserve">As of December 31, 2024, the market value (“fair value” pursuant to ASC Topic 820,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xml:space="preserve"> ("ASC 820")) of our investment in Alexander’s, based on Alexander’s December 31, 2024 closing share price of $200.06, was $330,913,000, or $262,421,000 in excess of the carrying amount on our consolidated balance sheet. As of December 31, 2024, the carrying amount of our investment in Alexander’s, excluding amounts owed to us, exceeds our share of the equity in the net assets of Alexander’s by approximately $29,272,000. The majority of this basis difference resulted from the excess of our purchase price for the Alexander’s common stock acquired over the book value of Alexander’s net assets. Substantially all of this basis difference was allocated, based on our estimates of the fair values of Alexander’s assets and liabilities, to real estate (land and buildings). We are amortizing the basis difference related to the buildings into earnings as additional depreciation expense over their estimated useful lives. This depreciation is not material to our share of equity in Alexander’s net income.</w:t>
      </w:r>
    </w:p>
    <w:p>
      <w:pPr>
        <w:spacing w:after="0" w:line="205" w:lineRule="exact"/>
        <w:rPr>
          <w:sz w:val="20"/>
          <w:szCs w:val="20"/>
          <w:color w:val="auto"/>
        </w:rPr>
      </w:pPr>
    </w:p>
    <w:p>
      <w:pPr>
        <w:jc w:val="both"/>
        <w:ind w:firstLine="314"/>
        <w:spacing w:after="0" w:line="273" w:lineRule="auto"/>
        <w:rPr>
          <w:sz w:val="20"/>
          <w:szCs w:val="20"/>
          <w:color w:val="auto"/>
        </w:rPr>
      </w:pPr>
      <w:r>
        <w:rPr>
          <w:rFonts w:ascii="Times New Roman" w:cs="Times New Roman" w:eastAsia="Times New Roman" w:hAnsi="Times New Roman"/>
          <w:sz w:val="17"/>
          <w:szCs w:val="17"/>
          <w:color w:val="auto"/>
        </w:rPr>
        <w:t>We receive an annual fee for managing Alexander’s and all of its properties equal to the sum of (i) $2,800,000, (ii) 2% of the gross revenue from the Rego Park II Shopping Center, (iii) $0.50 per square foot of the tenant-occupied office and retail space at 731 Lexington Avenue, and (iv) $376,000, escalating at 3% per annum, for managing the common area of 731 Lexington Avenue. In addition, we are entitled to a development fee of 6% of development costs, as defined.</w:t>
      </w:r>
    </w:p>
    <w:p>
      <w:pPr>
        <w:spacing w:after="0" w:line="1"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We provide Alexander’s with leasing services for a fee of 3% of rent for the first ten years of a lease term, 2% of rent for the eleventh through twentieth year of a lease term and 1% of rent for the twenty-first through thirtieth year of a lease term, subject to the payment of rents by tenants. Under the agreements in effect prior to May 1, 2024, in the event third-party real estate brokers were used, the fees due to us increased by 1% and we were responsible for the payment of fees to the third-party real estate brokers (“Third Party Lease Commissions”). On May 1, 2024, our Board of Trustees approved amendments to the leasing agreements, subject to applicable consents from Alexander’s lenders, pursuant to which Alexander’s is directly responsible for any Third-Party Lease Commissions and, in such circumstances, our fee is one-third of the applicable Third-Party Lease Commissions.</w:t>
      </w:r>
    </w:p>
    <w:p>
      <w:pPr>
        <w:spacing w:after="0" w:line="2" w:lineRule="exact"/>
        <w:rPr>
          <w:sz w:val="20"/>
          <w:szCs w:val="20"/>
          <w:color w:val="auto"/>
        </w:rPr>
      </w:pPr>
    </w:p>
    <w:p>
      <w:pPr>
        <w:jc w:val="both"/>
        <w:ind w:firstLine="314"/>
        <w:spacing w:after="0" w:line="273" w:lineRule="auto"/>
        <w:rPr>
          <w:sz w:val="20"/>
          <w:szCs w:val="20"/>
          <w:color w:val="auto"/>
        </w:rPr>
      </w:pPr>
      <w:r>
        <w:rPr>
          <w:rFonts w:ascii="Times New Roman" w:cs="Times New Roman" w:eastAsia="Times New Roman" w:hAnsi="Times New Roman"/>
          <w:sz w:val="17"/>
          <w:szCs w:val="17"/>
          <w:color w:val="auto"/>
        </w:rPr>
        <w:t>Wholly owned subsidiaries of Vornado provide cleaning, engineering, security, and garage management services to certain Alexander’s properties. During the years ended December 31, 2024, 2023 and 2022, we recognized $4,611,000, $4,629,000 and $4,601,000 of income, respectively, for these.</w:t>
      </w:r>
    </w:p>
    <w:p>
      <w:pPr>
        <w:spacing w:after="0" w:line="1" w:lineRule="exact"/>
        <w:rPr>
          <w:sz w:val="20"/>
          <w:szCs w:val="20"/>
          <w:color w:val="auto"/>
        </w:rPr>
      </w:pPr>
    </w:p>
    <w:p>
      <w:pPr>
        <w:jc w:val="both"/>
        <w:ind w:firstLine="314"/>
        <w:spacing w:after="0" w:line="281" w:lineRule="auto"/>
        <w:rPr>
          <w:sz w:val="20"/>
          <w:szCs w:val="20"/>
          <w:color w:val="auto"/>
        </w:rPr>
      </w:pPr>
      <w:r>
        <w:rPr>
          <w:rFonts w:ascii="Times New Roman" w:cs="Times New Roman" w:eastAsia="Times New Roman" w:hAnsi="Times New Roman"/>
          <w:sz w:val="17"/>
          <w:szCs w:val="17"/>
          <w:color w:val="auto"/>
        </w:rPr>
        <w:t>On May 3, 2024, Alexander’s and Bloomberg L.P. reached an agreement to extend the leases covering approximately 947,000 square feet at 731 Lexington Avenue that were scheduled to expire in February 2029 for a term of eleven years to February 2040.</w:t>
      </w:r>
    </w:p>
    <w:p>
      <w:pPr>
        <w:spacing w:after="0" w:line="1" w:lineRule="exact"/>
        <w:rPr>
          <w:sz w:val="20"/>
          <w:szCs w:val="20"/>
          <w:color w:val="auto"/>
        </w:rPr>
      </w:pPr>
    </w:p>
    <w:p>
      <w:pPr>
        <w:jc w:val="both"/>
        <w:ind w:firstLine="314"/>
        <w:spacing w:after="0" w:line="281" w:lineRule="auto"/>
        <w:rPr>
          <w:sz w:val="20"/>
          <w:szCs w:val="20"/>
          <w:color w:val="auto"/>
        </w:rPr>
      </w:pPr>
      <w:r>
        <w:rPr>
          <w:rFonts w:ascii="Times New Roman" w:cs="Times New Roman" w:eastAsia="Times New Roman" w:hAnsi="Times New Roman"/>
          <w:sz w:val="17"/>
          <w:szCs w:val="17"/>
          <w:color w:val="auto"/>
        </w:rPr>
        <w:t>In connection with the lease amendments discussed above, Alexander’s paid a leasing commission to a third-party real estate broker and paid us a $5,500,000 leasing commission override.</w:t>
      </w:r>
    </w:p>
    <w:p>
      <w:pPr>
        <w:spacing w:after="0" w:line="1"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On September 30, 2024, Alexander’s completed a $400,000,000 refinancing of the office condominium portion of 731 Lexington Avenue, the Bloomberg LP headquarters building. The interest-only loan carries a fixed rate of 5.04% and matures in October 2028. The loan is prepayable, at Alexander’s option, with no penalty, beginning in October 2026. The loan replaces the previous $490,000,000 loan on the office condominium, that bore interest at the Prime Rate and was scheduled to mature in October 2024.</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88" w:name="page89"/>
    <w:bookmarkEnd w:id="88"/>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66" w:lineRule="exact"/>
        <w:rPr>
          <w:sz w:val="20"/>
          <w:szCs w:val="20"/>
          <w:color w:val="auto"/>
        </w:rPr>
      </w:pPr>
    </w:p>
    <w:p>
      <w:pPr>
        <w:ind w:left="320" w:right="7000" w:hanging="315"/>
        <w:spacing w:after="0" w:line="314" w:lineRule="auto"/>
        <w:tabs>
          <w:tab w:leader="none" w:pos="355"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Investments in Partially Owned Entities – continued </w:t>
      </w:r>
      <w:r>
        <w:rPr>
          <w:rFonts w:ascii="Times New Roman" w:cs="Times New Roman" w:eastAsia="Times New Roman" w:hAnsi="Times New Roman"/>
          <w:sz w:val="17"/>
          <w:szCs w:val="17"/>
          <w:i w:val="1"/>
          <w:iCs w:val="1"/>
          <w:color w:val="auto"/>
        </w:rPr>
        <w:t>280 Park Avenue</w:t>
      </w:r>
    </w:p>
    <w:p>
      <w:pPr>
        <w:spacing w:after="0" w:line="1"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On April 4, 2024, a joint venture, in which we have a 50% interest, amended and extended the $1,075,000,000 mortgage loan on 280 Park Avenue. The maturity date on the amended loan was extended to September 2026, with options to fully extend to September 2028, subject to certain conditions. The interest rate on the amended loan remains at SOFR plus 1.78%. On July 8, 2024, the joint venture swapped the interest rate to a fixed rate of 5.84% through September 2028. Additionally, on April 4, 2024, the joint venture amended and extended the $125,000,000 mezzanine loan and subsequently repaid the loan for $62,500,000. In connection with the repayment of the mezzanine loan, we recognized our $31,215,000 share of the debt extinguishment gain which is included in “income (loss) from partially owned entities” on our consolidated statements of income.</w:t>
      </w:r>
    </w:p>
    <w:p>
      <w:pPr>
        <w:spacing w:after="0" w:line="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50-70 West 93rd Street</w:t>
      </w:r>
    </w:p>
    <w:p>
      <w:pPr>
        <w:spacing w:after="0" w:line="42"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May 13, 2024, we sold our 49.9% interest in 50-70 West 93rd Street to our joint venture partner. We received net proceeds of $2,000,000 after deducting our share of the existing $83,500,000 mortgage loan, which was scheduled to mature in December 2024, resulting in a net gain of $873,000. The net gain is included in "net gains on disposition of wholly owned and partially owned assets" on our consolidated statements of income.</w: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85 Tenth Avenue</w:t>
      </w:r>
    </w:p>
    <w:p>
      <w:pPr>
        <w:spacing w:after="0" w:line="55"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On September 24, 2024, a joint venture, in which we have a 49.9% interest, modified the terms of the $625,000,000 mortgage loan on 85 Tenth Avenue. Per the original loan agreement, the mortgage loan is comprised of a (i) $396,000,000 3.82% senior note, (ii) $129,000,000 5.20% mezzanine A note and (iii) $100,000,000 6.60% mezzanine B note. The modification provides for the interest payments due under the mezzanine notes to be deferred until the December 2026 loan maturity. The deferred amounts will not accrue additional interest. The cash available from the deferred interest payments will be used to fund leasing costs at the property. At loan maturity, if there is no event of default, repayment of 50% of the accrued mezzanine interest will be waived.</w:t>
      </w:r>
    </w:p>
    <w:p>
      <w:pPr>
        <w:spacing w:after="0" w:line="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schedule of our investments in partially owned entities.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Percentage Ownership as</w:t>
            </w:r>
          </w:p>
        </w:tc>
        <w:tc>
          <w:tcPr>
            <w:tcW w:w="300" w:type="dxa"/>
            <w:vAlign w:val="bottom"/>
          </w:tcPr>
          <w:p>
            <w:pPr>
              <w:spacing w:after="0"/>
              <w:rPr>
                <w:sz w:val="15"/>
                <w:szCs w:val="15"/>
                <w:color w:val="auto"/>
              </w:rPr>
            </w:pPr>
          </w:p>
        </w:tc>
        <w:tc>
          <w:tcPr>
            <w:tcW w:w="2520" w:type="dxa"/>
            <w:vAlign w:val="bottom"/>
            <w:gridSpan w:val="4"/>
            <w:vMerge w:val="restart"/>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0" w:type="dxa"/>
            <w:vAlign w:val="bottom"/>
          </w:tcPr>
          <w:p>
            <w:pPr>
              <w:spacing w:after="0"/>
              <w:rPr>
                <w:sz w:val="1"/>
                <w:szCs w:val="1"/>
                <w:color w:val="auto"/>
              </w:rPr>
            </w:pPr>
          </w:p>
        </w:tc>
      </w:tr>
      <w:tr>
        <w:trPr>
          <w:trHeight w:val="65"/>
        </w:trPr>
        <w:tc>
          <w:tcPr>
            <w:tcW w:w="6640" w:type="dxa"/>
            <w:vAlign w:val="bottom"/>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of December 31, 2024</w:t>
            </w:r>
          </w:p>
        </w:tc>
        <w:tc>
          <w:tcPr>
            <w:tcW w:w="300" w:type="dxa"/>
            <w:vAlign w:val="bottom"/>
          </w:tcPr>
          <w:p>
            <w:pPr>
              <w:spacing w:after="0"/>
              <w:rPr>
                <w:sz w:val="16"/>
                <w:szCs w:val="16"/>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58"/>
        </w:trPr>
        <w:tc>
          <w:tcPr>
            <w:tcW w:w="6640" w:type="dxa"/>
            <w:vAlign w:val="bottom"/>
            <w:vMerge w:val="continue"/>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Fifth Avenue and Times Square JV (see page 87 for details)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2,235,546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2,242,972</w:t>
            </w:r>
          </w:p>
        </w:tc>
        <w:tc>
          <w:tcPr>
            <w:tcW w:w="0" w:type="dxa"/>
            <w:vAlign w:val="bottom"/>
          </w:tcPr>
          <w:p>
            <w:pPr>
              <w:spacing w:after="0"/>
              <w:rPr>
                <w:sz w:val="1"/>
                <w:szCs w:val="1"/>
                <w:color w:val="auto"/>
              </w:rPr>
            </w:pPr>
          </w:p>
        </w:tc>
      </w:tr>
      <w:tr>
        <w:trPr>
          <w:trHeight w:val="189"/>
        </w:trPr>
        <w:tc>
          <w:tcPr>
            <w:tcW w:w="6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Partially owned office buildings/land</w:t>
            </w:r>
            <w:r>
              <w:rPr>
                <w:rFonts w:ascii="Times New Roman" w:cs="Times New Roman" w:eastAsia="Times New Roman" w:hAnsi="Times New Roman"/>
                <w:sz w:val="9"/>
                <w:szCs w:val="9"/>
                <w:b w:val="1"/>
                <w:bCs w:val="1"/>
                <w:color w:val="auto"/>
              </w:rPr>
              <w:t>(1)</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Various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186,190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118,558</w:t>
            </w:r>
          </w:p>
        </w:tc>
        <w:tc>
          <w:tcPr>
            <w:tcW w:w="0" w:type="dxa"/>
            <w:vAlign w:val="bottom"/>
          </w:tcPr>
          <w:p>
            <w:pPr>
              <w:spacing w:after="0"/>
              <w:rPr>
                <w:sz w:val="1"/>
                <w:szCs w:val="1"/>
                <w:color w:val="auto"/>
              </w:rPr>
            </w:pPr>
          </w:p>
        </w:tc>
      </w:tr>
      <w:tr>
        <w:trPr>
          <w:trHeight w:val="204"/>
        </w:trPr>
        <w:tc>
          <w:tcPr>
            <w:tcW w:w="6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Alexander’s (see page 88 for details)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68,492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87,510</w:t>
            </w:r>
          </w:p>
        </w:tc>
        <w:tc>
          <w:tcPr>
            <w:tcW w:w="0" w:type="dxa"/>
            <w:vAlign w:val="bottom"/>
          </w:tcPr>
          <w:p>
            <w:pPr>
              <w:spacing w:after="0"/>
              <w:rPr>
                <w:sz w:val="1"/>
                <w:szCs w:val="1"/>
                <w:color w:val="auto"/>
              </w:rPr>
            </w:pPr>
          </w:p>
        </w:tc>
      </w:tr>
      <w:tr>
        <w:trPr>
          <w:trHeight w:val="190"/>
        </w:trPr>
        <w:tc>
          <w:tcPr>
            <w:tcW w:w="6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Other equity method investments</w:t>
            </w:r>
            <w:r>
              <w:rPr>
                <w:rFonts w:ascii="Times New Roman" w:cs="Times New Roman" w:eastAsia="Times New Roman" w:hAnsi="Times New Roman"/>
                <w:sz w:val="9"/>
                <w:szCs w:val="9"/>
                <w:b w:val="1"/>
                <w:bCs w:val="1"/>
                <w:color w:val="auto"/>
              </w:rPr>
              <w:t>(2)</w:t>
            </w:r>
          </w:p>
        </w:tc>
        <w:tc>
          <w:tcPr>
            <w:tcW w:w="1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Various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201,250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161,518</w:t>
            </w:r>
          </w:p>
        </w:tc>
        <w:tc>
          <w:tcPr>
            <w:tcW w:w="0" w:type="dxa"/>
            <w:vAlign w:val="bottom"/>
          </w:tcPr>
          <w:p>
            <w:pPr>
              <w:spacing w:after="0"/>
              <w:rPr>
                <w:sz w:val="1"/>
                <w:szCs w:val="1"/>
                <w:color w:val="auto"/>
              </w:rPr>
            </w:pPr>
          </w:p>
        </w:tc>
      </w:tr>
      <w:tr>
        <w:trPr>
          <w:trHeight w:val="215"/>
        </w:trPr>
        <w:tc>
          <w:tcPr>
            <w:tcW w:w="664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2,691,478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2,610,558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in partially owned entities included in other liabilities</w:t>
            </w:r>
            <w:r>
              <w:rPr>
                <w:rFonts w:ascii="Times New Roman" w:cs="Times New Roman" w:eastAsia="Times New Roman" w:hAnsi="Times New Roman"/>
                <w:sz w:val="9"/>
                <w:szCs w:val="9"/>
                <w:b w:val="1"/>
                <w:bCs w:val="1"/>
                <w:color w:val="auto"/>
              </w:rPr>
              <w:t>(3)</w:t>
            </w:r>
            <w:r>
              <w:rPr>
                <w:rFonts w:ascii="Times New Roman" w:cs="Times New Roman" w:eastAsia="Times New Roman" w:hAnsi="Times New Roman"/>
                <w:sz w:val="14"/>
                <w:szCs w:val="14"/>
                <w:b w:val="1"/>
                <w:bCs w:val="1"/>
                <w:color w:val="auto"/>
              </w:rPr>
              <w:t>:</w:t>
            </w: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64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7 West 34th Street</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53.0%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(70,552)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(69,899)</w:t>
            </w:r>
          </w:p>
        </w:tc>
        <w:tc>
          <w:tcPr>
            <w:tcW w:w="0" w:type="dxa"/>
            <w:vAlign w:val="bottom"/>
          </w:tcPr>
          <w:p>
            <w:pPr>
              <w:spacing w:after="0"/>
              <w:rPr>
                <w:sz w:val="1"/>
                <w:szCs w:val="1"/>
                <w:color w:val="auto"/>
              </w:rPr>
            </w:pPr>
          </w:p>
        </w:tc>
      </w:tr>
      <w:tr>
        <w:trPr>
          <w:trHeight w:val="190"/>
        </w:trPr>
        <w:tc>
          <w:tcPr>
            <w:tcW w:w="6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85 Tenth Avenue</w:t>
            </w:r>
          </w:p>
        </w:tc>
        <w:tc>
          <w:tcPr>
            <w:tcW w:w="1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49.9%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(18,978)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(11,330)</w:t>
            </w:r>
          </w:p>
        </w:tc>
        <w:tc>
          <w:tcPr>
            <w:tcW w:w="0" w:type="dxa"/>
            <w:vAlign w:val="bottom"/>
          </w:tcPr>
          <w:p>
            <w:pPr>
              <w:spacing w:after="0"/>
              <w:rPr>
                <w:sz w:val="1"/>
                <w:szCs w:val="1"/>
                <w:color w:val="auto"/>
              </w:rPr>
            </w:pPr>
          </w:p>
        </w:tc>
      </w:tr>
      <w:tr>
        <w:trPr>
          <w:trHeight w:val="215"/>
        </w:trPr>
        <w:tc>
          <w:tcPr>
            <w:tcW w:w="664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(89,530)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(81,229)</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3"/>
          <w:szCs w:val="3"/>
          <w:color w:val="auto"/>
        </w:rPr>
        <w:t>_________________________________________________________________________________________</w:t>
      </w:r>
    </w:p>
    <w:p>
      <w:pPr>
        <w:spacing w:after="0" w:line="11" w:lineRule="exact"/>
        <w:rPr>
          <w:sz w:val="20"/>
          <w:szCs w:val="20"/>
          <w:color w:val="auto"/>
        </w:rPr>
      </w:pPr>
    </w:p>
    <w:p>
      <w:pPr>
        <w:ind w:left="320" w:hanging="315"/>
        <w:spacing w:after="0"/>
        <w:tabs>
          <w:tab w:leader="none" w:pos="320"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280 Park Avenue, 650 Madison Avenue, 512 West 22nd Street, 61 Ninth Avenue and others.</w:t>
      </w:r>
    </w:p>
    <w:p>
      <w:pPr>
        <w:spacing w:after="0" w:line="15"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Independence Plaza, Sunset Pier 94 Joint Venture (“Pier 94 JV”), Rosslyn Plaza and others.</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negative basis results from distributions in excess of our investment.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89" w:name="page90"/>
    <w:bookmarkEnd w:id="89"/>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66" w:lineRule="exact"/>
        <w:rPr>
          <w:sz w:val="20"/>
          <w:szCs w:val="20"/>
          <w:color w:val="auto"/>
        </w:rPr>
      </w:pPr>
    </w:p>
    <w:p>
      <w:pPr>
        <w:ind w:left="360" w:hanging="355"/>
        <w:spacing w:after="0"/>
        <w:tabs>
          <w:tab w:leader="none" w:pos="360"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Investments in Partially Owned Entities – continued</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schedule of income (loss) from partially owned entities.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Percentage Ownership as</w:t>
            </w:r>
          </w:p>
        </w:tc>
        <w:tc>
          <w:tcPr>
            <w:tcW w:w="340" w:type="dxa"/>
            <w:vAlign w:val="bottom"/>
          </w:tcPr>
          <w:p>
            <w:pPr>
              <w:spacing w:after="0"/>
              <w:rPr>
                <w:sz w:val="15"/>
                <w:szCs w:val="15"/>
                <w:color w:val="auto"/>
              </w:rPr>
            </w:pPr>
          </w:p>
        </w:tc>
        <w:tc>
          <w:tcPr>
            <w:tcW w:w="3100" w:type="dxa"/>
            <w:vAlign w:val="bottom"/>
            <w:gridSpan w:val="6"/>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of December 31, 2024</w:t>
            </w:r>
          </w:p>
        </w:tc>
        <w:tc>
          <w:tcPr>
            <w:tcW w:w="340" w:type="dxa"/>
            <w:vAlign w:val="bottom"/>
          </w:tcPr>
          <w:p>
            <w:pPr>
              <w:spacing w:after="0"/>
              <w:rPr>
                <w:sz w:val="15"/>
                <w:szCs w:val="15"/>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08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Our share of net income (loss):</w:t>
            </w:r>
          </w:p>
        </w:tc>
        <w:tc>
          <w:tcPr>
            <w:tcW w:w="1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Fifth Avenue and Times Square JV (see page 87 for details):</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80" w:type="dxa"/>
            <w:vAlign w:val="bottom"/>
            <w:shd w:val="clear" w:color="auto" w:fill="CCEEFF"/>
          </w:tcPr>
          <w:p>
            <w:pPr>
              <w:ind w:left="440"/>
              <w:spacing w:after="0" w:line="196" w:lineRule="exact"/>
              <w:rPr>
                <w:sz w:val="20"/>
                <w:szCs w:val="20"/>
                <w:color w:val="auto"/>
              </w:rPr>
            </w:pPr>
            <w:r>
              <w:rPr>
                <w:rFonts w:ascii="Times New Roman" w:cs="Times New Roman" w:eastAsia="Times New Roman" w:hAnsi="Times New Roman"/>
                <w:sz w:val="14"/>
                <w:szCs w:val="14"/>
                <w:color w:val="auto"/>
              </w:rPr>
              <w:t>Equity in net income</w:t>
            </w:r>
            <w:r>
              <w:rPr>
                <w:rFonts w:ascii="Times New Roman" w:cs="Times New Roman" w:eastAsia="Times New Roman" w:hAnsi="Times New Roman"/>
                <w:sz w:val="18"/>
                <w:szCs w:val="18"/>
                <w:b w:val="1"/>
                <w:bCs w:val="1"/>
                <w:color w:val="auto"/>
                <w:vertAlign w:val="superscript"/>
              </w:rPr>
              <w:t>(1)</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55,248</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0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Return on preferred equity, net of our share of the expense</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40,668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37,416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37,416</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5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Non-cash impairment loss</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(489,859)</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84,119</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72,625</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(397,195)</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Alexander's (see page 88 for details):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Equity in net income</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18,439</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0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Management, leasing and development fees</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4,534</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5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gain on sale of land</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19,076</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37,075</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22,973</w:t>
            </w: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8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4"/>
                <w:szCs w:val="14"/>
                <w:color w:val="auto"/>
              </w:rPr>
              <w:t>Partially owned office buildings</w:t>
            </w:r>
            <w:r>
              <w:rPr>
                <w:rFonts w:ascii="Times New Roman" w:cs="Times New Roman" w:eastAsia="Times New Roman" w:hAnsi="Times New Roman"/>
                <w:sz w:val="18"/>
                <w:szCs w:val="18"/>
                <w:b w:val="1"/>
                <w:bCs w:val="1"/>
                <w:color w:val="auto"/>
                <w:vertAlign w:val="superscript"/>
              </w:rPr>
              <w:t>(2)(3)(4)</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4"/>
              </w:rPr>
              <w:t>Various</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(73,589)</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(110,261)</w:t>
            </w: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8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4"/>
                <w:szCs w:val="14"/>
                <w:color w:val="auto"/>
              </w:rPr>
              <w:t>Other equity method investments</w:t>
            </w:r>
            <w:r>
              <w:rPr>
                <w:rFonts w:ascii="Times New Roman" w:cs="Times New Roman" w:eastAsia="Times New Roman" w:hAnsi="Times New Roman"/>
                <w:sz w:val="18"/>
                <w:szCs w:val="18"/>
                <w:b w:val="1"/>
                <w:bCs w:val="1"/>
                <w:color w:val="auto"/>
                <w:vertAlign w:val="superscript"/>
              </w:rPr>
              <w:t>(3)(5)</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4"/>
              </w:rPr>
              <w:t>Various</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23,132</w:t>
            </w: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0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112,464</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38,689</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(461,351)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20" w:type="dxa"/>
            <w:vAlign w:val="bottom"/>
            <w:gridSpan w:val="2"/>
            <w:vMerge w:val="restart"/>
          </w:tcPr>
          <w:p>
            <w:pPr>
              <w:jc w:val="right"/>
              <w:ind w:right="2950"/>
              <w:spacing w:after="0"/>
              <w:rPr>
                <w:sz w:val="20"/>
                <w:szCs w:val="20"/>
                <w:color w:val="auto"/>
              </w:rPr>
            </w:pPr>
            <w:r>
              <w:rPr>
                <w:rFonts w:ascii="Times New Roman" w:cs="Times New Roman" w:eastAsia="Times New Roman" w:hAnsi="Times New Roman"/>
                <w:sz w:val="10"/>
                <w:szCs w:val="10"/>
                <w:color w:val="auto"/>
              </w:rPr>
              <w:t>________________________________________</w:t>
            </w: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20" w:type="dxa"/>
            <w:vAlign w:val="bottom"/>
            <w:gridSpan w:val="2"/>
            <w:vMerge w:val="continue"/>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320" w:hanging="315"/>
        <w:spacing w:after="0" w:line="253" w:lineRule="auto"/>
        <w:tabs>
          <w:tab w:leader="none" w:pos="312"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2023 includes a $5,120 accrual of default interest which was forgiven by the lender as part of the restructuring of the 697-703 Fifth Avenue loan and is being amortized over the remaining term of the restructured loan, reducing future interest expense.</w:t>
      </w:r>
    </w:p>
    <w:p>
      <w:pPr>
        <w:ind w:left="320" w:hanging="315"/>
        <w:spacing w:after="0"/>
        <w:tabs>
          <w:tab w:leader="none" w:pos="320"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280 Park Avenue, 7 West 34th Street, 512 West 22nd Street, 61 Ninth Avenue, 85 Tenth Avenue and others.</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2023 and 2022, we recognized $50,458 and $93,353, respectively, of impairment losses.</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2024 includes our $31,215 share of the debt extinguishment gain from the repayment of the 280 Park Avenue mezzanine loan. See page 89 for details.</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Independence Plaza, Rosslyn Plaza and others</w:t>
      </w:r>
      <w:r>
        <w:rPr>
          <w:rFonts w:ascii="Times New Roman" w:cs="Times New Roman" w:eastAsia="Times New Roman" w:hAnsi="Times New Roman"/>
          <w:sz w:val="14"/>
          <w:szCs w:val="14"/>
          <w:color w:val="EE2724"/>
        </w:rPr>
        <w:t>.</w:t>
      </w:r>
      <w:r>
        <w:rPr>
          <w:rFonts w:ascii="Times New Roman" w:cs="Times New Roman" w:eastAsia="Times New Roman" w:hAnsi="Times New Roman"/>
          <w:sz w:val="14"/>
          <w:szCs w:val="14"/>
          <w:color w:val="auto"/>
        </w:rPr>
        <w:t xml:space="preserve"> 2022 includes $17,185 of net gains from dispositions of two investments.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90" w:name="page91"/>
    <w:bookmarkEnd w:id="90"/>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ind w:left="320" w:right="6500" w:hanging="315"/>
        <w:spacing w:after="0" w:line="343" w:lineRule="auto"/>
        <w:tabs>
          <w:tab w:leader="none" w:pos="355"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Investments in Partially Owned Entities – continued </w:t>
      </w:r>
      <w:r>
        <w:rPr>
          <w:rFonts w:ascii="Times New Roman" w:cs="Times New Roman" w:eastAsia="Times New Roman" w:hAnsi="Times New Roman"/>
          <w:sz w:val="17"/>
          <w:szCs w:val="17"/>
          <w:color w:val="auto"/>
        </w:rPr>
        <w:t>Below is a summary of the debt of our partially owned entities.</w:t>
      </w:r>
    </w:p>
    <w:tbl>
      <w:tblPr>
        <w:tblLayout w:type="fixed"/>
        <w:tblInd w:w="40" w:type="dxa"/>
        <w:tblCellMar>
          <w:top w:w="0" w:type="dxa"/>
          <w:left w:w="0" w:type="dxa"/>
          <w:bottom w:w="0" w:type="dxa"/>
          <w:right w:w="0" w:type="dxa"/>
        </w:tblCellMar>
      </w:tblPr>
      <w:tr>
        <w:trPr>
          <w:trHeight w:val="143"/>
        </w:trPr>
        <w:tc>
          <w:tcPr>
            <w:tcW w:w="35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(Amounts in thousands)</w:t>
            </w: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280" w:type="dxa"/>
            <w:vAlign w:val="bottom"/>
          </w:tcPr>
          <w:p>
            <w:pPr>
              <w:spacing w:after="0"/>
              <w:rPr>
                <w:sz w:val="12"/>
                <w:szCs w:val="12"/>
                <w:color w:val="auto"/>
              </w:rPr>
            </w:pPr>
          </w:p>
        </w:tc>
        <w:tc>
          <w:tcPr>
            <w:tcW w:w="2540" w:type="dxa"/>
            <w:vAlign w:val="bottom"/>
            <w:gridSpan w:val="4"/>
          </w:tcPr>
          <w:p>
            <w:pPr>
              <w:jc w:val="right"/>
              <w:ind w:right="390"/>
              <w:spacing w:after="0" w:line="143" w:lineRule="exact"/>
              <w:rPr>
                <w:sz w:val="20"/>
                <w:szCs w:val="20"/>
                <w:color w:val="auto"/>
              </w:rPr>
            </w:pPr>
            <w:r>
              <w:rPr>
                <w:rFonts w:ascii="Times New Roman" w:cs="Times New Roman" w:eastAsia="Times New Roman" w:hAnsi="Times New Roman"/>
                <w:sz w:val="14"/>
                <w:szCs w:val="14"/>
                <w:b w:val="1"/>
                <w:bCs w:val="1"/>
                <w:color w:val="auto"/>
              </w:rPr>
              <w:t>100% Partially Owned Entities’</w:t>
            </w: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540" w:type="dxa"/>
            <w:vAlign w:val="bottom"/>
            <w:gridSpan w:val="4"/>
          </w:tcPr>
          <w:p>
            <w:pPr>
              <w:jc w:val="right"/>
              <w:ind w:right="570"/>
              <w:spacing w:after="0" w:line="144" w:lineRule="exact"/>
              <w:rPr>
                <w:sz w:val="20"/>
                <w:szCs w:val="20"/>
                <w:color w:val="auto"/>
              </w:rPr>
            </w:pPr>
            <w:r>
              <w:rPr>
                <w:rFonts w:ascii="Times New Roman" w:cs="Times New Roman" w:eastAsia="Times New Roman" w:hAnsi="Times New Roman"/>
                <w:sz w:val="13"/>
                <w:szCs w:val="13"/>
                <w:b w:val="1"/>
                <w:bCs w:val="1"/>
                <w:color w:val="auto"/>
              </w:rPr>
              <w:t>Debt</w:t>
            </w:r>
            <w:r>
              <w:rPr>
                <w:rFonts w:ascii="Times New Roman" w:cs="Times New Roman" w:eastAsia="Times New Roman" w:hAnsi="Times New Roman"/>
                <w:sz w:val="16"/>
                <w:szCs w:val="16"/>
                <w:b w:val="1"/>
                <w:bCs w:val="1"/>
                <w:color w:val="auto"/>
                <w:vertAlign w:val="superscript"/>
              </w:rPr>
              <w:t>(3)</w:t>
            </w:r>
            <w:r>
              <w:rPr>
                <w:rFonts w:ascii="Times New Roman" w:cs="Times New Roman" w:eastAsia="Times New Roman" w:hAnsi="Times New Roman"/>
                <w:sz w:val="13"/>
                <w:szCs w:val="13"/>
                <w:b w:val="1"/>
                <w:bCs w:val="1"/>
                <w:color w:val="auto"/>
              </w:rPr>
              <w:t xml:space="preserve"> as of December 31,</w:t>
            </w:r>
          </w:p>
        </w:tc>
        <w:tc>
          <w:tcPr>
            <w:tcW w:w="0" w:type="dxa"/>
            <w:vAlign w:val="bottom"/>
          </w:tcPr>
          <w:p>
            <w:pPr>
              <w:spacing w:after="0"/>
              <w:rPr>
                <w:sz w:val="1"/>
                <w:szCs w:val="1"/>
                <w:color w:val="auto"/>
              </w:rPr>
            </w:pPr>
          </w:p>
        </w:tc>
      </w:tr>
      <w:tr>
        <w:trPr>
          <w:trHeight w:val="52"/>
        </w:trPr>
        <w:tc>
          <w:tcPr>
            <w:tcW w:w="3540" w:type="dxa"/>
            <w:vAlign w:val="bottom"/>
          </w:tcPr>
          <w:p>
            <w:pPr>
              <w:spacing w:after="0"/>
              <w:rPr>
                <w:sz w:val="4"/>
                <w:szCs w:val="4"/>
                <w:color w:val="auto"/>
              </w:rPr>
            </w:pPr>
          </w:p>
        </w:tc>
        <w:tc>
          <w:tcPr>
            <w:tcW w:w="1660" w:type="dxa"/>
            <w:vAlign w:val="bottom"/>
            <w:gridSpan w:val="2"/>
          </w:tcPr>
          <w:p>
            <w:pPr>
              <w:jc w:val="center"/>
              <w:ind w:right="120"/>
              <w:spacing w:after="0" w:line="46" w:lineRule="exact"/>
              <w:rPr>
                <w:sz w:val="20"/>
                <w:szCs w:val="20"/>
                <w:color w:val="auto"/>
              </w:rPr>
            </w:pPr>
            <w:r>
              <w:rPr>
                <w:rFonts w:ascii="Times New Roman" w:cs="Times New Roman" w:eastAsia="Times New Roman" w:hAnsi="Times New Roman"/>
                <w:sz w:val="5"/>
                <w:szCs w:val="5"/>
                <w:b w:val="1"/>
                <w:bCs w:val="1"/>
                <w:color w:val="auto"/>
              </w:rPr>
              <w:t>Percentage Ownership as</w:t>
            </w: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Maturity</w:t>
            </w:r>
            <w:r>
              <w:rPr>
                <w:rFonts w:ascii="Times New Roman" w:cs="Times New Roman" w:eastAsia="Times New Roman" w:hAnsi="Times New Roman"/>
                <w:sz w:val="18"/>
                <w:szCs w:val="18"/>
                <w:b w:val="1"/>
                <w:bCs w:val="1"/>
                <w:color w:val="auto"/>
                <w:w w:val="96"/>
                <w:vertAlign w:val="superscript"/>
              </w:rPr>
              <w:t>(1)</w:t>
            </w:r>
          </w:p>
        </w:tc>
        <w:tc>
          <w:tcPr>
            <w:tcW w:w="1680" w:type="dxa"/>
            <w:vAlign w:val="bottom"/>
            <w:gridSpan w:val="2"/>
          </w:tcPr>
          <w:p>
            <w:pPr>
              <w:jc w:val="center"/>
              <w:ind w:right="120"/>
              <w:spacing w:after="0" w:line="46" w:lineRule="exact"/>
              <w:rPr>
                <w:sz w:val="20"/>
                <w:szCs w:val="20"/>
                <w:color w:val="auto"/>
              </w:rPr>
            </w:pPr>
            <w:r>
              <w:rPr>
                <w:rFonts w:ascii="Times New Roman" w:cs="Times New Roman" w:eastAsia="Times New Roman" w:hAnsi="Times New Roman"/>
                <w:sz w:val="5"/>
                <w:szCs w:val="5"/>
                <w:b w:val="1"/>
                <w:bCs w:val="1"/>
                <w:color w:val="auto"/>
              </w:rPr>
              <w:t>Interest Rate as of</w:t>
            </w: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of December 31, 2024</w:t>
            </w:r>
          </w:p>
        </w:tc>
        <w:tc>
          <w:tcPr>
            <w:tcW w:w="1480" w:type="dxa"/>
            <w:vAlign w:val="bottom"/>
            <w:gridSpan w:val="2"/>
            <w:vMerge w:val="continue"/>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r>
              <w:rPr>
                <w:rFonts w:ascii="Times New Roman" w:cs="Times New Roman" w:eastAsia="Times New Roman" w:hAnsi="Times New Roman"/>
                <w:sz w:val="9"/>
                <w:szCs w:val="9"/>
                <w:b w:val="1"/>
                <w:bCs w:val="1"/>
                <w:color w:val="auto"/>
              </w:rPr>
              <w:t>(2)</w:t>
            </w:r>
          </w:p>
        </w:tc>
        <w:tc>
          <w:tcPr>
            <w:tcW w:w="28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6"/>
        </w:trPr>
        <w:tc>
          <w:tcPr>
            <w:tcW w:w="3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Mortgages Payable:</w:t>
            </w:r>
          </w:p>
        </w:tc>
        <w:tc>
          <w:tcPr>
            <w:tcW w:w="1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shd w:val="clear" w:color="auto" w:fill="CCEEFF"/>
          </w:tcPr>
          <w:p>
            <w:pPr>
              <w:ind w:left="420"/>
              <w:spacing w:after="0" w:line="196" w:lineRule="exact"/>
              <w:rPr>
                <w:sz w:val="20"/>
                <w:szCs w:val="20"/>
                <w:color w:val="auto"/>
              </w:rPr>
            </w:pPr>
            <w:r>
              <w:rPr>
                <w:rFonts w:ascii="Times New Roman" w:cs="Times New Roman" w:eastAsia="Times New Roman" w:hAnsi="Times New Roman"/>
                <w:sz w:val="14"/>
                <w:szCs w:val="14"/>
                <w:color w:val="auto"/>
              </w:rPr>
              <w:t>Partially owned office buildings</w:t>
            </w:r>
            <w:r>
              <w:rPr>
                <w:rFonts w:ascii="Times New Roman" w:cs="Times New Roman" w:eastAsia="Times New Roman" w:hAnsi="Times New Roman"/>
                <w:sz w:val="18"/>
                <w:szCs w:val="18"/>
                <w:b w:val="1"/>
                <w:bCs w:val="1"/>
                <w:color w:val="auto"/>
                <w:vertAlign w:val="superscript"/>
              </w:rPr>
              <w:t>(4)</w:t>
            </w: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4"/>
              </w:rPr>
              <w:t>Various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2025-2029</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3,146,918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3,275,098</w:t>
            </w:r>
          </w:p>
        </w:tc>
        <w:tc>
          <w:tcPr>
            <w:tcW w:w="0" w:type="dxa"/>
            <w:vAlign w:val="bottom"/>
          </w:tcPr>
          <w:p>
            <w:pPr>
              <w:spacing w:after="0"/>
              <w:rPr>
                <w:sz w:val="1"/>
                <w:szCs w:val="1"/>
                <w:color w:val="auto"/>
              </w:rPr>
            </w:pPr>
          </w:p>
        </w:tc>
      </w:tr>
      <w:tr>
        <w:trPr>
          <w:trHeight w:val="189"/>
        </w:trPr>
        <w:tc>
          <w:tcPr>
            <w:tcW w:w="35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Alexander's</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32.4%</w:t>
            </w:r>
          </w:p>
        </w:tc>
        <w:tc>
          <w:tcPr>
            <w:tcW w:w="1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2025-2028</w:t>
            </w:r>
          </w:p>
        </w:tc>
        <w:tc>
          <w:tcPr>
            <w:tcW w:w="2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996,544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1,096,544</w:t>
            </w:r>
          </w:p>
        </w:tc>
        <w:tc>
          <w:tcPr>
            <w:tcW w:w="0" w:type="dxa"/>
            <w:vAlign w:val="bottom"/>
          </w:tcPr>
          <w:p>
            <w:pPr>
              <w:spacing w:after="0"/>
              <w:rPr>
                <w:sz w:val="1"/>
                <w:szCs w:val="1"/>
                <w:color w:val="auto"/>
              </w:rPr>
            </w:pPr>
          </w:p>
        </w:tc>
      </w:tr>
      <w:tr>
        <w:trPr>
          <w:trHeight w:val="204"/>
        </w:trPr>
        <w:tc>
          <w:tcPr>
            <w:tcW w:w="3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Fifth Avenue and Times Square JV</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51.5%</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2028-2029</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6.93%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753,194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855,476</w:t>
            </w:r>
          </w:p>
        </w:tc>
        <w:tc>
          <w:tcPr>
            <w:tcW w:w="0" w:type="dxa"/>
            <w:vAlign w:val="bottom"/>
          </w:tcPr>
          <w:p>
            <w:pPr>
              <w:spacing w:after="0"/>
              <w:rPr>
                <w:sz w:val="1"/>
                <w:szCs w:val="1"/>
                <w:color w:val="auto"/>
              </w:rPr>
            </w:pPr>
          </w:p>
        </w:tc>
      </w:tr>
      <w:tr>
        <w:trPr>
          <w:trHeight w:val="240"/>
        </w:trPr>
        <w:tc>
          <w:tcPr>
            <w:tcW w:w="35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b w:val="1"/>
                <w:bCs w:val="1"/>
                <w:color w:val="auto"/>
                <w:vertAlign w:val="superscript"/>
              </w:rPr>
              <w:t>(5)</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Various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2025-2032</w:t>
            </w:r>
          </w:p>
        </w:tc>
        <w:tc>
          <w:tcPr>
            <w:tcW w:w="28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1,311,662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1,365,954</w:t>
            </w:r>
          </w:p>
        </w:tc>
        <w:tc>
          <w:tcPr>
            <w:tcW w:w="0" w:type="dxa"/>
            <w:vAlign w:val="bottom"/>
          </w:tcPr>
          <w:p>
            <w:pPr>
              <w:spacing w:after="0"/>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10" w:lineRule="exact"/>
        <w:rPr>
          <w:sz w:val="20"/>
          <w:szCs w:val="20"/>
          <w:color w:val="auto"/>
        </w:rPr>
      </w:pPr>
    </w:p>
    <w:p>
      <w:pPr>
        <w:ind w:left="320" w:hanging="315"/>
        <w:spacing w:after="0"/>
        <w:tabs>
          <w:tab w:leader="none" w:pos="320"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Assumes the exercise of as-of-right extension options.</w:t>
      </w:r>
    </w:p>
    <w:p>
      <w:pPr>
        <w:spacing w:after="0" w:line="5"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Represents the interest rate in effect as of period end based on the appropriate reference rate as of the contractual reset date plus contractual spread, adjusted for hedging instruments, as applicable.</w:t>
      </w:r>
    </w:p>
    <w:p>
      <w:pPr>
        <w:spacing w:after="0" w:line="20" w:lineRule="exact"/>
        <w:rPr>
          <w:rFonts w:ascii="Times New Roman" w:cs="Times New Roman" w:eastAsia="Times New Roman" w:hAnsi="Times New Roman"/>
          <w:sz w:val="13"/>
          <w:szCs w:val="13"/>
          <w:b w:val="1"/>
          <w:bCs w:val="1"/>
          <w:color w:val="auto"/>
        </w:rPr>
      </w:pPr>
    </w:p>
    <w:p>
      <w:pPr>
        <w:ind w:left="320" w:hanging="315"/>
        <w:spacing w:after="0"/>
        <w:tabs>
          <w:tab w:leader="none" w:pos="320"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Operating Partnership guarantees $303,000 of debt, primarily comprised of the $300,000 mortgage loan on 7 West 34th Street.</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280 Park Avenue, 650 Madison Avenue, 7 West 34th Street, 512 West 22nd Street, 61 Ninth Avenue, 85 Tenth Avenue and others.</w:t>
      </w:r>
    </w:p>
    <w:p>
      <w:pPr>
        <w:ind w:left="320" w:hanging="315"/>
        <w:spacing w:after="0"/>
        <w:tabs>
          <w:tab w:leader="none" w:pos="320"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Independence Plaza, Pier 94 JV, Rosslyn Plaza and others.</w:t>
      </w:r>
    </w:p>
    <w:p>
      <w:pPr>
        <w:spacing w:after="0" w:line="207"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Based on our ownership interest in the partially owned entities above, our pro rata share of the debt of these partially owned entities was $2,477,701,000 and $2,654,701,000 as of December 31, 2024 and 2023, respectively.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Summary of Condensed Combined Financial Information</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is a summary of condensed combined financial information for all of our partially owned entities.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20" w:type="dxa"/>
            <w:vAlign w:val="bottom"/>
          </w:tcPr>
          <w:p>
            <w:pPr>
              <w:spacing w:after="0"/>
              <w:rPr>
                <w:sz w:val="16"/>
                <w:szCs w:val="16"/>
                <w:color w:val="auto"/>
              </w:rPr>
            </w:pPr>
          </w:p>
        </w:tc>
      </w:tr>
      <w:tr>
        <w:trPr>
          <w:trHeight w:val="23"/>
        </w:trPr>
        <w:tc>
          <w:tcPr>
            <w:tcW w:w="8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3"/>
        </w:trPr>
        <w:tc>
          <w:tcPr>
            <w:tcW w:w="8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173"/>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Assets</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11,296,000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11,533,000</w:t>
            </w:r>
          </w:p>
        </w:tc>
      </w:tr>
      <w:tr>
        <w:trPr>
          <w:trHeight w:val="189"/>
        </w:trPr>
        <w:tc>
          <w:tcPr>
            <w:tcW w:w="84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Liabilities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7,073,000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7,326,000</w:t>
            </w:r>
          </w:p>
        </w:tc>
      </w:tr>
      <w:tr>
        <w:trPr>
          <w:trHeight w:val="204"/>
        </w:trPr>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1,905,000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1,907,000</w:t>
            </w:r>
          </w:p>
        </w:tc>
      </w:tr>
      <w:tr>
        <w:trPr>
          <w:trHeight w:val="182"/>
        </w:trPr>
        <w:tc>
          <w:tcPr>
            <w:tcW w:w="84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Equity</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2,318,000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2,300,000</w:t>
            </w:r>
          </w:p>
        </w:tc>
      </w:tr>
    </w:tbl>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20" w:type="dxa"/>
            <w:vAlign w:val="bottom"/>
          </w:tcPr>
          <w:p>
            <w:pPr>
              <w:spacing w:after="0"/>
              <w:rPr>
                <w:sz w:val="16"/>
                <w:szCs w:val="16"/>
                <w:color w:val="auto"/>
              </w:rPr>
            </w:pPr>
          </w:p>
        </w:tc>
        <w:tc>
          <w:tcPr>
            <w:tcW w:w="300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Pr>
          <w:p>
            <w:pPr>
              <w:spacing w:after="0"/>
              <w:rPr>
                <w:sz w:val="16"/>
                <w:szCs w:val="16"/>
                <w:color w:val="auto"/>
              </w:rPr>
            </w:pPr>
          </w:p>
        </w:tc>
      </w:tr>
      <w:tr>
        <w:trPr>
          <w:trHeight w:val="23"/>
        </w:trPr>
        <w:tc>
          <w:tcPr>
            <w:tcW w:w="6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3"/>
        </w:trPr>
        <w:tc>
          <w:tcPr>
            <w:tcW w:w="6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3"/>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6"/>
        </w:trPr>
        <w:tc>
          <w:tcPr>
            <w:tcW w:w="6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revenue</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1,119,000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1,189,000</w:t>
            </w:r>
          </w:p>
        </w:tc>
      </w:tr>
      <w:tr>
        <w:trPr>
          <w:trHeight w:val="189"/>
        </w:trPr>
        <w:tc>
          <w:tcPr>
            <w:tcW w:w="6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(404,000)</w:t>
            </w:r>
          </w:p>
        </w:tc>
      </w:tr>
      <w:tr>
        <w:trPr>
          <w:trHeight w:val="204"/>
        </w:trPr>
        <w:tc>
          <w:tcPr>
            <w:tcW w:w="6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loss attributable to the entities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(483,000)</w:t>
            </w:r>
          </w:p>
        </w:tc>
      </w:tr>
    </w:tbl>
    <w:p>
      <w:pPr>
        <w:spacing w:after="0" w:line="281" w:lineRule="exact"/>
        <w:rPr>
          <w:sz w:val="20"/>
          <w:szCs w:val="20"/>
          <w:color w:val="auto"/>
        </w:rPr>
      </w:pPr>
    </w:p>
    <w:p>
      <w:pPr>
        <w:ind w:left="320" w:right="9580" w:hanging="315"/>
        <w:spacing w:after="0" w:line="322" w:lineRule="auto"/>
        <w:tabs>
          <w:tab w:leader="none" w:pos="18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Acquisitions </w:t>
      </w:r>
      <w:r>
        <w:rPr>
          <w:rFonts w:ascii="Times New Roman" w:cs="Times New Roman" w:eastAsia="Times New Roman" w:hAnsi="Times New Roman"/>
          <w:sz w:val="17"/>
          <w:szCs w:val="17"/>
          <w:i w:val="1"/>
          <w:iCs w:val="1"/>
          <w:color w:val="auto"/>
        </w:rPr>
        <w:t>Investment in Loan</w:t>
      </w:r>
    </w:p>
    <w:p>
      <w:pPr>
        <w:spacing w:after="0" w:line="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August 6, 2024, we purchased a $50,000,000 B-Note secured by a Midtown Manhattan property at par. The B-Note, together with the $35,000,000 A-Note, is in default. The B-Note accrues interest at 5.25% plus 4.00% default interest. The $50,000,000 B-Note investment was recorded to “other assets” on our consolidated balance sheets.</w:t>
      </w:r>
    </w:p>
    <w:p>
      <w:pPr>
        <w:spacing w:after="0" w:line="16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6.</w:t>
        <w:tab/>
        <w:t>Dispositions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220 Central Park South</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During the year ended December 31, 2024, we closed on the sale of two condominium units at 220 Central Park South (“220 CPS”) for net proceeds of $31,605,000, resulting in a financial statement net gain of $15,175,000 which is included in "net gains on disposition of wholly owned and partially owned assets" on our consolidated statements of income. In connection with these sales, $2,106,000 of income tax expense was recognized on our consolidated statements of income. As of December 31, 2024, four units remain unsold, with a carrying value of $21,552,000 which is included in "other assets”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91" w:name="page92"/>
    <w:bookmarkEnd w:id="91"/>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66" w:lineRule="exact"/>
        <w:rPr>
          <w:sz w:val="20"/>
          <w:szCs w:val="20"/>
          <w:color w:val="auto"/>
        </w:rPr>
      </w:pPr>
    </w:p>
    <w:p>
      <w:pPr>
        <w:ind w:left="360" w:hanging="355"/>
        <w:spacing w:after="0"/>
        <w:tabs>
          <w:tab w:leader="none" w:pos="360"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Identified Intangible Assets and Liabilities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summarizes our identified intangible assets (primarily in-place and above-market leases) and liabilities (primarily below-market leases).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252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0" w:type="dxa"/>
            <w:vAlign w:val="bottom"/>
          </w:tcPr>
          <w:p>
            <w:pPr>
              <w:spacing w:after="0"/>
              <w:rPr>
                <w:sz w:val="1"/>
                <w:szCs w:val="1"/>
                <w:color w:val="auto"/>
              </w:rPr>
            </w:pPr>
          </w:p>
        </w:tc>
      </w:tr>
      <w:tr>
        <w:trPr>
          <w:trHeight w:val="23"/>
        </w:trPr>
        <w:tc>
          <w:tcPr>
            <w:tcW w:w="8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Identified intangible assets: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amount</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193,217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225,671</w:t>
            </w:r>
          </w:p>
        </w:tc>
        <w:tc>
          <w:tcPr>
            <w:tcW w:w="0" w:type="dxa"/>
            <w:vAlign w:val="bottom"/>
          </w:tcPr>
          <w:p>
            <w:pPr>
              <w:spacing w:after="0"/>
              <w:rPr>
                <w:sz w:val="1"/>
                <w:szCs w:val="1"/>
                <w:color w:val="auto"/>
              </w:rPr>
            </w:pPr>
          </w:p>
        </w:tc>
      </w:tr>
      <w:tr>
        <w:trPr>
          <w:trHeight w:val="19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amortization</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(75,002)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(98,589)</w:t>
            </w:r>
          </w:p>
        </w:tc>
        <w:tc>
          <w:tcPr>
            <w:tcW w:w="0" w:type="dxa"/>
            <w:vAlign w:val="bottom"/>
          </w:tcPr>
          <w:p>
            <w:pPr>
              <w:spacing w:after="0"/>
              <w:rPr>
                <w:sz w:val="1"/>
                <w:szCs w:val="1"/>
                <w:color w:val="auto"/>
              </w:rPr>
            </w:pPr>
          </w:p>
        </w:tc>
      </w:tr>
      <w:tr>
        <w:trPr>
          <w:trHeight w:val="221"/>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w:t>
            </w: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118,215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127,082</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Identified intangible liabilities (included in deferred revenue):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4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amount</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134,499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206,771</w:t>
            </w:r>
          </w:p>
        </w:tc>
        <w:tc>
          <w:tcPr>
            <w:tcW w:w="0" w:type="dxa"/>
            <w:vAlign w:val="bottom"/>
          </w:tcPr>
          <w:p>
            <w:pPr>
              <w:spacing w:after="0"/>
              <w:rPr>
                <w:sz w:val="1"/>
                <w:szCs w:val="1"/>
                <w:color w:val="auto"/>
              </w:rPr>
            </w:pPr>
          </w:p>
        </w:tc>
      </w:tr>
      <w:tr>
        <w:trPr>
          <w:trHeight w:val="19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amortization</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(110,982)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(178,282)</w:t>
            </w:r>
          </w:p>
        </w:tc>
        <w:tc>
          <w:tcPr>
            <w:tcW w:w="0" w:type="dxa"/>
            <w:vAlign w:val="bottom"/>
          </w:tcPr>
          <w:p>
            <w:pPr>
              <w:spacing w:after="0"/>
              <w:rPr>
                <w:sz w:val="1"/>
                <w:szCs w:val="1"/>
                <w:color w:val="auto"/>
              </w:rPr>
            </w:pPr>
          </w:p>
        </w:tc>
      </w:tr>
      <w:tr>
        <w:trPr>
          <w:trHeight w:val="221"/>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w:t>
            </w: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28,489</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Amortization of acquired below-market leases, net of acquired above-market leases, resulted in an increase to rental revenues of $3,035,000, $5,268,000 and $5,178,000 for the years ended December 31, 2024, 2023 and 2022, respectively. Estimated annual amortization for each of the five succeeding years commencing January 1, 2025 is below:</w:t>
      </w:r>
    </w:p>
    <w:p>
      <w:pPr>
        <w:spacing w:after="0" w:line="68" w:lineRule="exact"/>
        <w:rPr>
          <w:sz w:val="20"/>
          <w:szCs w:val="20"/>
          <w:color w:val="auto"/>
        </w:rPr>
      </w:pPr>
    </w:p>
    <w:tbl>
      <w:tblPr>
        <w:tblLayout w:type="fixed"/>
        <w:tblInd w:w="2440" w:type="dxa"/>
        <w:tblCellMar>
          <w:top w:w="0" w:type="dxa"/>
          <w:left w:w="0" w:type="dxa"/>
          <w:bottom w:w="0" w:type="dxa"/>
          <w:right w:w="0" w:type="dxa"/>
        </w:tblCellMar>
      </w:tblPr>
      <w:tr>
        <w:trPr>
          <w:trHeight w:val="182"/>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3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
        </w:trPr>
        <w:tc>
          <w:tcPr>
            <w:tcW w:w="30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3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4"/>
                <w:szCs w:val="14"/>
                <w:color w:val="auto"/>
                <w:w w:val="95"/>
              </w:rPr>
              <w:t>387</w:t>
            </w:r>
          </w:p>
        </w:tc>
      </w:tr>
      <w:tr>
        <w:trPr>
          <w:trHeight w:val="18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380" w:type="dxa"/>
            <w:vAlign w:val="bottom"/>
          </w:tcPr>
          <w:p>
            <w:pPr>
              <w:spacing w:after="0"/>
              <w:rPr>
                <w:sz w:val="16"/>
                <w:szCs w:val="16"/>
                <w:color w:val="auto"/>
              </w:rPr>
            </w:pPr>
          </w:p>
        </w:tc>
        <w:tc>
          <w:tcPr>
            <w:tcW w:w="960" w:type="dxa"/>
            <w:vAlign w:val="bottom"/>
          </w:tcPr>
          <w:p>
            <w:pPr>
              <w:jc w:val="center"/>
              <w:ind w:left="570"/>
              <w:spacing w:after="0"/>
              <w:rPr>
                <w:sz w:val="20"/>
                <w:szCs w:val="20"/>
                <w:color w:val="auto"/>
              </w:rPr>
            </w:pPr>
            <w:r>
              <w:rPr>
                <w:rFonts w:ascii="Times New Roman" w:cs="Times New Roman" w:eastAsia="Times New Roman" w:hAnsi="Times New Roman"/>
                <w:sz w:val="14"/>
                <w:szCs w:val="14"/>
                <w:color w:val="auto"/>
                <w:w w:val="95"/>
              </w:rPr>
              <w:t>290</w:t>
            </w:r>
          </w:p>
        </w:tc>
      </w:tr>
      <w:tr>
        <w:trPr>
          <w:trHeight w:val="20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38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4"/>
                <w:szCs w:val="14"/>
                <w:color w:val="auto"/>
                <w:w w:val="98"/>
              </w:rPr>
              <w:t>(249)</w:t>
            </w:r>
          </w:p>
        </w:tc>
      </w:tr>
      <w:tr>
        <w:trPr>
          <w:trHeight w:val="18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380" w:type="dxa"/>
            <w:vAlign w:val="bottom"/>
          </w:tcPr>
          <w:p>
            <w:pPr>
              <w:spacing w:after="0"/>
              <w:rPr>
                <w:sz w:val="16"/>
                <w:szCs w:val="16"/>
                <w:color w:val="auto"/>
              </w:rPr>
            </w:pPr>
          </w:p>
        </w:tc>
        <w:tc>
          <w:tcPr>
            <w:tcW w:w="960" w:type="dxa"/>
            <w:vAlign w:val="bottom"/>
          </w:tcPr>
          <w:p>
            <w:pPr>
              <w:jc w:val="center"/>
              <w:ind w:left="550"/>
              <w:spacing w:after="0"/>
              <w:rPr>
                <w:sz w:val="20"/>
                <w:szCs w:val="20"/>
                <w:color w:val="auto"/>
              </w:rPr>
            </w:pPr>
            <w:r>
              <w:rPr>
                <w:rFonts w:ascii="Times New Roman" w:cs="Times New Roman" w:eastAsia="Times New Roman" w:hAnsi="Times New Roman"/>
                <w:sz w:val="14"/>
                <w:szCs w:val="14"/>
                <w:color w:val="auto"/>
                <w:w w:val="98"/>
              </w:rPr>
              <w:t>(150)</w:t>
            </w:r>
          </w:p>
        </w:tc>
      </w:tr>
      <w:tr>
        <w:trPr>
          <w:trHeight w:val="20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38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4"/>
                <w:szCs w:val="14"/>
                <w:color w:val="auto"/>
                <w:w w:val="98"/>
              </w:rPr>
              <w:t>(119)</w:t>
            </w:r>
          </w:p>
        </w:tc>
      </w:tr>
    </w:tbl>
    <w:p>
      <w:pPr>
        <w:spacing w:after="0" w:line="28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Amortization of all other identified intangible assets (a component of depreciation and amortization expense) was $6,930,000, $8,342,000 and $10,516,000 for the years ended December 31, 2024, 2023 and 2022, respectively. Estimated annual amortization for each of the five succeeding years commencing January 1, 2025 is below:</w:t>
      </w:r>
    </w:p>
    <w:p>
      <w:pPr>
        <w:spacing w:after="0" w:line="81" w:lineRule="exact"/>
        <w:rPr>
          <w:sz w:val="20"/>
          <w:szCs w:val="20"/>
          <w:color w:val="auto"/>
        </w:rPr>
      </w:pPr>
    </w:p>
    <w:tbl>
      <w:tblPr>
        <w:tblLayout w:type="fixed"/>
        <w:tblInd w:w="2440" w:type="dxa"/>
        <w:tblCellMar>
          <w:top w:w="0" w:type="dxa"/>
          <w:left w:w="0" w:type="dxa"/>
          <w:bottom w:w="0" w:type="dxa"/>
          <w:right w:w="0" w:type="dxa"/>
        </w:tblCellMar>
      </w:tblPr>
      <w:tr>
        <w:trPr>
          <w:trHeight w:val="182"/>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
        </w:trPr>
        <w:tc>
          <w:tcPr>
            <w:tcW w:w="3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3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5,719</w:t>
            </w:r>
          </w:p>
        </w:tc>
      </w:tr>
      <w:tr>
        <w:trPr>
          <w:trHeight w:val="18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5,615</w:t>
            </w:r>
          </w:p>
        </w:tc>
      </w:tr>
      <w:tr>
        <w:trPr>
          <w:trHeight w:val="20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5,308</w:t>
            </w:r>
          </w:p>
        </w:tc>
      </w:tr>
      <w:tr>
        <w:trPr>
          <w:trHeight w:val="18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4,175</w:t>
            </w:r>
          </w:p>
        </w:tc>
      </w:tr>
      <w:tr>
        <w:trPr>
          <w:trHeight w:val="20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3,660</w:t>
            </w:r>
          </w:p>
        </w:tc>
      </w:tr>
    </w:tbl>
    <w:p>
      <w:pPr>
        <w:spacing w:after="0" w:line="163" w:lineRule="exact"/>
        <w:rPr>
          <w:sz w:val="20"/>
          <w:szCs w:val="20"/>
          <w:color w:val="auto"/>
        </w:rPr>
      </w:pPr>
    </w:p>
    <w:p>
      <w:pPr>
        <w:ind w:left="360" w:hanging="355"/>
        <w:spacing w:after="0"/>
        <w:tabs>
          <w:tab w:leader="none" w:pos="360"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435 Seventh Avenue</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April 9, 2024, we completed a $75,000,000 refinancing of 435 Seventh Avenue, of which $37,500,000 is recourse to the Operating Partnership. The interest-only loan bears a rate of SOFR plus 2.10% and matures in April 2028. The interest rate on the loan was swapped to a fixed rate of 6.96% through April 2026. The loan replaces the previous $95,696,000 fully recourse loan, which bore interest at SOFR plus 1.41%.</w: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Unsecured Revolving Credit Facility</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On May 3, 2024, we extended one of our two unsecured revolving credit facilities to April 2029 (as fully extended). The new $915,000,000 facility replaced the $1.25 billion facility that was due to mature in April 2026. The new facility currently bears interest at a rate of SOFR plus 1.20% with a facility fee of 25 basis points. Our $1.25 billion revolving credit facility matures in December 2027 (as fully extended) and has an interest rate of SOFR plus 1.15% and a facility fee of 25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92" w:name="page93"/>
    <w:bookmarkEnd w:id="92"/>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66" w:lineRule="exact"/>
        <w:rPr>
          <w:sz w:val="20"/>
          <w:szCs w:val="20"/>
          <w:color w:val="auto"/>
        </w:rPr>
      </w:pPr>
    </w:p>
    <w:p>
      <w:pPr>
        <w:ind w:left="320" w:right="9620" w:hanging="315"/>
        <w:spacing w:after="0" w:line="322" w:lineRule="auto"/>
        <w:tabs>
          <w:tab w:leader="none" w:pos="355"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 continued </w:t>
      </w:r>
      <w:r>
        <w:rPr>
          <w:rFonts w:ascii="Times New Roman" w:cs="Times New Roman" w:eastAsia="Times New Roman" w:hAnsi="Times New Roman"/>
          <w:sz w:val="17"/>
          <w:szCs w:val="17"/>
          <w:i w:val="1"/>
          <w:iCs w:val="1"/>
          <w:color w:val="auto"/>
        </w:rPr>
        <w:t>606 Broadway</w:t>
      </w:r>
    </w:p>
    <w:p>
      <w:pPr>
        <w:spacing w:after="0" w:line="1"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On September 5, 2024, the $74,119,000 non-recourse mortgage loan on 606 Broadway, in which we hold a 50% interest, matured and was not repaid, at which time the lender declared an event of default. As of December 31, 2024, the property has a carrying value of $53,886,000, which is after an impairment charge recorded in the fourth quarter of 2023. We consolidate the joint venture. The loan currently bears interest at a floating rate of SOFR plus 1.91% (6.39% as of December 31, 2024) and provides for additional default interest of 3.00%.</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is a summary of our debt:</w:t>
      </w:r>
    </w:p>
    <w:p>
      <w:pPr>
        <w:spacing w:after="0" w:line="100" w:lineRule="exact"/>
        <w:rPr>
          <w:sz w:val="20"/>
          <w:szCs w:val="20"/>
          <w:color w:val="auto"/>
        </w:rPr>
      </w:pPr>
    </w:p>
    <w:tbl>
      <w:tblPr>
        <w:tblLayout w:type="fixed"/>
        <w:tblInd w:w="80" w:type="dxa"/>
        <w:tblCellMar>
          <w:top w:w="0" w:type="dxa"/>
          <w:left w:w="0" w:type="dxa"/>
          <w:bottom w:w="0" w:type="dxa"/>
          <w:right w:w="0" w:type="dxa"/>
        </w:tblCellMar>
      </w:tblPr>
      <w:tr>
        <w:trPr>
          <w:trHeight w:val="182"/>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Weighted Average Interest</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0" w:type="dxa"/>
            <w:vAlign w:val="bottom"/>
          </w:tcPr>
          <w:p>
            <w:pPr>
              <w:spacing w:after="0"/>
              <w:rPr>
                <w:sz w:val="1"/>
                <w:szCs w:val="1"/>
                <w:color w:val="auto"/>
              </w:rPr>
            </w:pPr>
          </w:p>
        </w:tc>
      </w:tr>
      <w:tr>
        <w:trPr>
          <w:trHeight w:val="65"/>
        </w:trPr>
        <w:tc>
          <w:tcPr>
            <w:tcW w:w="6320" w:type="dxa"/>
            <w:vAlign w:val="bottom"/>
          </w:tcPr>
          <w:p>
            <w:pPr>
              <w:spacing w:after="0"/>
              <w:rPr>
                <w:sz w:val="5"/>
                <w:szCs w:val="5"/>
                <w:color w:val="auto"/>
              </w:rPr>
            </w:pPr>
          </w:p>
        </w:tc>
        <w:tc>
          <w:tcPr>
            <w:tcW w:w="1640" w:type="dxa"/>
            <w:vAlign w:val="bottom"/>
          </w:tcPr>
          <w:p>
            <w:pPr>
              <w:jc w:val="center"/>
              <w:spacing w:after="0" w:line="66" w:lineRule="exact"/>
              <w:rPr>
                <w:sz w:val="20"/>
                <w:szCs w:val="20"/>
                <w:color w:val="auto"/>
              </w:rPr>
            </w:pPr>
            <w:r>
              <w:rPr>
                <w:rFonts w:ascii="Times New Roman" w:cs="Times New Roman" w:eastAsia="Times New Roman" w:hAnsi="Times New Roman"/>
                <w:sz w:val="7"/>
                <w:szCs w:val="7"/>
                <w:b w:val="1"/>
                <w:bCs w:val="1"/>
                <w:color w:val="auto"/>
              </w:rPr>
              <w:t>Rate as of December 31,</w:t>
            </w:r>
          </w:p>
        </w:tc>
        <w:tc>
          <w:tcPr>
            <w:tcW w:w="3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632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2024</w:t>
            </w:r>
            <w:r>
              <w:rPr>
                <w:rFonts w:ascii="Times New Roman" w:cs="Times New Roman" w:eastAsia="Times New Roman" w:hAnsi="Times New Roman"/>
                <w:sz w:val="9"/>
                <w:szCs w:val="9"/>
                <w:b w:val="1"/>
                <w:bCs w:val="1"/>
                <w:color w:val="auto"/>
                <w:w w:val="98"/>
              </w:rPr>
              <w:t>(1)</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6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Mortgages Payable:</w:t>
            </w: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320" w:type="dxa"/>
            <w:vAlign w:val="bottom"/>
          </w:tcPr>
          <w:p>
            <w:pPr>
              <w:ind w:left="440"/>
              <w:spacing w:after="0" w:line="180" w:lineRule="exact"/>
              <w:rPr>
                <w:sz w:val="20"/>
                <w:szCs w:val="20"/>
                <w:color w:val="auto"/>
              </w:rPr>
            </w:pPr>
            <w:r>
              <w:rPr>
                <w:rFonts w:ascii="Times New Roman" w:cs="Times New Roman" w:eastAsia="Times New Roman" w:hAnsi="Times New Roman"/>
                <w:sz w:val="14"/>
                <w:szCs w:val="14"/>
                <w:color w:val="auto"/>
              </w:rPr>
              <w:t>Fixed rate</w:t>
            </w:r>
            <w:r>
              <w:rPr>
                <w:rFonts w:ascii="Times New Roman" w:cs="Times New Roman" w:eastAsia="Times New Roman" w:hAnsi="Times New Roman"/>
                <w:sz w:val="18"/>
                <w:szCs w:val="18"/>
                <w:b w:val="1"/>
                <w:bCs w:val="1"/>
                <w:color w:val="auto"/>
                <w:vertAlign w:val="superscript"/>
              </w:rPr>
              <w:t>(2)</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4.63%</w:t>
            </w:r>
          </w:p>
        </w:tc>
        <w:tc>
          <w:tcPr>
            <w:tcW w:w="6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4,591,400</w:t>
            </w:r>
          </w:p>
        </w:tc>
        <w:tc>
          <w:tcPr>
            <w:tcW w:w="10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4,518,200</w:t>
            </w:r>
          </w:p>
        </w:tc>
        <w:tc>
          <w:tcPr>
            <w:tcW w:w="0" w:type="dxa"/>
            <w:vAlign w:val="bottom"/>
          </w:tcPr>
          <w:p>
            <w:pPr>
              <w:spacing w:after="0"/>
              <w:rPr>
                <w:sz w:val="1"/>
                <w:szCs w:val="1"/>
                <w:color w:val="auto"/>
              </w:rPr>
            </w:pPr>
          </w:p>
        </w:tc>
      </w:tr>
      <w:tr>
        <w:trPr>
          <w:trHeight w:val="119"/>
        </w:trPr>
        <w:tc>
          <w:tcPr>
            <w:tcW w:w="63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Variable rate</w:t>
            </w:r>
            <w:r>
              <w:rPr>
                <w:rFonts w:ascii="Times New Roman" w:cs="Times New Roman" w:eastAsia="Times New Roman" w:hAnsi="Times New Roman"/>
                <w:sz w:val="18"/>
                <w:szCs w:val="18"/>
                <w:b w:val="1"/>
                <w:bCs w:val="1"/>
                <w:color w:val="auto"/>
                <w:vertAlign w:val="superscript"/>
              </w:rPr>
              <w:t>(3)</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6.01%</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b w:val="1"/>
                <w:bCs w:val="1"/>
                <w:color w:val="auto"/>
              </w:rPr>
              <w:t>(4)</w:t>
            </w:r>
          </w:p>
        </w:tc>
        <w:tc>
          <w:tcPr>
            <w:tcW w:w="320" w:type="dxa"/>
            <w:vAlign w:val="bottom"/>
          </w:tcPr>
          <w:p>
            <w:pPr>
              <w:spacing w:after="0"/>
              <w:rPr>
                <w:sz w:val="10"/>
                <w:szCs w:val="10"/>
                <w:color w:val="auto"/>
              </w:rPr>
            </w:pP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1,115,776</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1,211,415</w:t>
            </w:r>
          </w:p>
        </w:tc>
        <w:tc>
          <w:tcPr>
            <w:tcW w:w="0" w:type="dxa"/>
            <w:vAlign w:val="bottom"/>
          </w:tcPr>
          <w:p>
            <w:pPr>
              <w:spacing w:after="0"/>
              <w:rPr>
                <w:sz w:val="1"/>
                <w:szCs w:val="1"/>
                <w:color w:val="auto"/>
              </w:rPr>
            </w:pPr>
          </w:p>
        </w:tc>
      </w:tr>
      <w:tr>
        <w:trPr>
          <w:trHeight w:val="118"/>
        </w:trPr>
        <w:tc>
          <w:tcPr>
            <w:tcW w:w="6320" w:type="dxa"/>
            <w:vAlign w:val="bottom"/>
            <w:tcBorders>
              <w:bottom w:val="single" w:sz="8" w:color="CCEEFF"/>
            </w:tcBorders>
            <w:vMerge w:val="continue"/>
          </w:tcPr>
          <w:p>
            <w:pPr>
              <w:spacing w:after="0"/>
              <w:rPr>
                <w:sz w:val="10"/>
                <w:szCs w:val="10"/>
                <w:color w:val="auto"/>
              </w:rPr>
            </w:pPr>
          </w:p>
        </w:tc>
        <w:tc>
          <w:tcPr>
            <w:tcW w:w="1640" w:type="dxa"/>
            <w:vAlign w:val="bottom"/>
            <w:tcBorders>
              <w:bottom w:val="single" w:sz="8" w:color="CCEEFF"/>
            </w:tcBorders>
            <w:vMerge w:val="continue"/>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63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Total</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4.90%</w:t>
            </w: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5,707,176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5,729,615</w:t>
            </w:r>
          </w:p>
        </w:tc>
        <w:tc>
          <w:tcPr>
            <w:tcW w:w="0" w:type="dxa"/>
            <w:vAlign w:val="bottom"/>
          </w:tcPr>
          <w:p>
            <w:pPr>
              <w:spacing w:after="0"/>
              <w:rPr>
                <w:sz w:val="1"/>
                <w:szCs w:val="1"/>
                <w:color w:val="auto"/>
              </w:rPr>
            </w:pPr>
          </w:p>
        </w:tc>
      </w:tr>
      <w:tr>
        <w:trPr>
          <w:trHeight w:val="190"/>
        </w:trPr>
        <w:tc>
          <w:tcPr>
            <w:tcW w:w="6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Deferred financing costs, net and other</w:t>
            </w:r>
          </w:p>
        </w:tc>
        <w:tc>
          <w:tcPr>
            <w:tcW w:w="16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(31,162)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(41,595)</w:t>
            </w:r>
          </w:p>
        </w:tc>
        <w:tc>
          <w:tcPr>
            <w:tcW w:w="0" w:type="dxa"/>
            <w:vAlign w:val="bottom"/>
          </w:tcPr>
          <w:p>
            <w:pPr>
              <w:spacing w:after="0"/>
              <w:rPr>
                <w:sz w:val="1"/>
                <w:szCs w:val="1"/>
                <w:color w:val="auto"/>
              </w:rPr>
            </w:pPr>
          </w:p>
        </w:tc>
      </w:tr>
      <w:tr>
        <w:trPr>
          <w:trHeight w:val="221"/>
        </w:trPr>
        <w:tc>
          <w:tcPr>
            <w:tcW w:w="63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Total, net</w:t>
            </w:r>
          </w:p>
        </w:tc>
        <w:tc>
          <w:tcPr>
            <w:tcW w:w="16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5,676,014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5,688,020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Unsecured Debt:</w:t>
            </w:r>
          </w:p>
        </w:tc>
        <w:tc>
          <w:tcPr>
            <w:tcW w:w="1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320" w:type="dxa"/>
            <w:vAlign w:val="bottom"/>
            <w:vMerge w:val="continue"/>
          </w:tcPr>
          <w:p>
            <w:pPr>
              <w:spacing w:after="0"/>
              <w:rPr>
                <w:sz w:val="11"/>
                <w:szCs w:val="11"/>
                <w:color w:val="auto"/>
              </w:rPr>
            </w:pP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Senior unsecured notes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3.02%</w:t>
            </w:r>
          </w:p>
        </w:tc>
        <w:tc>
          <w:tcPr>
            <w:tcW w:w="6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1,200,000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0" w:type="dxa"/>
            <w:vAlign w:val="bottom"/>
          </w:tcPr>
          <w:p>
            <w:pPr>
              <w:spacing w:after="0"/>
              <w:rPr>
                <w:sz w:val="1"/>
                <w:szCs w:val="1"/>
                <w:color w:val="auto"/>
              </w:rPr>
            </w:pPr>
          </w:p>
        </w:tc>
      </w:tr>
      <w:tr>
        <w:trPr>
          <w:trHeight w:val="190"/>
        </w:trPr>
        <w:tc>
          <w:tcPr>
            <w:tcW w:w="6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Deferred financing costs, net and other</w:t>
            </w:r>
          </w:p>
        </w:tc>
        <w:tc>
          <w:tcPr>
            <w:tcW w:w="16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(6,127)</w:t>
            </w:r>
          </w:p>
        </w:tc>
        <w:tc>
          <w:tcPr>
            <w:tcW w:w="0" w:type="dxa"/>
            <w:vAlign w:val="bottom"/>
          </w:tcPr>
          <w:p>
            <w:pPr>
              <w:spacing w:after="0"/>
              <w:rPr>
                <w:sz w:val="1"/>
                <w:szCs w:val="1"/>
                <w:color w:val="auto"/>
              </w:rPr>
            </w:pPr>
          </w:p>
        </w:tc>
      </w:tr>
      <w:tr>
        <w:trPr>
          <w:trHeight w:val="190"/>
        </w:trPr>
        <w:tc>
          <w:tcPr>
            <w:tcW w:w="63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Senior unsecured notes, net</w:t>
            </w:r>
          </w:p>
        </w:tc>
        <w:tc>
          <w:tcPr>
            <w:tcW w:w="1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1,195,914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1,193,873</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Unsecured term loan</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4.67%</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800,000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0" w:type="dxa"/>
            <w:vAlign w:val="bottom"/>
          </w:tcPr>
          <w:p>
            <w:pPr>
              <w:spacing w:after="0"/>
              <w:rPr>
                <w:sz w:val="1"/>
                <w:szCs w:val="1"/>
                <w:color w:val="auto"/>
              </w:rPr>
            </w:pPr>
          </w:p>
        </w:tc>
      </w:tr>
      <w:tr>
        <w:trPr>
          <w:trHeight w:val="190"/>
        </w:trPr>
        <w:tc>
          <w:tcPr>
            <w:tcW w:w="6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Deferred financing costs, net and other</w:t>
            </w:r>
          </w:p>
        </w:tc>
        <w:tc>
          <w:tcPr>
            <w:tcW w:w="16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(5,441)</w:t>
            </w:r>
          </w:p>
        </w:tc>
        <w:tc>
          <w:tcPr>
            <w:tcW w:w="0" w:type="dxa"/>
            <w:vAlign w:val="bottom"/>
          </w:tcPr>
          <w:p>
            <w:pPr>
              <w:spacing w:after="0"/>
              <w:rPr>
                <w:sz w:val="1"/>
                <w:szCs w:val="1"/>
                <w:color w:val="auto"/>
              </w:rPr>
            </w:pPr>
          </w:p>
        </w:tc>
      </w:tr>
      <w:tr>
        <w:trPr>
          <w:trHeight w:val="190"/>
        </w:trPr>
        <w:tc>
          <w:tcPr>
            <w:tcW w:w="63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Unsecured term loan, net</w:t>
            </w:r>
          </w:p>
        </w:tc>
        <w:tc>
          <w:tcPr>
            <w:tcW w:w="1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795,948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794,559</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Unsecured revolving credit facilities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3.88%</w:t>
            </w:r>
          </w:p>
        </w:tc>
        <w:tc>
          <w:tcPr>
            <w:tcW w:w="3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575,000</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Total, net</w:t>
            </w:r>
          </w:p>
        </w:tc>
        <w:tc>
          <w:tcPr>
            <w:tcW w:w="1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2,566,862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2,563,432</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-2228215</wp:posOffset>
            </wp:positionV>
            <wp:extent cx="7052945" cy="1244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52945" cy="12446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10" w:lineRule="exact"/>
        <w:rPr>
          <w:sz w:val="20"/>
          <w:szCs w:val="20"/>
          <w:color w:val="auto"/>
        </w:rPr>
      </w:pPr>
    </w:p>
    <w:p>
      <w:pPr>
        <w:ind w:left="320" w:hanging="315"/>
        <w:spacing w:after="0" w:line="250" w:lineRule="auto"/>
        <w:tabs>
          <w:tab w:leader="none" w:pos="312"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Represents the interest rate in effect as of period end based on the appropriate reference rate as of the contractual reset date plus contractual spread, adjusted for hedging instruments, as applicable. See Note 14 -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for further information on our consolidated hedging instruments.</w:t>
      </w:r>
    </w:p>
    <w:p>
      <w:pPr>
        <w:spacing w:after="0" w:line="1" w:lineRule="exact"/>
        <w:rPr>
          <w:rFonts w:ascii="Times New Roman" w:cs="Times New Roman" w:eastAsia="Times New Roman" w:hAnsi="Times New Roman"/>
          <w:sz w:val="14"/>
          <w:szCs w:val="14"/>
          <w:b w:val="1"/>
          <w:bCs w:val="1"/>
          <w:color w:val="auto"/>
        </w:rPr>
      </w:pPr>
    </w:p>
    <w:p>
      <w:pPr>
        <w:ind w:left="320" w:hanging="315"/>
        <w:spacing w:after="0" w:line="237" w:lineRule="auto"/>
        <w:tabs>
          <w:tab w:leader="none" w:pos="312"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mortgages with interest rates fixed by interest rate swap arrangements and the $950,000 1290 Avenue of the Americas mortgage loan which is subject to a 1.00% SOFR interest rate cap arrangement.</w:t>
      </w:r>
    </w:p>
    <w:p>
      <w:pPr>
        <w:jc w:val="both"/>
        <w:ind w:left="320" w:hanging="315"/>
        <w:spacing w:after="0" w:line="245" w:lineRule="auto"/>
        <w:tabs>
          <w:tab w:leader="none" w:pos="312"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mortgages subject to interest rate cap arrangements, except for the 1290 Avenue of the Americas mortgage loan discussed above. As of December 31, 2024, $960,000 of our variable rate debt was subject to interest rate cap arrangements. The interest rate cap arrangements have a weighted average strike rate of 4.79% and a weighted average remaining term of four months.</w:t>
      </w:r>
    </w:p>
    <w:p>
      <w:pPr>
        <w:ind w:left="320" w:hanging="315"/>
        <w:spacing w:after="0"/>
        <w:tabs>
          <w:tab w:leader="none" w:pos="320"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additional 3.00% default interest on the 606 Broadway mortgage loan.</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net carrying amount of properties collateralizing the above indebtedness amounted to $5.9 billion as of December 31, 2024.</w:t>
      </w:r>
    </w:p>
    <w:p>
      <w:pPr>
        <w:spacing w:after="0" w:line="66"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As of December 31, 2024, the principal maturities of mortgages payable and unsecured debt, including as-of-right extension options, for the next five years and thereafter are presented below. The below excludes the $74,119,000 mortgage loan on 606 Broadway which is in maturity default. See above for further details.</w:t>
      </w:r>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84"/>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6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Mortgages Payable</w:t>
            </w:r>
          </w:p>
        </w:tc>
        <w:tc>
          <w:tcPr>
            <w:tcW w:w="220" w:type="dxa"/>
            <w:vAlign w:val="bottom"/>
          </w:tcPr>
          <w:p>
            <w:pPr>
              <w:spacing w:after="0"/>
              <w:rPr>
                <w:sz w:val="16"/>
                <w:szCs w:val="16"/>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Unsecured Debt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vMerge w:val="restart"/>
          </w:tcPr>
          <w:p>
            <w:pPr>
              <w:jc w:val="right"/>
              <w:ind w:right="95"/>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0" w:type="dxa"/>
            <w:vAlign w:val="bottom"/>
          </w:tcPr>
          <w:p>
            <w:pPr>
              <w:spacing w:after="0"/>
              <w:rPr>
                <w:sz w:val="1"/>
                <w:szCs w:val="1"/>
                <w:color w:val="auto"/>
              </w:rPr>
            </w:pPr>
          </w:p>
        </w:tc>
      </w:tr>
      <w:tr>
        <w:trPr>
          <w:trHeight w:val="166"/>
        </w:trPr>
        <w:tc>
          <w:tcPr>
            <w:tcW w:w="5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878,057</w:t>
            </w:r>
          </w:p>
        </w:tc>
        <w:tc>
          <w:tcPr>
            <w:tcW w:w="120" w:type="dxa"/>
            <w:vAlign w:val="bottom"/>
          </w:tcPr>
          <w:p>
            <w:pPr>
              <w:spacing w:after="0"/>
              <w:rPr>
                <w:sz w:val="17"/>
                <w:szCs w:val="17"/>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450,000</w:t>
            </w: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400,000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1,580,000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1,375,000</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350,000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-739140</wp:posOffset>
            </wp:positionV>
            <wp:extent cx="5539740" cy="1244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39740" cy="12446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22" w:lineRule="exact"/>
        <w:rPr>
          <w:sz w:val="20"/>
          <w:szCs w:val="20"/>
          <w:color w:val="auto"/>
        </w:rPr>
      </w:pPr>
    </w:p>
    <w:p>
      <w:pPr>
        <w:ind w:left="1620" w:hanging="201"/>
        <w:spacing w:after="0"/>
        <w:tabs>
          <w:tab w:leader="none" w:pos="1620"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repaid our $450,000 3.50% senior unsecured notes on their January 15, 2025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93" w:name="page94"/>
    <w:bookmarkEnd w:id="93"/>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70" w:lineRule="exact"/>
        <w:rPr>
          <w:sz w:val="20"/>
          <w:szCs w:val="20"/>
          <w:color w:val="auto"/>
        </w:rPr>
      </w:pPr>
    </w:p>
    <w:p>
      <w:pPr>
        <w:ind w:right="7980" w:firstLine="5"/>
        <w:spacing w:after="0" w:line="322" w:lineRule="auto"/>
        <w:tabs>
          <w:tab w:leader="none" w:pos="349"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Redeemable Noncontrolling Interests </w:t>
      </w:r>
      <w:r>
        <w:rPr>
          <w:rFonts w:ascii="Times New Roman" w:cs="Times New Roman" w:eastAsia="Times New Roman" w:hAnsi="Times New Roman"/>
          <w:sz w:val="17"/>
          <w:szCs w:val="17"/>
          <w:i w:val="1"/>
          <w:iCs w:val="1"/>
          <w:color w:val="auto"/>
        </w:rPr>
        <w:t>Redeemable Noncontrolling Partnership Units</w:t>
      </w:r>
    </w:p>
    <w:p>
      <w:pPr>
        <w:spacing w:after="0" w:line="1"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Redeemable noncontrolling partnership units are primarily comprised of Class A Operating Partnership units held by third parties and are recorded at the greater of their carrying amount or redemption value at the end of each reporting period. Changes in the value from period-to-period are charged to “additional capital” in Vornado’s consolidated statements of changes in equity and to “partners’ capital” on the consolidated balance sheets of the Operating Partnership. Class A units may be tendered for redemption to the Operating Partnership for cash; Vornado, at its option, may assume that obligation and pay the holder either cash or Vornado common shares on a one-for-one basis. Because the number of Vornado common shares outstanding at all times equals the number of Class A units owned by Vornado, the redemption value of each Class A unit is equivalent to the market value of one Vornado common share, and a distribution made to a Class A unitholder is equal to the dividend paid to a Vornado common shareholder.</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are the details of redeemable noncontrolling partnership units.</w:t>
      </w:r>
    </w:p>
    <w:p>
      <w:pPr>
        <w:spacing w:after="0" w:line="9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(Amounts in thousands, except units and per unit amounts)</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Units Outstanding as of December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Preferred or</w:t>
            </w:r>
          </w:p>
        </w:tc>
        <w:tc>
          <w:tcPr>
            <w:tcW w:w="0" w:type="dxa"/>
            <w:vAlign w:val="bottom"/>
          </w:tcPr>
          <w:p>
            <w:pPr>
              <w:spacing w:after="0"/>
              <w:rPr>
                <w:sz w:val="1"/>
                <w:szCs w:val="1"/>
                <w:color w:val="auto"/>
              </w:rPr>
            </w:pPr>
          </w:p>
        </w:tc>
      </w:tr>
      <w:tr>
        <w:trPr>
          <w:trHeight w:val="79"/>
        </w:trPr>
        <w:tc>
          <w:tcPr>
            <w:tcW w:w="3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80" w:type="dxa"/>
            <w:vAlign w:val="bottom"/>
            <w:gridSpan w:val="4"/>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280" w:type="dxa"/>
            <w:vAlign w:val="bottom"/>
          </w:tcPr>
          <w:p>
            <w:pPr>
              <w:spacing w:after="0"/>
              <w:rPr>
                <w:sz w:val="6"/>
                <w:szCs w:val="6"/>
                <w:color w:val="auto"/>
              </w:rPr>
            </w:pPr>
          </w:p>
        </w:tc>
        <w:tc>
          <w:tcPr>
            <w:tcW w:w="216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gridSpan w:val="2"/>
            <w:vMerge w:val="restart"/>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Per Unit</w:t>
            </w:r>
          </w:p>
        </w:tc>
        <w:tc>
          <w:tcPr>
            <w:tcW w:w="120" w:type="dxa"/>
            <w:vAlign w:val="bottom"/>
          </w:tcPr>
          <w:p>
            <w:pPr>
              <w:spacing w:after="0"/>
              <w:rPr>
                <w:sz w:val="6"/>
                <w:szCs w:val="6"/>
                <w:color w:val="auto"/>
              </w:rPr>
            </w:pPr>
          </w:p>
        </w:tc>
        <w:tc>
          <w:tcPr>
            <w:tcW w:w="960" w:type="dxa"/>
            <w:vAlign w:val="bottom"/>
            <w:vMerge w:val="restart"/>
          </w:tcPr>
          <w:p>
            <w:pPr>
              <w:jc w:val="center"/>
              <w:ind w:right="9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Annual</w:t>
            </w:r>
          </w:p>
        </w:tc>
        <w:tc>
          <w:tcPr>
            <w:tcW w:w="0" w:type="dxa"/>
            <w:vAlign w:val="bottom"/>
          </w:tcPr>
          <w:p>
            <w:pPr>
              <w:spacing w:after="0"/>
              <w:rPr>
                <w:sz w:val="1"/>
                <w:szCs w:val="1"/>
                <w:color w:val="auto"/>
              </w:rPr>
            </w:pPr>
          </w:p>
        </w:tc>
      </w:tr>
      <w:tr>
        <w:trPr>
          <w:trHeight w:val="64"/>
        </w:trPr>
        <w:tc>
          <w:tcPr>
            <w:tcW w:w="3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80" w:type="dxa"/>
            <w:vAlign w:val="bottom"/>
            <w:gridSpan w:val="3"/>
            <w:vMerge w:val="restart"/>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8"/>
              </w:rPr>
              <w:t>Liquidation</w:t>
            </w:r>
          </w:p>
        </w:tc>
        <w:tc>
          <w:tcPr>
            <w:tcW w:w="120" w:type="dxa"/>
            <w:vAlign w:val="bottom"/>
          </w:tcPr>
          <w:p>
            <w:pPr>
              <w:spacing w:after="0"/>
              <w:rPr>
                <w:sz w:val="11"/>
                <w:szCs w:val="11"/>
                <w:color w:val="auto"/>
              </w:rPr>
            </w:pPr>
          </w:p>
        </w:tc>
        <w:tc>
          <w:tcPr>
            <w:tcW w:w="960" w:type="dxa"/>
            <w:vAlign w:val="bottom"/>
          </w:tcPr>
          <w:p>
            <w:pPr>
              <w:jc w:val="center"/>
              <w:ind w:right="70"/>
              <w:spacing w:after="0" w:line="124"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184"/>
        </w:trPr>
        <w:tc>
          <w:tcPr>
            <w:tcW w:w="404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Unit Series</w:t>
            </w:r>
          </w:p>
        </w:tc>
        <w:tc>
          <w:tcPr>
            <w:tcW w:w="200" w:type="dxa"/>
            <w:vAlign w:val="bottom"/>
          </w:tcPr>
          <w:p>
            <w:pPr>
              <w:spacing w:after="0"/>
              <w:rPr>
                <w:sz w:val="15"/>
                <w:szCs w:val="15"/>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Preference</w:t>
            </w:r>
          </w:p>
        </w:tc>
        <w:tc>
          <w:tcPr>
            <w:tcW w:w="120" w:type="dxa"/>
            <w:vAlign w:val="bottom"/>
          </w:tcPr>
          <w:p>
            <w:pPr>
              <w:spacing w:after="0"/>
              <w:rPr>
                <w:sz w:val="15"/>
                <w:szCs w:val="15"/>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189"/>
        </w:trPr>
        <w:tc>
          <w:tcPr>
            <w:tcW w:w="3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Common:</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Class A units held by third parties</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708,408</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480,251</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16,850,803</w:t>
            </w: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17,000,030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0.74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Perpetual Preferred/Redeemable Preferred: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gridSpan w:val="2"/>
            <w:shd w:val="clear" w:color="auto" w:fill="CCEEFF"/>
          </w:tcPr>
          <w:p>
            <w:pPr>
              <w:ind w:left="440"/>
              <w:spacing w:after="0" w:line="196" w:lineRule="exact"/>
              <w:rPr>
                <w:sz w:val="20"/>
                <w:szCs w:val="20"/>
                <w:color w:val="auto"/>
              </w:rPr>
            </w:pPr>
            <w:r>
              <w:rPr>
                <w:rFonts w:ascii="Times New Roman" w:cs="Times New Roman" w:eastAsia="Times New Roman" w:hAnsi="Times New Roman"/>
                <w:sz w:val="14"/>
                <w:szCs w:val="14"/>
                <w:color w:val="auto"/>
              </w:rPr>
              <w:t>3.25% D-17 Cumulative Redeemable</w:t>
            </w:r>
            <w:r>
              <w:rPr>
                <w:rFonts w:ascii="Times New Roman" w:cs="Times New Roman" w:eastAsia="Times New Roman" w:hAnsi="Times New Roman"/>
                <w:sz w:val="18"/>
                <w:szCs w:val="18"/>
                <w:b w:val="1"/>
                <w:bCs w:val="1"/>
                <w:color w:val="auto"/>
                <w:vertAlign w:val="superscript"/>
              </w:rPr>
              <w:t>(2)</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141,400</w:t>
            </w: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141,400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0.8125</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6" w:lineRule="exact"/>
        <w:rPr>
          <w:sz w:val="20"/>
          <w:szCs w:val="20"/>
          <w:color w:val="auto"/>
        </w:rPr>
      </w:pPr>
    </w:p>
    <w:p>
      <w:pPr>
        <w:ind w:left="320" w:hanging="315"/>
        <w:spacing w:after="0"/>
        <w:tabs>
          <w:tab w:leader="none" w:pos="320" w:val="left"/>
        </w:tabs>
        <w:numPr>
          <w:ilvl w:val="0"/>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Balance reflects the redemption value which is based on Vornado’s quarter-end closing common share price.</w:t>
      </w:r>
    </w:p>
    <w:p>
      <w:pPr>
        <w:ind w:left="320" w:hanging="315"/>
        <w:spacing w:after="0" w:line="261" w:lineRule="auto"/>
        <w:tabs>
          <w:tab w:leader="none" w:pos="312" w:val="left"/>
        </w:tabs>
        <w:numPr>
          <w:ilvl w:val="0"/>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Holders may tender units for redemption to the Operating Partnership for cash at their stated redemption amount; Vornado, at its option, may assume that obligation and pay the holders either cash or Vornado preferred shares on a one-for-one basis. These units are redeemable at Vornado's option at any time.</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table summarizing the activity of redeemable noncontrolling partnership units.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40" w:type="dxa"/>
            <w:vAlign w:val="bottom"/>
          </w:tcPr>
          <w:p>
            <w:pPr>
              <w:spacing w:after="0"/>
              <w:rPr>
                <w:sz w:val="16"/>
                <w:szCs w:val="16"/>
                <w:color w:val="auto"/>
              </w:rPr>
            </w:pPr>
          </w:p>
        </w:tc>
        <w:tc>
          <w:tcPr>
            <w:tcW w:w="290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80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483,786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348,692</w:t>
            </w:r>
          </w:p>
        </w:tc>
      </w:tr>
      <w:tr>
        <w:trPr>
          <w:trHeight w:val="189"/>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3,361</w:t>
            </w:r>
          </w:p>
        </w:tc>
      </w:tr>
      <w:tr>
        <w:trPr>
          <w:trHeight w:val="20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(9,340)</w:t>
            </w:r>
          </w:p>
        </w:tc>
      </w:tr>
      <w:tr>
        <w:trPr>
          <w:trHeight w:val="189"/>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(10,783)</w:t>
            </w:r>
          </w:p>
        </w:tc>
      </w:tr>
      <w:tr>
        <w:trPr>
          <w:trHeight w:val="20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Redemption of Class A units for Vornado common shares, at redemption value</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(8,489)</w:t>
            </w:r>
          </w:p>
        </w:tc>
      </w:tr>
      <w:tr>
        <w:trPr>
          <w:trHeight w:val="189"/>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Class A unit measurement adjustment</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226,586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138,114</w:t>
            </w:r>
          </w:p>
        </w:tc>
      </w:tr>
      <w:tr>
        <w:trPr>
          <w:trHeight w:val="197"/>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30,014</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22,231</w:t>
            </w:r>
          </w:p>
        </w:tc>
      </w:tr>
      <w:tr>
        <w:trPr>
          <w:trHeight w:val="196"/>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711,943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483,786</w:t>
            </w: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Redeemable noncontrolling partnership units exclude our Series G-1 through G-4 convertible preferred units and Series D-13 cumulative redeemable preferred units, as they are accounted for as liabilities in accordance with ASC Topic 480, Distinguishing Liabilities and Equity. Accordingly, the fair value of these units is included as a component of "other liabilities" on our consolidated balance sheets and aggregated $49,684,000 and $49,386,000 as of December 31, 2024 and 2023, respectively. Changes in the value from period-to-period, if any, are charged to “interest and debt expense” on our consolidated statements of income.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Redeemable Noncontrolling Interest in a Consolidated Subsidiary</w:t>
      </w:r>
    </w:p>
    <w:p>
      <w:pPr>
        <w:spacing w:after="0" w:line="68"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A consolidated joint venture in which we own a 95% interest, developed and owns the Farley Building (the "Farley Project"). As of December 31, 2024, a historic tax credit investor (the "Tax Credit Investor") has funded $208,407,000 of capital contributions to the Farley Project in connection with the development.</w:t>
      </w:r>
    </w:p>
    <w:p>
      <w:pPr>
        <w:spacing w:after="0" w:line="210"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color w:val="auto"/>
        </w:rPr>
        <w:t>The arrangement includes a put option whereby the joint venture may be obligated to purchase the Tax Credit Investor’s ownership interest in the Farley Project at a future date. The put price is calculated based on a pre-determined formula. As exercise of the put option is outside of the joint venture’s control, the Tax Credit Investor’s interest, together with the put option, have been recorded to “redeemable noncontrolling interest in a consolidated subsidiary” on our consolidated balance sheets. The redeemable noncontrolling interest is recorded at the greater of the carrying amount or redemption value at the end of each reporting period. Changes in the value from period-to-period are charged to “additional capital” in Vornado’s consolidated statements of changes in equity and to “partners’ capital” on the consolidated balance sheets of the Operating Partnership. There was no adjustment required for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94" w:name="page95"/>
    <w:bookmarkEnd w:id="94"/>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Redeemable Noncontrolling Interests - continued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Redeemable Noncontrolling Interest in a Consolidated Subsidiary - continued</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table summarizing the activity of the redeemable noncontrolling interest in a consolidated subsidiary.</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3"/>
        </w:trPr>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0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154,662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88,040</w:t>
            </w:r>
          </w:p>
        </w:tc>
        <w:tc>
          <w:tcPr>
            <w:tcW w:w="0" w:type="dxa"/>
            <w:vAlign w:val="bottom"/>
          </w:tcPr>
          <w:p>
            <w:pPr>
              <w:spacing w:after="0"/>
              <w:rPr>
                <w:sz w:val="1"/>
                <w:szCs w:val="1"/>
                <w:color w:val="auto"/>
              </w:rPr>
            </w:pPr>
          </w:p>
        </w:tc>
      </w:tr>
      <w:tr>
        <w:trPr>
          <w:trHeight w:val="189"/>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(39,385)</w:t>
            </w:r>
          </w:p>
        </w:tc>
        <w:tc>
          <w:tcPr>
            <w:tcW w:w="0" w:type="dxa"/>
            <w:vAlign w:val="bottom"/>
          </w:tcPr>
          <w:p>
            <w:pPr>
              <w:spacing w:after="0"/>
              <w:rPr>
                <w:sz w:val="1"/>
                <w:szCs w:val="1"/>
                <w:color w:val="auto"/>
              </w:rPr>
            </w:pPr>
          </w:p>
        </w:tc>
      </w:tr>
      <w:tr>
        <w:trPr>
          <w:trHeight w:val="20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(6,661)</w:t>
            </w:r>
          </w:p>
        </w:tc>
        <w:tc>
          <w:tcPr>
            <w:tcW w:w="0" w:type="dxa"/>
            <w:vAlign w:val="bottom"/>
          </w:tcPr>
          <w:p>
            <w:pPr>
              <w:spacing w:after="0"/>
              <w:rPr>
                <w:sz w:val="1"/>
                <w:szCs w:val="1"/>
                <w:color w:val="auto"/>
              </w:rPr>
            </w:pPr>
          </w:p>
        </w:tc>
      </w:tr>
      <w:tr>
        <w:trPr>
          <w:trHeight w:val="19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Contributions</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112,668</w:t>
            </w:r>
          </w:p>
        </w:tc>
        <w:tc>
          <w:tcPr>
            <w:tcW w:w="0" w:type="dxa"/>
            <w:vAlign w:val="bottom"/>
          </w:tcPr>
          <w:p>
            <w:pPr>
              <w:spacing w:after="0"/>
              <w:rPr>
                <w:sz w:val="1"/>
                <w:szCs w:val="1"/>
                <w:color w:val="auto"/>
              </w:rPr>
            </w:pPr>
          </w:p>
        </w:tc>
      </w:tr>
      <w:tr>
        <w:trPr>
          <w:trHeight w:val="221"/>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122,715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154,662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7880" w:firstLine="5"/>
        <w:spacing w:after="0" w:line="322" w:lineRule="auto"/>
        <w:tabs>
          <w:tab w:leader="none" w:pos="436"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Shareholders' Equity/Partners' Capital </w:t>
      </w:r>
      <w:r>
        <w:rPr>
          <w:rFonts w:ascii="Times New Roman" w:cs="Times New Roman" w:eastAsia="Times New Roman" w:hAnsi="Times New Roman"/>
          <w:sz w:val="17"/>
          <w:szCs w:val="17"/>
          <w:i w:val="1"/>
          <w:iCs w:val="1"/>
          <w:color w:val="auto"/>
        </w:rPr>
        <w:t>Common Shares (Vornado Realty Trust)</w:t>
      </w:r>
    </w:p>
    <w:p>
      <w:pPr>
        <w:spacing w:after="0" w:line="1" w:lineRule="exact"/>
        <w:rPr>
          <w:sz w:val="20"/>
          <w:szCs w:val="20"/>
          <w:color w:val="auto"/>
        </w:rPr>
      </w:pPr>
    </w:p>
    <w:p>
      <w:pPr>
        <w:jc w:val="both"/>
        <w:ind w:firstLine="314"/>
        <w:spacing w:after="0" w:line="288" w:lineRule="auto"/>
        <w:rPr>
          <w:sz w:val="20"/>
          <w:szCs w:val="20"/>
          <w:color w:val="auto"/>
        </w:rPr>
      </w:pPr>
      <w:r>
        <w:rPr>
          <w:rFonts w:ascii="Times New Roman" w:cs="Times New Roman" w:eastAsia="Times New Roman" w:hAnsi="Times New Roman"/>
          <w:sz w:val="17"/>
          <w:szCs w:val="17"/>
          <w:color w:val="auto"/>
        </w:rPr>
        <w:t>As of December 31, 2024, there were 190,846,580 common shares outstanding. During 2024, we paid an aggregate of $141,103,000 of common dividends at an annual rate of $0.74 per share.</w:t>
      </w:r>
    </w:p>
    <w:p>
      <w:pPr>
        <w:spacing w:after="0"/>
        <w:rPr>
          <w:sz w:val="20"/>
          <w:szCs w:val="20"/>
          <w:color w:val="auto"/>
        </w:rPr>
      </w:pPr>
      <w:r>
        <w:rPr>
          <w:rFonts w:ascii="Times New Roman" w:cs="Times New Roman" w:eastAsia="Times New Roman" w:hAnsi="Times New Roman"/>
          <w:sz w:val="17"/>
          <w:szCs w:val="17"/>
          <w:i w:val="1"/>
          <w:iCs w:val="1"/>
          <w:color w:val="auto"/>
        </w:rPr>
        <w:t>Class A Units (Vornado Realty L.P.)</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 xml:space="preserve">As of December 31, 2024, there were 190,846,580 Class A units outstanding that were held by Vornado. These units are classified as “partners’ capital” on the consolidated balance sheets of the Operating Partnership. As of December 31, 2024, there were 16,850,803 Class A units outstanding, that were held by third parties. These units are classified outside of “partners’ capital” as “redeemable partnership units” on the consolidated balance sheets of the Operating Partnership (see Note 9 – </w:t>
      </w:r>
      <w:r>
        <w:rPr>
          <w:rFonts w:ascii="Times New Roman" w:cs="Times New Roman" w:eastAsia="Times New Roman" w:hAnsi="Times New Roman"/>
          <w:sz w:val="17"/>
          <w:szCs w:val="17"/>
          <w:i w:val="1"/>
          <w:iCs w:val="1"/>
          <w:color w:val="auto"/>
        </w:rPr>
        <w:t>Redeemable Noncontrolling Interests</w:t>
      </w:r>
      <w:r>
        <w:rPr>
          <w:rFonts w:ascii="Times New Roman" w:cs="Times New Roman" w:eastAsia="Times New Roman" w:hAnsi="Times New Roman"/>
          <w:sz w:val="17"/>
          <w:szCs w:val="17"/>
          <w:color w:val="auto"/>
        </w:rPr>
        <w:t>). During 2024, the Operating Partnership paid an aggregate of $141,103,000 of distributions to Vornado at an annual rate of $0.74 per unit.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Repurchase Program</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In April 2023, our Board of Trustees authorized a share repurchase plan under which Vornado is authorized to repurchase up to $200,000,000 of its outstanding common shares. To the extent Vornado repurchases any of its common shares, in order to fund the common share repurchase and maintain the one-to-one ratio of the number of Vornado common shares outstanding and the number of Class A units owned by Vornado, the Operating Partnership will repurchase from Vornado an equal number of its Class A units at the same price.</w:t>
      </w:r>
    </w:p>
    <w:p>
      <w:pPr>
        <w:spacing w:after="0" w:line="1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Share repurchases may be made from time to time in the open market, through privately negotiated transactions or through other means as permitted by federal securities laws, including through block trades, accelerated share repurchase transactions and/or trading plans intended to qualify under Rule 10b5-1. The timing, manner, price and amount of any repurchases will be determined in Vornado’s discretion depending on business, economic and market conditions, corporate and regulatory requirements, prevailing prices for Vornado’s common shares, alternative uses for capital and other considerations. The program does not have an expiration date and may be suspended or discontinued at any time and does not obligate Vornado to make any repurchases of its common shares.</w:t>
      </w:r>
    </w:p>
    <w:p>
      <w:pPr>
        <w:spacing w:after="0" w:line="13"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During the year ended December 31, 2024, no shares were repurchased. In total, Vornado has repurchased 2,024,495 common shares for $29,143,000 at an average price per share of $14.40. As of December 31, 2024, $170,857,000 remained available and authorized for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95" w:name="page96"/>
    <w:bookmarkEnd w:id="95"/>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ind w:right="7000" w:firstLine="5"/>
        <w:spacing w:after="0" w:line="322" w:lineRule="auto"/>
        <w:tabs>
          <w:tab w:leader="none" w:pos="436"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Shareholders' Equity/Partners' Capital - continued </w:t>
      </w:r>
      <w:r>
        <w:rPr>
          <w:rFonts w:ascii="Times New Roman" w:cs="Times New Roman" w:eastAsia="Times New Roman" w:hAnsi="Times New Roman"/>
          <w:sz w:val="17"/>
          <w:szCs w:val="17"/>
          <w:i w:val="1"/>
          <w:iCs w:val="1"/>
          <w:color w:val="auto"/>
        </w:rPr>
        <w:t>Preferred Shares/Units</w:t>
      </w:r>
    </w:p>
    <w:p>
      <w:pPr>
        <w:spacing w:after="0" w:line="1"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The following table sets forth the details of our preferred shares of beneficial interest and the preferred units of the Operating Partnership outstanding as of December 31, 2024 and 2023. During 2024, we paid $62,112,000 in preferred dividends.</w:t>
      </w:r>
    </w:p>
    <w:p>
      <w:pPr>
        <w:spacing w:after="0" w:line="64" w:lineRule="exact"/>
        <w:rPr>
          <w:sz w:val="20"/>
          <w:szCs w:val="20"/>
          <w:color w:val="auto"/>
        </w:rPr>
      </w:pPr>
    </w:p>
    <w:tbl>
      <w:tblPr>
        <w:tblLayout w:type="fixed"/>
        <w:tblInd w:w="160" w:type="dxa"/>
        <w:tblCellMar>
          <w:top w:w="0" w:type="dxa"/>
          <w:left w:w="0" w:type="dxa"/>
          <w:bottom w:w="0" w:type="dxa"/>
          <w:right w:w="0" w:type="dxa"/>
        </w:tblCellMar>
      </w:tblPr>
      <w:tr>
        <w:trPr>
          <w:trHeight w:val="182"/>
        </w:trPr>
        <w:tc>
          <w:tcPr>
            <w:tcW w:w="6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(Amounts in thousands, except share/unit and per share/per unit amounts)</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Per Share/Unit</w:t>
            </w:r>
          </w:p>
        </w:tc>
        <w:tc>
          <w:tcPr>
            <w:tcW w:w="0" w:type="dxa"/>
            <w:vAlign w:val="bottom"/>
          </w:tcPr>
          <w:p>
            <w:pPr>
              <w:spacing w:after="0"/>
              <w:rPr>
                <w:sz w:val="1"/>
                <w:szCs w:val="1"/>
                <w:color w:val="auto"/>
              </w:rPr>
            </w:pPr>
          </w:p>
        </w:tc>
      </w:tr>
      <w:tr>
        <w:trPr>
          <w:trHeight w:val="23"/>
        </w:trPr>
        <w:tc>
          <w:tcPr>
            <w:tcW w:w="8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8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4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Shares/Units</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Liquidation</w:t>
            </w: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50"/>
              <w:spacing w:after="0" w:line="124" w:lineRule="exact"/>
              <w:rPr>
                <w:sz w:val="20"/>
                <w:szCs w:val="20"/>
                <w:color w:val="auto"/>
              </w:rPr>
            </w:pPr>
            <w:r>
              <w:rPr>
                <w:rFonts w:ascii="Times New Roman" w:cs="Times New Roman" w:eastAsia="Times New Roman" w:hAnsi="Times New Roman"/>
                <w:sz w:val="14"/>
                <w:szCs w:val="14"/>
                <w:b w:val="1"/>
                <w:bCs w:val="1"/>
                <w:color w:val="auto"/>
                <w:w w:val="99"/>
              </w:rPr>
              <w:t>Annual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554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Preferred Shares/Units</w:t>
            </w:r>
          </w:p>
        </w:tc>
        <w:tc>
          <w:tcPr>
            <w:tcW w:w="1160" w:type="dxa"/>
            <w:vAlign w:val="bottom"/>
            <w:gridSpan w:val="3"/>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Dividend/</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5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Preference</w:t>
            </w:r>
          </w:p>
        </w:tc>
        <w:tc>
          <w:tcPr>
            <w:tcW w:w="100" w:type="dxa"/>
            <w:vAlign w:val="bottom"/>
          </w:tcPr>
          <w:p>
            <w:pPr>
              <w:spacing w:after="0"/>
              <w:rPr>
                <w:sz w:val="17"/>
                <w:szCs w:val="17"/>
                <w:color w:val="auto"/>
              </w:rPr>
            </w:pPr>
          </w:p>
        </w:tc>
        <w:tc>
          <w:tcPr>
            <w:tcW w:w="110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4"/>
                <w:szCs w:val="14"/>
                <w:b w:val="1"/>
                <w:bCs w:val="1"/>
                <w:color w:val="auto"/>
                <w:w w:val="96"/>
              </w:rPr>
              <w:t>Distribution</w:t>
            </w:r>
            <w:r>
              <w:rPr>
                <w:rFonts w:ascii="Times New Roman" w:cs="Times New Roman" w:eastAsia="Times New Roman" w:hAnsi="Times New Roman"/>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183"/>
        </w:trPr>
        <w:tc>
          <w:tcPr>
            <w:tcW w:w="62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Convertible Preferred:</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360" w:type="dxa"/>
            <w:vAlign w:val="bottom"/>
            <w:gridSpan w:val="3"/>
            <w:shd w:val="clear" w:color="auto" w:fill="CCEEFF"/>
          </w:tcPr>
          <w:p>
            <w:pPr>
              <w:ind w:left="440"/>
              <w:spacing w:after="0" w:line="203" w:lineRule="exact"/>
              <w:rPr>
                <w:sz w:val="20"/>
                <w:szCs w:val="20"/>
                <w:color w:val="auto"/>
              </w:rPr>
            </w:pPr>
            <w:r>
              <w:rPr>
                <w:rFonts w:ascii="Times New Roman" w:cs="Times New Roman" w:eastAsia="Times New Roman" w:hAnsi="Times New Roman"/>
                <w:sz w:val="14"/>
                <w:szCs w:val="14"/>
                <w:color w:val="auto"/>
              </w:rPr>
              <w:t>6.5% Series A: authorized 12,902 shares/units</w:t>
            </w:r>
            <w:r>
              <w:rPr>
                <w:rFonts w:ascii="Times New Roman" w:cs="Times New Roman" w:eastAsia="Times New Roman" w:hAnsi="Times New Roman"/>
                <w:sz w:val="18"/>
                <w:szCs w:val="18"/>
                <w:b w:val="1"/>
                <w:bCs w:val="1"/>
                <w:color w:val="auto"/>
                <w:vertAlign w:val="superscript"/>
              </w:rPr>
              <w:t>(2)</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4"/>
                <w:szCs w:val="14"/>
                <w:color w:val="auto"/>
              </w:rPr>
              <w:t>Cumulative Redeemable Preferred</w:t>
            </w:r>
            <w:r>
              <w:rPr>
                <w:rFonts w:ascii="Times New Roman" w:cs="Times New Roman" w:eastAsia="Times New Roman" w:hAnsi="Times New Roman"/>
                <w:sz w:val="18"/>
                <w:szCs w:val="18"/>
                <w:b w:val="1"/>
                <w:bCs w:val="1"/>
                <w:color w:val="auto"/>
                <w:vertAlign w:val="superscript"/>
              </w:rPr>
              <w:t>(3)</w:t>
            </w: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9"/>
              </w:rPr>
              <w:t>5.40%</w:t>
            </w:r>
          </w:p>
        </w:tc>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L: authorized 13,800,000 shares/units</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290,306</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2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9"/>
              </w:rPr>
              <w:t>5.25%</w:t>
            </w: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Series M: authorized 13,800,000 shares/units</w:t>
            </w:r>
          </w:p>
        </w:tc>
        <w:tc>
          <w:tcPr>
            <w:tcW w:w="26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308,946</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12,780,000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9"/>
              </w:rPr>
              <w:t>5.25%</w:t>
            </w:r>
          </w:p>
        </w:tc>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N: authorized 12,000,000 shares/units</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291,134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w w:val="99"/>
              </w:rPr>
              <w:t>4.45%</w:t>
            </w:r>
          </w:p>
        </w:tc>
        <w:tc>
          <w:tcPr>
            <w:tcW w:w="5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Series O: authorized 12,000,000 shares/units</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291,153</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12,000,000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1.1125</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20" w:type="dxa"/>
            <w:vAlign w:val="bottom"/>
            <w:tcBorders>
              <w:bottom w:val="single" w:sz="8" w:color="CCEEFF"/>
            </w:tcBorders>
            <w:shd w:val="clear" w:color="auto" w:fill="CCEEFF"/>
          </w:tcPr>
          <w:p>
            <w:pPr>
              <w:spacing w:after="0"/>
              <w:rPr>
                <w:sz w:val="18"/>
                <w:szCs w:val="18"/>
                <w:color w:val="auto"/>
              </w:rPr>
            </w:pPr>
          </w:p>
        </w:tc>
        <w:tc>
          <w:tcPr>
            <w:tcW w:w="5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1,182,364</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48,789,180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22" w:lineRule="exact"/>
        <w:rPr>
          <w:sz w:val="20"/>
          <w:szCs w:val="20"/>
          <w:color w:val="auto"/>
        </w:rPr>
      </w:pPr>
    </w:p>
    <w:p>
      <w:pPr>
        <w:ind w:left="320" w:hanging="315"/>
        <w:spacing w:after="0"/>
        <w:tabs>
          <w:tab w:leader="none" w:pos="320"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Dividends on preferred shares and distributions on preferred units are cumulative and are payable quarterly in arrears.</w:t>
      </w:r>
    </w:p>
    <w:p>
      <w:pPr>
        <w:spacing w:after="0" w:line="6" w:lineRule="exact"/>
        <w:rPr>
          <w:rFonts w:ascii="Times New Roman" w:cs="Times New Roman" w:eastAsia="Times New Roman" w:hAnsi="Times New Roman"/>
          <w:sz w:val="14"/>
          <w:szCs w:val="14"/>
          <w:b w:val="1"/>
          <w:bCs w:val="1"/>
          <w:color w:val="auto"/>
        </w:rPr>
      </w:pPr>
    </w:p>
    <w:p>
      <w:pPr>
        <w:ind w:left="320" w:hanging="315"/>
        <w:spacing w:after="0" w:line="246" w:lineRule="auto"/>
        <w:tabs>
          <w:tab w:leader="none" w:pos="312"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Redeemable at the option of Vornado under certain circumstances, at a redemption price of 1.9531 common shares/Class A units per Series A preferred share/unit plus accrued and unpaid dividends/distributions through the date of redemption, or convertible at any time at the option of the holder for 1.9531 common shares/Class A units per Series A preferred share/unit.</w:t>
      </w:r>
    </w:p>
    <w:p>
      <w:pPr>
        <w:spacing w:after="0" w:line="1" w:lineRule="exact"/>
        <w:rPr>
          <w:rFonts w:ascii="Times New Roman" w:cs="Times New Roman" w:eastAsia="Times New Roman" w:hAnsi="Times New Roman"/>
          <w:sz w:val="14"/>
          <w:szCs w:val="14"/>
          <w:b w:val="1"/>
          <w:bCs w:val="1"/>
          <w:color w:val="auto"/>
        </w:rPr>
      </w:pPr>
    </w:p>
    <w:p>
      <w:pPr>
        <w:jc w:val="both"/>
        <w:ind w:left="320" w:hanging="315"/>
        <w:spacing w:after="0" w:line="257" w:lineRule="auto"/>
        <w:tabs>
          <w:tab w:leader="none" w:pos="312"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Series L and Series M preferred shares/units are redeemable at Vornado's option at a redemption price of $25.00 per share/unit, plus accrued and unpaid dividends/distributions through the date of redemption. Series N preferred shares/units are redeemable commencing November 2025 and Series O preferred shares/units are redeemable commencing September 2026, each at a redemption price of $25.00 per share/unit.</w:t>
      </w:r>
    </w:p>
    <w:p>
      <w:pPr>
        <w:spacing w:after="0" w:line="32" w:lineRule="exact"/>
        <w:rPr>
          <w:sz w:val="20"/>
          <w:szCs w:val="20"/>
          <w:color w:val="auto"/>
        </w:rPr>
      </w:pPr>
    </w:p>
    <w:p>
      <w:pPr>
        <w:ind w:left="440" w:hanging="435"/>
        <w:spacing w:after="0"/>
        <w:tabs>
          <w:tab w:leader="none" w:pos="44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Vornado’s 2023 Omnibus Share Plan (the “Plan”) provides the Compensation Committee of Vornado’s Board of Trustees (the “Compensation Committee”) the ability to grant incentive and non-qualified Vornado stock options, restricted Vornado common shares, restricted Operating Partnership units (“LTIP Units”), out-performance plan awards (“OPP Units”), appreciation-only long-term incentive plan units (“AO LTIP Units”), performance conditioned appreciation-only long-term incentive plan units (“Performance AO LTIP Units”), and long-term performance plan units (“LTPP Units”) to certain of our employees and officers.</w:t>
      </w:r>
    </w:p>
    <w:p>
      <w:pPr>
        <w:spacing w:after="0" w:line="1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Under the Plan, awards may be granted up to a maximum 10,800,000 shares, if all awards granted are Full Value awards, as defined in the Plan, and up to 21,600,000 shares, if all of the awards granted are Not Full Value Awards, as defined in the Plan. Full Value Awards are securities that have a value equivalent to the underlying Vornado common share or Class A unit of the Operating Partnership, such as restricted Vornado common shares or LTIP Units. Vornado stock options, AO LTIP Units and Performance AO LTIP Units are Not Full Value Awards; these securities require the payment of an exercise price. As of December 31, 2024, Vornado has approximately 1,261,000 shares available for future grants under the Plan, if all awards granted are Full Value Awards, as defined.</w:t>
      </w:r>
    </w:p>
    <w:p>
      <w:pPr>
        <w:spacing w:after="0" w:line="13"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We account for forfeitures as they occur and any previously recognized compensation cost is reversed in the period that an award is forfeited. Below is a summary of our stock-based compensation expense, a component of "general and administrative" expense on our consolidated statements of income.</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(Amounts in thousands)</w:t>
            </w:r>
          </w:p>
        </w:tc>
        <w:tc>
          <w:tcPr>
            <w:tcW w:w="780" w:type="dxa"/>
            <w:vAlign w:val="bottom"/>
          </w:tcPr>
          <w:p>
            <w:pPr>
              <w:spacing w:after="0"/>
              <w:rPr>
                <w:sz w:val="16"/>
                <w:szCs w:val="16"/>
                <w:color w:val="auto"/>
              </w:rPr>
            </w:pPr>
          </w:p>
        </w:tc>
        <w:tc>
          <w:tcPr>
            <w:tcW w:w="230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80" w:type="dxa"/>
            <w:vAlign w:val="bottom"/>
          </w:tcPr>
          <w:p>
            <w:pPr>
              <w:spacing w:after="0"/>
              <w:rPr>
                <w:sz w:val="16"/>
                <w:szCs w:val="16"/>
                <w:color w:val="auto"/>
              </w:rPr>
            </w:pPr>
          </w:p>
        </w:tc>
      </w:tr>
      <w:tr>
        <w:trPr>
          <w:trHeight w:val="23"/>
        </w:trPr>
        <w:tc>
          <w:tcPr>
            <w:tcW w:w="72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72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LTIP Units</w:t>
            </w:r>
          </w:p>
        </w:tc>
        <w:tc>
          <w:tcPr>
            <w:tcW w:w="7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98"/>
              </w:rPr>
              <w:t>14,044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21,086</w:t>
            </w:r>
          </w:p>
        </w:tc>
      </w:tr>
      <w:tr>
        <w:trPr>
          <w:trHeight w:val="189"/>
        </w:trPr>
        <w:tc>
          <w:tcPr>
            <w:tcW w:w="7240" w:type="dxa"/>
            <w:vAlign w:val="bottom"/>
          </w:tcPr>
          <w:p>
            <w:pPr>
              <w:spacing w:after="0"/>
              <w:rPr>
                <w:sz w:val="20"/>
                <w:szCs w:val="20"/>
                <w:color w:val="auto"/>
              </w:rPr>
            </w:pPr>
            <w:r>
              <w:rPr>
                <w:rFonts w:ascii="Times New Roman" w:cs="Times New Roman" w:eastAsia="Times New Roman" w:hAnsi="Times New Roman"/>
                <w:sz w:val="14"/>
                <w:szCs w:val="14"/>
                <w:color w:val="auto"/>
              </w:rPr>
              <w:t>Performance AO LTIP Units</w:t>
            </w:r>
          </w:p>
        </w:tc>
        <w:tc>
          <w:tcPr>
            <w:tcW w:w="780" w:type="dxa"/>
            <w:vAlign w:val="bottom"/>
          </w:tcPr>
          <w:p>
            <w:pPr>
              <w:spacing w:after="0"/>
              <w:rPr>
                <w:sz w:val="16"/>
                <w:szCs w:val="16"/>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98"/>
              </w:rPr>
              <w:t>12,774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94</w:t>
            </w:r>
          </w:p>
        </w:tc>
      </w:tr>
      <w:tr>
        <w:trPr>
          <w:trHeight w:val="204"/>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LTPP Units</w:t>
            </w: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5,145</w:t>
            </w:r>
          </w:p>
        </w:tc>
      </w:tr>
      <w:tr>
        <w:trPr>
          <w:trHeight w:val="189"/>
        </w:trPr>
        <w:tc>
          <w:tcPr>
            <w:tcW w:w="7240" w:type="dxa"/>
            <w:vAlign w:val="bottom"/>
          </w:tcPr>
          <w:p>
            <w:pPr>
              <w:spacing w:after="0"/>
              <w:rPr>
                <w:sz w:val="20"/>
                <w:szCs w:val="20"/>
                <w:color w:val="auto"/>
              </w:rPr>
            </w:pPr>
            <w:r>
              <w:rPr>
                <w:rFonts w:ascii="Times New Roman" w:cs="Times New Roman" w:eastAsia="Times New Roman" w:hAnsi="Times New Roman"/>
                <w:sz w:val="14"/>
                <w:szCs w:val="14"/>
                <w:color w:val="auto"/>
              </w:rPr>
              <w:t>OPP Units</w:t>
            </w:r>
          </w:p>
        </w:tc>
        <w:tc>
          <w:tcPr>
            <w:tcW w:w="780" w:type="dxa"/>
            <w:vAlign w:val="bottom"/>
          </w:tcPr>
          <w:p>
            <w:pPr>
              <w:spacing w:after="0"/>
              <w:rPr>
                <w:sz w:val="16"/>
                <w:szCs w:val="16"/>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1,906</w:t>
            </w:r>
          </w:p>
        </w:tc>
      </w:tr>
      <w:tr>
        <w:trPr>
          <w:trHeight w:val="204"/>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Vornado stock options</w:t>
            </w: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296</w:t>
            </w:r>
          </w:p>
        </w:tc>
      </w:tr>
      <w:tr>
        <w:trPr>
          <w:trHeight w:val="189"/>
        </w:trPr>
        <w:tc>
          <w:tcPr>
            <w:tcW w:w="7240" w:type="dxa"/>
            <w:vAlign w:val="bottom"/>
          </w:tcPr>
          <w:p>
            <w:pPr>
              <w:spacing w:after="0"/>
              <w:rPr>
                <w:sz w:val="20"/>
                <w:szCs w:val="20"/>
                <w:color w:val="auto"/>
              </w:rPr>
            </w:pPr>
            <w:r>
              <w:rPr>
                <w:rFonts w:ascii="Times New Roman" w:cs="Times New Roman" w:eastAsia="Times New Roman" w:hAnsi="Times New Roman"/>
                <w:sz w:val="14"/>
                <w:szCs w:val="14"/>
                <w:color w:val="auto"/>
              </w:rPr>
              <w:t>Vornado restricted stock</w:t>
            </w:r>
          </w:p>
        </w:tc>
        <w:tc>
          <w:tcPr>
            <w:tcW w:w="7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292</w:t>
            </w:r>
          </w:p>
        </w:tc>
      </w:tr>
      <w:tr>
        <w:trPr>
          <w:trHeight w:val="197"/>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AO LTIP Units</w:t>
            </w: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430</w:t>
            </w:r>
          </w:p>
        </w:tc>
      </w:tr>
      <w:tr>
        <w:trPr>
          <w:trHeight w:val="190"/>
        </w:trPr>
        <w:tc>
          <w:tcPr>
            <w:tcW w:w="724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98"/>
              </w:rPr>
              <w:t>30,172</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43,201</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29,249</w:t>
            </w:r>
          </w:p>
        </w:tc>
      </w:tr>
      <w:tr>
        <w:trPr>
          <w:trHeight w:val="26"/>
        </w:trPr>
        <w:tc>
          <w:tcPr>
            <w:tcW w:w="72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96" w:name="page97"/>
    <w:bookmarkEnd w:id="96"/>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ind w:left="440" w:hanging="435"/>
        <w:spacing w:after="0"/>
        <w:tabs>
          <w:tab w:leader="none" w:pos="440"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 - continued</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summary of unrecognized stock-based compensation expense as of December 31, 2024.</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As of December 31, 2024</w:t>
            </w:r>
          </w:p>
        </w:tc>
        <w:tc>
          <w:tcPr>
            <w:tcW w:w="100" w:type="dxa"/>
            <w:vAlign w:val="bottom"/>
          </w:tcPr>
          <w:p>
            <w:pPr>
              <w:spacing w:after="0"/>
              <w:rPr>
                <w:sz w:val="12"/>
                <w:szCs w:val="12"/>
                <w:color w:val="auto"/>
              </w:rPr>
            </w:pPr>
          </w:p>
        </w:tc>
        <w:tc>
          <w:tcPr>
            <w:tcW w:w="17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Remaining Amortization</w:t>
            </w:r>
          </w:p>
        </w:tc>
        <w:tc>
          <w:tcPr>
            <w:tcW w:w="0" w:type="dxa"/>
            <w:vAlign w:val="bottom"/>
          </w:tcPr>
          <w:p>
            <w:pPr>
              <w:spacing w:after="0"/>
              <w:rPr>
                <w:sz w:val="1"/>
                <w:szCs w:val="1"/>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Period</w:t>
            </w:r>
          </w:p>
        </w:tc>
        <w:tc>
          <w:tcPr>
            <w:tcW w:w="0" w:type="dxa"/>
            <w:vAlign w:val="bottom"/>
          </w:tcPr>
          <w:p>
            <w:pPr>
              <w:spacing w:after="0"/>
              <w:rPr>
                <w:sz w:val="1"/>
                <w:szCs w:val="1"/>
                <w:color w:val="auto"/>
              </w:rPr>
            </w:pPr>
          </w:p>
        </w:tc>
      </w:tr>
      <w:tr>
        <w:trPr>
          <w:trHeight w:val="19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AO LTIP Units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24,342</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9"/>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LTIP Units</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4"/>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LTPP Units</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0"/>
        </w:trPr>
        <w:tc>
          <w:tcPr>
            <w:tcW w:w="7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OPP Units</w:t>
            </w: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8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21"/>
        </w:trPr>
        <w:tc>
          <w:tcPr>
            <w:tcW w:w="7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44,691</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LTPP Units</w:t>
      </w:r>
    </w:p>
    <w:p>
      <w:pPr>
        <w:spacing w:after="0" w:line="68"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LTPP Units are multi-year, LTIP units-based performance equity compensation plans. Awards granted under the LTPP are bifurcated between operational performance (50%) and relative performance (50%) measurements and may be earned at specified threshold, target and maximum levels.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operational component awards may be earned based on Vornado’s operational performance in the following categories:</w:t>
      </w:r>
    </w:p>
    <w:p>
      <w:pPr>
        <w:spacing w:after="0" w:line="66" w:lineRule="exact"/>
        <w:rPr>
          <w:sz w:val="20"/>
          <w:szCs w:val="20"/>
          <w:color w:val="auto"/>
        </w:rPr>
      </w:pPr>
    </w:p>
    <w:p>
      <w:pPr>
        <w:ind w:left="620" w:hanging="301"/>
        <w:spacing w:after="0"/>
        <w:tabs>
          <w:tab w:leader="none" w:pos="6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FFO, as adjusted per share (75% weighting); and</w:t>
      </w:r>
    </w:p>
    <w:p>
      <w:pPr>
        <w:spacing w:after="0" w:line="66" w:lineRule="exact"/>
        <w:rPr>
          <w:rFonts w:ascii="Times New Roman" w:cs="Times New Roman" w:eastAsia="Times New Roman" w:hAnsi="Times New Roman"/>
          <w:sz w:val="17"/>
          <w:szCs w:val="17"/>
          <w:color w:val="auto"/>
        </w:rPr>
      </w:pPr>
    </w:p>
    <w:p>
      <w:pPr>
        <w:ind w:left="640" w:hanging="321"/>
        <w:spacing w:after="0" w:line="289" w:lineRule="auto"/>
        <w:tabs>
          <w:tab w:leader="none" w:pos="63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Sustainability performance metrics consisting of greenhouse emissions reductions, GRESB score and Green Building Certification (LEED) achievements (aggregate 25% weighting).</w:t>
      </w:r>
    </w:p>
    <w:p>
      <w:pPr>
        <w:spacing w:after="0" w:line="1"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Any LTPP award units tentatively earned based on Vornado’s operational performance are subject to an absolute return modifier pursuant to which such award units are subject to a potential reduction (but not increase) of up to 30% if Vornado’s three-year total shareholder return (“TSR”) is below specified levels.</w:t>
      </w:r>
    </w:p>
    <w:p>
      <w:pPr>
        <w:spacing w:after="0" w:line="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Awards under relative components may be earned based on Vornado’s three-year TSR, measured against the Dow Jones U.S. Real Estate Office Index (50% weighting) and a Northeast peer group custom index (50% weighting). Awards earned under the relative component of the LTPP are subject to reductions of up to 30% if Vornado’s three-year TSR is below specified levels.</w:t>
      </w:r>
    </w:p>
    <w:p>
      <w:pPr>
        <w:spacing w:after="0" w:line="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If the designated performance objectives are achieved, awards earned under the 2023 LTPP will vest 50% in January 2026 and 50% in January 2027. For the 2022 LTPP, 50% of the awards earned vested in January 2025 and the remaining 50% will vest in January 2026. In addition, the Chief Executive Officer is required to hold any earned and vested awards for three years following each such vesting date and all other award recipients are required to hold such awards for one year following each such vesting date. Dividends on awards granted under the LTPP accrue during the applicable performance period and are paid to participants if awards are ultimately earned based on the achievement of the designated performance objectives.</w:t>
      </w:r>
    </w:p>
    <w:p>
      <w:pPr>
        <w:spacing w:after="0" w:line="13"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There were no LTPP Units granted during the year ended December 31, 2024. LTPP Units granted during the years ended December 31, 2023 and 2022 had grant date fair values of $9,491,000 and $7,847,000, respectively. During the years ended December 31, 2023 and 2022, $4,670,000 and $4,033,000, respectively, was immediately expensed on the respective grant date due to acceleration of vesting for employees who are retirement eligible (have reached age 65 or age 60 with at least 20 years of service).</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total, 240,027 units were earned under the 2022 LTPP plan, which includes 168,371 units earned in February 2025.</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OPP Units</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OPP Units are multi-year, performance-based equity compensation plans under which participants have the opportunity to earn a class of units of the Operating Partnership if, and only if, Vornado outperforms a predetermined TSR and/or outperforms the market with respect to a relative TSR during the four-year performance period. OPP units, if earned, become convertible into Class A units of the Operating Partnership (and ultimately into Vornado common shares) following vesting.</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have been no OPP units granted since 2021.</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February 2025, 827,644 units were earned under the 2021 OPP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97" w:name="page98"/>
    <w:bookmarkEnd w:id="97"/>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ind w:left="320" w:right="7880" w:hanging="315"/>
        <w:spacing w:after="0" w:line="322" w:lineRule="auto"/>
        <w:tabs>
          <w:tab w:leader="none" w:pos="432"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 continued </w:t>
      </w:r>
      <w:r>
        <w:rPr>
          <w:rFonts w:ascii="Times New Roman" w:cs="Times New Roman" w:eastAsia="Times New Roman" w:hAnsi="Times New Roman"/>
          <w:sz w:val="17"/>
          <w:szCs w:val="17"/>
          <w:i w:val="1"/>
          <w:iCs w:val="1"/>
          <w:color w:val="auto"/>
        </w:rPr>
        <w:t>Vornado Stock Options</w:t>
      </w:r>
    </w:p>
    <w:p>
      <w:pPr>
        <w:spacing w:after="0" w:line="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Vornado stock options are granted at an exercise price equal to the average of the high and low market price of Vornado’s common shares on the NYSE on the date of grant, generally vest over four years and expire ten years from the date of grant. Compensation expense related to Vornado stock option awards is recognized on a straight-line basis over the vesting period.</w:t>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summary of Vornado’s stock option activity for the year ended December 31, 2024.</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1"/>
        </w:trPr>
        <w:tc>
          <w:tcPr>
            <w:tcW w:w="69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left="310"/>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4"/>
        </w:trPr>
        <w:tc>
          <w:tcPr>
            <w:tcW w:w="6920" w:type="dxa"/>
            <w:vAlign w:val="bottom"/>
          </w:tcPr>
          <w:p>
            <w:pPr>
              <w:spacing w:after="0"/>
              <w:rPr>
                <w:sz w:val="12"/>
                <w:szCs w:val="12"/>
                <w:color w:val="auto"/>
              </w:rPr>
            </w:pPr>
          </w:p>
        </w:tc>
        <w:tc>
          <w:tcPr>
            <w:tcW w:w="14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center"/>
              <w:ind w:left="33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0" w:type="dxa"/>
            <w:vAlign w:val="bottom"/>
          </w:tcPr>
          <w:p>
            <w:pPr>
              <w:spacing w:after="0"/>
              <w:rPr>
                <w:sz w:val="1"/>
                <w:szCs w:val="1"/>
                <w:color w:val="auto"/>
              </w:rPr>
            </w:pPr>
          </w:p>
        </w:tc>
      </w:tr>
      <w:tr>
        <w:trPr>
          <w:trHeight w:val="191"/>
        </w:trPr>
        <w:tc>
          <w:tcPr>
            <w:tcW w:w="69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980" w:type="dxa"/>
            <w:vAlign w:val="bottom"/>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95"/>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13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158,101</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65.52</w:t>
            </w: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Expired</w:t>
            </w:r>
          </w:p>
        </w:tc>
        <w:tc>
          <w:tcPr>
            <w:tcW w:w="13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(18,684)</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5"/>
              </w:rPr>
              <w:t>66.18</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36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139,417</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65.44</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exercisable as of December 31, 2024</w:t>
            </w:r>
          </w:p>
        </w:tc>
        <w:tc>
          <w:tcPr>
            <w:tcW w:w="13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139,417</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65.44</w:t>
            </w: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no Vornado stock options granted during the years ended December 31, 2024, 2023 and 2022.</w:t>
      </w:r>
    </w:p>
    <w:p>
      <w:pPr>
        <w:spacing w:after="0" w:line="6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There were no Vornado stock options exercised during the years ended December 31, 2024 and 2023. Cash received from Vornado stock option exercises for the year ended December 31, 2022 was $7,000. The total intrinsic value of Vornado stock options exercised during the year ended December 31, 2022 was $842. As of December 31, 2024, the aggregate intrinsic value of outstanding and exercisable Vornado stock options was $132,527.</w: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Performance AO LTIP Units</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Performance AO LTIP Units are AO LTIP Units that require the achievement of certain performance conditions by a specified date or they are forfeited. If the performance conditions are met, once vested, the awards may be converted into Class A Operating Partnership units in the same manner as AO LTIP Units until ten years from the date of grant.</w:t>
      </w:r>
    </w:p>
    <w:p>
      <w:pPr>
        <w:spacing w:after="0" w:line="7"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On June 29, 2023, the Committee granted 14,368,750 Performance AO LTIP Units to a broad group of employees of the Company including its named executive officers. Each Performance AO LTIP Unit is potentially convertible into a number of Class A Units, determined by reference to the excess of the closing market price of Vornado common shares on the NYSE on the date of conversion over $16.87. During 2024, the performance conditions under the 2023 Performance AO LTIP plan were satisfied in full following a greater than 75% increase in the share price above the grant date share price. As of December 31, 2024, the aggregate intrinsic value of outstanding Performance AO LTIP Units was $360,416,000. The 2023 Performance AO LTIP units remain subject to time-based vesting requirements.</w:t>
      </w:r>
    </w:p>
    <w:p>
      <w:pPr>
        <w:spacing w:after="0" w:line="15"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The 2023 Performance AO LTIP Units will vest with respect to 20% on the 3rd anniversary of the Grant Date, and the remaining 80% will vest on the 4th anniversary of the Grant Date, subject to the recipient’s continued employment with the Company.</w:t>
      </w:r>
    </w:p>
    <w:p>
      <w:pPr>
        <w:spacing w:after="0" w:line="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Performance AO LTIP Units granted during the year ended December 31, 2023 had a fair value of $48,710,000. The fair value of each Performance AO LTIP Unit granted was estimated on the date of grant using an option-pricing model with the following weighted-average assumptions for grants in the year ended December 31, 2023:</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5460" w:type="dxa"/>
            <w:vAlign w:val="bottom"/>
            <w:shd w:val="clear" w:color="auto" w:fill="CCEEFF"/>
          </w:tcPr>
          <w:p>
            <w:pPr>
              <w:jc w:val="center"/>
              <w:ind w:left="3530"/>
              <w:spacing w:after="0"/>
              <w:rPr>
                <w:sz w:val="20"/>
                <w:szCs w:val="20"/>
                <w:color w:val="auto"/>
              </w:rPr>
            </w:pPr>
            <w:r>
              <w:rPr>
                <w:rFonts w:ascii="Times New Roman" w:cs="Times New Roman" w:eastAsia="Times New Roman" w:hAnsi="Times New Roman"/>
                <w:sz w:val="14"/>
                <w:szCs w:val="14"/>
                <w:color w:val="auto"/>
              </w:rPr>
              <w:t>33%</w:t>
            </w:r>
          </w:p>
        </w:tc>
      </w:tr>
      <w:tr>
        <w:trPr>
          <w:trHeight w:val="189"/>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free interest rate</w:t>
            </w:r>
          </w:p>
        </w:tc>
        <w:tc>
          <w:tcPr>
            <w:tcW w:w="5460" w:type="dxa"/>
            <w:vAlign w:val="bottom"/>
          </w:tcPr>
          <w:p>
            <w:pPr>
              <w:jc w:val="center"/>
              <w:ind w:left="3530"/>
              <w:spacing w:after="0"/>
              <w:rPr>
                <w:sz w:val="20"/>
                <w:szCs w:val="20"/>
                <w:color w:val="auto"/>
              </w:rPr>
            </w:pPr>
            <w:r>
              <w:rPr>
                <w:rFonts w:ascii="Times New Roman" w:cs="Times New Roman" w:eastAsia="Times New Roman" w:hAnsi="Times New Roman"/>
                <w:sz w:val="14"/>
                <w:szCs w:val="14"/>
                <w:color w:val="auto"/>
                <w:w w:val="96"/>
              </w:rPr>
              <w:t>4%</w:t>
            </w:r>
          </w:p>
        </w:tc>
      </w:tr>
      <w:tr>
        <w:trPr>
          <w:trHeight w:val="204"/>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5460" w:type="dxa"/>
            <w:vAlign w:val="bottom"/>
            <w:shd w:val="clear" w:color="auto" w:fill="CCEEFF"/>
          </w:tcPr>
          <w:p>
            <w:pPr>
              <w:jc w:val="center"/>
              <w:ind w:left="3530"/>
              <w:spacing w:after="0"/>
              <w:rPr>
                <w:sz w:val="20"/>
                <w:szCs w:val="20"/>
                <w:color w:val="auto"/>
              </w:rPr>
            </w:pPr>
            <w:r>
              <w:rPr>
                <w:rFonts w:ascii="Times New Roman" w:cs="Times New Roman" w:eastAsia="Times New Roman" w:hAnsi="Times New Roman"/>
                <w:sz w:val="14"/>
                <w:szCs w:val="14"/>
                <w:color w:val="auto"/>
                <w:w w:val="96"/>
              </w:rPr>
              <w:t>6%</w:t>
            </w:r>
          </w:p>
        </w:tc>
      </w:tr>
    </w:tbl>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summary of Performance AO LTIP Units activity for the year ended December 31, 2024.</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31"/>
        </w:trPr>
        <w:tc>
          <w:tcPr>
            <w:tcW w:w="69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6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left="31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4"/>
        </w:trPr>
        <w:tc>
          <w:tcPr>
            <w:tcW w:w="6920" w:type="dxa"/>
            <w:vAlign w:val="bottom"/>
          </w:tcPr>
          <w:p>
            <w:pPr>
              <w:spacing w:after="0"/>
              <w:rPr>
                <w:sz w:val="12"/>
                <w:szCs w:val="12"/>
                <w:color w:val="auto"/>
              </w:rPr>
            </w:pPr>
          </w:p>
        </w:tc>
        <w:tc>
          <w:tcPr>
            <w:tcW w:w="14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center"/>
              <w:ind w:left="33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0" w:type="dxa"/>
            <w:vAlign w:val="bottom"/>
          </w:tcPr>
          <w:p>
            <w:pPr>
              <w:spacing w:after="0"/>
              <w:rPr>
                <w:sz w:val="1"/>
                <w:szCs w:val="1"/>
                <w:color w:val="auto"/>
              </w:rPr>
            </w:pPr>
          </w:p>
        </w:tc>
      </w:tr>
      <w:tr>
        <w:trPr>
          <w:trHeight w:val="190"/>
        </w:trPr>
        <w:tc>
          <w:tcPr>
            <w:tcW w:w="69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980" w:type="dxa"/>
            <w:vAlign w:val="bottom"/>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96"/>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14,368,750</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16.87</w:t>
            </w: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(49,500)</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14,319,250</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16.87</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exercisable as of December 31, 2024</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38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98" w:name="page99"/>
    <w:bookmarkEnd w:id="98"/>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ind w:left="320" w:right="7880" w:hanging="315"/>
        <w:spacing w:after="0" w:line="322" w:lineRule="auto"/>
        <w:tabs>
          <w:tab w:leader="none" w:pos="432"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 continued </w:t>
      </w:r>
      <w:r>
        <w:rPr>
          <w:rFonts w:ascii="Times New Roman" w:cs="Times New Roman" w:eastAsia="Times New Roman" w:hAnsi="Times New Roman"/>
          <w:sz w:val="17"/>
          <w:szCs w:val="17"/>
          <w:i w:val="1"/>
          <w:iCs w:val="1"/>
          <w:color w:val="auto"/>
        </w:rPr>
        <w:t>AO LTIP Units</w:t>
      </w:r>
    </w:p>
    <w:p>
      <w:pPr>
        <w:spacing w:after="0" w:line="1"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AO LTIP Units are a class of partnership interests in the Operating Partnership that are intended to qualify as “profits interests” for federal income tax purposes and generally only allow the recipient to realize value to the extent the fair market value of a Vornado common share exceeds the threshold level set at the time the AO LTIP Units are granted, subject to any vesting conditions applicable to the award. The threshold level is intended to be equal to 100% of the then fair market value of a Vornado common share on the date of grant. The value of vested AO LTIP Units is realized through conversion of the AO LTIP Units into Class A Operating Partnership units. AO LTIP Units have a term of ten years from the grant date. Each holder will generally receive special income allocations in respect of an AO LTIP Unit equal to 10% (or such other percentage specified in the applicable award agreement) of the income allocated in respect of a Class A Unit. Upon conversion of AO LTIP Units to Class A Units, holders will be entitled to receive in respect of each such AO LTIP Unit, on a per unit basis, a special distribution equal to 10% (or such other percentage specified in the applicable award agreement) of the distributions received by a holder of an equivalent number of Class A Units during the period from the grant date of the AO LTIP Units through the date of conversion.</w:t>
      </w:r>
    </w:p>
    <w:p>
      <w:pPr>
        <w:spacing w:after="0" w:line="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summary of AO LTIP Units activity for the year ended December 31, 2024.</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1"/>
        </w:trPr>
        <w:tc>
          <w:tcPr>
            <w:tcW w:w="69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left="310"/>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4"/>
        </w:trPr>
        <w:tc>
          <w:tcPr>
            <w:tcW w:w="6920" w:type="dxa"/>
            <w:vAlign w:val="bottom"/>
          </w:tcPr>
          <w:p>
            <w:pPr>
              <w:spacing w:after="0"/>
              <w:rPr>
                <w:sz w:val="12"/>
                <w:szCs w:val="12"/>
                <w:color w:val="auto"/>
              </w:rPr>
            </w:pPr>
          </w:p>
        </w:tc>
        <w:tc>
          <w:tcPr>
            <w:tcW w:w="14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center"/>
              <w:ind w:left="33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0" w:type="dxa"/>
            <w:vAlign w:val="bottom"/>
          </w:tcPr>
          <w:p>
            <w:pPr>
              <w:spacing w:after="0"/>
              <w:rPr>
                <w:sz w:val="1"/>
                <w:szCs w:val="1"/>
                <w:color w:val="auto"/>
              </w:rPr>
            </w:pPr>
          </w:p>
        </w:tc>
      </w:tr>
      <w:tr>
        <w:trPr>
          <w:trHeight w:val="191"/>
        </w:trPr>
        <w:tc>
          <w:tcPr>
            <w:tcW w:w="69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980" w:type="dxa"/>
            <w:vAlign w:val="bottom"/>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95"/>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541,814</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59.99</w:t>
            </w: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Expired</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58.22</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(4,229)</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36.72</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529,836</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60.20</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exercisable as of December 31, 2024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529,836</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60.20</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ind w:firstLine="314"/>
        <w:spacing w:after="0" w:line="288" w:lineRule="auto"/>
        <w:rPr>
          <w:sz w:val="20"/>
          <w:szCs w:val="20"/>
          <w:color w:val="auto"/>
        </w:rPr>
      </w:pPr>
      <w:r>
        <w:rPr>
          <w:rFonts w:ascii="Times New Roman" w:cs="Times New Roman" w:eastAsia="Times New Roman" w:hAnsi="Times New Roman"/>
          <w:sz w:val="17"/>
          <w:szCs w:val="17"/>
          <w:color w:val="auto"/>
        </w:rPr>
        <w:t>There were no AO LTIP Units granted during the years ended December 31, 2024, 2023 and 2022. As of December 31, 2024, the aggregate intrinsic value of outstanding and exercisable AO LTIP Units was $592,728.</w:t>
      </w:r>
    </w:p>
    <w:p>
      <w:pPr>
        <w:ind w:left="320"/>
        <w:spacing w:after="0"/>
        <w:rPr>
          <w:sz w:val="20"/>
          <w:szCs w:val="20"/>
          <w:color w:val="auto"/>
        </w:rPr>
      </w:pPr>
      <w:r>
        <w:rPr>
          <w:rFonts w:ascii="Times New Roman" w:cs="Times New Roman" w:eastAsia="Times New Roman" w:hAnsi="Times New Roman"/>
          <w:sz w:val="17"/>
          <w:szCs w:val="17"/>
          <w:i w:val="1"/>
          <w:iCs w:val="1"/>
          <w:color w:val="auto"/>
        </w:rPr>
        <w:t>LTIP Units</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LTIP Units are granted at the average of the high and low market price of Vornado’s common shares on the NYSE on the date of grant, generally vest over a period of three to four years, and are subject to a taxable book-up event, as defined. Compensation expense related to LTIP Units is recognized ratably over the vesting period using a graded vesting attribution model. Distributions paid on unvested LTIP Units amounted to $2,160,000, $1,302,000 and $2,197,000 in the years ended December 31, 2024, 2023 and 2022, respectively.</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summary of restricted LTIP unit activity for the year ended December 31, 2024.</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33"/>
        </w:trPr>
        <w:tc>
          <w:tcPr>
            <w:tcW w:w="7780" w:type="dxa"/>
            <w:vAlign w:val="bottom"/>
            <w:gridSpan w:val="2"/>
            <w:vMerge w:val="restart"/>
          </w:tcPr>
          <w:p>
            <w:pPr>
              <w:ind w:left="3400"/>
              <w:spacing w:after="0"/>
              <w:rPr>
                <w:sz w:val="20"/>
                <w:szCs w:val="20"/>
                <w:color w:val="auto"/>
              </w:rPr>
            </w:pPr>
            <w:r>
              <w:rPr>
                <w:rFonts w:ascii="Times New Roman" w:cs="Times New Roman" w:eastAsia="Times New Roman" w:hAnsi="Times New Roman"/>
                <w:sz w:val="14"/>
                <w:szCs w:val="14"/>
                <w:b w:val="1"/>
                <w:bCs w:val="1"/>
                <w:color w:val="auto"/>
              </w:rPr>
              <w:t>Unvested Units</w:t>
            </w:r>
          </w:p>
        </w:tc>
        <w:tc>
          <w:tcPr>
            <w:tcW w:w="1680" w:type="dxa"/>
            <w:vAlign w:val="bottom"/>
            <w:vMerge w:val="restart"/>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jc w:val="center"/>
              <w:ind w:right="130"/>
              <w:spacing w:after="0" w:line="133" w:lineRule="exact"/>
              <w:rPr>
                <w:sz w:val="20"/>
                <w:szCs w:val="20"/>
                <w:color w:val="auto"/>
              </w:rPr>
            </w:pPr>
            <w:r>
              <w:rPr>
                <w:rFonts w:ascii="Times New Roman" w:cs="Times New Roman" w:eastAsia="Times New Roman" w:hAnsi="Times New Roman"/>
                <w:sz w:val="14"/>
                <w:szCs w:val="14"/>
                <w:b w:val="1"/>
                <w:bCs w:val="1"/>
                <w:color w:val="auto"/>
                <w:w w:val="98"/>
              </w:rPr>
              <w:t>Grant-Date</w:t>
            </w:r>
          </w:p>
        </w:tc>
        <w:tc>
          <w:tcPr>
            <w:tcW w:w="0" w:type="dxa"/>
            <w:vAlign w:val="bottom"/>
          </w:tcPr>
          <w:p>
            <w:pPr>
              <w:spacing w:after="0"/>
              <w:rPr>
                <w:sz w:val="1"/>
                <w:szCs w:val="1"/>
                <w:color w:val="auto"/>
              </w:rPr>
            </w:pPr>
          </w:p>
        </w:tc>
      </w:tr>
      <w:tr>
        <w:trPr>
          <w:trHeight w:val="184"/>
        </w:trPr>
        <w:tc>
          <w:tcPr>
            <w:tcW w:w="778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3"/>
        </w:trPr>
        <w:tc>
          <w:tcPr>
            <w:tcW w:w="7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December 31, 2023</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3,210,159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0" w:type="dxa"/>
            <w:vAlign w:val="bottom"/>
          </w:tcPr>
          <w:p>
            <w:pPr>
              <w:spacing w:after="0"/>
              <w:rPr>
                <w:sz w:val="1"/>
                <w:szCs w:val="1"/>
                <w:color w:val="auto"/>
              </w:rPr>
            </w:pPr>
          </w:p>
        </w:tc>
      </w:tr>
      <w:tr>
        <w:trPr>
          <w:trHeight w:val="18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0" w:type="dxa"/>
            <w:vAlign w:val="bottom"/>
          </w:tcPr>
          <w:p>
            <w:pPr>
              <w:spacing w:after="0"/>
              <w:rPr>
                <w:sz w:val="1"/>
                <w:szCs w:val="1"/>
                <w:color w:val="auto"/>
              </w:rPr>
            </w:pPr>
          </w:p>
        </w:tc>
      </w:tr>
      <w:tr>
        <w:trPr>
          <w:trHeight w:val="204"/>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(374,649)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28.58</w:t>
            </w: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0" w:type="dxa"/>
            <w:vAlign w:val="bottom"/>
          </w:tcPr>
          <w:p>
            <w:pPr>
              <w:spacing w:after="0"/>
              <w:rPr>
                <w:sz w:val="1"/>
                <w:szCs w:val="1"/>
                <w:color w:val="auto"/>
              </w:rPr>
            </w:pPr>
          </w:p>
        </w:tc>
      </w:tr>
      <w:tr>
        <w:trPr>
          <w:trHeight w:val="221"/>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December 31, 2024</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2,919,095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LTIP Units granted in 2024, 2023 and 2022 had a fair value of $2,104,000, $45,468,000 and $15,446,000, respectively. The fair value of LTIP Units that vested during the years ended December 31, 2024, 2023 and 2022 was $10,707,000, $37,198,000 and $25,158,000,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99" w:name="page100"/>
    <w:bookmarkEnd w:id="99"/>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18" w:lineRule="exact"/>
        <w:rPr>
          <w:sz w:val="20"/>
          <w:szCs w:val="20"/>
          <w:color w:val="auto"/>
        </w:rPr>
      </w:pPr>
    </w:p>
    <w:p>
      <w:pPr>
        <w:ind w:right="7400" w:firstLine="5"/>
        <w:spacing w:after="0" w:line="322" w:lineRule="auto"/>
        <w:tabs>
          <w:tab w:leader="none" w:pos="393"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(Loss) Per Share and Per Class A Unit </w:t>
      </w:r>
      <w:r>
        <w:rPr>
          <w:rFonts w:ascii="Times New Roman" w:cs="Times New Roman" w:eastAsia="Times New Roman" w:hAnsi="Times New Roman"/>
          <w:sz w:val="17"/>
          <w:szCs w:val="17"/>
          <w:b w:val="1"/>
          <w:bCs w:val="1"/>
          <w:i w:val="1"/>
          <w:iCs w:val="1"/>
          <w:color w:val="auto"/>
        </w:rPr>
        <w:t>Vornado Realty Trust</w:t>
      </w:r>
    </w:p>
    <w:p>
      <w:pPr>
        <w:spacing w:after="0" w:line="1"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Basic net income (loss) per common share is computed by dividing (i) net income (loss) attributable to common stockholders after allocation of dividends and undistributed earnings to participating securities by (ii) the weighted average number of common shares outstanding for the period. Diluted earnings per share reflects the dilutive impact of potential common shares and is computed after allocation of earnings to participating securities. Vornado’s participating securities include unvested restricted common shares. Employee stock options, OPP Units, AO LTIP Units, Performance AO LTIP Units and LTPP Units are included in the calculation of diluted income (loss) per share using the treasury stock method, if the effect is dilutive. Series A convertible preferred shares, Series G-1 through G-4 convertible preferred units, and Series D-13 redeemable preferred units, are included in the calculation of diluted income per share using the if-converted method, if the effect is dilutive. Net income (loss) is allocated to redeemable Class A units of the Operating Partnership on a one-for-one basis with Vornado common shares. As such, redemption of these units for Vornado common shares would not have a dilutive effect on income (loss) per common share.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share amounts)</w:t>
            </w:r>
          </w:p>
        </w:tc>
        <w:tc>
          <w:tcPr>
            <w:tcW w:w="840" w:type="dxa"/>
            <w:vAlign w:val="bottom"/>
          </w:tcPr>
          <w:p>
            <w:pPr>
              <w:spacing w:after="0"/>
              <w:rPr>
                <w:sz w:val="16"/>
                <w:szCs w:val="16"/>
                <w:color w:val="auto"/>
              </w:rPr>
            </w:pPr>
          </w:p>
        </w:tc>
        <w:tc>
          <w:tcPr>
            <w:tcW w:w="248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3"/>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(loss) attributable to Vornado</w:t>
            </w:r>
          </w:p>
        </w:tc>
        <w:tc>
          <w:tcPr>
            <w:tcW w:w="84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70,387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105,494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(346,499)</w:t>
            </w: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Preferred share dividends</w:t>
            </w: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(62,112)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(62,116)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(62,116)</w:t>
            </w: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(loss) attributable to common shareholders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(408,615)</w:t>
            </w:r>
          </w:p>
        </w:tc>
        <w:tc>
          <w:tcPr>
            <w:tcW w:w="0" w:type="dxa"/>
            <w:vAlign w:val="bottom"/>
          </w:tcPr>
          <w:p>
            <w:pPr>
              <w:spacing w:after="0"/>
              <w:rPr>
                <w:sz w:val="1"/>
                <w:szCs w:val="1"/>
                <w:color w:val="auto"/>
              </w:rPr>
            </w:pPr>
          </w:p>
        </w:tc>
      </w:tr>
      <w:tr>
        <w:trPr>
          <w:trHeight w:val="190"/>
        </w:trPr>
        <w:tc>
          <w:tcPr>
            <w:tcW w:w="6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Distributions and earnings allocated to unvested participating securities</w:t>
            </w:r>
          </w:p>
        </w:tc>
        <w:tc>
          <w:tcPr>
            <w:tcW w:w="8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21"/>
        </w:trPr>
        <w:tc>
          <w:tcPr>
            <w:tcW w:w="69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Numerator for basic and diluted income (loss) per common share</w:t>
            </w:r>
          </w:p>
        </w:tc>
        <w:tc>
          <w:tcPr>
            <w:tcW w:w="84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(408,633)</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9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Denominator for basic income (loss) per common share - weighted average shares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190,539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191,005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191,775</w:t>
            </w:r>
          </w:p>
        </w:tc>
        <w:tc>
          <w:tcPr>
            <w:tcW w:w="0" w:type="dxa"/>
            <w:vAlign w:val="bottom"/>
          </w:tcPr>
          <w:p>
            <w:pPr>
              <w:spacing w:after="0"/>
              <w:rPr>
                <w:sz w:val="1"/>
                <w:szCs w:val="1"/>
                <w:color w:val="auto"/>
              </w:rPr>
            </w:pPr>
          </w:p>
        </w:tc>
      </w:tr>
      <w:tr>
        <w:trPr>
          <w:trHeight w:val="196"/>
        </w:trPr>
        <w:tc>
          <w:tcPr>
            <w:tcW w:w="6940" w:type="dxa"/>
            <w:vAlign w:val="bottom"/>
          </w:tcPr>
          <w:p>
            <w:pPr>
              <w:ind w:left="100"/>
              <w:spacing w:after="0" w:line="196" w:lineRule="exact"/>
              <w:rPr>
                <w:sz w:val="20"/>
                <w:szCs w:val="20"/>
                <w:color w:val="auto"/>
              </w:rPr>
            </w:pPr>
            <w:r>
              <w:rPr>
                <w:rFonts w:ascii="Times New Roman" w:cs="Times New Roman" w:eastAsia="Times New Roman" w:hAnsi="Times New Roman"/>
                <w:sz w:val="14"/>
                <w:szCs w:val="14"/>
                <w:color w:val="auto"/>
              </w:rPr>
              <w:t>Effect of dilutive securities</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color w:val="auto"/>
              </w:rPr>
              <w:t>:</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Share-based awards</w:t>
            </w:r>
          </w:p>
        </w:tc>
        <w:tc>
          <w:tcPr>
            <w:tcW w:w="8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6,087</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Denominator for diluted income (loss) per common share - weighted average shares and assumed conversions</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196,626</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191,856</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191,775</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per common share:</w:t>
            </w: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69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84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8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w:t>
      </w:r>
    </w:p>
    <w:p>
      <w:pPr>
        <w:spacing w:after="0" w:line="10" w:lineRule="exact"/>
        <w:rPr>
          <w:sz w:val="20"/>
          <w:szCs w:val="20"/>
          <w:color w:val="auto"/>
        </w:rPr>
      </w:pPr>
    </w:p>
    <w:p>
      <w:pPr>
        <w:ind w:left="320" w:hanging="315"/>
        <w:spacing w:after="0" w:line="261" w:lineRule="auto"/>
        <w:tabs>
          <w:tab w:leader="none" w:pos="312" w:val="left"/>
        </w:tabs>
        <w:numPr>
          <w:ilvl w:val="0"/>
          <w:numId w:val="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calculation of diluted income (loss) per common share for the years ended December 31, 2024, 2023, and 2022 excluded weighted average potential common shares of 1,580, 3,458, and 1,706, respectively, as their effect was antidilutive.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100" w:name="page101"/>
    <w:bookmarkEnd w:id="100"/>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ind w:right="6480" w:firstLine="5"/>
        <w:spacing w:after="0" w:line="322" w:lineRule="auto"/>
        <w:tabs>
          <w:tab w:leader="none" w:pos="393"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(Loss) Per Share and Per Class A Unit – continued </w:t>
      </w:r>
      <w:r>
        <w:rPr>
          <w:rFonts w:ascii="Times New Roman" w:cs="Times New Roman" w:eastAsia="Times New Roman" w:hAnsi="Times New Roman"/>
          <w:sz w:val="17"/>
          <w:szCs w:val="17"/>
          <w:b w:val="1"/>
          <w:bCs w:val="1"/>
          <w:i w:val="1"/>
          <w:iCs w:val="1"/>
          <w:color w:val="auto"/>
        </w:rPr>
        <w:t>Vornado Realty L.P.</w:t>
      </w:r>
    </w:p>
    <w:p>
      <w:pPr>
        <w:spacing w:after="0" w:line="1"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Basic net income (loss) per Class A unit is computed by dividing (i) net income (loss) attributable to Class A unitholders after allocation of distributions and undistributed earnings to participating securities by (ii) the weighted average number of Class A units outstanding for the period. Diluted earnings per share reflects the dilutive impact of potential Class A units and is computed after allocation of earnings to participating securities. VRLP’s participating securities include unvested LTIP Units and LTPP Units for which the applicable performance vesting conditions were satisfied. Equity awards subject to market and/or performance vesting conditions, including Vornado stock options, OPP Units, AO LTIP Units, Performance AO LTIP Units and LTPP Units, are included in the calculation of diluted income (loss) per Class A unit using the treasury stock method. Convertible securities, including Series A convertible preferred shares, Series G-1 through G-4 convertible preferred units, and Series D-13 redeemable preferred units, are included in the calculation of diluted income per Class A unit using the if-converted method, if dilutive.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unit amounts)</w:t>
            </w:r>
          </w:p>
        </w:tc>
        <w:tc>
          <w:tcPr>
            <w:tcW w:w="840" w:type="dxa"/>
            <w:vAlign w:val="bottom"/>
          </w:tcPr>
          <w:p>
            <w:pPr>
              <w:spacing w:after="0"/>
              <w:rPr>
                <w:sz w:val="16"/>
                <w:szCs w:val="16"/>
                <w:color w:val="auto"/>
              </w:rPr>
            </w:pPr>
          </w:p>
        </w:tc>
        <w:tc>
          <w:tcPr>
            <w:tcW w:w="248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3"/>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(loss) attributable to Vornado Realty L.P.</w:t>
            </w:r>
          </w:p>
        </w:tc>
        <w:tc>
          <w:tcPr>
            <w:tcW w:w="84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71,247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108,855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(376,875)</w:t>
            </w: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Preferred unit distributions</w:t>
            </w: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(62,227)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(62,231)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(62,231)</w:t>
            </w: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(loss) attributable to Class A unitholders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46,624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(439,106)</w:t>
            </w: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Distributions and earnings allocated to participating securities</w:t>
            </w: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0" w:type="dxa"/>
            <w:vAlign w:val="bottom"/>
          </w:tcPr>
          <w:p>
            <w:pPr>
              <w:spacing w:after="0"/>
              <w:rPr>
                <w:sz w:val="1"/>
                <w:szCs w:val="1"/>
                <w:color w:val="auto"/>
              </w:rPr>
            </w:pPr>
          </w:p>
        </w:tc>
      </w:tr>
      <w:tr>
        <w:trPr>
          <w:trHeight w:val="221"/>
        </w:trPr>
        <w:tc>
          <w:tcPr>
            <w:tcW w:w="6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Numerator for basic and diluted income (loss) per Class A unit</w:t>
            </w:r>
          </w:p>
        </w:tc>
        <w:tc>
          <w:tcPr>
            <w:tcW w:w="84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45,301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(441,321)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9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Denominator for basic income (loss) per Class A unit – weighted average units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204,981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205,105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205,315</w:t>
            </w:r>
          </w:p>
        </w:tc>
        <w:tc>
          <w:tcPr>
            <w:tcW w:w="0" w:type="dxa"/>
            <w:vAlign w:val="bottom"/>
          </w:tcPr>
          <w:p>
            <w:pPr>
              <w:spacing w:after="0"/>
              <w:rPr>
                <w:sz w:val="1"/>
                <w:szCs w:val="1"/>
                <w:color w:val="auto"/>
              </w:rPr>
            </w:pPr>
          </w:p>
        </w:tc>
      </w:tr>
      <w:tr>
        <w:trPr>
          <w:trHeight w:val="196"/>
        </w:trPr>
        <w:tc>
          <w:tcPr>
            <w:tcW w:w="6940" w:type="dxa"/>
            <w:vAlign w:val="bottom"/>
          </w:tcPr>
          <w:p>
            <w:pPr>
              <w:ind w:left="100"/>
              <w:spacing w:after="0" w:line="196" w:lineRule="exact"/>
              <w:rPr>
                <w:sz w:val="20"/>
                <w:szCs w:val="20"/>
                <w:color w:val="auto"/>
              </w:rPr>
            </w:pPr>
            <w:r>
              <w:rPr>
                <w:rFonts w:ascii="Times New Roman" w:cs="Times New Roman" w:eastAsia="Times New Roman" w:hAnsi="Times New Roman"/>
                <w:sz w:val="14"/>
                <w:szCs w:val="14"/>
                <w:color w:val="auto"/>
              </w:rPr>
              <w:t>Effect of dilutive securities</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color w:val="auto"/>
              </w:rPr>
              <w:t>:</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Unit-based awards</w:t>
            </w:r>
          </w:p>
        </w:tc>
        <w:tc>
          <w:tcPr>
            <w:tcW w:w="8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6,087</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Denominator for diluted income (loss) per Class A unit – weighted average units and assumed conversions</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211,068</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205,956</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205,315</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per Class A unit:</w:t>
            </w: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69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84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8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w:t>
      </w:r>
    </w:p>
    <w:p>
      <w:pPr>
        <w:spacing w:after="0" w:line="22" w:lineRule="exact"/>
        <w:rPr>
          <w:sz w:val="20"/>
          <w:szCs w:val="20"/>
          <w:color w:val="auto"/>
        </w:rPr>
      </w:pPr>
    </w:p>
    <w:p>
      <w:pPr>
        <w:ind w:left="320" w:hanging="315"/>
        <w:spacing w:after="0" w:line="263" w:lineRule="auto"/>
        <w:tabs>
          <w:tab w:leader="none" w:pos="312" w:val="left"/>
        </w:tabs>
        <w:numPr>
          <w:ilvl w:val="0"/>
          <w:numId w:val="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calculation of diluted income (loss) per Class A unit for the years ended December 31, 2024, 2023, and 2022 excluded weighted average potential Class A units of 1,580, 3,458, and 1,706, respectively, as their effect was antidilutive.</w:t>
      </w:r>
    </w:p>
    <w:p>
      <w:pPr>
        <w:spacing w:after="0" w:line="119" w:lineRule="exact"/>
        <w:rPr>
          <w:sz w:val="20"/>
          <w:szCs w:val="20"/>
          <w:color w:val="auto"/>
        </w:rPr>
      </w:pPr>
    </w:p>
    <w:p>
      <w:pPr>
        <w:ind w:right="8940" w:firstLine="5"/>
        <w:spacing w:after="0" w:line="322" w:lineRule="auto"/>
        <w:tabs>
          <w:tab w:leader="none" w:pos="433"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Variable Interest Entities </w:t>
      </w:r>
      <w:r>
        <w:rPr>
          <w:rFonts w:ascii="Times New Roman" w:cs="Times New Roman" w:eastAsia="Times New Roman" w:hAnsi="Times New Roman"/>
          <w:sz w:val="17"/>
          <w:szCs w:val="17"/>
          <w:i w:val="1"/>
          <w:iCs w:val="1"/>
          <w:color w:val="auto"/>
        </w:rPr>
        <w:t>Unconsolidated VIEs</w:t>
      </w:r>
    </w:p>
    <w:p>
      <w:pPr>
        <w:spacing w:after="0" w:line="1"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color w:val="auto"/>
        </w:rPr>
        <w:t xml:space="preserve">As of December 31, 2024 and 2023, we had several unconsolidated VIEs. We do not consolidate these entities because we are not the primary beneficiary and the nature of our involvement in the activities of these entities does not give us power over decisions that significantly affect these entities’ economic performance. We primarily account for our investment in these entities under the equity method (see Note 4 – </w:t>
      </w:r>
      <w:r>
        <w:rPr>
          <w:rFonts w:ascii="Times New Roman" w:cs="Times New Roman" w:eastAsia="Times New Roman" w:hAnsi="Times New Roman"/>
          <w:sz w:val="17"/>
          <w:szCs w:val="17"/>
          <w:i w:val="1"/>
          <w:iCs w:val="1"/>
          <w:color w:val="auto"/>
        </w:rPr>
        <w:t>Investments in Partially Owned Entities</w:t>
      </w:r>
      <w:r>
        <w:rPr>
          <w:rFonts w:ascii="Times New Roman" w:cs="Times New Roman" w:eastAsia="Times New Roman" w:hAnsi="Times New Roman"/>
          <w:sz w:val="17"/>
          <w:szCs w:val="17"/>
          <w:color w:val="auto"/>
        </w:rPr>
        <w:t>). As of December 31, 2024 and 2023, $261,443,000 and $109,220,000, respectively, of the carrying amount of assets related to our unconsolidated VIEs was included in “investments in partially owned entities” on our consolidated balance sheets. Additionally, as of December 31, 2024, $52,530,000 was included in “other assets” on our consolidated balance sheets. Our maximum exposure to loss from our unconsolidated VIEs as of December 31, 2024 and 2023 was $316,973,000 and $196,394,000, respectively.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Consolidated VIEs</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Our most significant consolidated VIEs are the Operating Partnership (for Vornado), the Farley Project and certain properties that have noncontrolling interests. These entities are VIEs because the noncontrolling interests do not have substantive kick-out or participating rights. We consolidate these entities because we control all significant business activities.</w:t>
      </w:r>
    </w:p>
    <w:p>
      <w:pPr>
        <w:spacing w:after="0" w:line="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As of December 31, 2024, the total assets and liabilities of our consolidated VIEs, excluding the Operating Partnership, were $4,804,481,000 and $2,738,539,000 respectively. As of December 31, 2023, the total assets and liabilities of our consolidated VIEs, excluding the Operating Partnership, were $4,901,150,000 and $2,735,826,000, respectively.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101" w:name="page102"/>
    <w:bookmarkEnd w:id="101"/>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66" w:lineRule="exact"/>
        <w:rPr>
          <w:sz w:val="20"/>
          <w:szCs w:val="20"/>
          <w:color w:val="auto"/>
        </w:rPr>
      </w:pPr>
    </w:p>
    <w:p>
      <w:pPr>
        <w:ind w:left="440" w:hanging="435"/>
        <w:spacing w:after="0"/>
        <w:tabs>
          <w:tab w:leader="none" w:pos="44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68"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ASC 820 defines fair value and establishes a framework for measuring fair value. The objective of fair value is to determine the price that would be received upon the sale of an asset or paid to transfer a liability in an orderly transaction between market participants at the measurement date (the exit price). ASC 820 establishes a fair value hierarchy that prioritizes observable and unobservable inputs used to measure fair value into three levels: Level 1 – quoted prices (unadjusted) in active markets that are accessible at the measurement date for assets or liabilities as well as certain U.S. Treasury securities that are highly liquid and are actively traded in secondary markets; Level 2 – observable prices that are based on inputs not quoted in active markets, but corroborated by market data; and Level 3 – unobservable inputs that are used when little or no market data is available. The fair value hierarchy gives the highest priority to Level 1 inputs and the lowest priority to Level 3 inputs. In determining fair value, we utilize valuation techniques that maximize the use of observable inputs and minimize the use of unobservable inputs to the extent possible, as well as consider counterparty credit risk in our assessment of fair value. Considerable judgment is necessary to interpret Level 2 and 3 inputs in determining the fair value of our financial and non-financial assets and liabilities. Accordingly, our fair value estimates, which are made at the end of each reporting period, may be different than the amounts that may ultimately be realized upon sale or disposition of these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Assets and Liabilities Measured at Fair Value on a Recurring Basis</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 xml:space="preserve">Financial assets and liabilities that are measured at fair value on our consolidated balance sheets consist of (i) the assets in our deferred compensation plan (for which there is a corresponding liability on our consolidated balance sheets), (ii) loans receivable for which we have elected the fair value option under ASC Subtopic 825-10,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xml:space="preserve"> ("ASC 825-10"), (iii) interest rate swaps and caps and (iv) mandatorily redeemable instruments (Series G-1 through G-4 convertible preferred units and Series D-13 cumulative redeemable preferred units). The tables below aggregate the fair values of these financial assets and liabilities by their levels in the fair value hierarchy.</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5"/>
                <w:szCs w:val="15"/>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compensation plan assets ($8,958 included in restricted cash and $105,622 in other assets)</w:t>
            </w: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114,580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70,025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44,555</w:t>
            </w:r>
          </w:p>
        </w:tc>
        <w:tc>
          <w:tcPr>
            <w:tcW w:w="0" w:type="dxa"/>
            <w:vAlign w:val="bottom"/>
          </w:tcPr>
          <w:p>
            <w:pPr>
              <w:spacing w:after="0"/>
              <w:rPr>
                <w:sz w:val="1"/>
                <w:szCs w:val="1"/>
                <w:color w:val="auto"/>
              </w:rPr>
            </w:pPr>
          </w:p>
        </w:tc>
      </w:tr>
      <w:tr>
        <w:trPr>
          <w:trHeight w:val="135"/>
        </w:trPr>
        <w:tc>
          <w:tcPr>
            <w:tcW w:w="59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Loans receivable ($32,984 included in investments in partially owned entities and $52,335 in other</w:t>
            </w:r>
          </w:p>
        </w:tc>
        <w:tc>
          <w:tcPr>
            <w:tcW w:w="2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85,319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85,319</w:t>
            </w:r>
          </w:p>
        </w:tc>
        <w:tc>
          <w:tcPr>
            <w:tcW w:w="0" w:type="dxa"/>
            <w:vAlign w:val="bottom"/>
          </w:tcPr>
          <w:p>
            <w:pPr>
              <w:spacing w:after="0"/>
              <w:rPr>
                <w:sz w:val="1"/>
                <w:szCs w:val="1"/>
                <w:color w:val="auto"/>
              </w:rPr>
            </w:pPr>
          </w:p>
        </w:tc>
      </w:tr>
      <w:tr>
        <w:trPr>
          <w:trHeight w:val="188"/>
        </w:trPr>
        <w:tc>
          <w:tcPr>
            <w:tcW w:w="59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assets)</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and caps designated as a hedge (included in other assets)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caps not designated as a hedge (included in other assets)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59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129,874</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5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Mandatorily redeemable instruments (included in other liabilities)</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 designated as a hedge (included in other liabilities)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caps not designated as a hedge (included in other liabilities)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9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51,747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49,684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5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5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6"/>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compensation plan assets ($26,363 included in restricted cash and $78,883 in other assets)</w:t>
            </w: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105,246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58,956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46,290</w:t>
            </w:r>
          </w:p>
        </w:tc>
      </w:tr>
      <w:tr>
        <w:trPr>
          <w:trHeight w:val="189"/>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receivable (included in investments in partially owned entities)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32,984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32,984</w:t>
            </w:r>
          </w:p>
        </w:tc>
      </w:tr>
      <w:tr>
        <w:trPr>
          <w:trHeight w:val="204"/>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and caps designated as a hedge (included in other assets)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caps not designated as a hedge (included in other assets)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59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79,274</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Mandatorily redeemable instruments (included in other liabilities)</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49,386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49,386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 designated as a hedge (included in other liabilities)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caps not designated as a hedge (included in other liabilities)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60,717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49,386</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11,331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102" w:name="page103"/>
    <w:bookmarkEnd w:id="102"/>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ind w:left="440" w:hanging="435"/>
        <w:spacing w:after="0"/>
        <w:tabs>
          <w:tab w:leader="none" w:pos="44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 - continued</w:t>
      </w:r>
    </w:p>
    <w:p>
      <w:pPr>
        <w:spacing w:after="0" w:line="66" w:lineRule="exact"/>
        <w:rPr>
          <w:sz w:val="20"/>
          <w:szCs w:val="20"/>
          <w:color w:val="auto"/>
        </w:rPr>
      </w:pPr>
    </w:p>
    <w:p>
      <w:pPr>
        <w:ind w:right="4960"/>
        <w:spacing w:after="0" w:line="322" w:lineRule="auto"/>
        <w:rPr>
          <w:sz w:val="20"/>
          <w:szCs w:val="20"/>
          <w:color w:val="auto"/>
        </w:rPr>
      </w:pPr>
      <w:r>
        <w:rPr>
          <w:rFonts w:ascii="Times New Roman" w:cs="Times New Roman" w:eastAsia="Times New Roman" w:hAnsi="Times New Roman"/>
          <w:sz w:val="17"/>
          <w:szCs w:val="17"/>
          <w:i w:val="1"/>
          <w:iCs w:val="1"/>
          <w:color w:val="auto"/>
        </w:rPr>
        <w:t xml:space="preserve">Financial Assets and Liabilities Measured at Fair Value on a Recurring Basis - continued </w:t>
      </w:r>
      <w:r>
        <w:rPr>
          <w:rFonts w:ascii="Times New Roman" w:cs="Times New Roman" w:eastAsia="Times New Roman" w:hAnsi="Times New Roman"/>
          <w:sz w:val="17"/>
          <w:szCs w:val="17"/>
          <w:u w:val="single" w:color="auto"/>
          <w:color w:val="auto"/>
        </w:rPr>
        <w:t>Deferred Compensation Plan Assets</w:t>
      </w:r>
    </w:p>
    <w:p>
      <w:pPr>
        <w:spacing w:after="0" w:line="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Deferred compensation plan assets that are classified as Level 3 consist of investments in limited partnerships and investment funds, which are managed by third parties. We receive quarterly financial reports that provide net asset values on a fair value basis from a third-party administrator, which are compiled from the quarterly reports provided to them from each limited partnership and investment fund. The period of time over which these underlying assets are expected to be liquidated is unknown. The third-party administrator does not adjust these values in determining our share of the net assets and we do not adjust these values when reported in our consolidated financial statements.</w:t>
      </w:r>
    </w:p>
    <w:p>
      <w:pPr>
        <w:spacing w:after="0" w:line="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table below summarizes the changes in the fair value of deferred compensation plan assets that are classified as Level 3.</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440" w:type="dxa"/>
            <w:vAlign w:val="bottom"/>
          </w:tcPr>
          <w:p>
            <w:pPr>
              <w:spacing w:after="0"/>
              <w:rPr>
                <w:sz w:val="16"/>
                <w:szCs w:val="16"/>
                <w:color w:val="auto"/>
              </w:rPr>
            </w:pPr>
          </w:p>
        </w:tc>
        <w:tc>
          <w:tcPr>
            <w:tcW w:w="3320" w:type="dxa"/>
            <w:vAlign w:val="bottom"/>
            <w:gridSpan w:val="4"/>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7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74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4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46,290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38,916</w:t>
            </w:r>
          </w:p>
        </w:tc>
      </w:tr>
      <w:tr>
        <w:trPr>
          <w:trHeight w:val="189"/>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w:t>
            </w: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7,855</w:t>
            </w:r>
          </w:p>
        </w:tc>
      </w:tr>
      <w:tr>
        <w:trPr>
          <w:trHeight w:val="20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(5,080)</w:t>
            </w:r>
          </w:p>
        </w:tc>
      </w:tr>
      <w:tr>
        <w:trPr>
          <w:trHeight w:val="189"/>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and unrealized (losses) gains</w:t>
            </w: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982</w:t>
            </w:r>
          </w:p>
        </w:tc>
      </w:tr>
      <w:tr>
        <w:trPr>
          <w:trHeight w:val="19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4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7,880</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3,617</w:t>
            </w:r>
          </w:p>
        </w:tc>
      </w:tr>
      <w:tr>
        <w:trPr>
          <w:trHeight w:val="196"/>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44,555</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46,290</w:t>
            </w:r>
          </w:p>
        </w:tc>
      </w:tr>
      <w:tr>
        <w:trPr>
          <w:trHeight w:val="20"/>
        </w:trPr>
        <w:tc>
          <w:tcPr>
            <w:tcW w:w="7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Loans Receivable</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table below summarizes the changes in fair value of loans receivable that are classified as Level 3.</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400" w:type="dxa"/>
            <w:vAlign w:val="bottom"/>
          </w:tcPr>
          <w:p>
            <w:pPr>
              <w:spacing w:after="0"/>
              <w:rPr>
                <w:sz w:val="16"/>
                <w:szCs w:val="16"/>
                <w:color w:val="auto"/>
              </w:rPr>
            </w:pPr>
          </w:p>
        </w:tc>
        <w:tc>
          <w:tcPr>
            <w:tcW w:w="340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7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184"/>
        </w:trPr>
        <w:tc>
          <w:tcPr>
            <w:tcW w:w="73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r>
      <w:tr>
        <w:trPr>
          <w:trHeight w:val="19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54,397</w:t>
            </w:r>
          </w:p>
        </w:tc>
        <w:tc>
          <w:tcPr>
            <w:tcW w:w="260" w:type="dxa"/>
            <w:vAlign w:val="bottom"/>
            <w:shd w:val="clear" w:color="auto" w:fill="CCEEFF"/>
          </w:tcPr>
          <w:p>
            <w:pPr>
              <w:spacing w:after="0"/>
              <w:rPr>
                <w:sz w:val="17"/>
                <w:szCs w:val="17"/>
                <w:color w:val="auto"/>
              </w:rPr>
            </w:pPr>
          </w:p>
        </w:tc>
      </w:tr>
      <w:tr>
        <w:trPr>
          <w:trHeight w:val="189"/>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 loan receivable</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losses</w:t>
            </w:r>
          </w:p>
        </w:tc>
        <w:tc>
          <w:tcPr>
            <w:tcW w:w="4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xml:space="preserve">(26,155)  </w:t>
            </w:r>
            <w:r>
              <w:rPr>
                <w:rFonts w:ascii="Times New Roman" w:cs="Times New Roman" w:eastAsia="Times New Roman" w:hAnsi="Times New Roman"/>
                <w:sz w:val="10"/>
                <w:szCs w:val="10"/>
                <w:b w:val="1"/>
                <w:bCs w:val="1"/>
                <w:color w:val="auto"/>
              </w:rPr>
              <w:t>(1)</w:t>
            </w:r>
          </w:p>
        </w:tc>
      </w:tr>
      <w:tr>
        <w:trPr>
          <w:trHeight w:val="189"/>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accrual</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5,153</w:t>
            </w:r>
          </w:p>
        </w:tc>
        <w:tc>
          <w:tcPr>
            <w:tcW w:w="260" w:type="dxa"/>
            <w:vAlign w:val="bottom"/>
          </w:tcPr>
          <w:p>
            <w:pPr>
              <w:spacing w:after="0"/>
              <w:rPr>
                <w:sz w:val="16"/>
                <w:szCs w:val="16"/>
                <w:color w:val="auto"/>
              </w:rPr>
            </w:pPr>
          </w:p>
        </w:tc>
      </w:tr>
      <w:tr>
        <w:trPr>
          <w:trHeight w:val="19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Paydowns</w:t>
            </w: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260" w:type="dxa"/>
            <w:vAlign w:val="bottom"/>
            <w:shd w:val="clear" w:color="auto" w:fill="CCEEFF"/>
          </w:tcPr>
          <w:p>
            <w:pPr>
              <w:spacing w:after="0"/>
              <w:rPr>
                <w:sz w:val="17"/>
                <w:szCs w:val="17"/>
                <w:color w:val="auto"/>
              </w:rPr>
            </w:pPr>
          </w:p>
        </w:tc>
      </w:tr>
      <w:tr>
        <w:trPr>
          <w:trHeight w:val="196"/>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r>
              <w:rPr>
                <w:rFonts w:ascii="Times New Roman" w:cs="Times New Roman" w:eastAsia="Times New Roman" w:hAnsi="Times New Roman"/>
                <w:sz w:val="9"/>
                <w:szCs w:val="9"/>
                <w:b w:val="1"/>
                <w:bCs w:val="1"/>
                <w:color w:val="auto"/>
              </w:rPr>
              <w:t>(2)</w:t>
            </w: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85,319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32,984</w:t>
            </w:r>
          </w:p>
        </w:tc>
        <w:tc>
          <w:tcPr>
            <w:tcW w:w="260" w:type="dxa"/>
            <w:vAlign w:val="bottom"/>
          </w:tcPr>
          <w:p>
            <w:pPr>
              <w:spacing w:after="0"/>
              <w:rPr>
                <w:sz w:val="17"/>
                <w:szCs w:val="17"/>
                <w:color w:val="auto"/>
              </w:rPr>
            </w:pPr>
          </w:p>
        </w:tc>
      </w:tr>
      <w:tr>
        <w:trPr>
          <w:trHeight w:val="20"/>
        </w:trPr>
        <w:tc>
          <w:tcPr>
            <w:tcW w:w="7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w:t>
      </w:r>
    </w:p>
    <w:p>
      <w:pPr>
        <w:spacing w:after="0" w:line="46" w:lineRule="exact"/>
        <w:rPr>
          <w:sz w:val="20"/>
          <w:szCs w:val="20"/>
          <w:color w:val="auto"/>
        </w:rPr>
      </w:pPr>
    </w:p>
    <w:p>
      <w:pPr>
        <w:ind w:left="320" w:hanging="315"/>
        <w:spacing w:after="0" w:line="262" w:lineRule="auto"/>
        <w:tabs>
          <w:tab w:leader="none" w:pos="312"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a $21,114 impairment loss on advances made for our interest in a joint venture, resulting from a decline in the value of the underlying building. The loss was included in “income (loss) from partially owned entities” on our consolidated statements of income for the year ended December 31, 2023.</w:t>
      </w:r>
    </w:p>
    <w:p>
      <w:pPr>
        <w:spacing w:after="0" w:line="1" w:lineRule="exact"/>
        <w:rPr>
          <w:rFonts w:ascii="Times New Roman" w:cs="Times New Roman" w:eastAsia="Times New Roman" w:hAnsi="Times New Roman"/>
          <w:sz w:val="14"/>
          <w:szCs w:val="14"/>
          <w:b w:val="1"/>
          <w:bCs w:val="1"/>
          <w:color w:val="auto"/>
        </w:rPr>
      </w:pPr>
    </w:p>
    <w:p>
      <w:pPr>
        <w:jc w:val="both"/>
        <w:ind w:left="320" w:hanging="315"/>
        <w:spacing w:after="0" w:line="251" w:lineRule="auto"/>
        <w:tabs>
          <w:tab w:leader="none" w:pos="312"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fair value for $32,984 of the balance was determined by using a discounted cash flow model and Level 3 inputs, which include a terminal capitalization rate of 5.5% and a discount rate of 8.0% as of December 31, 2024 and 2023. The terminal capitalization rate and discount rate disclosed reflect both the range and the weighted average. The fair value for the remaining balance at December 31, 2024 was based on the recent transaction price.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03" w:name="page104"/>
    <w:bookmarkEnd w:id="103"/>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ind w:left="440" w:hanging="435"/>
        <w:spacing w:after="0"/>
        <w:tabs>
          <w:tab w:leader="none" w:pos="44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 - continued</w:t>
      </w:r>
    </w:p>
    <w:p>
      <w:pPr>
        <w:spacing w:after="0" w:line="66" w:lineRule="exact"/>
        <w:rPr>
          <w:sz w:val="20"/>
          <w:szCs w:val="20"/>
          <w:color w:val="auto"/>
        </w:rPr>
      </w:pPr>
    </w:p>
    <w:p>
      <w:pPr>
        <w:ind w:right="4960"/>
        <w:spacing w:after="0" w:line="322" w:lineRule="auto"/>
        <w:rPr>
          <w:sz w:val="20"/>
          <w:szCs w:val="20"/>
          <w:color w:val="auto"/>
        </w:rPr>
      </w:pPr>
      <w:r>
        <w:rPr>
          <w:rFonts w:ascii="Times New Roman" w:cs="Times New Roman" w:eastAsia="Times New Roman" w:hAnsi="Times New Roman"/>
          <w:sz w:val="17"/>
          <w:szCs w:val="17"/>
          <w:i w:val="1"/>
          <w:iCs w:val="1"/>
          <w:color w:val="auto"/>
        </w:rPr>
        <w:t xml:space="preserve">Financial Assets and Liabilities Measured at Fair Value on a Recurring Basis - continued </w:t>
      </w:r>
      <w:r>
        <w:rPr>
          <w:rFonts w:ascii="Times New Roman" w:cs="Times New Roman" w:eastAsia="Times New Roman" w:hAnsi="Times New Roman"/>
          <w:sz w:val="17"/>
          <w:szCs w:val="17"/>
          <w:u w:val="single" w:color="auto"/>
          <w:color w:val="auto"/>
        </w:rPr>
        <w:t>Derivatives and Hedging</w:t>
      </w:r>
    </w:p>
    <w:p>
      <w:pPr>
        <w:spacing w:after="0" w:line="1"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color w:val="auto"/>
        </w:rPr>
        <w:t>We use derivative instruments principally to reduce our exposure to interest rate increases. We do not enter into or hold derivative instruments for speculative trading purposes. We recognize the fair values of all derivatives in "other assets" or "other liabilities" on our consolidated balance sheets. Changes in the fair value of our cash flow hedges are recognized in other comprehensive income until the hedged item is recognized in earnings. Reported net income and equity may increase or decrease prospectively, depending on future levels of interest rates and other variables affecting the fair values of hedging instruments and hedged items, but will have no effect on cash flows. Cash payments and receipts related to our interest rate hedges are classified as operating activities and included within our disclosure of cash paid for interest on our consolidated statements of cash flows, consistent with the classification of the hedged interest payments.</w:t>
      </w:r>
    </w:p>
    <w:p>
      <w:pPr>
        <w:spacing w:after="0" w:line="229"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The following table summarizes our consolidated hedging instruments, all of which hedge variable rate debt, as of December 31, 2024 and 2023, respectively.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4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As of December 31, 2024</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6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All-In</w:t>
            </w:r>
          </w:p>
        </w:tc>
        <w:tc>
          <w:tcPr>
            <w:tcW w:w="100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4"/>
                <w:szCs w:val="14"/>
                <w:b w:val="1"/>
                <w:bCs w:val="1"/>
                <w:color w:val="auto"/>
                <w:w w:val="97"/>
              </w:rPr>
              <w:t>Swap/Cap</w:t>
            </w:r>
          </w:p>
        </w:tc>
        <w:tc>
          <w:tcPr>
            <w:tcW w:w="14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4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Asset</w:t>
            </w: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Swapped Rate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3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18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vMerge w:val="restart"/>
          </w:tcPr>
          <w:p>
            <w:pPr>
              <w:jc w:val="right"/>
              <w:ind w:right="115"/>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555</w:t>
            </w:r>
          </w:p>
        </w:tc>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 Street mortgage loan</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840,000</w:t>
            </w:r>
          </w:p>
        </w:tc>
        <w:tc>
          <w:tcPr>
            <w:tcW w:w="280" w:type="dxa"/>
            <w:vAlign w:val="bottom"/>
            <w:vMerge w:val="continue"/>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6.03%</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05/26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xml:space="preserve">15,494 </w:t>
            </w:r>
            <w:r>
              <w:rPr>
                <w:rFonts w:ascii="Times New Roman" w:cs="Times New Roman" w:eastAsia="Times New Roman" w:hAnsi="Times New Roman"/>
                <w:sz w:val="9"/>
                <w:szCs w:val="9"/>
                <w:b w:val="1"/>
                <w:bCs w:val="1"/>
                <w:color w:val="auto"/>
              </w:rPr>
              <w:t>(2)</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770</w:t>
            </w:r>
          </w:p>
        </w:tc>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Broadway mortgage loan</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280" w:type="dxa"/>
            <w:vAlign w:val="bottom"/>
            <w:vMerge w:val="restart"/>
          </w:tcPr>
          <w:p>
            <w:pPr>
              <w:jc w:val="right"/>
              <w:ind w:right="115"/>
              <w:spacing w:after="0"/>
              <w:rPr>
                <w:sz w:val="20"/>
                <w:szCs w:val="20"/>
                <w:color w:val="auto"/>
              </w:rPr>
            </w:pPr>
            <w:r>
              <w:rPr>
                <w:rFonts w:ascii="Times New Roman" w:cs="Times New Roman" w:eastAsia="Times New Roman" w:hAnsi="Times New Roman"/>
                <w:sz w:val="9"/>
                <w:szCs w:val="9"/>
                <w:b w:val="1"/>
                <w:bCs w:val="1"/>
                <w:color w:val="auto"/>
                <w:w w:val="94"/>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4.98%</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PENN 11 mortgage loan</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280" w:type="dxa"/>
            <w:vAlign w:val="bottom"/>
            <w:vMerge w:val="continue"/>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6.28%</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9"/>
                <w:szCs w:val="9"/>
                <w:b w:val="1"/>
                <w:bCs w:val="1"/>
                <w:color w:val="auto"/>
              </w:rPr>
              <w:t>(4)</w:t>
            </w:r>
          </w:p>
        </w:tc>
        <w:tc>
          <w:tcPr>
            <w:tcW w:w="0" w:type="dxa"/>
            <w:vAlign w:val="bottom"/>
          </w:tcPr>
          <w:p>
            <w:pPr>
              <w:spacing w:after="0"/>
              <w:rPr>
                <w:sz w:val="1"/>
                <w:szCs w:val="1"/>
                <w:color w:val="auto"/>
              </w:rPr>
            </w:pPr>
          </w:p>
        </w:tc>
      </w:tr>
      <w:tr>
        <w:trPr>
          <w:trHeight w:val="196"/>
        </w:trPr>
        <w:tc>
          <w:tcPr>
            <w:tcW w:w="31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Unsecured revolving credit facility</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2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3.88%</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Unsecured term loan</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11,089</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100</w:t>
            </w:r>
          </w:p>
        </w:tc>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West 33rd Street mortgage loan</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480,000</w:t>
            </w:r>
          </w:p>
        </w:tc>
        <w:tc>
          <w:tcPr>
            <w:tcW w:w="280" w:type="dxa"/>
            <w:vAlign w:val="bottom"/>
            <w:vMerge w:val="restart"/>
          </w:tcPr>
          <w:p>
            <w:pPr>
              <w:jc w:val="right"/>
              <w:ind w:right="115"/>
              <w:spacing w:after="0"/>
              <w:rPr>
                <w:sz w:val="20"/>
                <w:szCs w:val="20"/>
                <w:color w:val="auto"/>
              </w:rPr>
            </w:pPr>
            <w:r>
              <w:rPr>
                <w:rFonts w:ascii="Times New Roman" w:cs="Times New Roman" w:eastAsia="Times New Roman" w:hAnsi="Times New Roman"/>
                <w:sz w:val="9"/>
                <w:szCs w:val="9"/>
                <w:b w:val="1"/>
                <w:bCs w:val="1"/>
                <w:color w:val="auto"/>
                <w:w w:val="94"/>
              </w:rPr>
              <w:t>(6)</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5.26%</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06/27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888</w:t>
            </w:r>
          </w:p>
        </w:tc>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Seventh Avenue mortgage loan</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280" w:type="dxa"/>
            <w:vAlign w:val="bottom"/>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4.76%</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09/27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1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4 Union Square South mortgage loan</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96,400</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9"/>
                <w:szCs w:val="9"/>
                <w:b w:val="1"/>
                <w:bCs w:val="1"/>
                <w:color w:val="auto"/>
                <w:w w:val="94"/>
              </w:rPr>
              <w:t>(7)</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3.74%</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gridSpan w:val="2"/>
            <w:shd w:val="clear" w:color="auto" w:fill="CCEEFF"/>
          </w:tcPr>
          <w:p>
            <w:pPr>
              <w:ind w:left="120"/>
              <w:spacing w:after="0" w:line="196" w:lineRule="exact"/>
              <w:rPr>
                <w:sz w:val="20"/>
                <w:szCs w:val="20"/>
                <w:color w:val="auto"/>
              </w:rPr>
            </w:pPr>
            <w:r>
              <w:rPr>
                <w:rFonts w:ascii="Times New Roman" w:cs="Times New Roman" w:eastAsia="Times New Roman" w:hAnsi="Times New Roman"/>
                <w:sz w:val="14"/>
                <w:szCs w:val="14"/>
                <w:color w:val="auto"/>
              </w:rPr>
              <w:t>435 Seventh Avenue mortgage loan</w:t>
            </w:r>
            <w:r>
              <w:rPr>
                <w:rFonts w:ascii="Times New Roman" w:cs="Times New Roman" w:eastAsia="Times New Roman" w:hAnsi="Times New Roman"/>
                <w:sz w:val="18"/>
                <w:szCs w:val="18"/>
                <w:b w:val="1"/>
                <w:bCs w:val="1"/>
                <w:color w:val="auto"/>
                <w:vertAlign w:val="superscript"/>
              </w:rPr>
              <w:t>(8)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6.96%</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04/26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 caps: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1290 Avenue of the Americas mortgage loan</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950,000</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(9)</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53,784</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1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One Park Avenue mortgage loan</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525,000</w:t>
            </w:r>
          </w:p>
        </w:tc>
        <w:tc>
          <w:tcPr>
            <w:tcW w:w="2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5,297</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 mortgage loans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88,982</w:t>
            </w: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138,772</w:t>
            </w:r>
          </w:p>
        </w:tc>
        <w:tc>
          <w:tcPr>
            <w:tcW w:w="2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-1787525</wp:posOffset>
            </wp:positionV>
            <wp:extent cx="7136130" cy="1244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-1537970</wp:posOffset>
            </wp:positionV>
            <wp:extent cx="7136130" cy="1244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-1038860</wp:posOffset>
            </wp:positionV>
            <wp:extent cx="7136130" cy="1244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6130" cy="12446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46" w:lineRule="exact"/>
        <w:rPr>
          <w:sz w:val="20"/>
          <w:szCs w:val="20"/>
          <w:color w:val="auto"/>
        </w:rPr>
      </w:pPr>
    </w:p>
    <w:p>
      <w:pPr>
        <w:ind w:left="320" w:hanging="315"/>
        <w:spacing w:after="0"/>
        <w:tabs>
          <w:tab w:leader="none" w:pos="320"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our 70.0% share of the $1.2 billion mortgage loan.</w:t>
      </w:r>
    </w:p>
    <w:p>
      <w:pPr>
        <w:spacing w:after="0" w:line="21"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the fair value of the interest rate swap arrangement that expired in May 2024.</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line="246" w:lineRule="auto"/>
        <w:tabs>
          <w:tab w:leader="none" w:pos="312"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January 2024, we entered into an interest rate swap arrangement for $250,000 of the $500,000 PENN 11 mortgage loan. Together with the existing swap arrangement the loan will bear interest at an all-in swapped rate of 6.28% through October 2025.</w:t>
      </w:r>
    </w:p>
    <w:p>
      <w:pPr>
        <w:spacing w:after="0" w:line="1"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the fair value of the forward swap arrangement which became effective March 2024.</w:t>
      </w:r>
    </w:p>
    <w:p>
      <w:pPr>
        <w:spacing w:after="0" w:line="5" w:lineRule="exact"/>
        <w:rPr>
          <w:rFonts w:ascii="Times New Roman" w:cs="Times New Roman" w:eastAsia="Times New Roman" w:hAnsi="Times New Roman"/>
          <w:sz w:val="14"/>
          <w:szCs w:val="14"/>
          <w:b w:val="1"/>
          <w:bCs w:val="1"/>
          <w:color w:val="auto"/>
        </w:rPr>
      </w:pPr>
    </w:p>
    <w:p>
      <w:pPr>
        <w:ind w:left="320" w:hanging="315"/>
        <w:spacing w:after="0" w:line="267" w:lineRule="auto"/>
        <w:tabs>
          <w:tab w:leader="none" w:pos="312"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the aggregate fair value of various interest rate swap arrangements to hedge interest payments on our unsecured term loan, which matures in December 2027. The impact of these interest rate swap arrangements is detailed below:</w:t>
      </w:r>
    </w:p>
    <w:p>
      <w:pPr>
        <w:spacing w:after="0" w:line="41"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Swapped Balance</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All-In Swapped Rate</w:t>
            </w:r>
          </w:p>
        </w:tc>
        <w:tc>
          <w:tcPr>
            <w:tcW w:w="100" w:type="dxa"/>
            <w:vAlign w:val="bottom"/>
          </w:tcPr>
          <w:p>
            <w:pPr>
              <w:spacing w:after="0"/>
              <w:rPr>
                <w:sz w:val="13"/>
                <w:szCs w:val="13"/>
                <w:color w:val="auto"/>
              </w:rPr>
            </w:pP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Unswapped Balance</w:t>
            </w: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7"/>
              </w:rPr>
              <w:t>(bears interest at S+130)</w:t>
            </w:r>
          </w:p>
        </w:tc>
        <w:tc>
          <w:tcPr>
            <w:tcW w:w="0" w:type="dxa"/>
            <w:vAlign w:val="bottom"/>
          </w:tcPr>
          <w:p>
            <w:pPr>
              <w:spacing w:after="0"/>
              <w:rPr>
                <w:sz w:val="1"/>
                <w:szCs w:val="1"/>
                <w:color w:val="auto"/>
              </w:rPr>
            </w:pPr>
          </w:p>
        </w:tc>
      </w:tr>
      <w:tr>
        <w:trPr>
          <w:trHeight w:val="196"/>
        </w:trPr>
        <w:tc>
          <w:tcPr>
            <w:tcW w:w="16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Through 07/25</w:t>
            </w: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89"/>
        </w:trPr>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07/25 through 10/26</w:t>
            </w: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204"/>
        </w:trPr>
        <w:tc>
          <w:tcPr>
            <w:tcW w:w="1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10/26 through 08/27</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20" w:hanging="315"/>
        <w:spacing w:after="0"/>
        <w:tabs>
          <w:tab w:leader="none" w:pos="320" w:val="left"/>
        </w:tabs>
        <w:numPr>
          <w:ilvl w:val="0"/>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remaining $58,057 mortgage loan balance bears interest at a floating rate of SOFR plus 1.80% (6.35% as of December 31, 2024).</w:t>
      </w:r>
    </w:p>
    <w:p>
      <w:pPr>
        <w:spacing w:after="0" w:line="21"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remaining $23,600 mortgage loan balance bears interest at a floating rate of SOFR plus 1.50% (6.05% as of December 31, 2024).</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Entered into in May 2024.</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SOFR strike rate of 1.00%. In connection with the arrangement, we made a $63,100 up-front payment in 2023, of which $18,930 was attributable to noncontrolling interests.</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SOFR cap strike rate of 3.89%.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04" w:name="page105"/>
    <w:bookmarkEnd w:id="104"/>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ind w:right="7760" w:firstLine="5"/>
        <w:spacing w:after="0" w:line="322" w:lineRule="auto"/>
        <w:tabs>
          <w:tab w:leader="none" w:pos="436"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 continued </w:t>
      </w:r>
      <w:r>
        <w:rPr>
          <w:rFonts w:ascii="Times New Roman" w:cs="Times New Roman" w:eastAsia="Times New Roman" w:hAnsi="Times New Roman"/>
          <w:sz w:val="17"/>
          <w:szCs w:val="17"/>
          <w:i w:val="1"/>
          <w:iCs w:val="1"/>
          <w:color w:val="auto"/>
        </w:rPr>
        <w:t>Fair Value Measurements on a Nonrecurring Basis</w:t>
      </w:r>
    </w:p>
    <w:p>
      <w:pPr>
        <w:spacing w:after="0" w:line="1" w:lineRule="exact"/>
        <w:rPr>
          <w:sz w:val="20"/>
          <w:szCs w:val="20"/>
          <w:color w:val="auto"/>
        </w:rPr>
      </w:pPr>
    </w:p>
    <w:p>
      <w:pPr>
        <w:ind w:right="100" w:firstLine="314"/>
        <w:spacing w:after="0" w:line="296" w:lineRule="auto"/>
        <w:rPr>
          <w:sz w:val="20"/>
          <w:szCs w:val="20"/>
          <w:color w:val="auto"/>
        </w:rPr>
      </w:pPr>
      <w:r>
        <w:rPr>
          <w:rFonts w:ascii="Times New Roman" w:cs="Times New Roman" w:eastAsia="Times New Roman" w:hAnsi="Times New Roman"/>
          <w:sz w:val="17"/>
          <w:szCs w:val="17"/>
          <w:color w:val="auto"/>
        </w:rPr>
        <w:t>There were no assets measured at fair value on a nonrecurring basis on our consolidated balance sheet as of December 31, 2024. During the year ended December 31, 2023, we recognized impairment losses on certain real estate investments. The following table sets forth the details of our impairment losses.</w:t>
      </w:r>
    </w:p>
    <w:p>
      <w:pPr>
        <w:spacing w:after="0" w:line="31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40" w:type="dxa"/>
            <w:vAlign w:val="bottom"/>
          </w:tcPr>
          <w:p>
            <w:pPr>
              <w:spacing w:after="0"/>
              <w:rPr>
                <w:sz w:val="16"/>
                <w:szCs w:val="16"/>
                <w:color w:val="auto"/>
              </w:rPr>
            </w:pPr>
          </w:p>
        </w:tc>
        <w:tc>
          <w:tcPr>
            <w:tcW w:w="3300" w:type="dxa"/>
            <w:vAlign w:val="bottom"/>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As of and For the Year December 31, 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 Fair Value</w:t>
            </w:r>
          </w:p>
        </w:tc>
        <w:tc>
          <w:tcPr>
            <w:tcW w:w="180" w:type="dxa"/>
            <w:vAlign w:val="bottom"/>
          </w:tcPr>
          <w:p>
            <w:pPr>
              <w:spacing w:after="0"/>
              <w:rPr>
                <w:sz w:val="15"/>
                <w:szCs w:val="15"/>
                <w:color w:val="auto"/>
              </w:rPr>
            </w:pP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Impairment Losses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79"/>
              </w:rPr>
              <w:t>(1</w:t>
            </w:r>
          </w:p>
        </w:tc>
        <w:tc>
          <w:tcPr>
            <w:tcW w:w="0" w:type="dxa"/>
            <w:vAlign w:val="bottom"/>
          </w:tcPr>
          <w:p>
            <w:pPr>
              <w:spacing w:after="0"/>
              <w:rPr>
                <w:sz w:val="1"/>
                <w:szCs w:val="1"/>
                <w:color w:val="auto"/>
              </w:rPr>
            </w:pPr>
          </w:p>
        </w:tc>
      </w:tr>
      <w:tr>
        <w:trPr>
          <w:trHeight w:val="156"/>
        </w:trPr>
        <w:tc>
          <w:tcPr>
            <w:tcW w:w="75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Consolidated real estate assets</w:t>
            </w:r>
          </w:p>
        </w:tc>
        <w:tc>
          <w:tcPr>
            <w:tcW w:w="1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55,097</w:t>
            </w: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1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45,007</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partially owned entities</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29,344</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79"/>
              </w:rPr>
              <w:t>(2</w:t>
            </w:r>
          </w:p>
        </w:tc>
        <w:tc>
          <w:tcPr>
            <w:tcW w:w="0" w:type="dxa"/>
            <w:vAlign w:val="bottom"/>
          </w:tcPr>
          <w:p>
            <w:pPr>
              <w:spacing w:after="0"/>
              <w:rPr>
                <w:sz w:val="1"/>
                <w:szCs w:val="1"/>
                <w:color w:val="auto"/>
              </w:rPr>
            </w:pPr>
          </w:p>
        </w:tc>
      </w:tr>
      <w:tr>
        <w:trPr>
          <w:trHeight w:val="23"/>
        </w:trPr>
        <w:tc>
          <w:tcPr>
            <w:tcW w:w="7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76,570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74,351</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-423545</wp:posOffset>
            </wp:positionV>
            <wp:extent cx="6998335" cy="133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8335" cy="13335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10" w:lineRule="exact"/>
        <w:rPr>
          <w:sz w:val="20"/>
          <w:szCs w:val="20"/>
          <w:color w:val="auto"/>
        </w:rPr>
      </w:pPr>
    </w:p>
    <w:p>
      <w:pPr>
        <w:ind w:left="320" w:hanging="315"/>
        <w:spacing w:after="0"/>
        <w:tabs>
          <w:tab w:leader="none" w:pos="320" w:val="left"/>
        </w:tabs>
        <w:numPr>
          <w:ilvl w:val="0"/>
          <w:numId w:val="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$22,176 attributable to noncontrolling interests.</w:t>
      </w:r>
    </w:p>
    <w:p>
      <w:pPr>
        <w:spacing w:after="0" w:line="5"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Excludes a $21,114 impairment loss on advances made for our interest in a joint venture.</w:t>
      </w:r>
    </w:p>
    <w:p>
      <w:pPr>
        <w:spacing w:after="0" w:line="106" w:lineRule="exact"/>
        <w:rPr>
          <w:sz w:val="20"/>
          <w:szCs w:val="20"/>
          <w:color w:val="auto"/>
        </w:rPr>
      </w:pPr>
    </w:p>
    <w:p>
      <w:pPr>
        <w:jc w:val="both"/>
        <w:ind w:right="100" w:firstLine="314"/>
        <w:spacing w:after="0" w:line="296" w:lineRule="auto"/>
        <w:rPr>
          <w:sz w:val="20"/>
          <w:szCs w:val="20"/>
          <w:color w:val="auto"/>
        </w:rPr>
      </w:pPr>
      <w:r>
        <w:rPr>
          <w:rFonts w:ascii="Times New Roman" w:cs="Times New Roman" w:eastAsia="Times New Roman" w:hAnsi="Times New Roman"/>
          <w:sz w:val="17"/>
          <w:szCs w:val="17"/>
          <w:color w:val="auto"/>
        </w:rPr>
        <w:t>The fair value of these assets was measured using discounted cash flow analyses and Level 3 inputs. Significant unobservable quantitative inputs in the table below were utilized in determining the fair value of these real estate assets.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tcPr>
          <w:p>
            <w:pPr>
              <w:spacing w:after="0"/>
              <w:rPr>
                <w:sz w:val="16"/>
                <w:szCs w:val="16"/>
                <w:color w:val="auto"/>
              </w:rPr>
            </w:pPr>
          </w:p>
        </w:tc>
        <w:tc>
          <w:tcPr>
            <w:tcW w:w="352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23"/>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 Quantitative Input</w:t>
            </w:r>
          </w:p>
        </w:tc>
        <w:tc>
          <w:tcPr>
            <w:tcW w:w="180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720" w:type="dxa"/>
            <w:vAlign w:val="bottom"/>
            <w:vMerge w:val="continue"/>
          </w:tcPr>
          <w:p>
            <w:pPr>
              <w:spacing w:after="0"/>
              <w:rPr>
                <w:sz w:val="15"/>
                <w:szCs w:val="15"/>
                <w:color w:val="auto"/>
              </w:rPr>
            </w:pPr>
          </w:p>
        </w:tc>
        <w:tc>
          <w:tcPr>
            <w:tcW w:w="180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0" w:type="dxa"/>
            <w:vAlign w:val="bottom"/>
          </w:tcPr>
          <w:p>
            <w:pPr>
              <w:spacing w:after="0"/>
              <w:rPr>
                <w:sz w:val="1"/>
                <w:szCs w:val="1"/>
                <w:color w:val="auto"/>
              </w:rPr>
            </w:pPr>
          </w:p>
        </w:tc>
      </w:tr>
      <w:tr>
        <w:trPr>
          <w:trHeight w:val="196"/>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rates</w:t>
            </w:r>
          </w:p>
        </w:tc>
        <w:tc>
          <w:tcPr>
            <w:tcW w:w="17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rPr>
              <w:t>7.50% - 8.00%</w:t>
            </w:r>
          </w:p>
        </w:tc>
        <w:tc>
          <w:tcPr>
            <w:tcW w:w="8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7.99%</w:t>
            </w:r>
          </w:p>
        </w:tc>
        <w:tc>
          <w:tcPr>
            <w:tcW w:w="0" w:type="dxa"/>
            <w:vAlign w:val="bottom"/>
          </w:tcPr>
          <w:p>
            <w:pPr>
              <w:spacing w:after="0"/>
              <w:rPr>
                <w:sz w:val="1"/>
                <w:szCs w:val="1"/>
                <w:color w:val="auto"/>
              </w:rPr>
            </w:pPr>
          </w:p>
        </w:tc>
      </w:tr>
      <w:tr>
        <w:trPr>
          <w:trHeight w:val="182"/>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Terminal capitalization rates</w:t>
            </w:r>
          </w:p>
        </w:tc>
        <w:tc>
          <w:tcPr>
            <w:tcW w:w="1720" w:type="dxa"/>
            <w:vAlign w:val="bottom"/>
          </w:tcPr>
          <w:p>
            <w:pPr>
              <w:jc w:val="right"/>
              <w:ind w:right="610"/>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Assets and Liabilities not Measured at Fair Value</w:t>
      </w:r>
    </w:p>
    <w:p>
      <w:pPr>
        <w:spacing w:after="0" w:line="68" w:lineRule="exact"/>
        <w:rPr>
          <w:sz w:val="20"/>
          <w:szCs w:val="20"/>
          <w:color w:val="auto"/>
        </w:rPr>
      </w:pPr>
    </w:p>
    <w:p>
      <w:pPr>
        <w:jc w:val="both"/>
        <w:ind w:right="100" w:firstLine="314"/>
        <w:spacing w:after="0" w:line="263" w:lineRule="auto"/>
        <w:rPr>
          <w:sz w:val="20"/>
          <w:szCs w:val="20"/>
          <w:color w:val="auto"/>
        </w:rPr>
      </w:pPr>
      <w:r>
        <w:rPr>
          <w:rFonts w:ascii="Times New Roman" w:cs="Times New Roman" w:eastAsia="Times New Roman" w:hAnsi="Times New Roman"/>
          <w:sz w:val="17"/>
          <w:szCs w:val="17"/>
          <w:color w:val="auto"/>
        </w:rPr>
        <w:t>Financial assets and liabilities that are not measured at fair value on our consolidated balance sheets include cash equivalents (primarily money market funds, which invest in obligations of the United States government) and our secured and unsecured debt. Estimates of the fair value of these instruments are determined by the standard practice of modeling the contractual cash flows required under the instrument and discounting them back to their present value at the appropriate current risk adjusted interest rate, which is provided by a third-party specialist. For floating rate debt, we use forward rates derived from observable market yield curves to project the expected cash flows we would be required to make under the instrument. The fair value of cash equivalents and borrowings under our unsecured revolving credit facilities and unsecured term loan are classified as Level 1. The fair value of our secured debt and unsecured debt are classified as Level 2. The table below summarizes the carrying amounts and fair value of these financial instruments.</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6"/>
                <w:szCs w:val="16"/>
                <w:color w:val="auto"/>
              </w:rPr>
            </w:pPr>
          </w:p>
        </w:tc>
        <w:tc>
          <w:tcPr>
            <w:tcW w:w="32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60" w:type="dxa"/>
            <w:vAlign w:val="bottom"/>
          </w:tcPr>
          <w:p>
            <w:pPr>
              <w:spacing w:after="0"/>
              <w:rPr>
                <w:sz w:val="16"/>
                <w:szCs w:val="16"/>
                <w:color w:val="auto"/>
              </w:rPr>
            </w:pPr>
          </w:p>
        </w:tc>
        <w:tc>
          <w:tcPr>
            <w:tcW w:w="2940" w:type="dxa"/>
            <w:vAlign w:val="bottom"/>
            <w:gridSpan w:val="4"/>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5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370"/>
              <w:spacing w:after="0" w:line="12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250"/>
              <w:spacing w:after="0" w:line="124" w:lineRule="exact"/>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390"/>
              <w:spacing w:after="0" w:line="12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550"/>
              <w:spacing w:after="0" w:line="124"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6"/>
                <w:szCs w:val="16"/>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1"/>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equivalents</w:t>
            </w: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639,366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639,000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825,720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826,000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Debt: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Mortgages payable</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5,707,176</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5,486,000</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5,729,615</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5,569,000</w:t>
            </w:r>
          </w:p>
        </w:tc>
        <w:tc>
          <w:tcPr>
            <w:tcW w:w="0" w:type="dxa"/>
            <w:vAlign w:val="bottom"/>
          </w:tcPr>
          <w:p>
            <w:pPr>
              <w:spacing w:after="0"/>
              <w:rPr>
                <w:sz w:val="1"/>
                <w:szCs w:val="1"/>
                <w:color w:val="auto"/>
              </w:rPr>
            </w:pPr>
          </w:p>
        </w:tc>
      </w:tr>
      <w:tr>
        <w:trPr>
          <w:trHeight w:val="189"/>
        </w:trPr>
        <w:tc>
          <w:tcPr>
            <w:tcW w:w="45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Senior unsecured notes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1,129,000</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1,069,000</w:t>
            </w:r>
          </w:p>
        </w:tc>
        <w:tc>
          <w:tcPr>
            <w:tcW w:w="0" w:type="dxa"/>
            <w:vAlign w:val="bottom"/>
          </w:tcPr>
          <w:p>
            <w:pPr>
              <w:spacing w:after="0"/>
              <w:rPr>
                <w:sz w:val="1"/>
                <w:szCs w:val="1"/>
                <w:color w:val="auto"/>
              </w:rPr>
            </w:pPr>
          </w:p>
        </w:tc>
      </w:tr>
      <w:tr>
        <w:trPr>
          <w:trHeight w:val="204"/>
        </w:trPr>
        <w:tc>
          <w:tcPr>
            <w:tcW w:w="4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Unsecured term loan</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800,000</w:t>
            </w:r>
          </w:p>
        </w:tc>
        <w:tc>
          <w:tcPr>
            <w:tcW w:w="0" w:type="dxa"/>
            <w:vAlign w:val="bottom"/>
          </w:tcPr>
          <w:p>
            <w:pPr>
              <w:spacing w:after="0"/>
              <w:rPr>
                <w:sz w:val="1"/>
                <w:szCs w:val="1"/>
                <w:color w:val="auto"/>
              </w:rPr>
            </w:pPr>
          </w:p>
        </w:tc>
      </w:tr>
      <w:tr>
        <w:trPr>
          <w:trHeight w:val="190"/>
        </w:trPr>
        <w:tc>
          <w:tcPr>
            <w:tcW w:w="4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Unsecured revolving credit facilities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3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3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3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575,000</w:t>
            </w:r>
          </w:p>
        </w:tc>
        <w:tc>
          <w:tcPr>
            <w:tcW w:w="0" w:type="dxa"/>
            <w:vAlign w:val="bottom"/>
          </w:tcPr>
          <w:p>
            <w:pPr>
              <w:spacing w:after="0"/>
              <w:rPr>
                <w:sz w:val="1"/>
                <w:szCs w:val="1"/>
                <w:color w:val="auto"/>
              </w:rPr>
            </w:pPr>
          </w:p>
        </w:tc>
      </w:tr>
      <w:tr>
        <w:trPr>
          <w:trHeight w:val="221"/>
        </w:trPr>
        <w:tc>
          <w:tcPr>
            <w:tcW w:w="45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8,282,176</w:t>
            </w:r>
          </w:p>
        </w:tc>
        <w:tc>
          <w:tcPr>
            <w:tcW w:w="3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7,990,000</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8,304,615</w:t>
            </w:r>
          </w:p>
        </w:tc>
        <w:tc>
          <w:tcPr>
            <w:tcW w:w="3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8,013,000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22" w:lineRule="exact"/>
        <w:rPr>
          <w:sz w:val="20"/>
          <w:szCs w:val="20"/>
          <w:color w:val="auto"/>
        </w:rPr>
      </w:pPr>
    </w:p>
    <w:p>
      <w:pPr>
        <w:ind w:left="320" w:hanging="315"/>
        <w:spacing w:after="0"/>
        <w:tabs>
          <w:tab w:leader="none" w:pos="320"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Excludes $39,300 and $53,163 of deferred financing costs, net and other as of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591" w:right="239" w:bottom="1440" w:gutter="0" w:footer="0" w:header="0"/>
        </w:sectPr>
      </w:pPr>
    </w:p>
    <w:bookmarkStart w:id="105" w:name="page106"/>
    <w:bookmarkEnd w:id="105"/>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15.</w:t>
        <w:tab/>
        <w:t>Transaction Related Costs, Impairment losses and Other</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the details of impairment losses, transaction related costs and other: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920" w:type="dxa"/>
            <w:vAlign w:val="bottom"/>
          </w:tcPr>
          <w:p>
            <w:pPr>
              <w:spacing w:after="0"/>
              <w:rPr>
                <w:sz w:val="16"/>
                <w:szCs w:val="16"/>
                <w:color w:val="auto"/>
              </w:rPr>
            </w:pPr>
          </w:p>
        </w:tc>
        <w:tc>
          <w:tcPr>
            <w:tcW w:w="240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Pr>
          <w:p>
            <w:pPr>
              <w:spacing w:after="0"/>
              <w:rPr>
                <w:sz w:val="16"/>
                <w:szCs w:val="16"/>
                <w:color w:val="auto"/>
              </w:rPr>
            </w:pPr>
          </w:p>
        </w:tc>
      </w:tr>
      <w:tr>
        <w:trPr>
          <w:trHeight w:val="23"/>
        </w:trPr>
        <w:tc>
          <w:tcPr>
            <w:tcW w:w="6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69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 related costs and other</w:t>
            </w:r>
          </w:p>
        </w:tc>
        <w:tc>
          <w:tcPr>
            <w:tcW w:w="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12,624</w:t>
            </w:r>
          </w:p>
        </w:tc>
      </w:tr>
      <w:tr>
        <w:trPr>
          <w:trHeight w:val="196"/>
        </w:trPr>
        <w:tc>
          <w:tcPr>
            <w:tcW w:w="694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Real estate impairment losses</w:t>
            </w:r>
            <w:r>
              <w:rPr>
                <w:rFonts w:ascii="Times New Roman" w:cs="Times New Roman" w:eastAsia="Times New Roman" w:hAnsi="Times New Roman"/>
                <w:sz w:val="18"/>
                <w:szCs w:val="18"/>
                <w:b w:val="1"/>
                <w:bCs w:val="1"/>
                <w:color w:val="auto"/>
                <w:vertAlign w:val="superscript"/>
              </w:rPr>
              <w:t>(1)</w:t>
            </w:r>
          </w:p>
        </w:tc>
        <w:tc>
          <w:tcPr>
            <w:tcW w:w="92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19,098</w:t>
            </w:r>
          </w:p>
        </w:tc>
      </w:tr>
      <w:tr>
        <w:trPr>
          <w:trHeight w:val="208"/>
        </w:trPr>
        <w:tc>
          <w:tcPr>
            <w:tcW w:w="69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50,691</w:t>
            </w: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10" w:lineRule="exact"/>
        <w:rPr>
          <w:sz w:val="20"/>
          <w:szCs w:val="20"/>
          <w:color w:val="auto"/>
        </w:rPr>
      </w:pPr>
    </w:p>
    <w:p>
      <w:pPr>
        <w:ind w:left="320" w:hanging="315"/>
        <w:spacing w:after="0"/>
        <w:tabs>
          <w:tab w:leader="none" w:pos="320"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See Note 14 -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for additional information. 2023 includes $22,176 of impairment loss attributable to noncontrolling interests.</w:t>
      </w:r>
    </w:p>
    <w:p>
      <w:pPr>
        <w:spacing w:after="0" w:line="15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16.</w:t>
        <w:tab/>
        <w:t>Interest and Other Investment Income, Net</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the details of interest and other investment income, net: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880" w:type="dxa"/>
            <w:vAlign w:val="bottom"/>
          </w:tcPr>
          <w:p>
            <w:pPr>
              <w:spacing w:after="0"/>
              <w:rPr>
                <w:sz w:val="16"/>
                <w:szCs w:val="16"/>
                <w:color w:val="auto"/>
              </w:rPr>
            </w:pPr>
          </w:p>
        </w:tc>
        <w:tc>
          <w:tcPr>
            <w:tcW w:w="244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Pr>
          <w:p>
            <w:pPr>
              <w:spacing w:after="0"/>
              <w:rPr>
                <w:sz w:val="16"/>
                <w:szCs w:val="16"/>
                <w:color w:val="auto"/>
              </w:rPr>
            </w:pPr>
          </w:p>
        </w:tc>
      </w:tr>
      <w:tr>
        <w:trPr>
          <w:trHeight w:val="23"/>
        </w:trPr>
        <w:tc>
          <w:tcPr>
            <w:tcW w:w="69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69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on cash and cash equivalents and restricted cash</w:t>
            </w:r>
          </w:p>
        </w:tc>
        <w:tc>
          <w:tcPr>
            <w:tcW w:w="8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44,786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7,553</w:t>
            </w:r>
          </w:p>
        </w:tc>
      </w:tr>
      <w:tr>
        <w:trPr>
          <w:trHeight w:val="18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on loans receivable</w:t>
            </w: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5,006</w:t>
            </w:r>
          </w:p>
        </w:tc>
      </w:tr>
      <w:tr>
        <w:trPr>
          <w:trHeight w:val="204"/>
        </w:trPr>
        <w:tc>
          <w:tcPr>
            <w:tcW w:w="69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(Loss) income from real estate fund investments</w:t>
            </w:r>
            <w:r>
              <w:rPr>
                <w:rFonts w:ascii="Times New Roman" w:cs="Times New Roman" w:eastAsia="Times New Roman" w:hAnsi="Times New Roman"/>
                <w:sz w:val="18"/>
                <w:szCs w:val="18"/>
                <w:b w:val="1"/>
                <w:bCs w:val="1"/>
                <w:color w:val="auto"/>
                <w:vertAlign w:val="superscript"/>
              </w:rPr>
              <w:t>(1)</w:t>
            </w: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w:t>
            </w:r>
          </w:p>
        </w:tc>
      </w:tr>
      <w:tr>
        <w:trPr>
          <w:trHeight w:val="18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discount on investments in U.S. Treasury bills</w:t>
            </w:r>
          </w:p>
        </w:tc>
        <w:tc>
          <w:tcPr>
            <w:tcW w:w="8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7,075</w:t>
            </w:r>
          </w:p>
        </w:tc>
      </w:tr>
      <w:tr>
        <w:trPr>
          <w:trHeight w:val="20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losses on investments</w:t>
            </w:r>
          </w:p>
        </w:tc>
        <w:tc>
          <w:tcPr>
            <w:tcW w:w="8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215"/>
        </w:trPr>
        <w:tc>
          <w:tcPr>
            <w:tcW w:w="69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23,410</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10" w:lineRule="exact"/>
        <w:rPr>
          <w:sz w:val="20"/>
          <w:szCs w:val="20"/>
          <w:color w:val="auto"/>
        </w:rPr>
      </w:pPr>
    </w:p>
    <w:p>
      <w:pPr>
        <w:ind w:left="320" w:hanging="315"/>
        <w:spacing w:after="0" w:line="261" w:lineRule="auto"/>
        <w:tabs>
          <w:tab w:leader="none" w:pos="312" w:val="left"/>
        </w:tabs>
        <w:numPr>
          <w:ilvl w:val="0"/>
          <w:numId w:val="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November 6, 2024, the $145,000 non-recourse mortgage loan on Lucida, a property owned by the Vornado Capital Partners Real Estate Fund, in which we own a 25% interest, matured and was not repaid.</w:t>
      </w:r>
    </w:p>
    <w:p>
      <w:pPr>
        <w:spacing w:after="0" w:line="13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17.</w:t>
        <w:tab/>
        <w:t>Interest and Debt Expense</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The following table sets forth the details of interest and debt expense: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800" w:type="dxa"/>
            <w:vAlign w:val="bottom"/>
          </w:tcPr>
          <w:p>
            <w:pPr>
              <w:spacing w:after="0"/>
              <w:rPr>
                <w:sz w:val="16"/>
                <w:szCs w:val="16"/>
                <w:color w:val="auto"/>
              </w:rPr>
            </w:pPr>
          </w:p>
        </w:tc>
        <w:tc>
          <w:tcPr>
            <w:tcW w:w="242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2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7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377,813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357,995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276,616</w:t>
            </w:r>
          </w:p>
        </w:tc>
      </w:tr>
      <w:tr>
        <w:trPr>
          <w:trHeight w:val="189"/>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interest and debt expense</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(51,212)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(43,062)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(19,085)</w:t>
            </w: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interest rate cap premiums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41,745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r>
      <w:tr>
        <w:trPr>
          <w:trHeight w:val="19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deferred financing fees</w:t>
            </w:r>
          </w:p>
        </w:tc>
        <w:tc>
          <w:tcPr>
            <w:tcW w:w="8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23,301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21,804</w:t>
            </w:r>
          </w:p>
        </w:tc>
      </w:tr>
      <w:tr>
        <w:trPr>
          <w:trHeight w:val="215"/>
        </w:trPr>
        <w:tc>
          <w:tcPr>
            <w:tcW w:w="7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390,269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349,223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279,765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106" w:name="page107"/>
    <w:bookmarkEnd w:id="106"/>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ind w:left="440" w:hanging="435"/>
        <w:spacing w:after="0"/>
        <w:tabs>
          <w:tab w:leader="none" w:pos="440"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68"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As lessor</w:t>
      </w:r>
    </w:p>
    <w:p>
      <w:pPr>
        <w:spacing w:after="0" w:line="66" w:lineRule="exact"/>
        <w:rPr>
          <w:sz w:val="20"/>
          <w:szCs w:val="20"/>
          <w:color w:val="auto"/>
        </w:rPr>
      </w:pPr>
    </w:p>
    <w:p>
      <w:pPr>
        <w:jc w:val="both"/>
        <w:ind w:firstLine="314"/>
        <w:spacing w:after="0" w:line="213" w:lineRule="exact"/>
        <w:rPr>
          <w:sz w:val="20"/>
          <w:szCs w:val="20"/>
          <w:color w:val="auto"/>
        </w:rPr>
      </w:pPr>
      <w:r>
        <w:rPr>
          <w:rFonts w:ascii="Times New Roman" w:cs="Times New Roman" w:eastAsia="Times New Roman" w:hAnsi="Times New Roman"/>
          <w:sz w:val="17"/>
          <w:szCs w:val="17"/>
          <w:color w:val="auto"/>
        </w:rPr>
        <w:t>We lease space to tenants under operating leases. Most of the leases provide for the payment of fixed base rent payable monthly in advance. Leases typically provide for periodic step</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ups in rent over the term of the lease and pass through to tenants their share of increases in real estate taxes and operating expenses over a base year. Certain leases also require additional variable rent payments based on a percentage of the tenants’ sales. Electricity is provided to tenants on a sub-metered basis or included in rent based on surveys and adjusted for subsequent utility rate increases. Leases also typically provide for free rent and tenant improvement allowances for all or a portion of the tenant’s initial construction costs of its premises.</w:t>
      </w:r>
    </w:p>
    <w:p>
      <w:pPr>
        <w:spacing w:after="0" w:line="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2024, future undiscounted cash flows under non-cancelable operating leases were as follows:</w:t>
      </w:r>
    </w:p>
    <w:p>
      <w:pPr>
        <w:spacing w:after="0" w:line="152" w:lineRule="exact"/>
        <w:rPr>
          <w:sz w:val="20"/>
          <w:szCs w:val="20"/>
          <w:color w:val="auto"/>
        </w:rPr>
      </w:pPr>
    </w:p>
    <w:tbl>
      <w:tblPr>
        <w:tblLayout w:type="fixed"/>
        <w:tblInd w:w="1520" w:type="dxa"/>
        <w:tblCellMar>
          <w:top w:w="0" w:type="dxa"/>
          <w:left w:w="0" w:type="dxa"/>
          <w:bottom w:w="0" w:type="dxa"/>
          <w:right w:w="0" w:type="dxa"/>
        </w:tblCellMar>
      </w:tblPr>
      <w:tr>
        <w:trPr>
          <w:trHeight w:val="184"/>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180" w:type="dxa"/>
            <w:vAlign w:val="bottom"/>
          </w:tcPr>
          <w:p>
            <w:pPr>
              <w:spacing w:after="0"/>
              <w:rPr>
                <w:sz w:val="16"/>
                <w:szCs w:val="16"/>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23"/>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6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1,290,179</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1,268,356</w:t>
            </w:r>
          </w:p>
        </w:tc>
        <w:tc>
          <w:tcPr>
            <w:tcW w:w="0" w:type="dxa"/>
            <w:vAlign w:val="bottom"/>
          </w:tcPr>
          <w:p>
            <w:pPr>
              <w:spacing w:after="0"/>
              <w:rPr>
                <w:sz w:val="1"/>
                <w:szCs w:val="1"/>
                <w:color w:val="auto"/>
              </w:rPr>
            </w:pPr>
          </w:p>
        </w:tc>
      </w:tr>
      <w:tr>
        <w:trPr>
          <w:trHeight w:val="20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1,169,119</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1,074,024</w:t>
            </w:r>
          </w:p>
        </w:tc>
        <w:tc>
          <w:tcPr>
            <w:tcW w:w="0" w:type="dxa"/>
            <w:vAlign w:val="bottom"/>
          </w:tcPr>
          <w:p>
            <w:pPr>
              <w:spacing w:after="0"/>
              <w:rPr>
                <w:sz w:val="1"/>
                <w:szCs w:val="1"/>
                <w:color w:val="auto"/>
              </w:rPr>
            </w:pPr>
          </w:p>
        </w:tc>
      </w:tr>
      <w:tr>
        <w:trPr>
          <w:trHeight w:val="20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958,233</w:t>
            </w:r>
          </w:p>
        </w:tc>
        <w:tc>
          <w:tcPr>
            <w:tcW w:w="0" w:type="dxa"/>
            <w:vAlign w:val="bottom"/>
          </w:tcPr>
          <w:p>
            <w:pPr>
              <w:spacing w:after="0"/>
              <w:rPr>
                <w:sz w:val="1"/>
                <w:szCs w:val="1"/>
                <w:color w:val="auto"/>
              </w:rPr>
            </w:pPr>
          </w:p>
        </w:tc>
      </w:tr>
      <w:tr>
        <w:trPr>
          <w:trHeight w:val="182"/>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18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6,399,782</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As lessee</w:t>
      </w:r>
    </w:p>
    <w:p>
      <w:pPr>
        <w:spacing w:after="0" w:line="66"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We have a number of ground leases which are classified as operating leases. As of December 31, 2024, our ROU assets and lease liabilities were $678,804,000 and $749,759,000, respectively. As of December 31, 2023, our ROU assets and lease liabilities were $680,044,000 and $732,859,000, respectively.</w:t>
      </w:r>
    </w:p>
    <w:p>
      <w:pPr>
        <w:spacing w:after="0" w:line="210"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When the rate implicit in a lease is not readily determinable, the discount rate applied to measure each ROU asset and lease liability is based on our incremental borrowing rate ("IBR"). We consider the general economic environment and our ratings and factor in various financing and asset specific adjustments to ensure the IBR is appropriate to the intended use of the underlying lease. Certain of our ground leases offer renewal options which we assess against relevant economic factors to determine whether we are reasonably certain of exercising or not exercising the option. Lease payments associated with renewal periods that we are reasonably certain will be exercised are included in the measurement of the lease liability and corresponding ROU asset.</w:t>
      </w:r>
    </w:p>
    <w:p>
      <w:pPr>
        <w:spacing w:after="0" w:line="1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Certain of our ground leases are subject to fair market rent resets based on a percentage of the appraised value of the underlying assets at specified future dates. Fair market rent resets occurring during the lease term, which may be material, do not give rise to remeasurement of the related ROU assets and lease liabilities and will be recognized in the periods in which they are incurred as variable rent expense.</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sets forth information related to the measurement of our lease liabilities.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32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w w:val="98"/>
              </w:rPr>
              <w:t>For the Year Ended December 31,</w:t>
            </w:r>
          </w:p>
        </w:tc>
        <w:tc>
          <w:tcPr>
            <w:tcW w:w="1260" w:type="dxa"/>
            <w:vAlign w:val="bottom"/>
          </w:tcPr>
          <w:p>
            <w:pPr>
              <w:spacing w:after="0"/>
              <w:rPr>
                <w:sz w:val="16"/>
                <w:szCs w:val="16"/>
                <w:color w:val="auto"/>
              </w:rPr>
            </w:pPr>
          </w:p>
        </w:tc>
      </w:tr>
      <w:tr>
        <w:trPr>
          <w:trHeight w:val="23"/>
        </w:trPr>
        <w:tc>
          <w:tcPr>
            <w:tcW w:w="6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6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remaining lease term (in years)</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48.4</w:t>
            </w:r>
          </w:p>
        </w:tc>
      </w:tr>
      <w:tr>
        <w:trPr>
          <w:trHeight w:val="189"/>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00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5.59 %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5.54 %</w:t>
            </w:r>
          </w:p>
        </w:tc>
      </w:tr>
      <w:tr>
        <w:trPr>
          <w:trHeight w:val="204"/>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operating leases</w:t>
            </w:r>
          </w:p>
        </w:tc>
        <w:tc>
          <w:tcPr>
            <w:tcW w:w="10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22,466</w:t>
            </w:r>
          </w:p>
        </w:tc>
        <w:tc>
          <w:tcPr>
            <w:tcW w:w="6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22,499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21,861</w:t>
            </w:r>
          </w:p>
        </w:tc>
      </w:tr>
    </w:tbl>
    <w:p>
      <w:pPr>
        <w:spacing w:after="0" w:line="12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We recognize rent expense as a component of "operating" expenses on our consolidated statements of income. Rent expense is comprised of fixed and variable lease payments. The following table sets forth the details of our rent expense.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000" w:type="dxa"/>
            <w:vAlign w:val="bottom"/>
          </w:tcPr>
          <w:p>
            <w:pPr>
              <w:spacing w:after="0"/>
              <w:rPr>
                <w:sz w:val="16"/>
                <w:szCs w:val="16"/>
                <w:color w:val="auto"/>
              </w:rPr>
            </w:pPr>
          </w:p>
        </w:tc>
        <w:tc>
          <w:tcPr>
            <w:tcW w:w="268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6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rent expense</w:t>
            </w:r>
          </w:p>
        </w:tc>
        <w:tc>
          <w:tcPr>
            <w:tcW w:w="10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45,941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46,538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45,211</w:t>
            </w:r>
          </w:p>
        </w:tc>
      </w:tr>
      <w:tr>
        <w:trPr>
          <w:trHeight w:val="19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Variable rent expense</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14,573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14,679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14,180</w:t>
            </w:r>
          </w:p>
        </w:tc>
      </w:tr>
      <w:tr>
        <w:trPr>
          <w:trHeight w:val="221"/>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Rent expense</w:t>
            </w:r>
          </w:p>
        </w:tc>
        <w:tc>
          <w:tcPr>
            <w:tcW w:w="100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60,514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61,217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59,391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107" w:name="page108"/>
    <w:bookmarkEnd w:id="107"/>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ind w:right="9600" w:firstLine="5"/>
        <w:spacing w:after="0" w:line="322" w:lineRule="auto"/>
        <w:tabs>
          <w:tab w:leader="none" w:pos="262"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Leases - continued </w:t>
      </w:r>
      <w:r>
        <w:rPr>
          <w:rFonts w:ascii="Times New Roman" w:cs="Times New Roman" w:eastAsia="Times New Roman" w:hAnsi="Times New Roman"/>
          <w:sz w:val="17"/>
          <w:szCs w:val="17"/>
          <w:u w:val="single" w:color="auto"/>
          <w:color w:val="auto"/>
        </w:rPr>
        <w:t>As lessee - continued</w:t>
      </w:r>
    </w:p>
    <w:p>
      <w:pPr>
        <w:spacing w:after="0" w:line="1"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December 31, 2024, future lease payments due under operating ground leases were as follows:</w:t>
      </w:r>
    </w:p>
    <w:p>
      <w:pPr>
        <w:spacing w:after="0" w:line="100" w:lineRule="exact"/>
        <w:rPr>
          <w:sz w:val="20"/>
          <w:szCs w:val="20"/>
          <w:color w:val="auto"/>
        </w:rPr>
      </w:pPr>
    </w:p>
    <w:tbl>
      <w:tblPr>
        <w:tblLayout w:type="fixed"/>
        <w:tblInd w:w="1520" w:type="dxa"/>
        <w:tblCellMar>
          <w:top w:w="0" w:type="dxa"/>
          <w:left w:w="0" w:type="dxa"/>
          <w:bottom w:w="0" w:type="dxa"/>
          <w:right w:w="0" w:type="dxa"/>
        </w:tblCellMar>
      </w:tblPr>
      <w:tr>
        <w:trPr>
          <w:trHeight w:val="184"/>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180" w:type="dxa"/>
            <w:vAlign w:val="bottom"/>
          </w:tcPr>
          <w:p>
            <w:pPr>
              <w:spacing w:after="0"/>
              <w:rPr>
                <w:sz w:val="16"/>
                <w:szCs w:val="16"/>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23"/>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61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81,574</w:t>
            </w:r>
          </w:p>
        </w:tc>
        <w:tc>
          <w:tcPr>
            <w:tcW w:w="0" w:type="dxa"/>
            <w:vAlign w:val="bottom"/>
          </w:tcPr>
          <w:p>
            <w:pPr>
              <w:spacing w:after="0"/>
              <w:rPr>
                <w:sz w:val="1"/>
                <w:szCs w:val="1"/>
                <w:color w:val="auto"/>
              </w:rPr>
            </w:pPr>
          </w:p>
        </w:tc>
      </w:tr>
      <w:tr>
        <w:trPr>
          <w:trHeight w:val="189"/>
        </w:trPr>
        <w:tc>
          <w:tcPr>
            <w:tcW w:w="6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46,616</w:t>
            </w:r>
          </w:p>
        </w:tc>
        <w:tc>
          <w:tcPr>
            <w:tcW w:w="0" w:type="dxa"/>
            <w:vAlign w:val="bottom"/>
          </w:tcPr>
          <w:p>
            <w:pPr>
              <w:spacing w:after="0"/>
              <w:rPr>
                <w:sz w:val="1"/>
                <w:szCs w:val="1"/>
                <w:color w:val="auto"/>
              </w:rPr>
            </w:pPr>
          </w:p>
        </w:tc>
      </w:tr>
      <w:tr>
        <w:trPr>
          <w:trHeight w:val="204"/>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47,027</w:t>
            </w:r>
          </w:p>
        </w:tc>
        <w:tc>
          <w:tcPr>
            <w:tcW w:w="0" w:type="dxa"/>
            <w:vAlign w:val="bottom"/>
          </w:tcPr>
          <w:p>
            <w:pPr>
              <w:spacing w:after="0"/>
              <w:rPr>
                <w:sz w:val="1"/>
                <w:szCs w:val="1"/>
                <w:color w:val="auto"/>
              </w:rPr>
            </w:pPr>
          </w:p>
        </w:tc>
      </w:tr>
      <w:tr>
        <w:trPr>
          <w:trHeight w:val="189"/>
        </w:trPr>
        <w:tc>
          <w:tcPr>
            <w:tcW w:w="6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47,462</w:t>
            </w:r>
          </w:p>
        </w:tc>
        <w:tc>
          <w:tcPr>
            <w:tcW w:w="0" w:type="dxa"/>
            <w:vAlign w:val="bottom"/>
          </w:tcPr>
          <w:p>
            <w:pPr>
              <w:spacing w:after="0"/>
              <w:rPr>
                <w:sz w:val="1"/>
                <w:szCs w:val="1"/>
                <w:color w:val="auto"/>
              </w:rPr>
            </w:pPr>
          </w:p>
        </w:tc>
      </w:tr>
      <w:tr>
        <w:trPr>
          <w:trHeight w:val="204"/>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47,922</w:t>
            </w:r>
          </w:p>
        </w:tc>
        <w:tc>
          <w:tcPr>
            <w:tcW w:w="0" w:type="dxa"/>
            <w:vAlign w:val="bottom"/>
          </w:tcPr>
          <w:p>
            <w:pPr>
              <w:spacing w:after="0"/>
              <w:rPr>
                <w:sz w:val="1"/>
                <w:szCs w:val="1"/>
                <w:color w:val="auto"/>
              </w:rPr>
            </w:pPr>
          </w:p>
        </w:tc>
      </w:tr>
      <w:tr>
        <w:trPr>
          <w:trHeight w:val="190"/>
        </w:trPr>
        <w:tc>
          <w:tcPr>
            <w:tcW w:w="6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Thereafter</w:t>
            </w: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1,821,249</w:t>
            </w:r>
          </w:p>
        </w:tc>
        <w:tc>
          <w:tcPr>
            <w:tcW w:w="0" w:type="dxa"/>
            <w:vAlign w:val="bottom"/>
          </w:tcPr>
          <w:p>
            <w:pPr>
              <w:spacing w:after="0"/>
              <w:rPr>
                <w:sz w:val="1"/>
                <w:szCs w:val="1"/>
                <w:color w:val="auto"/>
              </w:rPr>
            </w:pPr>
          </w:p>
        </w:tc>
      </w:tr>
      <w:tr>
        <w:trPr>
          <w:trHeight w:val="196"/>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undiscounted cash flows</w:t>
            </w:r>
          </w:p>
        </w:tc>
        <w:tc>
          <w:tcPr>
            <w:tcW w:w="18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2,091,850</w:t>
            </w:r>
          </w:p>
        </w:tc>
        <w:tc>
          <w:tcPr>
            <w:tcW w:w="0" w:type="dxa"/>
            <w:vAlign w:val="bottom"/>
          </w:tcPr>
          <w:p>
            <w:pPr>
              <w:spacing w:after="0"/>
              <w:rPr>
                <w:sz w:val="1"/>
                <w:szCs w:val="1"/>
                <w:color w:val="auto"/>
              </w:rPr>
            </w:pPr>
          </w:p>
        </w:tc>
      </w:tr>
      <w:tr>
        <w:trPr>
          <w:trHeight w:val="190"/>
        </w:trPr>
        <w:tc>
          <w:tcPr>
            <w:tcW w:w="6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Present value discount</w:t>
            </w: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(1,342,091)</w:t>
            </w:r>
          </w:p>
        </w:tc>
        <w:tc>
          <w:tcPr>
            <w:tcW w:w="0" w:type="dxa"/>
            <w:vAlign w:val="bottom"/>
          </w:tcPr>
          <w:p>
            <w:pPr>
              <w:spacing w:after="0"/>
              <w:rPr>
                <w:sz w:val="1"/>
                <w:szCs w:val="1"/>
                <w:color w:val="auto"/>
              </w:rPr>
            </w:pPr>
          </w:p>
        </w:tc>
      </w:tr>
      <w:tr>
        <w:trPr>
          <w:trHeight w:val="221"/>
        </w:trPr>
        <w:tc>
          <w:tcPr>
            <w:tcW w:w="6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Lease liabilities</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749,759</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PENN 1</w:t>
      </w:r>
    </w:p>
    <w:p>
      <w:pPr>
        <w:spacing w:after="0" w:line="68"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Our future lease payments disclosed above include payments for our PENN 1 ground lease based on an amount estimated in January 2022, when we exercised the second of three 25-year renewal options. The first renewal period commenced June 2023 and, together with the second option exercise, extends the lease term through June 2073. The ground lease is subject to fair market value resets at each 25-year renewal period. The rent reset process for the June 2023 renewal period is currently ongoing and the timing is uncertain. The final fair market value determination may be materially higher or lower than our January 2022 estimate.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Farley Building</w:t>
      </w:r>
    </w:p>
    <w:p>
      <w:pPr>
        <w:spacing w:after="0" w:line="68"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The future lease payments detailed above exclude the ground and building lease at the Farley Building. The consolidated joint venture, in which we own a 95% controlling interest, has a 99-year triple-net lease with Empire State Development ("ESD") for 846,000 rentable square feet of commercial space at the property, comprised of approximately 730,000 square feet of office space and approximately 116,000 square feet of restaurant and retail space. Our lease of the commercial space at the property is accounted for as a “failed sale-leaseback” as a result of us being deemed the "accounting owner" during development of the property in accordance with ASC 842-40-55 and the lease subsequently meeting "finance lease" classification pursuant to ASC 842-40-25 upon substantial completion. The lease calls for annual rent payments and fixed payments in lieu of real estate taxes ("PILOT") through June 2030. Following the fixed PILOT payment period, the PILOT is calculated in a manner consistent with buildings subject to New York City real estate taxes and assessments. As of December 31, 2024, future rent and fixed PILOT payments are $519,049,000.</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Multiemployer Benefit Plans</w:t>
      </w:r>
    </w:p>
    <w:p>
      <w:pPr>
        <w:spacing w:after="0" w:line="68" w:lineRule="exact"/>
        <w:rPr>
          <w:sz w:val="20"/>
          <w:szCs w:val="20"/>
          <w:color w:val="auto"/>
        </w:rPr>
      </w:pPr>
    </w:p>
    <w:p>
      <w:pPr>
        <w:jc w:val="both"/>
        <w:ind w:firstLine="314"/>
        <w:spacing w:after="0" w:line="272" w:lineRule="auto"/>
        <w:rPr>
          <w:sz w:val="20"/>
          <w:szCs w:val="20"/>
          <w:color w:val="auto"/>
        </w:rPr>
      </w:pPr>
      <w:r>
        <w:rPr>
          <w:rFonts w:ascii="Times New Roman" w:cs="Times New Roman" w:eastAsia="Times New Roman" w:hAnsi="Times New Roman"/>
          <w:sz w:val="17"/>
          <w:szCs w:val="17"/>
          <w:color w:val="auto"/>
        </w:rPr>
        <w:t>Our subsidiaries make contributions to certain multiemployer defined benefit plans (“Multiemployer Pension Plans”) and health plans (“Multiemployer Health Plans”) for our union represented employees, pursuant to the respective collective bargaining agreements.</w:t>
      </w:r>
    </w:p>
    <w:p>
      <w:pPr>
        <w:spacing w:after="0"/>
        <w:rPr>
          <w:sz w:val="20"/>
          <w:szCs w:val="20"/>
          <w:color w:val="auto"/>
        </w:rPr>
      </w:pPr>
      <w:r>
        <w:rPr>
          <w:rFonts w:ascii="Times New Roman" w:cs="Times New Roman" w:eastAsia="Times New Roman" w:hAnsi="Times New Roman"/>
          <w:sz w:val="17"/>
          <w:szCs w:val="17"/>
          <w:i w:val="1"/>
          <w:iCs w:val="1"/>
          <w:color w:val="auto"/>
        </w:rPr>
        <w:t>Multiemployer Pension Plans</w:t>
      </w:r>
    </w:p>
    <w:p>
      <w:pPr>
        <w:spacing w:after="0" w:line="55" w:lineRule="exact"/>
        <w:rPr>
          <w:sz w:val="20"/>
          <w:szCs w:val="20"/>
          <w:color w:val="auto"/>
        </w:rPr>
      </w:pPr>
    </w:p>
    <w:p>
      <w:pPr>
        <w:jc w:val="both"/>
        <w:ind w:firstLine="314"/>
        <w:spacing w:after="0" w:line="269" w:lineRule="auto"/>
        <w:rPr>
          <w:sz w:val="20"/>
          <w:szCs w:val="20"/>
          <w:color w:val="auto"/>
        </w:rPr>
      </w:pPr>
      <w:r>
        <w:rPr>
          <w:rFonts w:ascii="Times New Roman" w:cs="Times New Roman" w:eastAsia="Times New Roman" w:hAnsi="Times New Roman"/>
          <w:sz w:val="17"/>
          <w:szCs w:val="17"/>
          <w:color w:val="auto"/>
        </w:rPr>
        <w:t>Multiemployer Pension Plans differ from single-employer pension plans in that (i) contributions to multiemployer plans may be used to provide benefits to employees of other participating employers and (ii) if other participating employers fail to make their contributions, each of our participating subsidiaries may be required to bear its then pro rata share of unfunded obligations. If a participating subsidiary withdraws from a plan in which it participates, it may be subject to a withdrawal liability. As of December 31, 2024, our subsidiaries’ participation in these plans was not significant to our consolidated financial statements.</w:t>
      </w:r>
    </w:p>
    <w:p>
      <w:pPr>
        <w:spacing w:after="0" w:line="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During the years ended December 31, 2024, 2023 and 2022, we contributed $8,059,000, $7,913,000 and $7,761,000, respectively, towards Multiemployer Pension Plans, which is included as a component of “operating” expenses on our consolidated statements of income. Our subsidiaries’ contributions did not represent more than 5% of total employer contributions in any of these plans for the years ended December 31, 2024, 2023 and 2022.</w:t>
      </w:r>
    </w:p>
    <w:p>
      <w:pPr>
        <w:spacing w:after="0"/>
        <w:rPr>
          <w:sz w:val="20"/>
          <w:szCs w:val="20"/>
          <w:color w:val="auto"/>
        </w:rPr>
      </w:pPr>
      <w:r>
        <w:rPr>
          <w:rFonts w:ascii="Times New Roman" w:cs="Times New Roman" w:eastAsia="Times New Roman" w:hAnsi="Times New Roman"/>
          <w:sz w:val="17"/>
          <w:szCs w:val="17"/>
          <w:i w:val="1"/>
          <w:iCs w:val="1"/>
          <w:color w:val="auto"/>
        </w:rPr>
        <w:t>Multiemployer Health Plans</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Multiemployer Health Plans in which our subsidiaries participate provide health benefits to eligible active and retired employees. During the years ended December 31, 2024, 2023 and 2022, our subsidiaries contributed $29,555,000, $28,764,000 and $26,514,000, respectively, towards these plans, which is included as a component of “operating” expenses on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108" w:name="page109"/>
    <w:bookmarkEnd w:id="108"/>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ind w:right="8320" w:firstLine="5"/>
        <w:spacing w:after="0" w:line="314" w:lineRule="auto"/>
        <w:tabs>
          <w:tab w:leader="none" w:pos="436"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Insurance</w:t>
      </w:r>
    </w:p>
    <w:p>
      <w:pPr>
        <w:spacing w:after="0" w:line="1"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For our properties, we maintain general liability insurance with limits of $300,000,000 per occurrence and per property, of which $275,000,000, includes communicable disease coverage, and we maintain all risk property and rental value insurance with limits of $2.0 billion per occurrence, with sub-limits for certain perils such as flood and earthquake, excluding communicable disease coverage. Our California properties have earthquake insurance with coverage of $350,000,000 per occurrence and in the aggregate, subject to a deductible in the amount of 5% of the value of the affected property. We maintain coverage for certified terrorism acts with limits of $6.0 billion per occurrence and in the aggregate (as listed below), $1.2 billion for non-certified acts of terrorism, and $5.0 billion per occurrence and in the aggregate for terrorism involving nuclear, biological, chemical and radiological (“NBCR”) terrorism events, as defined by the Terrorism Risk Insurance Act of 2002, as amended to date and which has been extended through December 2027.</w:t>
      </w:r>
    </w:p>
    <w:p>
      <w:pPr>
        <w:spacing w:after="0" w:line="20"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Penn Plaza Insurance Company, LLC (“PPIC”), our wholly owned consolidated subsidiary, acts as a re-insurer with respect to a portion of all risk property and rental value insurance and a portion of our earthquake insurance coverage, and as a direct insurer for coverage for acts of terrorism including NBCR acts. Coverage for acts of terrorism (excluding NBCR acts) is fully reinsured by third party insurance companies and the Federal government with no exposure to PPIC. For NBCR acts, PPIC is responsible for a deductible of $2,396,808 and 20% of the balance of a covered loss and the Federal government is responsible for the remaining portion of a covered loss. We are ultimately responsible for any loss incurred by PPIC.</w:t>
      </w:r>
    </w:p>
    <w:p>
      <w:pPr>
        <w:spacing w:after="0" w:line="3" w:lineRule="exact"/>
        <w:rPr>
          <w:sz w:val="20"/>
          <w:szCs w:val="20"/>
          <w:color w:val="auto"/>
        </w:rPr>
      </w:pPr>
    </w:p>
    <w:p>
      <w:pPr>
        <w:jc w:val="both"/>
        <w:ind w:firstLine="314"/>
        <w:spacing w:after="0" w:line="281" w:lineRule="auto"/>
        <w:rPr>
          <w:sz w:val="20"/>
          <w:szCs w:val="20"/>
          <w:color w:val="auto"/>
        </w:rPr>
      </w:pPr>
      <w:r>
        <w:rPr>
          <w:rFonts w:ascii="Times New Roman" w:cs="Times New Roman" w:eastAsia="Times New Roman" w:hAnsi="Times New Roman"/>
          <w:sz w:val="17"/>
          <w:szCs w:val="17"/>
          <w:color w:val="auto"/>
        </w:rPr>
        <w:t>Certain condominiums in which we own an interest (including the Farley Condominiums) maintain insurance policies with different per occurrence and aggregate limits than our policies described above.</w:t>
      </w:r>
    </w:p>
    <w:p>
      <w:pPr>
        <w:spacing w:after="0" w:line="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continue to monitor the state of the insurance market and the scope and costs of coverage for acts of terrorism and other events. However, we cannot anticipate what coverage will be available on commercially reasonable terms in the future. We are responsible for uninsured losses and for deductibles and losses in excess of our insurance coverage, which could be material.</w:t>
      </w:r>
    </w:p>
    <w:p>
      <w:pPr>
        <w:spacing w:after="0" w:line="7"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Our debt instruments, consisting of mortgage loans secured by our properties, senior unsecured notes and revolving credit agreements contain customary covenants requiring us to maintain insurance. Although we believe that we have adequate insurance coverage for purposes of these agreements, we may not be able to obtain an equivalent amount of coverage at reasonable costs in the future. Further, if lenders insist on greater coverage than we are able to obtain it could adversely affect our ability to finance or refinance our properties and expand our portfolio.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Commitments and Contingencies</w:t>
      </w:r>
    </w:p>
    <w:p>
      <w:pPr>
        <w:spacing w:after="0" w:line="55" w:lineRule="exact"/>
        <w:rPr>
          <w:sz w:val="20"/>
          <w:szCs w:val="20"/>
          <w:color w:val="auto"/>
        </w:rPr>
      </w:pPr>
    </w:p>
    <w:p>
      <w:pPr>
        <w:jc w:val="both"/>
        <w:ind w:firstLine="314"/>
        <w:spacing w:after="0" w:line="273" w:lineRule="auto"/>
        <w:rPr>
          <w:sz w:val="20"/>
          <w:szCs w:val="20"/>
          <w:color w:val="auto"/>
        </w:rPr>
      </w:pPr>
      <w:r>
        <w:rPr>
          <w:rFonts w:ascii="Times New Roman" w:cs="Times New Roman" w:eastAsia="Times New Roman" w:hAnsi="Times New Roman"/>
          <w:sz w:val="17"/>
          <w:szCs w:val="17"/>
          <w:color w:val="auto"/>
        </w:rPr>
        <w:t>We are from time to time involved in legal actions arising in the ordinary course of business. In our opinion, after consultation with legal counsel, the outcome of such matters is not currently expected to have a material adverse effect on our financial position, results of operations or cash flows.</w:t>
      </w:r>
    </w:p>
    <w:p>
      <w:pPr>
        <w:spacing w:after="0" w:line="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Each of our properties has been subjected to varying degrees of environmental assessment at various times. The environmental assessments did not reveal any material environmental contamination. However, there can be no assurance that the identification of new areas of contamination, changes in the extent or known scope of contamination, the discovery of additional sites, or changes in cleanup requirements would not result in significant costs to us.</w:t>
      </w:r>
    </w:p>
    <w:p>
      <w:pPr>
        <w:spacing w:after="0" w:line="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may, from time to time, enter into guarantees including, but not limited to, payment guarantees to lenders of unconsolidated joint ventures for tax purposes, completion guarantees for development and redevelopment projects, and guarantees to fund leasing costs. These agreements terminate either upon the satisfaction of specified obligations or repayment of the underlying loans. As of December 31, 2024, the aggregate dollar amount of these guarantees is approximately $516,872,000, including the payment guarantee for the mortgage loan secured by 7 West 34th Street. Other than these loans, our mortgage loans are non-recourse to us.</w:t>
      </w:r>
    </w:p>
    <w:p>
      <w:pPr>
        <w:spacing w:after="0" w:line="13"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As of December 31, 2024, $57,643,000 of letters of credit were outstanding under our unsecured revolving credit facilities. Our unsecured revolving credit facilities contain financial covenants that require us to maintain minimum interest coverage and maximum debt to market capitalization ratios, and provide for increased interest rates in the event of a decline in the credit rating assigned to our senior unsecured notes. Our unsecured revolving credit facilities also contain customary conditions precedent to borrowing, including representations and warranties, and also contain customary events of default that could give rise to accelerated repayment, including such items as failure to pay interest or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109" w:name="page110"/>
    <w:bookmarkEnd w:id="109"/>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ind w:right="7440" w:firstLine="5"/>
        <w:spacing w:after="0" w:line="322" w:lineRule="auto"/>
        <w:tabs>
          <w:tab w:leader="none" w:pos="436"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 continued </w:t>
      </w:r>
      <w:r>
        <w:rPr>
          <w:rFonts w:ascii="Times New Roman" w:cs="Times New Roman" w:eastAsia="Times New Roman" w:hAnsi="Times New Roman"/>
          <w:sz w:val="17"/>
          <w:szCs w:val="17"/>
          <w:i w:val="1"/>
          <w:iCs w:val="1"/>
          <w:color w:val="auto"/>
        </w:rPr>
        <w:t>Other Commitments and Contingencies - continued</w:t>
      </w:r>
    </w:p>
    <w:p>
      <w:pPr>
        <w:spacing w:after="0" w:line="1"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Our 95% consolidated joint venture (5% is owned by Related Companies ("Related")) developed and owns the Farley Building. In connection with the development of the property, the joint venture admitted a historic Tax Credit Investor partner. Under the terms of the historic tax credit arrangement, the joint venture is required to comply with various laws, regulations, and contractual provisions. Non-compliance with applicable requirements could result in projected tax benefits not being realized and, therefore, may require a refund or reduction of the Tax Credit Investor’s capital contributions. As of December 31, 2024, the Tax Credit Investor has made $208,407,000 in capital contributions. Vornado and Related have guaranteed certain of the joint venture’s obligations to the Tax Credit Investor.</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2024, we had construction commitments aggregating approximately $61,016,000.</w:t>
      </w:r>
    </w:p>
    <w:p>
      <w:pPr>
        <w:spacing w:after="0" w:line="117" w:lineRule="exact"/>
        <w:rPr>
          <w:sz w:val="20"/>
          <w:szCs w:val="20"/>
          <w:color w:val="auto"/>
        </w:rPr>
      </w:pPr>
    </w:p>
    <w:p>
      <w:pPr>
        <w:ind w:right="8760" w:firstLine="5"/>
        <w:spacing w:after="0" w:line="322" w:lineRule="auto"/>
        <w:tabs>
          <w:tab w:leader="none" w:pos="436"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i w:val="1"/>
          <w:iCs w:val="1"/>
          <w:color w:val="auto"/>
        </w:rPr>
        <w:t>Alexander’s, Inc.</w:t>
      </w:r>
    </w:p>
    <w:p>
      <w:pPr>
        <w:spacing w:after="0" w:line="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 xml:space="preserve">We own 32.4% of Alexander’s. Steven Roth, the Chairman of Vornado’s Board of Trustee’s and its Chief Executive Officer, is also the Chairman of the Board of Directors and Chief Executive Officer of Alexander’s. We provide various services to Alexander’s in accordance with management, development and leasing agreements. These agreements are described in Note 4 - </w:t>
      </w:r>
      <w:r>
        <w:rPr>
          <w:rFonts w:ascii="Times New Roman" w:cs="Times New Roman" w:eastAsia="Times New Roman" w:hAnsi="Times New Roman"/>
          <w:sz w:val="17"/>
          <w:szCs w:val="17"/>
          <w:i w:val="1"/>
          <w:iCs w:val="1"/>
          <w:color w:val="auto"/>
        </w:rPr>
        <w:t>Investments in Partially Owned Entities</w:t>
      </w:r>
      <w:r>
        <w:rPr>
          <w:rFonts w:ascii="Times New Roman" w:cs="Times New Roman" w:eastAsia="Times New Roman" w:hAnsi="Times New Roman"/>
          <w:sz w:val="17"/>
          <w:szCs w:val="17"/>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Interstate Properties (“Interstate”)</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Interstate is a general partnership in which Mr. Roth is the managing general partner. David Mandelbaum and Russell B. Wight, Jr., Trustees of Vornado and Directors of Alexander’s, respectively, are Interstate’s two other general partners. As of December 31, 2024, Interstate and its partners beneficially owned an aggregate of approximately 7.1% of the common shares of beneficial interest of Vornado and 26.0% of Alexander’s common stock.</w:t>
      </w:r>
    </w:p>
    <w:p>
      <w:pPr>
        <w:spacing w:after="0" w:line="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manage and lease the real estate assets of Interstate pursuant to a management agreement for which we receive an annual fee equal to 4% of annual base rent and percentage rent. The management agreement has a term of one year and is automatically renewable unless terminated by either of the parties on 60 days’ notice at the end of the term. We believe, based upon comparable fees charged by other real estate companies, that the management agreement terms are consistent with the market. We earned $208,000, $206,000, and $204,000 of management fees under the agreement for the years ended December 31, 2024, 2023 and 2022, respectively.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Fifth Avenue and Times Square JV</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 xml:space="preserve">We provide various services to Fifth Avenue and Times Square JV in accordance with management, development, leasing and other agreements. These agreements are described in Note 4 - </w:t>
      </w:r>
      <w:r>
        <w:rPr>
          <w:rFonts w:ascii="Times New Roman" w:cs="Times New Roman" w:eastAsia="Times New Roman" w:hAnsi="Times New Roman"/>
          <w:sz w:val="17"/>
          <w:szCs w:val="17"/>
          <w:i w:val="1"/>
          <w:iCs w:val="1"/>
          <w:color w:val="auto"/>
        </w:rPr>
        <w:t>Investments in Partially Owned Entities</w:t>
      </w:r>
      <w:r>
        <w:rPr>
          <w:rFonts w:ascii="Times New Roman" w:cs="Times New Roman" w:eastAsia="Times New Roman" w:hAnsi="Times New Roman"/>
          <w:sz w:val="17"/>
          <w:szCs w:val="17"/>
          <w:color w:val="auto"/>
        </w:rPr>
        <w:t>. Haim Chera, Executive Vice President - Head of Retail, has an investment in Crown Acquisitions Inc. and Crown Retail Services LLC (collectively, "Crown"), companies controlled by Mr. Chera's family. Crown has a nominal minority interest in Fifth Avenue and Times Square JV. Additionally, we have other investments with Crown.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110" w:name="page111"/>
    <w:bookmarkEnd w:id="110"/>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Segment Information</w:t>
      </w:r>
    </w:p>
    <w:p>
      <w:pPr>
        <w:spacing w:after="0" w:line="68"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The Company’s operating segments are based on our method of internal reporting which classifies our operations by geographic area. We aggregate these operating segments into two reportable segments, New York and Other, which is based on similar economic characteristics.</w:t>
      </w:r>
    </w:p>
    <w:p>
      <w:pPr>
        <w:spacing w:after="0" w:line="1"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Net operating income (“NOI”) at share represents total revenues less operating expenses, including our share of partially owned entities. The Company's chief operating decision maker ("CODM") is its Chief Executive Officer, who considers NOI at share to be the measure of segment profit and loss for making decisions on how to allocate resources and assessing the unlevered performance of our segments as it relates to the return on assets as opposed to the levered return on equity. Asset information by segment is not reported as the CODM does not use this measure to assess segment performance or to make resource allocation decisions.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summary of financial information by segment for the years ended December 31, 2024, 2023 and 2022.</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340" w:type="dxa"/>
            <w:vAlign w:val="bottom"/>
          </w:tcPr>
          <w:p>
            <w:pPr>
              <w:spacing w:after="0"/>
              <w:rPr>
                <w:sz w:val="16"/>
                <w:szCs w:val="16"/>
                <w:color w:val="auto"/>
              </w:rPr>
            </w:pPr>
          </w:p>
        </w:tc>
        <w:tc>
          <w:tcPr>
            <w:tcW w:w="3320" w:type="dxa"/>
            <w:vAlign w:val="bottom"/>
            <w:gridSpan w:val="6"/>
          </w:tcPr>
          <w:p>
            <w:pPr>
              <w:jc w:val="center"/>
              <w:ind w:left="63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2024</w:t>
            </w:r>
          </w:p>
        </w:tc>
        <w:tc>
          <w:tcPr>
            <w:tcW w:w="106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6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New York</w:t>
            </w:r>
          </w:p>
        </w:tc>
        <w:tc>
          <w:tcPr>
            <w:tcW w:w="400" w:type="dxa"/>
            <w:vAlign w:val="bottom"/>
          </w:tcPr>
          <w:p>
            <w:pPr>
              <w:spacing w:after="0"/>
              <w:rPr>
                <w:sz w:val="15"/>
                <w:szCs w:val="15"/>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6"/>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1,787,686</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1,471,997</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315,689</w:t>
            </w:r>
          </w:p>
        </w:tc>
      </w:tr>
      <w:tr>
        <w:trPr>
          <w:trHeight w:val="196"/>
        </w:trPr>
        <w:tc>
          <w:tcPr>
            <w:tcW w:w="6480" w:type="dxa"/>
            <w:vAlign w:val="bottom"/>
          </w:tcPr>
          <w:p>
            <w:pPr>
              <w:spacing w:after="0" w:line="196" w:lineRule="exact"/>
              <w:rPr>
                <w:sz w:val="20"/>
                <w:szCs w:val="20"/>
                <w:color w:val="auto"/>
              </w:rPr>
            </w:pPr>
            <w:r>
              <w:rPr>
                <w:rFonts w:ascii="Times New Roman" w:cs="Times New Roman" w:eastAsia="Times New Roman" w:hAnsi="Times New Roman"/>
                <w:sz w:val="14"/>
                <w:szCs w:val="14"/>
                <w:color w:val="auto"/>
              </w:rPr>
              <w:t>Deduct: operating expenses</w:t>
            </w:r>
            <w:r>
              <w:rPr>
                <w:rFonts w:ascii="Times New Roman" w:cs="Times New Roman" w:eastAsia="Times New Roman" w:hAnsi="Times New Roman"/>
                <w:sz w:val="18"/>
                <w:szCs w:val="18"/>
                <w:b w:val="1"/>
                <w:bCs w:val="1"/>
                <w:color w:val="auto"/>
                <w:vertAlign w:val="superscript"/>
              </w:rPr>
              <w:t>(1)</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(927,796)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(766,347)</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(161,449)</w:t>
            </w:r>
          </w:p>
        </w:tc>
      </w:tr>
      <w:tr>
        <w:trPr>
          <w:trHeight w:val="19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(12,899)</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(26,468)</w:t>
            </w:r>
          </w:p>
        </w:tc>
      </w:tr>
      <w:tr>
        <w:trPr>
          <w:trHeight w:val="190"/>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279,229</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269,159</w:t>
            </w:r>
          </w:p>
        </w:tc>
        <w:tc>
          <w:tcPr>
            <w:tcW w:w="1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10,070</w:t>
            </w:r>
          </w:p>
        </w:tc>
      </w:tr>
      <w:tr>
        <w:trPr>
          <w:trHeight w:val="221"/>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NOI at share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1,099,752</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961,910</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137,842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340" w:type="dxa"/>
            <w:vAlign w:val="bottom"/>
          </w:tcPr>
          <w:p>
            <w:pPr>
              <w:spacing w:after="0"/>
              <w:rPr>
                <w:sz w:val="16"/>
                <w:szCs w:val="16"/>
                <w:color w:val="auto"/>
              </w:rPr>
            </w:pPr>
          </w:p>
        </w:tc>
        <w:tc>
          <w:tcPr>
            <w:tcW w:w="3320" w:type="dxa"/>
            <w:vAlign w:val="bottom"/>
            <w:gridSpan w:val="6"/>
          </w:tcPr>
          <w:p>
            <w:pPr>
              <w:jc w:val="center"/>
              <w:ind w:left="63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2023</w:t>
            </w:r>
          </w:p>
        </w:tc>
        <w:tc>
          <w:tcPr>
            <w:tcW w:w="106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6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New York</w:t>
            </w:r>
          </w:p>
        </w:tc>
        <w:tc>
          <w:tcPr>
            <w:tcW w:w="400" w:type="dxa"/>
            <w:vAlign w:val="bottom"/>
          </w:tcPr>
          <w:p>
            <w:pPr>
              <w:spacing w:after="0"/>
              <w:rPr>
                <w:sz w:val="15"/>
                <w:szCs w:val="15"/>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6"/>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1,811,163</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1,452,158</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359,005</w:t>
            </w:r>
          </w:p>
        </w:tc>
      </w:tr>
      <w:tr>
        <w:trPr>
          <w:trHeight w:val="189"/>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Deduct: operating expenses</w:t>
            </w:r>
            <w:r>
              <w:rPr>
                <w:rFonts w:ascii="Times New Roman" w:cs="Times New Roman" w:eastAsia="Times New Roman" w:hAnsi="Times New Roman"/>
                <w:sz w:val="9"/>
                <w:szCs w:val="9"/>
                <w:b w:val="1"/>
                <w:bCs w:val="1"/>
                <w:color w:val="auto"/>
              </w:rPr>
              <w:t>(1)</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(905,158)</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(733,478)</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(171,680)</w:t>
            </w:r>
          </w:p>
        </w:tc>
      </w:tr>
      <w:tr>
        <w:trPr>
          <w:trHeight w:val="20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(48,553)</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(15,547)</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(33,006)</w:t>
            </w:r>
          </w:p>
        </w:tc>
      </w:tr>
      <w:tr>
        <w:trPr>
          <w:trHeight w:val="190"/>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285,761</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274,436</w:t>
            </w:r>
          </w:p>
        </w:tc>
        <w:tc>
          <w:tcPr>
            <w:tcW w:w="1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11,325</w:t>
            </w:r>
          </w:p>
        </w:tc>
      </w:tr>
      <w:tr>
        <w:trPr>
          <w:trHeight w:val="221"/>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NOI at share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1,143,213</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977,569</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165,644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340" w:type="dxa"/>
            <w:vAlign w:val="bottom"/>
          </w:tcPr>
          <w:p>
            <w:pPr>
              <w:spacing w:after="0"/>
              <w:rPr>
                <w:sz w:val="16"/>
                <w:szCs w:val="16"/>
                <w:color w:val="auto"/>
              </w:rPr>
            </w:pPr>
          </w:p>
        </w:tc>
        <w:tc>
          <w:tcPr>
            <w:tcW w:w="3320" w:type="dxa"/>
            <w:vAlign w:val="bottom"/>
            <w:gridSpan w:val="6"/>
          </w:tcPr>
          <w:p>
            <w:pPr>
              <w:jc w:val="center"/>
              <w:ind w:left="63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2022</w:t>
            </w:r>
          </w:p>
        </w:tc>
        <w:tc>
          <w:tcPr>
            <w:tcW w:w="106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6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New York</w:t>
            </w:r>
          </w:p>
        </w:tc>
        <w:tc>
          <w:tcPr>
            <w:tcW w:w="400" w:type="dxa"/>
            <w:vAlign w:val="bottom"/>
          </w:tcPr>
          <w:p>
            <w:pPr>
              <w:spacing w:after="0"/>
              <w:rPr>
                <w:sz w:val="15"/>
                <w:szCs w:val="15"/>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6"/>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1,799,995</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1,449,442</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350,553</w:t>
            </w:r>
          </w:p>
        </w:tc>
      </w:tr>
      <w:tr>
        <w:trPr>
          <w:trHeight w:val="196"/>
        </w:trPr>
        <w:tc>
          <w:tcPr>
            <w:tcW w:w="6480" w:type="dxa"/>
            <w:vAlign w:val="bottom"/>
          </w:tcPr>
          <w:p>
            <w:pPr>
              <w:spacing w:after="0" w:line="196" w:lineRule="exact"/>
              <w:rPr>
                <w:sz w:val="20"/>
                <w:szCs w:val="20"/>
                <w:color w:val="auto"/>
              </w:rPr>
            </w:pPr>
            <w:r>
              <w:rPr>
                <w:rFonts w:ascii="Times New Roman" w:cs="Times New Roman" w:eastAsia="Times New Roman" w:hAnsi="Times New Roman"/>
                <w:sz w:val="14"/>
                <w:szCs w:val="14"/>
                <w:color w:val="auto"/>
              </w:rPr>
              <w:t>Deduct: operating expenses</w:t>
            </w:r>
            <w:r>
              <w:rPr>
                <w:rFonts w:ascii="Times New Roman" w:cs="Times New Roman" w:eastAsia="Times New Roman" w:hAnsi="Times New Roman"/>
                <w:sz w:val="18"/>
                <w:szCs w:val="18"/>
                <w:b w:val="1"/>
                <w:bCs w:val="1"/>
                <w:color w:val="auto"/>
                <w:vertAlign w:val="superscript"/>
              </w:rPr>
              <w:t>(1)</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(873,911)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(716,148)</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(157,763)</w:t>
            </w:r>
          </w:p>
        </w:tc>
      </w:tr>
      <w:tr>
        <w:trPr>
          <w:trHeight w:val="19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(70,029)</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(45,566)</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(24,463)</w:t>
            </w:r>
          </w:p>
        </w:tc>
      </w:tr>
      <w:tr>
        <w:trPr>
          <w:trHeight w:val="190"/>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305,993</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293,780</w:t>
            </w:r>
          </w:p>
        </w:tc>
        <w:tc>
          <w:tcPr>
            <w:tcW w:w="1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12,213</w:t>
            </w:r>
          </w:p>
        </w:tc>
      </w:tr>
      <w:tr>
        <w:trPr>
          <w:trHeight w:val="221"/>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NOI at share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1,162,048</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981,508</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180,540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w:t>
      </w:r>
    </w:p>
    <w:p>
      <w:pPr>
        <w:spacing w:after="0" w:line="46" w:lineRule="exact"/>
        <w:rPr>
          <w:sz w:val="20"/>
          <w:szCs w:val="20"/>
          <w:color w:val="auto"/>
        </w:rPr>
      </w:pPr>
    </w:p>
    <w:p>
      <w:pPr>
        <w:ind w:left="240" w:hanging="235"/>
        <w:spacing w:after="0" w:line="285" w:lineRule="auto"/>
        <w:tabs>
          <w:tab w:leader="none" w:pos="202" w:val="left"/>
        </w:tabs>
        <w:numPr>
          <w:ilvl w:val="0"/>
          <w:numId w:val="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various expenses associated with operating our properties, including but not limited to: real estate taxes, ground rent, insurance, and utilities. Our CODM is not regularly provided with significant expense categories and amounts included within net operating income at share.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11" w:name="page112"/>
    <w:bookmarkEnd w:id="111"/>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Segment Information - continued</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reconciliation of NOI at share to net income (loss) before income taxes for the years ended December 31, 2024, 2023 and 2022.</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340" w:type="dxa"/>
            <w:vAlign w:val="bottom"/>
          </w:tcPr>
          <w:p>
            <w:pPr>
              <w:spacing w:after="0"/>
              <w:rPr>
                <w:sz w:val="16"/>
                <w:szCs w:val="16"/>
                <w:color w:val="auto"/>
              </w:rPr>
            </w:pPr>
          </w:p>
        </w:tc>
        <w:tc>
          <w:tcPr>
            <w:tcW w:w="326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64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NOI at share</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1,099,752</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1,143,213</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1,162,048</w:t>
            </w:r>
          </w:p>
        </w:tc>
      </w:tr>
      <w:tr>
        <w:trPr>
          <w:trHeight w:val="189"/>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NOI attributable to noncontrolling interests in consolidated subsidiaries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39,367</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48,553</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70,029</w:t>
            </w:r>
          </w:p>
        </w:tc>
      </w:tr>
      <w:tr>
        <w:trPr>
          <w:trHeight w:val="20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NOI from partially owned entities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(279,229)</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(285,761)</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(305,993)</w:t>
            </w:r>
          </w:p>
        </w:tc>
      </w:tr>
      <w:tr>
        <w:trPr>
          <w:trHeight w:val="189"/>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16,048</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71,199</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100,625</w:t>
            </w:r>
          </w:p>
        </w:tc>
      </w:tr>
      <w:tr>
        <w:trPr>
          <w:trHeight w:val="20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debt expense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(390,269)</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(349,223)</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(279,765)</w:t>
            </w:r>
          </w:p>
        </w:tc>
      </w:tr>
      <w:tr>
        <w:trPr>
          <w:trHeight w:val="189"/>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other investment income, net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45,974</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43,287</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23,410</w:t>
            </w:r>
          </w:p>
        </w:tc>
      </w:tr>
      <w:tr>
        <w:trPr>
          <w:trHeight w:val="20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from partially owned entities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112,464</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38,689</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(461,351)</w:t>
            </w:r>
          </w:p>
        </w:tc>
      </w:tr>
      <w:tr>
        <w:trPr>
          <w:trHeight w:val="189"/>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Transaction related costs, impairment losses and other</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(50,691)</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(31,722)</w:t>
            </w:r>
          </w:p>
        </w:tc>
      </w:tr>
      <w:tr>
        <w:trPr>
          <w:trHeight w:val="20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(148,520)</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(162,883)</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(133,731)</w:t>
            </w:r>
          </w:p>
        </w:tc>
      </w:tr>
      <w:tr>
        <w:trPr>
          <w:trHeight w:val="190"/>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(447,500)</w:t>
            </w: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(434,273)</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(504,502)</w:t>
            </w:r>
          </w:p>
        </w:tc>
      </w:tr>
      <w:tr>
        <w:trPr>
          <w:trHeight w:val="221"/>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42,845</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62,110</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(360,952)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666 Fifth Avenue (Fifth Avenue and Times Square JV)</w:t>
      </w:r>
    </w:p>
    <w:p>
      <w:pPr>
        <w:spacing w:after="0" w:line="68"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On January 8, 2025, the Fifth Avenue and Times Square JV completed the sale to UNIQLO of the portion of its U.S. flagship store at 666 Fifth Avenue owned by the retail joint venture for $350,000,000. The joint venture continues to own 23,832 square feet of retail space (7,416 square feet at grade) at 666 Fifth Avenue consisting of the Abercrombie &amp; Fitch and Tissot stores. The $342,000,000 of net proceeds from the sale were used to partially redeem Vornado’s $390,000,000 of preferred equity on the asset. The financial statement gain, which will be recognized in the first quarter of 2025, will be approximately $76,000,000.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Senior Unsecured Notes due 2025</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repaid our $450,000,000 3.50% senior unsecured notes on their January 15, 2025 maturity 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220 Central Park South</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January 17, 2025, we closed on the sale of a condominium unit at 220 CPS for net proceeds of $11,695,000; three units remain unsold.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12" w:name="page113"/>
    <w:bookmarkEnd w:id="112"/>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9.</w:t>
        <w:tab/>
        <w:t>CHANGES IN AND DISAGREEMENTS WITH ACCOUNTANTS ON ACCOUNTING AND FINANCIAL DISCLOSURE</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1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Vornado Realty Trust</w:t>
      </w:r>
    </w:p>
    <w:p>
      <w:pPr>
        <w:spacing w:after="0" w:line="70" w:lineRule="exact"/>
        <w:rPr>
          <w:sz w:val="20"/>
          <w:szCs w:val="20"/>
          <w:color w:val="auto"/>
        </w:rPr>
      </w:pPr>
    </w:p>
    <w:p>
      <w:pPr>
        <w:jc w:val="both"/>
        <w:ind w:firstLine="314"/>
        <w:spacing w:after="0" w:line="214" w:lineRule="exact"/>
        <w:rPr>
          <w:sz w:val="20"/>
          <w:szCs w:val="20"/>
          <w:color w:val="auto"/>
        </w:rPr>
      </w:pPr>
      <w:r>
        <w:rPr>
          <w:rFonts w:ascii="Times New Roman" w:cs="Times New Roman" w:eastAsia="Times New Roman" w:hAnsi="Times New Roman"/>
          <w:sz w:val="17"/>
          <w:szCs w:val="17"/>
          <w:color w:val="auto"/>
        </w:rPr>
        <w:t>Disclosure Controls and Procedures: Our management, with the participation of Vornado’s Chief Executive Officer and Chief Financial Officer, has evaluated the effectiveness of our disclosure controls and procedures (as such term is defined in Rule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 (e) under the Securities Exchange Act of 1934, as amended) as of the end of the period covered by this Annual Report on Form 10-K. Based on such evaluation, Vornado’s Chief Executive Officer and Chief Financial Officer have concluded that, as of the end of such period, our disclosure controls and procedures are effective.</w:t>
      </w:r>
    </w:p>
    <w:p>
      <w:pPr>
        <w:spacing w:after="0" w:line="3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Internal Control Over Financial Reporting: There have not been any changes in our internal control over financial reporting (as defined in Rule 13a-15(f) under the Securities Exchange Act of 1934, as amended) during the fourth quarter of the fiscal year to which this report relates that have materially affected, or are reasonably likely to materially affect, our internal control over financial reporting.</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Management of Vornado Realty Trust, together with its consolidated subsidiaries (the “Company”), is responsible for establishing and maintaining adequate internal control over financial reporting. Our internal control over financial reporting is a process designed under the supervision of Vornado’s principal executive and principal financial officers to provide reasonable assurance regarding the reliability of financial reporting and the preparation of our financial statements for external reporting purposes in accordance with accounting principles generally accepted in the United States of America.</w:t>
      </w:r>
    </w:p>
    <w:p>
      <w:pPr>
        <w:spacing w:after="0" w:line="1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 xml:space="preserve">As of December 31, 2024, management conducted an assessment of the effectiveness of our internal control over financial reporting based on the framework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Based on this assessment, management has determined that our internal control over financial reporting as of December 31, 2024 was effective.</w:t>
      </w:r>
    </w:p>
    <w:p>
      <w:pPr>
        <w:spacing w:after="0" w:line="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Our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accounting principles generally accepted in the United States, and that receipts and expenditures are being made only in accordance with authorizations of management and our trustees; and provide reasonable assurance regarding prevention or timely detection of unauthorized acquisition, use, or disposition of our assets that could have a material effect on our financial statements.</w:t>
      </w:r>
    </w:p>
    <w:p>
      <w:pPr>
        <w:spacing w:after="0" w:line="1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2024 has been audited by Deloitte &amp; Touche LLP, an independent registered public accounting firm, as stated in their report appearing on the following page, which expresses an unqualified opinion on the effectiveness of our internal control over financial reporting as of December 31, 2024.</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13" w:name="page114"/>
    <w:bookmarkEnd w:id="113"/>
    <w:p>
      <w:pPr>
        <w:ind w:right="2460" w:firstLine="2787"/>
        <w:spacing w:after="0" w:line="492"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To the Shareholders and the Board of Trustees of Vornado Realty Trust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Vornado Realty Trust and subsidiaries (the “Company”)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1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year ended December 31, 2024, of the Company and our report dated February 10, 2025, expressed an unqualified opinion on those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10, 2025</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14" w:name="page115"/>
    <w:bookmarkEnd w:id="114"/>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 -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Vornado Realty L.P.</w:t>
      </w:r>
    </w:p>
    <w:p>
      <w:pPr>
        <w:spacing w:after="0" w:line="70" w:lineRule="exact"/>
        <w:rPr>
          <w:sz w:val="20"/>
          <w:szCs w:val="20"/>
          <w:color w:val="auto"/>
        </w:rPr>
      </w:pPr>
    </w:p>
    <w:p>
      <w:pPr>
        <w:jc w:val="both"/>
        <w:ind w:firstLine="314"/>
        <w:spacing w:after="0" w:line="214" w:lineRule="exact"/>
        <w:rPr>
          <w:sz w:val="20"/>
          <w:szCs w:val="20"/>
          <w:color w:val="auto"/>
        </w:rPr>
      </w:pPr>
      <w:r>
        <w:rPr>
          <w:rFonts w:ascii="Times New Roman" w:cs="Times New Roman" w:eastAsia="Times New Roman" w:hAnsi="Times New Roman"/>
          <w:sz w:val="17"/>
          <w:szCs w:val="17"/>
          <w:color w:val="auto"/>
        </w:rPr>
        <w:t>Disclosure Controls and Procedures: Vornado Realty L.P.’s management, with the participation of Vornado’s Chief Executive Officer and Chief Financial Officer, has evaluated the effectiveness of our disclosure controls and procedures (as such term is defined in Rule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 (e) under the Securities Exchange Act of 1934, as amended) as of the end of the period covered by this Annual Report on Form 10-K. Based on such evaluation, Vornado’s Chief Executive Officer and Chief Financial Officer have concluded that, as of the end of such period, our disclosure controls and procedures are effective.</w:t>
      </w:r>
    </w:p>
    <w:p>
      <w:pPr>
        <w:spacing w:after="0" w:line="3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Internal Control Over Financial Reporting: There have not been any changes in our internal control over financial reporting (as defined in Rule 13a-15(f) under the Securities Exchange Act of 1934, as amended) during the fourth quarter of the fiscal year to which this report relates that have materially affected, or are reasonably likely to materially affect, our internal control over financial reporting.</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Management of Vornado Realty Trust, sole general partner of Vornado Realty L.P., together with Vornado Realty L.P.’s consolidated subsidiaries (the “Company”), is responsible for establishing and maintaining adequate internal control over financial reporting. Our internal control over financial reporting is a process designed under the supervision of Vornado’s principal executive and principal financial officers to provide reasonable assurance regarding the reliability of financial reporting and the preparation of our financial statements for external reporting purposes in accordance with accounting principles generally accepted in the United States of America.</w:t>
      </w:r>
    </w:p>
    <w:p>
      <w:pPr>
        <w:spacing w:after="0" w:line="1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 xml:space="preserve">As of December 31, 2024, management conducted an assessment of the effectiveness of our internal control over financial reporting based on the framework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Based on this assessment, management has determined that our internal control over financial reporting as of December 31, 2024 was effective.</w:t>
      </w:r>
    </w:p>
    <w:p>
      <w:pPr>
        <w:spacing w:after="0" w:line="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Our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accounting principles generally accepted in the United States, and that receipts and expenditures are being made only in accordance with authorizations of management and Vornado’s trustees; and provide reasonable assurance regarding prevention or timely detection of unauthorized acquisition, use, or disposition of our assets that could have a material effect on our financial statements.</w:t>
      </w:r>
    </w:p>
    <w:p>
      <w:pPr>
        <w:spacing w:after="0" w:line="1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2024 has been audited by Deloitte &amp; Touche LLP, an independent registered public accounting firm, as stated in their report appearing on the following page, which expresses an unqualified opinion on the effectiveness of our internal control over financial reporting as of December 31, 2024.</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15" w:name="page116"/>
    <w:bookmarkEnd w:id="115"/>
    <w:p>
      <w:pPr>
        <w:ind w:right="2460" w:firstLine="2787"/>
        <w:spacing w:after="0" w:line="482"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To the Partners of Vornado Realty L.P. and the Board of Trustees of Vornado Realty Trust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Vornado Realty L.P. and subsidiaries (the “Partnership”)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Partnership maintained, in all material respects, effective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1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year ended December 31, 2024, of the Partnership and our report dated February 10, 2025, expressed an unqualified opinion on those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16" w:name="page117"/>
    <w:bookmarkEnd w:id="116"/>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9B.</w:t>
        <w:tab/>
        <w:t>OTHER INFORMATION</w:t>
      </w:r>
    </w:p>
    <w:p>
      <w:pPr>
        <w:spacing w:after="0" w:line="68" w:lineRule="exact"/>
        <w:rPr>
          <w:sz w:val="20"/>
          <w:szCs w:val="20"/>
          <w:color w:val="auto"/>
        </w:rPr>
      </w:pPr>
    </w:p>
    <w:p>
      <w:pPr>
        <w:jc w:val="both"/>
        <w:ind w:firstLine="354"/>
        <w:spacing w:after="0" w:line="296" w:lineRule="auto"/>
        <w:rPr>
          <w:sz w:val="20"/>
          <w:szCs w:val="20"/>
          <w:color w:val="auto"/>
        </w:rPr>
      </w:pPr>
      <w:r>
        <w:rPr>
          <w:rFonts w:ascii="Times New Roman" w:cs="Times New Roman" w:eastAsia="Times New Roman" w:hAnsi="Times New Roman"/>
          <w:sz w:val="17"/>
          <w:szCs w:val="17"/>
          <w:color w:val="auto"/>
        </w:rPr>
        <w:t>During the three months ended December 31, 2024, none of our trustees or executive officers adopted, modified or terminated a “Rule 10b5-1 trading arrangement” or a “non-Rule 10b5-1 trading arrangement” as such terms are defined under Item 408 of Regulation S-K.</w:t>
      </w:r>
    </w:p>
    <w:p>
      <w:pPr>
        <w:spacing w:after="0" w:line="4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9C.</w:t>
        <w:tab/>
        <w:t>DISCLOSURE REGARDING FOREIGN JURISDICTIONS THAT PREVENT INSPECTIONS</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ITEM 10.</w:t>
        <w:tab/>
        <w:t>DIRECTORS, EXECUTIVE OFFICERS AND CORPORATE GOVERNANCE</w:t>
      </w:r>
    </w:p>
    <w:p>
      <w:pPr>
        <w:spacing w:after="0" w:line="68" w:lineRule="exact"/>
        <w:rPr>
          <w:sz w:val="20"/>
          <w:szCs w:val="20"/>
          <w:color w:val="auto"/>
        </w:rPr>
      </w:pPr>
    </w:p>
    <w:p>
      <w:pPr>
        <w:jc w:val="both"/>
        <w:ind w:firstLine="354"/>
        <w:spacing w:after="0" w:line="267" w:lineRule="auto"/>
        <w:rPr>
          <w:sz w:val="20"/>
          <w:szCs w:val="20"/>
          <w:color w:val="auto"/>
        </w:rPr>
      </w:pPr>
      <w:r>
        <w:rPr>
          <w:rFonts w:ascii="Times New Roman" w:cs="Times New Roman" w:eastAsia="Times New Roman" w:hAnsi="Times New Roman"/>
          <w:sz w:val="17"/>
          <w:szCs w:val="17"/>
          <w:color w:val="auto"/>
        </w:rPr>
        <w:t>Information relating to trustees of Vornado, the Operating Partnership’s sole general partner, including its audit committee and audit committee financial expert, will be contained in Vornado’s definitive Proxy Statement involving the election of Vornado’s trustees which Vornado will file with the Securities and Exchange Commission pursuant to Regulation 14A under the Securities Exchange Act of 1934 not later than 120 days after December 31, 2024, and such information is incorporated herein by reference. Also incorporated herein by reference is the information under the caption “16(a) Beneficial Ownership Reporting Compliance” of the Proxy Statement.</w:t>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Executive Officers of the Registrant</w:t>
      </w:r>
    </w:p>
    <w:p>
      <w:pPr>
        <w:spacing w:after="0" w:line="66" w:lineRule="exact"/>
        <w:rPr>
          <w:sz w:val="20"/>
          <w:szCs w:val="20"/>
          <w:color w:val="auto"/>
        </w:rPr>
      </w:pPr>
    </w:p>
    <w:p>
      <w:pPr>
        <w:jc w:val="both"/>
        <w:ind w:firstLine="354"/>
        <w:spacing w:after="0" w:line="276" w:lineRule="auto"/>
        <w:rPr>
          <w:sz w:val="20"/>
          <w:szCs w:val="20"/>
          <w:color w:val="auto"/>
        </w:rPr>
      </w:pPr>
      <w:r>
        <w:rPr>
          <w:rFonts w:ascii="Times New Roman" w:cs="Times New Roman" w:eastAsia="Times New Roman" w:hAnsi="Times New Roman"/>
          <w:sz w:val="17"/>
          <w:szCs w:val="17"/>
          <w:color w:val="auto"/>
        </w:rPr>
        <w:t>The following is a list of the names, ages, principal occupations and positions with Vornado of the executive officers of Vornado and the positions held by such officers during the past five years. All executive officers of Vornado have terms of office that run until the next succeeding meeting of the Board of Trustees of Vornado following the Annual Meeting of Vornado’s Shareholders unless they are removed sooner by Vornado’s Board.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860" w:type="dxa"/>
            <w:vAlign w:val="bottom"/>
            <w:vMerge w:val="restart"/>
          </w:tcPr>
          <w:p>
            <w:pPr>
              <w:jc w:val="center"/>
              <w:ind w:left="173"/>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8700" w:type="dxa"/>
            <w:vAlign w:val="bottom"/>
          </w:tcPr>
          <w:p>
            <w:pPr>
              <w:ind w:left="2300"/>
              <w:spacing w:after="0"/>
              <w:rPr>
                <w:sz w:val="20"/>
                <w:szCs w:val="20"/>
                <w:color w:val="auto"/>
              </w:rPr>
            </w:pPr>
            <w:r>
              <w:rPr>
                <w:rFonts w:ascii="Times New Roman" w:cs="Times New Roman" w:eastAsia="Times New Roman" w:hAnsi="Times New Roman"/>
                <w:sz w:val="17"/>
                <w:szCs w:val="17"/>
                <w:b w:val="1"/>
                <w:bCs w:val="1"/>
                <w:color w:val="auto"/>
              </w:rPr>
              <w:t>PRINCIPAL OCCUPATION, POSITION AND OFFICE</w:t>
            </w:r>
          </w:p>
        </w:tc>
        <w:tc>
          <w:tcPr>
            <w:tcW w:w="0" w:type="dxa"/>
            <w:vAlign w:val="bottom"/>
          </w:tcPr>
          <w:p>
            <w:pPr>
              <w:spacing w:after="0"/>
              <w:rPr>
                <w:sz w:val="1"/>
                <w:szCs w:val="1"/>
                <w:color w:val="auto"/>
              </w:rPr>
            </w:pPr>
          </w:p>
        </w:tc>
      </w:tr>
      <w:tr>
        <w:trPr>
          <w:trHeight w:val="236"/>
        </w:trPr>
        <w:tc>
          <w:tcPr>
            <w:tcW w:w="16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87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7"/>
                <w:szCs w:val="17"/>
                <w:b w:val="1"/>
                <w:bCs w:val="1"/>
                <w:color w:val="auto"/>
              </w:rPr>
              <w:t>(Current and during past five years with Vornado unless otherwise stated)</w:t>
            </w:r>
          </w:p>
        </w:tc>
        <w:tc>
          <w:tcPr>
            <w:tcW w:w="0" w:type="dxa"/>
            <w:vAlign w:val="bottom"/>
          </w:tcPr>
          <w:p>
            <w:pPr>
              <w:spacing w:after="0"/>
              <w:rPr>
                <w:sz w:val="1"/>
                <w:szCs w:val="1"/>
                <w:color w:val="auto"/>
              </w:rPr>
            </w:pPr>
          </w:p>
        </w:tc>
      </w:tr>
      <w:tr>
        <w:trPr>
          <w:trHeight w:val="295"/>
        </w:trPr>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Steven Roth</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3"/>
              </w:rPr>
              <w:t>83</w:t>
            </w:r>
          </w:p>
        </w:tc>
        <w:tc>
          <w:tcPr>
            <w:tcW w:w="8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Chairman of the Board; Chief Executive Officer since April 2013 and from May 1989 to May 2009; Managing General</w:t>
            </w:r>
          </w:p>
        </w:tc>
        <w:tc>
          <w:tcPr>
            <w:tcW w:w="0" w:type="dxa"/>
            <w:vAlign w:val="bottom"/>
          </w:tcPr>
          <w:p>
            <w:pPr>
              <w:spacing w:after="0"/>
              <w:rPr>
                <w:sz w:val="1"/>
                <w:szCs w:val="1"/>
                <w:color w:val="auto"/>
              </w:rPr>
            </w:pPr>
          </w:p>
        </w:tc>
      </w:tr>
      <w:tr>
        <w:trPr>
          <w:trHeight w:val="178"/>
        </w:trPr>
        <w:tc>
          <w:tcPr>
            <w:tcW w:w="1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700" w:type="dxa"/>
            <w:vAlign w:val="bottom"/>
          </w:tcPr>
          <w:p>
            <w:pPr>
              <w:ind w:left="160"/>
              <w:spacing w:after="0" w:line="178" w:lineRule="exact"/>
              <w:rPr>
                <w:sz w:val="20"/>
                <w:szCs w:val="20"/>
                <w:color w:val="auto"/>
              </w:rPr>
            </w:pPr>
            <w:r>
              <w:rPr>
                <w:rFonts w:ascii="Times New Roman" w:cs="Times New Roman" w:eastAsia="Times New Roman" w:hAnsi="Times New Roman"/>
                <w:sz w:val="17"/>
                <w:szCs w:val="17"/>
                <w:color w:val="auto"/>
              </w:rPr>
              <w:t>Partner of Interstate Properties, an owner of shopping centers and an investor in securities and partnerships; Chief</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700" w:type="dxa"/>
            <w:vAlign w:val="bottom"/>
          </w:tcPr>
          <w:p>
            <w:pPr>
              <w:ind w:left="160"/>
              <w:spacing w:after="0" w:line="176" w:lineRule="exact"/>
              <w:rPr>
                <w:sz w:val="20"/>
                <w:szCs w:val="20"/>
                <w:color w:val="auto"/>
              </w:rPr>
            </w:pPr>
            <w:r>
              <w:rPr>
                <w:rFonts w:ascii="Times New Roman" w:cs="Times New Roman" w:eastAsia="Times New Roman" w:hAnsi="Times New Roman"/>
                <w:sz w:val="17"/>
                <w:szCs w:val="17"/>
                <w:color w:val="auto"/>
              </w:rPr>
              <w:t>Executive Officer of Alexander’s, Inc. since March 1995, a Director since 1989, and Chairman of the Board since May</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2004.</w:t>
            </w:r>
          </w:p>
        </w:tc>
        <w:tc>
          <w:tcPr>
            <w:tcW w:w="0" w:type="dxa"/>
            <w:vAlign w:val="bottom"/>
          </w:tcPr>
          <w:p>
            <w:pPr>
              <w:spacing w:after="0"/>
              <w:rPr>
                <w:sz w:val="1"/>
                <w:szCs w:val="1"/>
                <w:color w:val="auto"/>
              </w:rPr>
            </w:pPr>
          </w:p>
        </w:tc>
      </w:tr>
      <w:tr>
        <w:trPr>
          <w:trHeight w:val="218"/>
        </w:trPr>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Michael J. Franco</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3"/>
              </w:rPr>
              <w:t>56</w:t>
            </w:r>
          </w:p>
        </w:tc>
        <w:tc>
          <w:tcPr>
            <w:tcW w:w="8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President and Chief Financial Officer since December 2020; President since April 2019; Executive Vice President - Chief</w:t>
            </w:r>
          </w:p>
        </w:tc>
        <w:tc>
          <w:tcPr>
            <w:tcW w:w="0" w:type="dxa"/>
            <w:vAlign w:val="bottom"/>
          </w:tcPr>
          <w:p>
            <w:pPr>
              <w:spacing w:after="0"/>
              <w:rPr>
                <w:sz w:val="1"/>
                <w:szCs w:val="1"/>
                <w:color w:val="auto"/>
              </w:rPr>
            </w:pPr>
          </w:p>
        </w:tc>
      </w:tr>
      <w:tr>
        <w:trPr>
          <w:trHeight w:val="178"/>
        </w:trPr>
        <w:tc>
          <w:tcPr>
            <w:tcW w:w="1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700" w:type="dxa"/>
            <w:vAlign w:val="bottom"/>
          </w:tcPr>
          <w:p>
            <w:pPr>
              <w:ind w:left="160"/>
              <w:spacing w:after="0" w:line="178" w:lineRule="exact"/>
              <w:rPr>
                <w:sz w:val="20"/>
                <w:szCs w:val="20"/>
                <w:color w:val="auto"/>
              </w:rPr>
            </w:pPr>
            <w:r>
              <w:rPr>
                <w:rFonts w:ascii="Times New Roman" w:cs="Times New Roman" w:eastAsia="Times New Roman" w:hAnsi="Times New Roman"/>
                <w:sz w:val="17"/>
                <w:szCs w:val="17"/>
                <w:color w:val="auto"/>
              </w:rPr>
              <w:t>Investment Officer from April 2015 to April 2019; Executive Vice President - Head of Acquisitions and Capital Markets</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from November 2010 to April 2015.</w:t>
            </w:r>
          </w:p>
        </w:tc>
        <w:tc>
          <w:tcPr>
            <w:tcW w:w="0" w:type="dxa"/>
            <w:vAlign w:val="bottom"/>
          </w:tcPr>
          <w:p>
            <w:pPr>
              <w:spacing w:after="0"/>
              <w:rPr>
                <w:sz w:val="1"/>
                <w:szCs w:val="1"/>
                <w:color w:val="auto"/>
              </w:rPr>
            </w:pPr>
          </w:p>
        </w:tc>
      </w:tr>
      <w:tr>
        <w:trPr>
          <w:trHeight w:val="223"/>
        </w:trPr>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Haim Chera</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3"/>
              </w:rPr>
              <w:t>55</w:t>
            </w:r>
          </w:p>
        </w:tc>
        <w:tc>
          <w:tcPr>
            <w:tcW w:w="8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Executive Vice President - Head of Retail since April 2019; Principal at Crown Acquisitions from January 2000 - April</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2019.</w:t>
            </w:r>
          </w:p>
        </w:tc>
        <w:tc>
          <w:tcPr>
            <w:tcW w:w="0" w:type="dxa"/>
            <w:vAlign w:val="bottom"/>
          </w:tcPr>
          <w:p>
            <w:pPr>
              <w:spacing w:after="0"/>
              <w:rPr>
                <w:sz w:val="1"/>
                <w:szCs w:val="1"/>
                <w:color w:val="auto"/>
              </w:rPr>
            </w:pPr>
          </w:p>
        </w:tc>
      </w:tr>
      <w:tr>
        <w:trPr>
          <w:trHeight w:val="231"/>
        </w:trPr>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Barry S. Langer</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3"/>
              </w:rPr>
              <w:t>46</w:t>
            </w:r>
          </w:p>
        </w:tc>
        <w:tc>
          <w:tcPr>
            <w:tcW w:w="8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Executive Vice President - Development - Co-Head of Real Estate since April 2019; Executive Vice President - Head of</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Development from May 2015 to April 2019.</w:t>
            </w:r>
          </w:p>
        </w:tc>
        <w:tc>
          <w:tcPr>
            <w:tcW w:w="0" w:type="dxa"/>
            <w:vAlign w:val="bottom"/>
          </w:tcPr>
          <w:p>
            <w:pPr>
              <w:spacing w:after="0"/>
              <w:rPr>
                <w:sz w:val="1"/>
                <w:szCs w:val="1"/>
                <w:color w:val="auto"/>
              </w:rPr>
            </w:pPr>
          </w:p>
        </w:tc>
      </w:tr>
      <w:tr>
        <w:trPr>
          <w:trHeight w:val="231"/>
        </w:trPr>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Glen J. Weiss</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3"/>
              </w:rPr>
              <w:t>55</w:t>
            </w:r>
          </w:p>
        </w:tc>
        <w:tc>
          <w:tcPr>
            <w:tcW w:w="8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Executive Vice President - Office Leasing - Co-Head of Real Estate since April 2019; Executive Vice President - Office</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Leasing from May 2013 to April 2019.</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Vornado, the Operating Partnership’s sole general partner, has adopted a Code of Business Conduct and Ethics that applies to all officers and employees.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Code is available on Vornado’s website at www.vno.com.</w:t>
      </w:r>
    </w:p>
    <w:p>
      <w:pPr>
        <w:spacing w:after="0" w:line="4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have adopted an insider trading policy (the “Insider Trading Policy”) which applies to all employees and prohibits trading in the Company's and its affiliates' securities by persons associated with the Company that may possess material nonpublic information relating to the Company and affiliates. A copy of the Insider Trading Policy is filed as Exhibit 19.1 to this Annual Report on Form 10-K.</w:t>
      </w:r>
    </w:p>
    <w:p>
      <w:pPr>
        <w:spacing w:after="0" w:line="5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11.</w:t>
        <w:tab/>
        <w:t>EXECUTIVE COMPENSATION</w:t>
      </w:r>
    </w:p>
    <w:p>
      <w:pPr>
        <w:spacing w:after="0" w:line="6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Information relating to Vornado’s executive officer and trustee compensation will be contained in Vornado’s Proxy Statement referred to above in Item 10, “Directors, Executive Officers and Corporate Governance,” and such information is incorporated herein by reference.</w:t>
      </w:r>
    </w:p>
    <w:p>
      <w:pPr>
        <w:spacing w:after="0" w:line="200" w:lineRule="exact"/>
        <w:rPr>
          <w:sz w:val="20"/>
          <w:szCs w:val="20"/>
          <w:color w:val="auto"/>
        </w:rPr>
      </w:pPr>
    </w:p>
    <w:p>
      <w:pPr>
        <w:spacing w:after="0" w:line="3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17" w:name="page118"/>
    <w:bookmarkEnd w:id="117"/>
    <w:p>
      <w:pPr>
        <w:ind w:left="960" w:right="700" w:hanging="1256"/>
        <w:spacing w:after="0" w:line="290" w:lineRule="auto"/>
        <w:tabs>
          <w:tab w:leader="none" w:pos="940" w:val="left"/>
        </w:tabs>
        <w:rPr>
          <w:sz w:val="20"/>
          <w:szCs w:val="20"/>
          <w:color w:val="auto"/>
        </w:rPr>
      </w:pPr>
      <w:r>
        <w:rPr>
          <w:rFonts w:ascii="Times New Roman" w:cs="Times New Roman" w:eastAsia="Times New Roman" w:hAnsi="Times New Roman"/>
          <w:sz w:val="17"/>
          <w:szCs w:val="17"/>
          <w:b w:val="1"/>
          <w:bCs w:val="1"/>
          <w:color w:val="auto"/>
        </w:rPr>
        <w:t>ITEM 12.</w:t>
        <w:tab/>
        <w:t>SECURITY OWNERSHIP OF CERTAIN BENEFICIAL OWNERS AND MANAGEMENT AND RELATED STOCKHOLDER MATTERS</w:t>
      </w:r>
    </w:p>
    <w:p>
      <w:pPr>
        <w:spacing w:after="0" w:line="1" w:lineRule="exact"/>
        <w:rPr>
          <w:sz w:val="20"/>
          <w:szCs w:val="20"/>
          <w:color w:val="auto"/>
        </w:rPr>
      </w:pPr>
    </w:p>
    <w:p>
      <w:pPr>
        <w:ind w:firstLine="314"/>
        <w:spacing w:after="0" w:line="287" w:lineRule="auto"/>
        <w:rPr>
          <w:sz w:val="20"/>
          <w:szCs w:val="20"/>
          <w:color w:val="auto"/>
        </w:rPr>
      </w:pPr>
      <w:r>
        <w:rPr>
          <w:rFonts w:ascii="Times New Roman" w:cs="Times New Roman" w:eastAsia="Times New Roman" w:hAnsi="Times New Roman"/>
          <w:sz w:val="17"/>
          <w:szCs w:val="17"/>
          <w:color w:val="auto"/>
        </w:rPr>
        <w:t>Information relating to security ownership of certain beneficial owners and management and related stockholder matters will be contained in Vornado’s Proxy Statement referred to in Item 10, “Directors, Executive Officers and Corporate Governance,” and such information is incorporated herein by reference.</w:t>
      </w: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Equity compensation plan information</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information as of December 31, 2024 regarding Vornado’s equity compensation plans.</w:t>
      </w:r>
    </w:p>
    <w:p>
      <w:pPr>
        <w:sectPr>
          <w:pgSz w:w="11900" w:h="16838" w:orient="portrait"/>
          <w:cols w:equalWidth="0" w:num="1">
            <w:col w:w="11240"/>
          </w:cols>
          <w:pgMar w:left="320" w:top="10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Equity compensation plans approved by security holders</w:t>
      </w:r>
    </w:p>
    <w:p>
      <w:pPr>
        <w:spacing w:after="0" w:line="47" w:lineRule="exact"/>
        <w:rPr>
          <w:sz w:val="20"/>
          <w:szCs w:val="20"/>
          <w:color w:val="auto"/>
        </w:rPr>
      </w:pPr>
    </w:p>
    <w:p>
      <w:pPr>
        <w:ind w:left="340" w:right="220" w:hanging="313"/>
        <w:spacing w:after="0" w:line="246" w:lineRule="auto"/>
        <w:rPr>
          <w:sz w:val="20"/>
          <w:szCs w:val="20"/>
          <w:color w:val="auto"/>
        </w:rPr>
      </w:pPr>
      <w:r>
        <w:rPr>
          <w:rFonts w:ascii="Times New Roman" w:cs="Times New Roman" w:eastAsia="Times New Roman" w:hAnsi="Times New Roman"/>
          <w:sz w:val="14"/>
          <w:szCs w:val="14"/>
          <w:color w:val="auto"/>
        </w:rPr>
        <w:t>Equity compensation plans not approved by security holders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40" w:type="dxa"/>
            <w:vAlign w:val="bottom"/>
            <w:gridSpan w:val="2"/>
            <w:vMerge w:val="restart"/>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00" w:type="dxa"/>
            <w:vAlign w:val="bottom"/>
          </w:tcPr>
          <w:p>
            <w:pPr>
              <w:spacing w:after="0"/>
              <w:rPr>
                <w:sz w:val="13"/>
                <w:szCs w:val="13"/>
                <w:color w:val="auto"/>
              </w:rPr>
            </w:pPr>
          </w:p>
        </w:tc>
        <w:tc>
          <w:tcPr>
            <w:tcW w:w="22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600" w:type="dxa"/>
            <w:vAlign w:val="bottom"/>
            <w:gridSpan w:val="2"/>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Number of securities remaining</w:t>
            </w:r>
          </w:p>
        </w:tc>
        <w:tc>
          <w:tcPr>
            <w:tcW w:w="0" w:type="dxa"/>
            <w:vAlign w:val="bottom"/>
          </w:tcPr>
          <w:p>
            <w:pPr>
              <w:spacing w:after="0"/>
              <w:rPr>
                <w:sz w:val="1"/>
                <w:szCs w:val="1"/>
                <w:color w:val="auto"/>
              </w:rPr>
            </w:pPr>
          </w:p>
        </w:tc>
      </w:tr>
      <w:tr>
        <w:trPr>
          <w:trHeight w:val="142"/>
        </w:trPr>
        <w:tc>
          <w:tcPr>
            <w:tcW w:w="2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600" w:type="dxa"/>
            <w:vAlign w:val="bottom"/>
            <w:gridSpan w:val="2"/>
          </w:tcPr>
          <w:p>
            <w:pPr>
              <w:jc w:val="center"/>
              <w:ind w:right="75"/>
              <w:spacing w:after="0" w:line="143" w:lineRule="exact"/>
              <w:rPr>
                <w:sz w:val="20"/>
                <w:szCs w:val="20"/>
                <w:color w:val="auto"/>
              </w:rPr>
            </w:pPr>
            <w:r>
              <w:rPr>
                <w:rFonts w:ascii="Times New Roman" w:cs="Times New Roman" w:eastAsia="Times New Roman" w:hAnsi="Times New Roman"/>
                <w:sz w:val="14"/>
                <w:szCs w:val="14"/>
                <w:b w:val="1"/>
                <w:bCs w:val="1"/>
                <w:color w:val="auto"/>
                <w:w w:val="99"/>
              </w:rPr>
              <w:t>available for future issuance</w:t>
            </w:r>
          </w:p>
        </w:tc>
        <w:tc>
          <w:tcPr>
            <w:tcW w:w="0" w:type="dxa"/>
            <w:vAlign w:val="bottom"/>
          </w:tcPr>
          <w:p>
            <w:pPr>
              <w:spacing w:after="0"/>
              <w:rPr>
                <w:sz w:val="1"/>
                <w:szCs w:val="1"/>
                <w:color w:val="auto"/>
              </w:rPr>
            </w:pPr>
          </w:p>
        </w:tc>
      </w:tr>
      <w:tr>
        <w:trPr>
          <w:trHeight w:val="131"/>
        </w:trPr>
        <w:tc>
          <w:tcPr>
            <w:tcW w:w="2340" w:type="dxa"/>
            <w:vAlign w:val="bottom"/>
            <w:gridSpan w:val="2"/>
          </w:tcPr>
          <w:p>
            <w:pPr>
              <w:jc w:val="center"/>
              <w:ind w:right="335"/>
              <w:spacing w:after="0" w:line="131" w:lineRule="exact"/>
              <w:rPr>
                <w:sz w:val="20"/>
                <w:szCs w:val="20"/>
                <w:color w:val="auto"/>
              </w:rPr>
            </w:pPr>
            <w:r>
              <w:rPr>
                <w:rFonts w:ascii="Times New Roman" w:cs="Times New Roman" w:eastAsia="Times New Roman" w:hAnsi="Times New Roman"/>
                <w:sz w:val="14"/>
                <w:szCs w:val="14"/>
                <w:b w:val="1"/>
                <w:bCs w:val="1"/>
                <w:color w:val="auto"/>
                <w:w w:val="99"/>
              </w:rPr>
              <w:t>issued upon exercise of</w:t>
            </w:r>
          </w:p>
        </w:tc>
        <w:tc>
          <w:tcPr>
            <w:tcW w:w="100" w:type="dxa"/>
            <w:vAlign w:val="bottom"/>
          </w:tcPr>
          <w:p>
            <w:pPr>
              <w:spacing w:after="0"/>
              <w:rPr>
                <w:sz w:val="11"/>
                <w:szCs w:val="11"/>
                <w:color w:val="auto"/>
              </w:rPr>
            </w:pPr>
          </w:p>
        </w:tc>
        <w:tc>
          <w:tcPr>
            <w:tcW w:w="224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exercise price of</w:t>
            </w:r>
          </w:p>
        </w:tc>
        <w:tc>
          <w:tcPr>
            <w:tcW w:w="2600" w:type="dxa"/>
            <w:vAlign w:val="bottom"/>
            <w:gridSpan w:val="2"/>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w w:val="98"/>
              </w:rPr>
              <w:t>under equity compensation plans</w:t>
            </w:r>
          </w:p>
        </w:tc>
        <w:tc>
          <w:tcPr>
            <w:tcW w:w="0" w:type="dxa"/>
            <w:vAlign w:val="bottom"/>
          </w:tcPr>
          <w:p>
            <w:pPr>
              <w:spacing w:after="0"/>
              <w:rPr>
                <w:sz w:val="1"/>
                <w:szCs w:val="1"/>
                <w:color w:val="auto"/>
              </w:rPr>
            </w:pPr>
          </w:p>
        </w:tc>
      </w:tr>
      <w:tr>
        <w:trPr>
          <w:trHeight w:val="144"/>
        </w:trPr>
        <w:tc>
          <w:tcPr>
            <w:tcW w:w="2340" w:type="dxa"/>
            <w:vAlign w:val="bottom"/>
            <w:gridSpan w:val="2"/>
          </w:tcPr>
          <w:p>
            <w:pPr>
              <w:jc w:val="center"/>
              <w:ind w:right="315"/>
              <w:spacing w:after="0" w:line="144" w:lineRule="exact"/>
              <w:rPr>
                <w:sz w:val="20"/>
                <w:szCs w:val="20"/>
                <w:color w:val="auto"/>
              </w:rPr>
            </w:pPr>
            <w:r>
              <w:rPr>
                <w:rFonts w:ascii="Times New Roman" w:cs="Times New Roman" w:eastAsia="Times New Roman" w:hAnsi="Times New Roman"/>
                <w:sz w:val="14"/>
                <w:szCs w:val="14"/>
                <w:b w:val="1"/>
                <w:bCs w:val="1"/>
                <w:color w:val="auto"/>
                <w:w w:val="99"/>
              </w:rPr>
              <w:t>outstanding options, warrants</w:t>
            </w:r>
          </w:p>
        </w:tc>
        <w:tc>
          <w:tcPr>
            <w:tcW w:w="100" w:type="dxa"/>
            <w:vAlign w:val="bottom"/>
          </w:tcPr>
          <w:p>
            <w:pPr>
              <w:spacing w:after="0"/>
              <w:rPr>
                <w:sz w:val="12"/>
                <w:szCs w:val="12"/>
                <w:color w:val="auto"/>
              </w:rPr>
            </w:pPr>
          </w:p>
        </w:tc>
        <w:tc>
          <w:tcPr>
            <w:tcW w:w="2240" w:type="dxa"/>
            <w:vAlign w:val="bottom"/>
            <w:gridSpan w:val="2"/>
          </w:tcPr>
          <w:p>
            <w:pPr>
              <w:jc w:val="center"/>
              <w:ind w:right="4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outstanding options, warrants</w:t>
            </w:r>
          </w:p>
        </w:tc>
        <w:tc>
          <w:tcPr>
            <w:tcW w:w="2600" w:type="dxa"/>
            <w:vAlign w:val="bottom"/>
            <w:gridSpan w:val="2"/>
          </w:tcPr>
          <w:p>
            <w:pPr>
              <w:jc w:val="center"/>
              <w:ind w:right="75"/>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(excluding securities reflected in the</w:t>
            </w:r>
          </w:p>
        </w:tc>
        <w:tc>
          <w:tcPr>
            <w:tcW w:w="0" w:type="dxa"/>
            <w:vAlign w:val="bottom"/>
          </w:tcPr>
          <w:p>
            <w:pPr>
              <w:spacing w:after="0"/>
              <w:rPr>
                <w:sz w:val="1"/>
                <w:szCs w:val="1"/>
                <w:color w:val="auto"/>
              </w:rPr>
            </w:pPr>
          </w:p>
        </w:tc>
      </w:tr>
      <w:tr>
        <w:trPr>
          <w:trHeight w:val="169"/>
        </w:trPr>
        <w:tc>
          <w:tcPr>
            <w:tcW w:w="2340" w:type="dxa"/>
            <w:vAlign w:val="bottom"/>
            <w:gridSpan w:val="2"/>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00" w:type="dxa"/>
            <w:vAlign w:val="bottom"/>
          </w:tcPr>
          <w:p>
            <w:pPr>
              <w:spacing w:after="0"/>
              <w:rPr>
                <w:sz w:val="14"/>
                <w:szCs w:val="14"/>
                <w:color w:val="auto"/>
              </w:rPr>
            </w:pPr>
          </w:p>
        </w:tc>
        <w:tc>
          <w:tcPr>
            <w:tcW w:w="2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600" w:type="dxa"/>
            <w:vAlign w:val="bottom"/>
            <w:gridSpan w:val="2"/>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8"/>
              </w:rPr>
              <w:t>second column)</w:t>
            </w:r>
          </w:p>
        </w:tc>
        <w:tc>
          <w:tcPr>
            <w:tcW w:w="0" w:type="dxa"/>
            <w:vAlign w:val="bottom"/>
          </w:tcPr>
          <w:p>
            <w:pPr>
              <w:spacing w:after="0"/>
              <w:rPr>
                <w:sz w:val="1"/>
                <w:szCs w:val="1"/>
                <w:color w:val="auto"/>
              </w:rPr>
            </w:pPr>
          </w:p>
        </w:tc>
      </w:tr>
      <w:tr>
        <w:trPr>
          <w:trHeight w:val="27"/>
        </w:trPr>
        <w:tc>
          <w:tcPr>
            <w:tcW w:w="1980" w:type="dxa"/>
            <w:vAlign w:val="bottom"/>
            <w:tcBorders>
              <w:bottom w:val="single" w:sz="8" w:color="auto"/>
            </w:tcBorders>
          </w:tcPr>
          <w:p>
            <w:pPr>
              <w:spacing w:after="0"/>
              <w:rPr>
                <w:sz w:val="2"/>
                <w:szCs w:val="2"/>
                <w:color w:val="auto"/>
              </w:rPr>
            </w:pPr>
          </w:p>
        </w:tc>
        <w:tc>
          <w:tcPr>
            <w:tcW w:w="360" w:type="dxa"/>
            <w:vAlign w:val="bottom"/>
            <w:vMerge w:val="restart"/>
          </w:tcPr>
          <w:p>
            <w:pPr>
              <w:jc w:val="right"/>
              <w:ind w:right="195"/>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94"/>
              </w:rPr>
              <w:t>(2)</w:t>
            </w:r>
          </w:p>
        </w:tc>
        <w:tc>
          <w:tcPr>
            <w:tcW w:w="0" w:type="dxa"/>
            <w:vAlign w:val="bottom"/>
          </w:tcPr>
          <w:p>
            <w:pPr>
              <w:spacing w:after="0"/>
              <w:rPr>
                <w:sz w:val="1"/>
                <w:szCs w:val="1"/>
                <w:color w:val="auto"/>
              </w:rPr>
            </w:pPr>
          </w:p>
        </w:tc>
      </w:tr>
      <w:tr>
        <w:trPr>
          <w:trHeight w:val="176"/>
        </w:trPr>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21,554,850</w:t>
            </w:r>
          </w:p>
        </w:tc>
        <w:tc>
          <w:tcPr>
            <w:tcW w:w="36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65.44</w:t>
            </w:r>
          </w:p>
        </w:tc>
        <w:tc>
          <w:tcPr>
            <w:tcW w:w="360" w:type="dxa"/>
            <w:vAlign w:val="bottom"/>
          </w:tcPr>
          <w:p>
            <w:pPr>
              <w:spacing w:after="0"/>
              <w:rPr>
                <w:sz w:val="15"/>
                <w:szCs w:val="15"/>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1,261,445</w:t>
            </w: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2340" w:type="dxa"/>
            <w:vAlign w:val="bottom"/>
            <w:gridSpan w:val="2"/>
          </w:tcPr>
          <w:p>
            <w:pPr>
              <w:jc w:val="right"/>
              <w:ind w:right="195"/>
              <w:spacing w:after="0"/>
              <w:rPr>
                <w:sz w:val="20"/>
                <w:szCs w:val="20"/>
                <w:color w:val="auto"/>
              </w:rPr>
            </w:pPr>
            <w:r>
              <w:rPr>
                <w:rFonts w:ascii="Times New Roman" w:cs="Times New Roman" w:eastAsia="Times New Roman" w:hAnsi="Times New Roman"/>
                <w:sz w:val="14"/>
                <w:szCs w:val="14"/>
                <w:color w:val="auto"/>
              </w:rPr>
              <w:t xml:space="preserve">509,393 </w:t>
            </w:r>
            <w:r>
              <w:rPr>
                <w:rFonts w:ascii="Times New Roman" w:cs="Times New Roman" w:eastAsia="Times New Roman" w:hAnsi="Times New Roman"/>
                <w:sz w:val="18"/>
                <w:szCs w:val="18"/>
                <w:b w:val="1"/>
                <w:bCs w:val="1"/>
                <w:color w:val="auto"/>
                <w:vertAlign w:val="superscript"/>
              </w:rPr>
              <w:t>(3)</w:t>
            </w:r>
          </w:p>
        </w:tc>
        <w:tc>
          <w:tcPr>
            <w:tcW w:w="100" w:type="dxa"/>
            <w:vAlign w:val="bottom"/>
          </w:tcPr>
          <w:p>
            <w:pPr>
              <w:spacing w:after="0"/>
              <w:rPr>
                <w:sz w:val="24"/>
                <w:szCs w:val="24"/>
                <w:color w:val="auto"/>
              </w:rPr>
            </w:pPr>
          </w:p>
        </w:tc>
        <w:tc>
          <w:tcPr>
            <w:tcW w:w="2240" w:type="dxa"/>
            <w:vAlign w:val="bottom"/>
            <w:gridSpan w:val="2"/>
          </w:tcPr>
          <w:p>
            <w:pPr>
              <w:ind w:left="1620"/>
              <w:spacing w:after="0"/>
              <w:rPr>
                <w:sz w:val="20"/>
                <w:szCs w:val="20"/>
                <w:color w:val="auto"/>
              </w:rPr>
            </w:pPr>
            <w:r>
              <w:rPr>
                <w:rFonts w:ascii="Times New Roman" w:cs="Times New Roman" w:eastAsia="Times New Roman" w:hAnsi="Times New Roman"/>
                <w:sz w:val="14"/>
                <w:szCs w:val="14"/>
                <w:color w:val="auto"/>
              </w:rPr>
              <w:t>N/A</w:t>
            </w:r>
          </w:p>
        </w:tc>
        <w:tc>
          <w:tcPr>
            <w:tcW w:w="260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22,064,243</w:t>
            </w:r>
          </w:p>
        </w:tc>
        <w:tc>
          <w:tcPr>
            <w:tcW w:w="3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65.44</w:t>
            </w:r>
          </w:p>
        </w:tc>
        <w:tc>
          <w:tcPr>
            <w:tcW w:w="360" w:type="dxa"/>
            <w:vAlign w:val="bottom"/>
          </w:tcPr>
          <w:p>
            <w:pPr>
              <w:spacing w:after="0"/>
              <w:rPr>
                <w:sz w:val="15"/>
                <w:szCs w:val="15"/>
                <w:color w:val="auto"/>
              </w:rPr>
            </w:pPr>
          </w:p>
        </w:tc>
        <w:tc>
          <w:tcPr>
            <w:tcW w:w="2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1,261,445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9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-2358390</wp:posOffset>
            </wp:positionH>
            <wp:positionV relativeFrom="paragraph">
              <wp:posOffset>-165735</wp:posOffset>
            </wp:positionV>
            <wp:extent cx="7136130" cy="1498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6130" cy="149860"/>
                    </a:xfrm>
                    <a:prstGeom prst="rect">
                      <a:avLst/>
                    </a:prstGeom>
                    <a:noFill/>
                  </pic:spPr>
                </pic:pic>
              </a:graphicData>
            </a:graphic>
          </wp:anchor>
        </w:drawing>
        <w:drawing>
          <wp:anchor simplePos="0" relativeHeight="251657728" behindDoc="1" locked="0" layoutInCell="0" allowOverlap="1">
            <wp:simplePos x="0" y="0"/>
            <wp:positionH relativeFrom="column">
              <wp:posOffset>-2358390</wp:posOffset>
            </wp:positionH>
            <wp:positionV relativeFrom="paragraph">
              <wp:posOffset>-506730</wp:posOffset>
            </wp:positionV>
            <wp:extent cx="7136130" cy="133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3180" w:space="540"/>
            <w:col w:w="7520"/>
          </w:cols>
          <w:pgMar w:left="320" w:top="106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46" w:lineRule="exact"/>
        <w:rPr>
          <w:sz w:val="20"/>
          <w:szCs w:val="20"/>
          <w:color w:val="auto"/>
        </w:rPr>
      </w:pPr>
    </w:p>
    <w:p>
      <w:pPr>
        <w:jc w:val="both"/>
        <w:ind w:left="320" w:hanging="315"/>
        <w:spacing w:after="0" w:line="258" w:lineRule="auto"/>
        <w:tabs>
          <w:tab w:leader="none" w:pos="312" w:val="left"/>
        </w:tabs>
        <w:numPr>
          <w:ilvl w:val="0"/>
          <w:numId w:val="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Includes shares/units of (i) 139,417 Vornado Stock Options, all of which are vested and exercisable, (ii) 529,836 Appreciation-Only Long-Term Incentive Plan ("AO LTIP") units, all of which are vested and exercisable, (iii) 14,319,250 Performance AO LTIP units, (iv) 4,437,754 restricted Operating Partnership units (1,518,659 of which are vested and exercisable), (v) 1,208,264 unearned Out-Performance Plan units, (vi) 287,793 earned but unvested Long-Term Performance Plan LTIP Units and (vii) 632,536 unearned Long-Term Performance Plan LTIP Units. See Note 11 - </w:t>
      </w:r>
      <w:r>
        <w:rPr>
          <w:rFonts w:ascii="Times New Roman" w:cs="Times New Roman" w:eastAsia="Times New Roman" w:hAnsi="Times New Roman"/>
          <w:sz w:val="14"/>
          <w:szCs w:val="14"/>
          <w:i w:val="1"/>
          <w:iCs w:val="1"/>
          <w:color w:val="auto"/>
        </w:rPr>
        <w:t xml:space="preserve">Stock-based Compensation </w:t>
      </w:r>
      <w:r>
        <w:rPr>
          <w:rFonts w:ascii="Times New Roman" w:cs="Times New Roman" w:eastAsia="Times New Roman" w:hAnsi="Times New Roman"/>
          <w:sz w:val="14"/>
          <w:szCs w:val="14"/>
          <w:color w:val="auto"/>
        </w:rPr>
        <w:t>in Part II, Item 8 of this Annual Report on Form 10-K for additional information.</w:t>
      </w:r>
    </w:p>
    <w:p>
      <w:pPr>
        <w:spacing w:after="0" w:line="1" w:lineRule="exact"/>
        <w:rPr>
          <w:rFonts w:ascii="Times New Roman" w:cs="Times New Roman" w:eastAsia="Times New Roman" w:hAnsi="Times New Roman"/>
          <w:sz w:val="14"/>
          <w:szCs w:val="14"/>
          <w:b w:val="1"/>
          <w:bCs w:val="1"/>
          <w:color w:val="auto"/>
        </w:rPr>
      </w:pPr>
    </w:p>
    <w:p>
      <w:pPr>
        <w:ind w:left="320" w:hanging="315"/>
        <w:spacing w:after="0" w:line="262" w:lineRule="auto"/>
        <w:tabs>
          <w:tab w:leader="none" w:pos="312" w:val="left"/>
        </w:tabs>
        <w:numPr>
          <w:ilvl w:val="0"/>
          <w:numId w:val="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Based on awards being granted as "Full Value Awards," as defined. If we were to grant "Not Full Value Awards," as defined, the number of securities available for future grants is approximately 2,523,000 shares.</w:t>
      </w:r>
    </w:p>
    <w:p>
      <w:pPr>
        <w:spacing w:after="0" w:line="2" w:lineRule="exact"/>
        <w:rPr>
          <w:rFonts w:ascii="Times New Roman" w:cs="Times New Roman" w:eastAsia="Times New Roman" w:hAnsi="Times New Roman"/>
          <w:sz w:val="14"/>
          <w:szCs w:val="14"/>
          <w:b w:val="1"/>
          <w:bCs w:val="1"/>
          <w:color w:val="auto"/>
        </w:rPr>
      </w:pPr>
    </w:p>
    <w:p>
      <w:pPr>
        <w:jc w:val="both"/>
        <w:ind w:left="320" w:hanging="315"/>
        <w:spacing w:after="0" w:line="260" w:lineRule="auto"/>
        <w:tabs>
          <w:tab w:leader="none" w:pos="312" w:val="left"/>
        </w:tabs>
        <w:numPr>
          <w:ilvl w:val="0"/>
          <w:numId w:val="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 66,600 restricted Operating Partnership units granted at a market price of $23.65 per unit to Vornado Trustees that are not executives of the Company as part of their 2024 annual Trustee fees (ii) 23,190 restricted Operating Partnership units granted at a market price of $43.12 per unit to Vornado consultants that are not executives of the Company for 2024 annual consulting fees, (iii) 237,536 restricted Operating Partnership units granted in 2023, and (iv) 182,067 restricted Operating Partnership units granted in 2022.</w:t>
      </w:r>
    </w:p>
    <w:p>
      <w:pPr>
        <w:spacing w:after="0" w:line="8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ITEM 13.</w:t>
        <w:tab/>
        <w:t>CERTAIN RELATIONSHIPS AND RELATED TRANSACTIONS, AND DIRECTOR INDEPENDENCE</w:t>
      </w:r>
    </w:p>
    <w:p>
      <w:pPr>
        <w:spacing w:after="0" w:line="6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Information relating to certain relationships and related transactions, and director independence will be contained in Vornado’s Proxy Statement referred to in Item 10, “Directors, Executive Officers and Corporate Governance,” and such information is incorporated herein by reference.</w:t>
      </w:r>
    </w:p>
    <w:p>
      <w:pPr>
        <w:spacing w:after="0" w:line="4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ITEM 14.</w:t>
        <w:tab/>
        <w:t>PRINCIPAL ACCOUNTANT FEES AND SERVICES</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Information relating to principal accountant fees and services will be contained in Vornado’s Proxy Statement referred to in Item 10, “Directors, Executive Officers and Corporate Governance,” under the caption “Ratification of The Appointment of Independent Accounting Firm” and such information is incorporated herein by reference.</w:t>
      </w:r>
    </w:p>
    <w:p>
      <w:pPr>
        <w:spacing w:after="0" w:line="16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ITEM 15.</w:t>
        <w:tab/>
        <w:t>EXHIBITS AND FINANCIAL STATEMENT SCHEDULES</w:t>
      </w:r>
    </w:p>
    <w:p>
      <w:pPr>
        <w:spacing w:after="0" w:line="68" w:lineRule="exact"/>
        <w:rPr>
          <w:sz w:val="20"/>
          <w:szCs w:val="20"/>
          <w:color w:val="auto"/>
        </w:rPr>
      </w:pPr>
    </w:p>
    <w:p>
      <w:pPr>
        <w:ind w:left="940" w:hanging="306"/>
        <w:spacing w:after="0"/>
        <w:tabs>
          <w:tab w:leader="none" w:pos="9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documents are filed as part of this report:</w:t>
      </w:r>
    </w:p>
    <w:p>
      <w:pPr>
        <w:spacing w:after="0" w:line="66" w:lineRule="exact"/>
        <w:rPr>
          <w:rFonts w:ascii="Times New Roman" w:cs="Times New Roman" w:eastAsia="Times New Roman" w:hAnsi="Times New Roman"/>
          <w:sz w:val="17"/>
          <w:szCs w:val="17"/>
          <w:color w:val="auto"/>
        </w:rPr>
      </w:pPr>
    </w:p>
    <w:p>
      <w:pPr>
        <w:ind w:left="1580" w:hanging="318"/>
        <w:spacing w:after="0"/>
        <w:tabs>
          <w:tab w:leader="none" w:pos="15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consolidated financial statements are set forth in Item 8 of this Annual Report on Form 10-K.</w:t>
      </w:r>
    </w:p>
    <w:p>
      <w:pPr>
        <w:spacing w:after="0" w:line="66" w:lineRule="exact"/>
        <w:rPr>
          <w:sz w:val="20"/>
          <w:szCs w:val="20"/>
          <w:color w:val="auto"/>
        </w:rPr>
      </w:pPr>
    </w:p>
    <w:p>
      <w:pPr>
        <w:ind w:firstLine="314"/>
        <w:spacing w:after="0" w:line="268" w:lineRule="auto"/>
        <w:rPr>
          <w:sz w:val="20"/>
          <w:szCs w:val="20"/>
          <w:color w:val="auto"/>
        </w:rPr>
      </w:pPr>
      <w:r>
        <w:rPr>
          <w:rFonts w:ascii="Times New Roman" w:cs="Times New Roman" w:eastAsia="Times New Roman" w:hAnsi="Times New Roman"/>
          <w:sz w:val="17"/>
          <w:szCs w:val="17"/>
          <w:color w:val="auto"/>
        </w:rPr>
        <w:t>The following financial statement schedules should be read in conjunction with the financial statements included in Item 8 of this Annual Report on Form 10-K.</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5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Page in this</w:t>
            </w:r>
          </w:p>
        </w:tc>
      </w:tr>
      <w:tr>
        <w:trPr>
          <w:trHeight w:val="157"/>
        </w:trPr>
        <w:tc>
          <w:tcPr>
            <w:tcW w:w="9540" w:type="dxa"/>
            <w:vAlign w:val="bottom"/>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Annual Report</w:t>
            </w:r>
          </w:p>
        </w:tc>
      </w:tr>
      <w:tr>
        <w:trPr>
          <w:trHeight w:val="208"/>
        </w:trPr>
        <w:tc>
          <w:tcPr>
            <w:tcW w:w="954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 Form 10-K</w:t>
            </w:r>
          </w:p>
        </w:tc>
      </w:tr>
      <w:tr>
        <w:trPr>
          <w:trHeight w:val="201"/>
        </w:trPr>
        <w:tc>
          <w:tcPr>
            <w:tcW w:w="9540" w:type="dxa"/>
            <w:vAlign w:val="bottom"/>
          </w:tcPr>
          <w:p>
            <w:pPr>
              <w:spacing w:after="0"/>
              <w:rPr>
                <w:sz w:val="20"/>
                <w:szCs w:val="20"/>
                <w:color w:val="auto"/>
              </w:rPr>
            </w:pPr>
            <w:r>
              <w:rPr>
                <w:rFonts w:ascii="Times New Roman" w:cs="Times New Roman" w:eastAsia="Times New Roman" w:hAnsi="Times New Roman"/>
                <w:sz w:val="16"/>
                <w:szCs w:val="16"/>
                <w:color w:val="auto"/>
              </w:rPr>
              <w:t>Schedule III - Real Estate and Accumulated Depreciation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119</w:t>
            </w:r>
          </w:p>
        </w:tc>
      </w:tr>
    </w:tbl>
    <w:p>
      <w:pPr>
        <w:spacing w:after="0" w:line="11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Schedules other than those listed above are omitted because they are not applicable or the information required is included in the consolidated financial statements or the notes thereto.</w:t>
      </w:r>
    </w:p>
    <w:p>
      <w:pPr>
        <w:spacing w:after="0" w:line="200" w:lineRule="exact"/>
        <w:rPr>
          <w:sz w:val="20"/>
          <w:szCs w:val="20"/>
          <w:color w:val="auto"/>
        </w:rPr>
      </w:pPr>
    </w:p>
    <w:p>
      <w:pPr>
        <w:spacing w:after="0" w:line="3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118" w:name="page119"/>
    <w:bookmarkEnd w:id="118"/>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SCHEDULE III</w:t>
      </w:r>
    </w:p>
    <w:p>
      <w:pPr>
        <w:spacing w:after="0" w:line="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REAL ESTATE AND ACCUMULATED DEPRECIATION</w:t>
      </w:r>
    </w:p>
    <w:p>
      <w:pPr>
        <w:spacing w:after="0" w:line="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(Amounts in thousands)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5"/>
                <w:szCs w:val="15"/>
                <w:b w:val="1"/>
                <w:bCs w:val="1"/>
                <w:color w:val="auto"/>
                <w:w w:val="99"/>
              </w:rPr>
              <w:t>COLUMN</w:t>
            </w:r>
          </w:p>
        </w:tc>
        <w:tc>
          <w:tcPr>
            <w:tcW w:w="78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5"/>
                <w:szCs w:val="15"/>
                <w:b w:val="1"/>
                <w:bCs w:val="1"/>
                <w:color w:val="auto"/>
                <w:w w:val="99"/>
              </w:rPr>
              <w:t>COLUMN</w:t>
            </w: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COLUMN A</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5"/>
                <w:szCs w:val="15"/>
                <w:b w:val="1"/>
                <w:bCs w:val="1"/>
                <w:color w:val="auto"/>
                <w:w w:val="97"/>
              </w:rPr>
              <w:t>COLUMN B</w:t>
            </w: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5"/>
                <w:szCs w:val="15"/>
                <w:b w:val="1"/>
                <w:bCs w:val="1"/>
                <w:color w:val="auto"/>
              </w:rPr>
              <w:t>COLUMN C</w:t>
            </w: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COLUMN D</w:t>
            </w:r>
          </w:p>
        </w:tc>
        <w:tc>
          <w:tcPr>
            <w:tcW w:w="6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5"/>
                <w:szCs w:val="15"/>
                <w:b w:val="1"/>
                <w:bCs w:val="1"/>
                <w:color w:val="auto"/>
                <w:w w:val="99"/>
              </w:rPr>
              <w:t>COLUMN E</w:t>
            </w:r>
          </w:p>
        </w:tc>
        <w:tc>
          <w:tcPr>
            <w:tcW w:w="7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left="12"/>
              <w:spacing w:after="0"/>
              <w:rPr>
                <w:sz w:val="20"/>
                <w:szCs w:val="20"/>
                <w:color w:val="auto"/>
              </w:rPr>
            </w:pPr>
            <w:r>
              <w:rPr>
                <w:rFonts w:ascii="Times New Roman" w:cs="Times New Roman" w:eastAsia="Times New Roman" w:hAnsi="Times New Roman"/>
                <w:sz w:val="15"/>
                <w:szCs w:val="15"/>
                <w:b w:val="1"/>
                <w:bCs w:val="1"/>
                <w:color w:val="auto"/>
                <w:w w:val="98"/>
              </w:rPr>
              <w:t>COLUMN F</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G</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H</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COLUMN I</w:t>
            </w:r>
          </w:p>
        </w:tc>
        <w:tc>
          <w:tcPr>
            <w:tcW w:w="0" w:type="dxa"/>
            <w:vAlign w:val="bottom"/>
          </w:tcPr>
          <w:p>
            <w:pPr>
              <w:spacing w:after="0"/>
              <w:rPr>
                <w:sz w:val="1"/>
                <w:szCs w:val="1"/>
                <w:color w:val="auto"/>
              </w:rPr>
            </w:pPr>
          </w:p>
        </w:tc>
      </w:tr>
      <w:tr>
        <w:trPr>
          <w:trHeight w:val="154"/>
        </w:trPr>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Initial cost to company</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Gross amount at which</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Life on which</w:t>
            </w: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36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carried at close of period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depreciation</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vMerge w:val="restart"/>
          </w:tcPr>
          <w:p>
            <w:pPr>
              <w:jc w:val="center"/>
              <w:ind w:right="131"/>
              <w:spacing w:after="0" w:line="118" w:lineRule="exact"/>
              <w:rPr>
                <w:sz w:val="20"/>
                <w:szCs w:val="20"/>
                <w:color w:val="auto"/>
              </w:rPr>
            </w:pPr>
            <w:r>
              <w:rPr>
                <w:rFonts w:ascii="Times New Roman" w:cs="Times New Roman" w:eastAsia="Times New Roman" w:hAnsi="Times New Roman"/>
                <w:sz w:val="13"/>
                <w:szCs w:val="13"/>
                <w:b w:val="1"/>
                <w:bCs w:val="1"/>
                <w:color w:val="auto"/>
                <w:w w:val="98"/>
              </w:rPr>
              <w:t>Costs</w:t>
            </w:r>
          </w:p>
        </w:tc>
        <w:tc>
          <w:tcPr>
            <w:tcW w:w="6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20" w:type="dxa"/>
            <w:vAlign w:val="bottom"/>
            <w:gridSpan w:val="2"/>
            <w:vMerge w:val="restart"/>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60" w:type="dxa"/>
            <w:vAlign w:val="bottom"/>
            <w:vMerge w:val="restart"/>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latest</w:t>
            </w:r>
          </w:p>
        </w:tc>
        <w:tc>
          <w:tcPr>
            <w:tcW w:w="0" w:type="dxa"/>
            <w:vAlign w:val="bottom"/>
          </w:tcPr>
          <w:p>
            <w:pPr>
              <w:spacing w:after="0"/>
              <w:rPr>
                <w:sz w:val="1"/>
                <w:szCs w:val="1"/>
                <w:color w:val="auto"/>
              </w:rPr>
            </w:pPr>
          </w:p>
        </w:tc>
      </w:tr>
      <w:tr>
        <w:trPr>
          <w:trHeight w:val="45"/>
        </w:trPr>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vMerge w:val="restart"/>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Buildings</w:t>
            </w: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Buildings</w:t>
            </w:r>
          </w:p>
        </w:tc>
        <w:tc>
          <w:tcPr>
            <w:tcW w:w="7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111"/>
              <w:spacing w:after="0" w:line="131" w:lineRule="exact"/>
              <w:rPr>
                <w:sz w:val="20"/>
                <w:szCs w:val="20"/>
                <w:color w:val="auto"/>
              </w:rPr>
            </w:pPr>
            <w:r>
              <w:rPr>
                <w:rFonts w:ascii="Times New Roman" w:cs="Times New Roman" w:eastAsia="Times New Roman" w:hAnsi="Times New Roman"/>
                <w:sz w:val="13"/>
                <w:szCs w:val="13"/>
                <w:b w:val="1"/>
                <w:bCs w:val="1"/>
                <w:color w:val="auto"/>
              </w:rPr>
              <w:t>capitalized</w:t>
            </w:r>
          </w:p>
        </w:tc>
        <w:tc>
          <w:tcPr>
            <w:tcW w:w="6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depreciation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 of</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Encumbrances</w:t>
            </w:r>
            <w:r>
              <w:rPr>
                <w:rFonts w:ascii="Times New Roman" w:cs="Times New Roman" w:eastAsia="Times New Roman" w:hAnsi="Times New Roman"/>
                <w:sz w:val="17"/>
                <w:szCs w:val="17"/>
                <w:b w:val="1"/>
                <w:bCs w:val="1"/>
                <w:color w:val="auto"/>
                <w:w w:val="97"/>
                <w:vertAlign w:val="superscript"/>
              </w:rPr>
              <w:t>(1)</w:t>
            </w:r>
          </w:p>
        </w:tc>
        <w:tc>
          <w:tcPr>
            <w:tcW w:w="220" w:type="dxa"/>
            <w:vAlign w:val="bottom"/>
          </w:tcPr>
          <w:p>
            <w:pPr>
              <w:spacing w:after="0"/>
              <w:rPr>
                <w:sz w:val="11"/>
                <w:szCs w:val="11"/>
                <w:color w:val="auto"/>
              </w:rPr>
            </w:pPr>
          </w:p>
        </w:tc>
        <w:tc>
          <w:tcPr>
            <w:tcW w:w="700" w:type="dxa"/>
            <w:vAlign w:val="bottom"/>
            <w:vMerge w:val="restart"/>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Land</w:t>
            </w:r>
          </w:p>
        </w:tc>
        <w:tc>
          <w:tcPr>
            <w:tcW w:w="180" w:type="dxa"/>
            <w:vAlign w:val="bottom"/>
          </w:tcPr>
          <w:p>
            <w:pPr>
              <w:spacing w:after="0"/>
              <w:rPr>
                <w:sz w:val="11"/>
                <w:szCs w:val="11"/>
                <w:color w:val="auto"/>
              </w:rPr>
            </w:pPr>
          </w:p>
        </w:tc>
        <w:tc>
          <w:tcPr>
            <w:tcW w:w="740" w:type="dxa"/>
            <w:vAlign w:val="bottom"/>
          </w:tcPr>
          <w:p>
            <w:pPr>
              <w:jc w:val="center"/>
              <w:ind w:right="50"/>
              <w:spacing w:after="0" w:line="131" w:lineRule="exact"/>
              <w:rPr>
                <w:sz w:val="20"/>
                <w:szCs w:val="20"/>
                <w:color w:val="auto"/>
              </w:rPr>
            </w:pPr>
            <w:r>
              <w:rPr>
                <w:rFonts w:ascii="Times New Roman" w:cs="Times New Roman" w:eastAsia="Times New Roman" w:hAnsi="Times New Roman"/>
                <w:sz w:val="13"/>
                <w:szCs w:val="13"/>
                <w:b w:val="1"/>
                <w:bCs w:val="1"/>
                <w:color w:val="auto"/>
              </w:rPr>
              <w:t>and</w:t>
            </w:r>
          </w:p>
        </w:tc>
        <w:tc>
          <w:tcPr>
            <w:tcW w:w="160" w:type="dxa"/>
            <w:vAlign w:val="bottom"/>
          </w:tcPr>
          <w:p>
            <w:pPr>
              <w:spacing w:after="0"/>
              <w:rPr>
                <w:sz w:val="11"/>
                <w:szCs w:val="11"/>
                <w:color w:val="auto"/>
              </w:rPr>
            </w:pPr>
          </w:p>
        </w:tc>
        <w:tc>
          <w:tcPr>
            <w:tcW w:w="860" w:type="dxa"/>
            <w:vAlign w:val="bottom"/>
          </w:tcPr>
          <w:p>
            <w:pPr>
              <w:jc w:val="center"/>
              <w:ind w:right="131"/>
              <w:spacing w:after="0" w:line="131" w:lineRule="exact"/>
              <w:rPr>
                <w:sz w:val="20"/>
                <w:szCs w:val="20"/>
                <w:color w:val="auto"/>
              </w:rPr>
            </w:pPr>
            <w:r>
              <w:rPr>
                <w:rFonts w:ascii="Times New Roman" w:cs="Times New Roman" w:eastAsia="Times New Roman" w:hAnsi="Times New Roman"/>
                <w:sz w:val="13"/>
                <w:szCs w:val="13"/>
                <w:b w:val="1"/>
                <w:bCs w:val="1"/>
                <w:color w:val="auto"/>
                <w:w w:val="99"/>
              </w:rPr>
              <w:t>subsequent</w:t>
            </w:r>
          </w:p>
        </w:tc>
        <w:tc>
          <w:tcPr>
            <w:tcW w:w="640" w:type="dxa"/>
            <w:vAlign w:val="bottom"/>
            <w:vMerge w:val="restart"/>
          </w:tcPr>
          <w:p>
            <w:pPr>
              <w:jc w:val="right"/>
              <w:ind w:right="111"/>
              <w:spacing w:after="0"/>
              <w:rPr>
                <w:sz w:val="20"/>
                <w:szCs w:val="20"/>
                <w:color w:val="auto"/>
              </w:rPr>
            </w:pPr>
            <w:r>
              <w:rPr>
                <w:rFonts w:ascii="Times New Roman" w:cs="Times New Roman" w:eastAsia="Times New Roman" w:hAnsi="Times New Roman"/>
                <w:sz w:val="13"/>
                <w:szCs w:val="13"/>
                <w:b w:val="1"/>
                <w:bCs w:val="1"/>
                <w:color w:val="auto"/>
              </w:rPr>
              <w:t>Land</w:t>
            </w: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and</w:t>
            </w:r>
          </w:p>
        </w:tc>
        <w:tc>
          <w:tcPr>
            <w:tcW w:w="740" w:type="dxa"/>
            <w:vAlign w:val="bottom"/>
            <w:vMerge w:val="restart"/>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Total</w:t>
            </w:r>
            <w:r>
              <w:rPr>
                <w:rFonts w:ascii="Times New Roman" w:cs="Times New Roman" w:eastAsia="Times New Roman" w:hAnsi="Times New Roman"/>
                <w:sz w:val="17"/>
                <w:szCs w:val="17"/>
                <w:b w:val="1"/>
                <w:bCs w:val="1"/>
                <w:color w:val="auto"/>
                <w:vertAlign w:val="superscript"/>
              </w:rPr>
              <w:t>(2)</w:t>
            </w:r>
          </w:p>
        </w:tc>
        <w:tc>
          <w:tcPr>
            <w:tcW w:w="280" w:type="dxa"/>
            <w:vAlign w:val="bottom"/>
          </w:tcPr>
          <w:p>
            <w:pPr>
              <w:spacing w:after="0"/>
              <w:rPr>
                <w:sz w:val="11"/>
                <w:szCs w:val="11"/>
                <w:color w:val="auto"/>
              </w:rPr>
            </w:pPr>
          </w:p>
        </w:tc>
        <w:tc>
          <w:tcPr>
            <w:tcW w:w="640" w:type="dxa"/>
            <w:vAlign w:val="bottom"/>
          </w:tcPr>
          <w:p>
            <w:pPr>
              <w:jc w:val="center"/>
              <w:ind w:right="13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8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statement</w:t>
            </w:r>
          </w:p>
        </w:tc>
        <w:tc>
          <w:tcPr>
            <w:tcW w:w="0" w:type="dxa"/>
            <w:vAlign w:val="bottom"/>
          </w:tcPr>
          <w:p>
            <w:pPr>
              <w:spacing w:after="0"/>
              <w:rPr>
                <w:sz w:val="1"/>
                <w:szCs w:val="1"/>
                <w:color w:val="auto"/>
              </w:rPr>
            </w:pPr>
          </w:p>
        </w:tc>
      </w:tr>
      <w:tr>
        <w:trPr>
          <w:trHeight w:val="183"/>
        </w:trPr>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to acquisition</w:t>
            </w:r>
          </w:p>
        </w:tc>
        <w:tc>
          <w:tcPr>
            <w:tcW w:w="64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74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gridSpan w:val="2"/>
          </w:tcPr>
          <w:p>
            <w:pPr>
              <w:jc w:val="center"/>
              <w:ind w:left="12"/>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860" w:type="dxa"/>
            <w:vAlign w:val="bottom"/>
            <w:tcBorders>
              <w:bottom w:val="single" w:sz="8" w:color="auto"/>
            </w:tcBorders>
          </w:tcPr>
          <w:p>
            <w:pPr>
              <w:jc w:val="center"/>
              <w:spacing w:after="0" w:line="184" w:lineRule="exact"/>
              <w:rPr>
                <w:sz w:val="20"/>
                <w:szCs w:val="20"/>
                <w:color w:val="auto"/>
              </w:rPr>
            </w:pPr>
            <w:r>
              <w:rPr>
                <w:rFonts w:ascii="Times New Roman" w:cs="Times New Roman" w:eastAsia="Times New Roman" w:hAnsi="Times New Roman"/>
                <w:sz w:val="13"/>
                <w:szCs w:val="13"/>
                <w:b w:val="1"/>
                <w:bCs w:val="1"/>
                <w:color w:val="auto"/>
                <w:w w:val="96"/>
              </w:rPr>
              <w:t>construction</w:t>
            </w:r>
            <w:r>
              <w:rPr>
                <w:rFonts w:ascii="Times New Roman" w:cs="Times New Roman" w:eastAsia="Times New Roman" w:hAnsi="Times New Roman"/>
                <w:sz w:val="17"/>
                <w:szCs w:val="17"/>
                <w:b w:val="1"/>
                <w:bCs w:val="1"/>
                <w:color w:val="auto"/>
                <w:w w:val="96"/>
                <w:vertAlign w:val="superscript"/>
              </w:rPr>
              <w:t>(3)</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acquired</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is computed</w:t>
            </w:r>
          </w:p>
        </w:tc>
        <w:tc>
          <w:tcPr>
            <w:tcW w:w="0" w:type="dxa"/>
            <w:vAlign w:val="bottom"/>
          </w:tcPr>
          <w:p>
            <w:pPr>
              <w:spacing w:after="0"/>
              <w:rPr>
                <w:sz w:val="1"/>
                <w:szCs w:val="1"/>
                <w:color w:val="auto"/>
              </w:rPr>
            </w:pPr>
          </w:p>
        </w:tc>
      </w:tr>
      <w:tr>
        <w:trPr>
          <w:trHeight w:val="178"/>
        </w:trPr>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New York</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Manhattan</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4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1290 Avenue of the</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950,000</w:t>
            </w:r>
          </w:p>
        </w:tc>
        <w:tc>
          <w:tcPr>
            <w:tcW w:w="2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  518,244</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926,992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299,181</w:t>
            </w:r>
          </w:p>
        </w:tc>
        <w:tc>
          <w:tcPr>
            <w:tcW w:w="6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6"/>
              </w:rPr>
              <w:t>$ 518,244</w:t>
            </w:r>
          </w:p>
        </w:tc>
        <w:tc>
          <w:tcPr>
            <w:tcW w:w="9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  1,226,173</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$ 1,744,417</w:t>
            </w:r>
          </w:p>
        </w:tc>
        <w:tc>
          <w:tcPr>
            <w:tcW w:w="28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527,598</w:t>
            </w: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1963</w:t>
            </w: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2007</w:t>
            </w: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93"/>
        </w:trPr>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Americas</w:t>
            </w:r>
          </w:p>
        </w:tc>
        <w:tc>
          <w:tcPr>
            <w:tcW w:w="10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One Park Avenue</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525,000</w:t>
            </w:r>
          </w:p>
        </w:tc>
        <w:tc>
          <w:tcPr>
            <w:tcW w:w="22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197,057</w:t>
            </w:r>
          </w:p>
        </w:tc>
        <w:tc>
          <w:tcPr>
            <w:tcW w:w="1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369,016</w:t>
            </w:r>
          </w:p>
        </w:tc>
        <w:tc>
          <w:tcPr>
            <w:tcW w:w="16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16,545</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197,057</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385,561</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582,618</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36,701</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1926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350</w:t>
            </w: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Park Avenue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265,889</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363,381</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108,646</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306,034</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431,882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737,916</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192,223</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1960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2006</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PENN 1</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412,169</w:t>
            </w:r>
          </w:p>
        </w:tc>
        <w:tc>
          <w:tcPr>
            <w:tcW w:w="16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980,523</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1,392,692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1,392,692</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482,628</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1972</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1998</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100</w:t>
            </w: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33rd Street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480,000</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331,371</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361,443</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77,562</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331,371</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439,005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770,376</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199,265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1911/2009</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2007</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2"/>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150</w:t>
            </w:r>
          </w:p>
        </w:tc>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West 34th Street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20" w:type="dxa"/>
            <w:vAlign w:val="bottom"/>
            <w:vMerge w:val="restart"/>
          </w:tcPr>
          <w:p>
            <w:pPr>
              <w:jc w:val="right"/>
              <w:ind w:right="55"/>
              <w:spacing w:after="0"/>
              <w:rPr>
                <w:sz w:val="20"/>
                <w:szCs w:val="20"/>
                <w:color w:val="auto"/>
              </w:rPr>
            </w:pPr>
            <w:r>
              <w:rPr>
                <w:rFonts w:ascii="Times New Roman" w:cs="Times New Roman" w:eastAsia="Times New Roman" w:hAnsi="Times New Roman"/>
                <w:sz w:val="9"/>
                <w:szCs w:val="9"/>
                <w:b w:val="1"/>
                <w:bCs w:val="1"/>
                <w:color w:val="auto"/>
                <w:w w:val="94"/>
              </w:rPr>
              <w:t>(5)</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119,657</w:t>
            </w:r>
          </w:p>
        </w:tc>
        <w:tc>
          <w:tcPr>
            <w:tcW w:w="18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268,509</w:t>
            </w:r>
          </w:p>
        </w:tc>
        <w:tc>
          <w:tcPr>
            <w:tcW w:w="160" w:type="dxa"/>
            <w:vAlign w:val="bottom"/>
          </w:tcPr>
          <w:p>
            <w:pPr>
              <w:spacing w:after="0"/>
              <w:rPr>
                <w:sz w:val="15"/>
                <w:szCs w:val="15"/>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119,657</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268,509</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388,166</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64,330</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1900</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7"/>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PENN 2</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220" w:type="dxa"/>
            <w:vAlign w:val="bottom"/>
            <w:vMerge w:val="continue"/>
          </w:tcPr>
          <w:p>
            <w:pPr>
              <w:spacing w:after="0"/>
              <w:rPr>
                <w:sz w:val="16"/>
                <w:szCs w:val="16"/>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53,615</w:t>
            </w:r>
          </w:p>
        </w:tc>
        <w:tc>
          <w:tcPr>
            <w:tcW w:w="1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164,903</w:t>
            </w:r>
          </w:p>
        </w:tc>
        <w:tc>
          <w:tcPr>
            <w:tcW w:w="16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1,013,238</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52,689</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1,179,067</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1,231,756</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110,970</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1968</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1997</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96"/>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90 Park Avenue</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8,000</w:t>
            </w:r>
          </w:p>
        </w:tc>
        <w:tc>
          <w:tcPr>
            <w:tcW w:w="180" w:type="dxa"/>
            <w:vAlign w:val="bottom"/>
          </w:tcPr>
          <w:p>
            <w:pPr>
              <w:spacing w:after="0"/>
              <w:rPr>
                <w:sz w:val="17"/>
                <w:szCs w:val="17"/>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175,890</w:t>
            </w:r>
          </w:p>
        </w:tc>
        <w:tc>
          <w:tcPr>
            <w:tcW w:w="160" w:type="dxa"/>
            <w:vAlign w:val="bottom"/>
          </w:tcPr>
          <w:p>
            <w:pPr>
              <w:spacing w:after="0"/>
              <w:rPr>
                <w:sz w:val="17"/>
                <w:szCs w:val="17"/>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203,970</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8,000</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379,860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387,860</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223,366</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1964</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1997</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770</w:t>
            </w: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Broadway</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52,898</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95,686</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179,069</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52,898</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274,755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327,653</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139,014</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1907</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1998</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888</w:t>
            </w:r>
          </w:p>
        </w:tc>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Seventh Avenue</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258,057</w:t>
            </w:r>
          </w:p>
        </w:tc>
        <w:tc>
          <w:tcPr>
            <w:tcW w:w="22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117,269</w:t>
            </w:r>
          </w:p>
        </w:tc>
        <w:tc>
          <w:tcPr>
            <w:tcW w:w="16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180,925</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298,194</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298,194</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179,726</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1980</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1998</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PENN 11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40,333</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85,259</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148,058</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40,333</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233,317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273,650</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121,166</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1923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1997</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909</w:t>
            </w:r>
          </w:p>
        </w:tc>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 Avenue</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22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120,723</w:t>
            </w:r>
          </w:p>
        </w:tc>
        <w:tc>
          <w:tcPr>
            <w:tcW w:w="16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128,903</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249,626</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249,626</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154,316</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1969</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1999</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150</w:t>
            </w: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East 58th Street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39,303</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80,216</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68,071</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39,303</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148,287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187,590</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83,389</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1969</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1998</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595</w:t>
            </w:r>
          </w:p>
        </w:tc>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Madison Avenue</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62,731</w:t>
            </w:r>
          </w:p>
        </w:tc>
        <w:tc>
          <w:tcPr>
            <w:tcW w:w="1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62,888</w:t>
            </w:r>
          </w:p>
        </w:tc>
        <w:tc>
          <w:tcPr>
            <w:tcW w:w="16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84,556</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62,731</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147,444</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210,175</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71,395</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1968</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1999</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330</w:t>
            </w: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34th Street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8,599</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170,511</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179,110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179,110</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72,796</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1925</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1998</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715</w:t>
            </w:r>
          </w:p>
        </w:tc>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Lexington Avenue</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26,903</w:t>
            </w:r>
          </w:p>
        </w:tc>
        <w:tc>
          <w:tcPr>
            <w:tcW w:w="16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21,178</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30,086</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17,995</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48,081</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3,947</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1923</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2001</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4 Union Square South</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24,079</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55,220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14,712</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24,079</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69,932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94,011</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32,926</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1965/2004</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1993</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Farley Building</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476,235</w:t>
            </w:r>
          </w:p>
        </w:tc>
        <w:tc>
          <w:tcPr>
            <w:tcW w:w="16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967,380</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1,443,615</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1,443,615</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158,469</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1912</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260</w:t>
            </w: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Eleventh Avenue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80,482</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8,246</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88,728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88,728</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20,498</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1911</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606</w:t>
            </w:r>
          </w:p>
        </w:tc>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Broadway</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74,119</w:t>
            </w:r>
          </w:p>
        </w:tc>
        <w:tc>
          <w:tcPr>
            <w:tcW w:w="22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45,406</w:t>
            </w:r>
          </w:p>
        </w:tc>
        <w:tc>
          <w:tcPr>
            <w:tcW w:w="1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8,993</w:t>
            </w:r>
          </w:p>
        </w:tc>
        <w:tc>
          <w:tcPr>
            <w:tcW w:w="16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486</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23,930</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30,955</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54,885</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2,816</w:t>
            </w:r>
          </w:p>
        </w:tc>
        <w:tc>
          <w:tcPr>
            <w:tcW w:w="8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435</w:t>
            </w: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Seventh Avenue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19,893</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19,091</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146</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19,893</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19,237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39,130</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10,836</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1997</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131-135 West 33rd Street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8,315</w:t>
            </w:r>
          </w:p>
        </w:tc>
        <w:tc>
          <w:tcPr>
            <w:tcW w:w="1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21,312</w:t>
            </w:r>
          </w:p>
        </w:tc>
        <w:tc>
          <w:tcPr>
            <w:tcW w:w="16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429</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8,315</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21,741</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30,056</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5,018</w:t>
            </w:r>
          </w:p>
        </w:tc>
        <w:tc>
          <w:tcPr>
            <w:tcW w:w="8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304</w:t>
            </w: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- 306 Canal Street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3,511</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12,905</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(14,607)</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358</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1,451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1910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2014</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1131 Third Avenue</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7,844</w:t>
            </w:r>
          </w:p>
        </w:tc>
        <w:tc>
          <w:tcPr>
            <w:tcW w:w="1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7,844</w:t>
            </w:r>
          </w:p>
        </w:tc>
        <w:tc>
          <w:tcPr>
            <w:tcW w:w="16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5,816</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7,844</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13,660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21,504</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4,282</w:t>
            </w:r>
          </w:p>
        </w:tc>
        <w:tc>
          <w:tcPr>
            <w:tcW w:w="8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1997</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431</w:t>
            </w: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Seventh Avenue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16,700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2,751</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300</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16,700</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3,051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19,751</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2007</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138-142 West 32nd Street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9,252</w:t>
            </w:r>
          </w:p>
        </w:tc>
        <w:tc>
          <w:tcPr>
            <w:tcW w:w="1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9,936</w:t>
            </w:r>
          </w:p>
        </w:tc>
        <w:tc>
          <w:tcPr>
            <w:tcW w:w="16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2,232</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9,252</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12,168</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21,420</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1920</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334</w:t>
            </w: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Canal Street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1,693</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6,507</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(6,700)</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154</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1,346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2011</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966</w:t>
            </w:r>
          </w:p>
        </w:tc>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 Avenue</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8,869</w:t>
            </w:r>
          </w:p>
        </w:tc>
        <w:tc>
          <w:tcPr>
            <w:tcW w:w="1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3,631</w:t>
            </w:r>
          </w:p>
        </w:tc>
        <w:tc>
          <w:tcPr>
            <w:tcW w:w="16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8,869</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3,631</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8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137</w:t>
            </w: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33rd Street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6,398</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1,550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6,398</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1,550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7,948</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1932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825</w:t>
            </w:r>
          </w:p>
        </w:tc>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Seventh Avenue</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1,483</w:t>
            </w:r>
          </w:p>
        </w:tc>
        <w:tc>
          <w:tcPr>
            <w:tcW w:w="1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697</w:t>
            </w:r>
          </w:p>
        </w:tc>
        <w:tc>
          <w:tcPr>
            <w:tcW w:w="16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3,969</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1,483</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4,666</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6,149</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8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1997</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537</w:t>
            </w: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26th Street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10,370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17,632</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20,000</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26,631</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21,371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48,002</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5,561</w:t>
            </w: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-3118485</wp:posOffset>
            </wp:positionV>
            <wp:extent cx="7061835" cy="1244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61835" cy="12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74295</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400" w:top="355" w:right="379" w:bottom="1440" w:gutter="0" w:footer="0" w:header="0"/>
        </w:sectPr>
      </w:pPr>
    </w:p>
    <w:bookmarkStart w:id="119" w:name="page120"/>
    <w:bookmarkEnd w:id="119"/>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SCHEDULE III</w:t>
      </w:r>
    </w:p>
    <w:p>
      <w:pPr>
        <w:spacing w:after="0" w:line="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REAL ESTATE AND ACCUMULATED DEPRECIATION - CONTINUED</w:t>
      </w:r>
    </w:p>
    <w:p>
      <w:pPr>
        <w:spacing w:after="0" w:line="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(Amounts in thousands)</w:t>
      </w: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57"/>
        </w:trPr>
        <w:tc>
          <w:tcPr>
            <w:tcW w:w="1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3"/>
          </w:tcPr>
          <w:p>
            <w:pPr>
              <w:jc w:val="center"/>
              <w:ind w:right="80"/>
              <w:spacing w:after="0" w:line="157" w:lineRule="exact"/>
              <w:rPr>
                <w:sz w:val="20"/>
                <w:szCs w:val="20"/>
                <w:color w:val="auto"/>
              </w:rPr>
            </w:pPr>
            <w:r>
              <w:rPr>
                <w:rFonts w:ascii="Times New Roman" w:cs="Times New Roman" w:eastAsia="Times New Roman" w:hAnsi="Times New Roman"/>
                <w:sz w:val="15"/>
                <w:szCs w:val="15"/>
                <w:b w:val="1"/>
                <w:bCs w:val="1"/>
                <w:color w:val="auto"/>
                <w:w w:val="96"/>
              </w:rPr>
              <w:t>COLUMN</w:t>
            </w: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center"/>
              <w:spacing w:after="0" w:line="157" w:lineRule="exact"/>
              <w:rPr>
                <w:sz w:val="20"/>
                <w:szCs w:val="20"/>
                <w:color w:val="auto"/>
              </w:rPr>
            </w:pPr>
            <w:r>
              <w:rPr>
                <w:rFonts w:ascii="Times New Roman" w:cs="Times New Roman" w:eastAsia="Times New Roman" w:hAnsi="Times New Roman"/>
                <w:sz w:val="15"/>
                <w:szCs w:val="15"/>
                <w:b w:val="1"/>
                <w:bCs w:val="1"/>
                <w:color w:val="auto"/>
                <w:w w:val="99"/>
              </w:rPr>
              <w:t>COLUMN</w:t>
            </w:r>
          </w:p>
        </w:tc>
        <w:tc>
          <w:tcPr>
            <w:tcW w:w="86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5"/>
                <w:szCs w:val="15"/>
                <w:b w:val="1"/>
                <w:bCs w:val="1"/>
                <w:color w:val="auto"/>
                <w:w w:val="99"/>
              </w:rPr>
              <w:t>COLUMN</w:t>
            </w:r>
          </w:p>
        </w:tc>
        <w:tc>
          <w:tcPr>
            <w:tcW w:w="1560" w:type="dxa"/>
            <w:vAlign w:val="bottom"/>
            <w:tcBorders>
              <w:top w:val="single" w:sz="8" w:color="auto"/>
            </w:tcBorders>
            <w:gridSpan w:val="2"/>
          </w:tcPr>
          <w:p>
            <w:pPr>
              <w:ind w:left="40"/>
              <w:spacing w:after="0" w:line="157" w:lineRule="exact"/>
              <w:rPr>
                <w:sz w:val="20"/>
                <w:szCs w:val="20"/>
                <w:color w:val="auto"/>
              </w:rPr>
            </w:pPr>
            <w:r>
              <w:rPr>
                <w:rFonts w:ascii="Times New Roman" w:cs="Times New Roman" w:eastAsia="Times New Roman" w:hAnsi="Times New Roman"/>
                <w:sz w:val="15"/>
                <w:szCs w:val="15"/>
                <w:b w:val="1"/>
                <w:bCs w:val="1"/>
                <w:color w:val="auto"/>
              </w:rPr>
              <w:t>COLUMN  COLUMN</w:t>
            </w:r>
          </w:p>
        </w:tc>
        <w:tc>
          <w:tcPr>
            <w:tcW w:w="0" w:type="dxa"/>
            <w:vAlign w:val="bottom"/>
          </w:tcPr>
          <w:p>
            <w:pPr>
              <w:spacing w:after="0"/>
              <w:rPr>
                <w:sz w:val="1"/>
                <w:szCs w:val="1"/>
                <w:color w:val="auto"/>
              </w:rPr>
            </w:pPr>
          </w:p>
        </w:tc>
      </w:tr>
      <w:tr>
        <w:trPr>
          <w:trHeight w:val="205"/>
        </w:trPr>
        <w:tc>
          <w:tcPr>
            <w:tcW w:w="16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5"/>
                <w:szCs w:val="15"/>
                <w:b w:val="1"/>
                <w:bCs w:val="1"/>
                <w:color w:val="auto"/>
              </w:rPr>
              <w:t>COLUMN A</w:t>
            </w: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COLUMN B</w:t>
            </w:r>
          </w:p>
        </w:tc>
        <w:tc>
          <w:tcPr>
            <w:tcW w:w="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COLUMN C</w:t>
            </w: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1"/>
              </w:rPr>
              <w:t>D</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9"/>
              </w:rPr>
              <w:t>COLUMN E</w:t>
            </w: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5"/>
                <w:szCs w:val="15"/>
                <w:b w:val="1"/>
                <w:bCs w:val="1"/>
                <w:color w:val="auto"/>
                <w:w w:val="86"/>
              </w:rPr>
              <w:t>F</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G</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85"/>
              </w:rPr>
              <w:t>H</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w:t>
            </w:r>
          </w:p>
        </w:tc>
        <w:tc>
          <w:tcPr>
            <w:tcW w:w="0" w:type="dxa"/>
            <w:vAlign w:val="bottom"/>
          </w:tcPr>
          <w:p>
            <w:pPr>
              <w:spacing w:after="0"/>
              <w:rPr>
                <w:sz w:val="1"/>
                <w:szCs w:val="1"/>
                <w:color w:val="auto"/>
              </w:rPr>
            </w:pPr>
          </w:p>
        </w:tc>
      </w:tr>
      <w:tr>
        <w:trPr>
          <w:trHeight w:val="128"/>
        </w:trPr>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8"/>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Gross amount at which</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Life on</w:t>
            </w:r>
          </w:p>
        </w:tc>
        <w:tc>
          <w:tcPr>
            <w:tcW w:w="0" w:type="dxa"/>
            <w:vAlign w:val="bottom"/>
          </w:tcPr>
          <w:p>
            <w:pPr>
              <w:spacing w:after="0"/>
              <w:rPr>
                <w:sz w:val="1"/>
                <w:szCs w:val="1"/>
                <w:color w:val="auto"/>
              </w:rPr>
            </w:pPr>
          </w:p>
        </w:tc>
      </w:tr>
      <w:tr>
        <w:trPr>
          <w:trHeight w:val="131"/>
        </w:trPr>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Initial cost to company</w:t>
            </w:r>
          </w:p>
        </w:tc>
        <w:tc>
          <w:tcPr>
            <w:tcW w:w="80" w:type="dxa"/>
            <w:vAlign w:val="bottom"/>
          </w:tcPr>
          <w:p>
            <w:pPr>
              <w:spacing w:after="0"/>
              <w:rPr>
                <w:sz w:val="11"/>
                <w:szCs w:val="11"/>
                <w:color w:val="auto"/>
              </w:rPr>
            </w:pPr>
          </w:p>
        </w:tc>
        <w:tc>
          <w:tcPr>
            <w:tcW w:w="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Costs</w:t>
            </w:r>
          </w:p>
        </w:tc>
        <w:tc>
          <w:tcPr>
            <w:tcW w:w="100" w:type="dxa"/>
            <w:vAlign w:val="bottom"/>
          </w:tcPr>
          <w:p>
            <w:pPr>
              <w:spacing w:after="0"/>
              <w:rPr>
                <w:sz w:val="11"/>
                <w:szCs w:val="11"/>
                <w:color w:val="auto"/>
              </w:rPr>
            </w:pPr>
          </w:p>
        </w:tc>
        <w:tc>
          <w:tcPr>
            <w:tcW w:w="2520" w:type="dxa"/>
            <w:vAlign w:val="bottom"/>
            <w:gridSpan w:val="8"/>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which</w:t>
            </w:r>
          </w:p>
        </w:tc>
        <w:tc>
          <w:tcPr>
            <w:tcW w:w="0" w:type="dxa"/>
            <w:vAlign w:val="bottom"/>
          </w:tcPr>
          <w:p>
            <w:pPr>
              <w:spacing w:after="0"/>
              <w:rPr>
                <w:sz w:val="1"/>
                <w:szCs w:val="1"/>
                <w:color w:val="auto"/>
              </w:rPr>
            </w:pPr>
          </w:p>
        </w:tc>
      </w:tr>
      <w:tr>
        <w:trPr>
          <w:trHeight w:val="131"/>
        </w:trPr>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8"/>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rPr>
              <w:t>carried at close of period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depreciation</w:t>
            </w:r>
          </w:p>
        </w:tc>
        <w:tc>
          <w:tcPr>
            <w:tcW w:w="0" w:type="dxa"/>
            <w:vAlign w:val="bottom"/>
          </w:tcPr>
          <w:p>
            <w:pPr>
              <w:spacing w:after="0"/>
              <w:rPr>
                <w:sz w:val="1"/>
                <w:szCs w:val="1"/>
                <w:color w:val="auto"/>
              </w:rPr>
            </w:pPr>
          </w:p>
        </w:tc>
      </w:tr>
      <w:tr>
        <w:trPr>
          <w:trHeight w:val="26"/>
        </w:trPr>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vMerge w:val="restart"/>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rPr>
              <w:t>capitalized</w:t>
            </w: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restart"/>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in latest</w:t>
            </w:r>
          </w:p>
        </w:tc>
        <w:tc>
          <w:tcPr>
            <w:tcW w:w="0" w:type="dxa"/>
            <w:vAlign w:val="bottom"/>
          </w:tcPr>
          <w:p>
            <w:pPr>
              <w:spacing w:after="0"/>
              <w:rPr>
                <w:sz w:val="1"/>
                <w:szCs w:val="1"/>
                <w:color w:val="auto"/>
              </w:rPr>
            </w:pPr>
          </w:p>
        </w:tc>
      </w:tr>
      <w:tr>
        <w:trPr>
          <w:trHeight w:val="85"/>
        </w:trPr>
        <w:tc>
          <w:tcPr>
            <w:tcW w:w="16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Buildings</w:t>
            </w: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Buildings</w:t>
            </w: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6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subsequent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depreciation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 of</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1"/>
        </w:trPr>
        <w:tc>
          <w:tcPr>
            <w:tcW w:w="1680" w:type="dxa"/>
            <w:vAlign w:val="bottom"/>
          </w:tcPr>
          <w:p>
            <w:pPr>
              <w:spacing w:after="0"/>
              <w:rPr>
                <w:sz w:val="11"/>
                <w:szCs w:val="11"/>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Encumbrances</w:t>
            </w:r>
            <w:r>
              <w:rPr>
                <w:rFonts w:ascii="Times New Roman" w:cs="Times New Roman" w:eastAsia="Times New Roman" w:hAnsi="Times New Roman"/>
                <w:sz w:val="17"/>
                <w:szCs w:val="17"/>
                <w:b w:val="1"/>
                <w:bCs w:val="1"/>
                <w:color w:val="auto"/>
                <w:vertAlign w:val="superscript"/>
              </w:rPr>
              <w:t>(1)</w:t>
            </w:r>
          </w:p>
        </w:tc>
        <w:tc>
          <w:tcPr>
            <w:tcW w:w="80" w:type="dxa"/>
            <w:vAlign w:val="bottom"/>
          </w:tcPr>
          <w:p>
            <w:pPr>
              <w:spacing w:after="0"/>
              <w:rPr>
                <w:sz w:val="11"/>
                <w:szCs w:val="11"/>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Land</w:t>
            </w:r>
          </w:p>
        </w:tc>
        <w:tc>
          <w:tcPr>
            <w:tcW w:w="120" w:type="dxa"/>
            <w:vAlign w:val="bottom"/>
          </w:tcPr>
          <w:p>
            <w:pPr>
              <w:spacing w:after="0"/>
              <w:rPr>
                <w:sz w:val="11"/>
                <w:szCs w:val="11"/>
                <w:color w:val="auto"/>
              </w:rPr>
            </w:pPr>
          </w:p>
        </w:tc>
        <w:tc>
          <w:tcPr>
            <w:tcW w:w="8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80" w:type="dxa"/>
            <w:vAlign w:val="bottom"/>
          </w:tcPr>
          <w:p>
            <w:pPr>
              <w:spacing w:after="0"/>
              <w:rPr>
                <w:sz w:val="11"/>
                <w:szCs w:val="11"/>
                <w:color w:val="auto"/>
              </w:rPr>
            </w:pPr>
          </w:p>
        </w:tc>
        <w:tc>
          <w:tcPr>
            <w:tcW w:w="78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100" w:type="dxa"/>
            <w:vAlign w:val="bottom"/>
          </w:tcPr>
          <w:p>
            <w:pPr>
              <w:spacing w:after="0"/>
              <w:rPr>
                <w:sz w:val="11"/>
                <w:szCs w:val="11"/>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Land</w:t>
            </w:r>
          </w:p>
        </w:tc>
        <w:tc>
          <w:tcPr>
            <w:tcW w:w="120" w:type="dxa"/>
            <w:vAlign w:val="bottom"/>
          </w:tcPr>
          <w:p>
            <w:pPr>
              <w:spacing w:after="0"/>
              <w:rPr>
                <w:sz w:val="11"/>
                <w:szCs w:val="11"/>
                <w:color w:val="auto"/>
              </w:rPr>
            </w:pPr>
          </w:p>
        </w:tc>
        <w:tc>
          <w:tcPr>
            <w:tcW w:w="8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and</w:t>
            </w:r>
          </w:p>
        </w:tc>
        <w:tc>
          <w:tcPr>
            <w:tcW w:w="80" w:type="dxa"/>
            <w:vAlign w:val="bottom"/>
          </w:tcPr>
          <w:p>
            <w:pPr>
              <w:spacing w:after="0"/>
              <w:rPr>
                <w:sz w:val="11"/>
                <w:szCs w:val="1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r>
              <w:rPr>
                <w:rFonts w:ascii="Times New Roman" w:cs="Times New Roman" w:eastAsia="Times New Roman" w:hAnsi="Times New Roman"/>
                <w:sz w:val="17"/>
                <w:szCs w:val="17"/>
                <w:b w:val="1"/>
                <w:bCs w:val="1"/>
                <w:color w:val="auto"/>
                <w:vertAlign w:val="superscript"/>
              </w:rPr>
              <w:t>(2)</w:t>
            </w:r>
          </w:p>
        </w:tc>
        <w:tc>
          <w:tcPr>
            <w:tcW w:w="140" w:type="dxa"/>
            <w:vAlign w:val="bottom"/>
          </w:tcPr>
          <w:p>
            <w:pPr>
              <w:spacing w:after="0"/>
              <w:rPr>
                <w:sz w:val="11"/>
                <w:szCs w:val="11"/>
                <w:color w:val="auto"/>
              </w:rPr>
            </w:pPr>
          </w:p>
        </w:tc>
        <w:tc>
          <w:tcPr>
            <w:tcW w:w="680" w:type="dxa"/>
            <w:vAlign w:val="bottom"/>
          </w:tcPr>
          <w:p>
            <w:pPr>
              <w:jc w:val="center"/>
              <w:ind w:right="9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8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statement</w:t>
            </w:r>
          </w:p>
        </w:tc>
        <w:tc>
          <w:tcPr>
            <w:tcW w:w="0" w:type="dxa"/>
            <w:vAlign w:val="bottom"/>
          </w:tcPr>
          <w:p>
            <w:pPr>
              <w:spacing w:after="0"/>
              <w:rPr>
                <w:sz w:val="1"/>
                <w:szCs w:val="1"/>
                <w:color w:val="auto"/>
              </w:rPr>
            </w:pPr>
          </w:p>
        </w:tc>
      </w:tr>
      <w:tr>
        <w:trPr>
          <w:trHeight w:val="183"/>
        </w:trPr>
        <w:tc>
          <w:tcPr>
            <w:tcW w:w="1680" w:type="dxa"/>
            <w:vAlign w:val="bottom"/>
          </w:tcPr>
          <w:p>
            <w:pPr>
              <w:spacing w:after="0"/>
              <w:rPr>
                <w:sz w:val="15"/>
                <w:szCs w:val="15"/>
                <w:color w:val="auto"/>
              </w:rPr>
            </w:pPr>
          </w:p>
        </w:tc>
        <w:tc>
          <w:tcPr>
            <w:tcW w:w="108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860" w:type="dxa"/>
            <w:vAlign w:val="bottom"/>
            <w:tcBorders>
              <w:bottom w:val="single" w:sz="8" w:color="auto"/>
            </w:tcBorders>
          </w:tcPr>
          <w:p>
            <w:pPr>
              <w:jc w:val="center"/>
              <w:spacing w:after="0" w:line="184" w:lineRule="exact"/>
              <w:rPr>
                <w:sz w:val="20"/>
                <w:szCs w:val="20"/>
                <w:color w:val="auto"/>
              </w:rPr>
            </w:pPr>
            <w:r>
              <w:rPr>
                <w:rFonts w:ascii="Times New Roman" w:cs="Times New Roman" w:eastAsia="Times New Roman" w:hAnsi="Times New Roman"/>
                <w:sz w:val="13"/>
                <w:szCs w:val="13"/>
                <w:b w:val="1"/>
                <w:bCs w:val="1"/>
                <w:color w:val="auto"/>
                <w:w w:val="96"/>
              </w:rPr>
              <w:t>construction</w:t>
            </w:r>
            <w:r>
              <w:rPr>
                <w:rFonts w:ascii="Times New Roman" w:cs="Times New Roman" w:eastAsia="Times New Roman" w:hAnsi="Times New Roman"/>
                <w:sz w:val="17"/>
                <w:szCs w:val="17"/>
                <w:b w:val="1"/>
                <w:bCs w:val="1"/>
                <w:color w:val="auto"/>
                <w:w w:val="96"/>
                <w:vertAlign w:val="superscript"/>
              </w:rPr>
              <w:t>(3)</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acquired</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is computed</w:t>
            </w:r>
          </w:p>
        </w:tc>
        <w:tc>
          <w:tcPr>
            <w:tcW w:w="0" w:type="dxa"/>
            <w:vAlign w:val="bottom"/>
          </w:tcPr>
          <w:p>
            <w:pPr>
              <w:spacing w:after="0"/>
              <w:rPr>
                <w:sz w:val="1"/>
                <w:szCs w:val="1"/>
                <w:color w:val="auto"/>
              </w:rPr>
            </w:pPr>
          </w:p>
        </w:tc>
      </w:tr>
      <w:tr>
        <w:trPr>
          <w:trHeight w:val="164"/>
        </w:trPr>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New York - continued</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Manhattan - continued</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339 Greenwich Street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4,901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Hotel Pennsylvania site</w:t>
            </w:r>
          </w:p>
        </w:tc>
        <w:tc>
          <w:tcPr>
            <w:tcW w:w="8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29,903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121,712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183,233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29,903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304,945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334,848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1919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1997</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(PENN 15)</w:t>
            </w: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(Including Signage)</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143,509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252,098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34,864</w:t>
            </w: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Total Manhattan</w:t>
            </w: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5,082,176</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2,025,913</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4,530,569</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4,936,253</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2,051,667</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9,441,068</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98"/>
              </w:rPr>
              <w:t>11,492,735</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2,946,105</w:t>
            </w: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6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Other Properties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Paramus, New Jersey</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20,467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15,349</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1967</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1987</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3"/>
        </w:trPr>
        <w:tc>
          <w:tcPr>
            <w:tcW w:w="1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Other Properties</w:t>
            </w:r>
          </w:p>
        </w:tc>
        <w:tc>
          <w:tcPr>
            <w:tcW w:w="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20,467</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19,434</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20,467</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15,349</w:t>
            </w:r>
          </w:p>
        </w:tc>
        <w:tc>
          <w:tcPr>
            <w:tcW w:w="86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1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6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Total New York</w:t>
            </w: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5,082,176</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2,025,913</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4,530,569</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4,956,720</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2,052,700</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9,460,502</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98"/>
              </w:rPr>
              <w:t>11,513,202</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2,961,454</w:t>
            </w: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680" w:type="dxa"/>
            <w:vAlign w:val="bottom"/>
          </w:tcPr>
          <w:p>
            <w:pPr>
              <w:ind w:left="80"/>
              <w:spacing w:after="0" w:line="160" w:lineRule="exact"/>
              <w:rPr>
                <w:sz w:val="20"/>
                <w:szCs w:val="20"/>
                <w:color w:val="auto"/>
              </w:rPr>
            </w:pPr>
            <w:r>
              <w:rPr>
                <w:rFonts w:ascii="Times New Roman" w:cs="Times New Roman" w:eastAsia="Times New Roman" w:hAnsi="Times New Roman"/>
                <w:sz w:val="14"/>
                <w:szCs w:val="14"/>
                <w:b w:val="1"/>
                <w:bCs w:val="1"/>
                <w:i w:val="1"/>
                <w:iCs w:val="1"/>
                <w:color w:val="auto"/>
              </w:rPr>
              <w:t>Other</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THE MART</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THE MART, Illinois</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319,146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487,855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806,994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871,529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416,326</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1930</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1998</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90"/>
        </w:trPr>
        <w:tc>
          <w:tcPr>
            <w:tcW w:w="1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w w:val="99"/>
              </w:rPr>
              <w:t>527 West Kinzie, Illinois</w:t>
            </w: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5,528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1998</w:t>
            </w:r>
          </w:p>
        </w:tc>
        <w:tc>
          <w:tcPr>
            <w:tcW w:w="8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80" w:type="dxa"/>
            <w:vAlign w:val="bottom"/>
            <w:shd w:val="clear" w:color="auto" w:fill="CCEEFF"/>
          </w:tcPr>
          <w:p>
            <w:pPr>
              <w:ind w:left="700"/>
              <w:spacing w:after="0" w:line="122" w:lineRule="exact"/>
              <w:rPr>
                <w:sz w:val="20"/>
                <w:szCs w:val="20"/>
                <w:color w:val="auto"/>
              </w:rPr>
            </w:pPr>
            <w:r>
              <w:rPr>
                <w:rFonts w:ascii="Times New Roman" w:cs="Times New Roman" w:eastAsia="Times New Roman" w:hAnsi="Times New Roman"/>
                <w:sz w:val="14"/>
                <w:szCs w:val="14"/>
                <w:color w:val="auto"/>
              </w:rPr>
              <w:t>Total THE</w:t>
            </w: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69,694</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319,146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488,217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69,701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807,356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877,057</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416,326</w:t>
            </w:r>
          </w:p>
        </w:tc>
        <w:tc>
          <w:tcPr>
            <w:tcW w:w="8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MART</w:t>
            </w: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555 California Street,</w:t>
            </w:r>
          </w:p>
        </w:tc>
        <w:tc>
          <w:tcPr>
            <w:tcW w:w="80" w:type="dxa"/>
            <w:vAlign w:val="bottom"/>
          </w:tcPr>
          <w:p>
            <w:pPr>
              <w:spacing w:after="0"/>
              <w:rPr>
                <w:sz w:val="11"/>
                <w:szCs w:val="11"/>
                <w:color w:val="auto"/>
              </w:rPr>
            </w:pPr>
          </w:p>
        </w:tc>
        <w:tc>
          <w:tcPr>
            <w:tcW w:w="9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1,200,000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223,446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895,379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273,926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223,446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1,169,305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1,392,751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499,906</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7"/>
              </w:rPr>
              <w:t>1922,1969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2007</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8"/>
        </w:trPr>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California</w:t>
            </w: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-1970</w:t>
            </w:r>
          </w:p>
        </w:tc>
        <w:tc>
          <w:tcPr>
            <w:tcW w:w="7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680" w:type="dxa"/>
            <w:vAlign w:val="bottom"/>
            <w:shd w:val="clear" w:color="auto" w:fill="CCEEFF"/>
          </w:tcPr>
          <w:p>
            <w:pPr>
              <w:ind w:left="240"/>
              <w:spacing w:after="0" w:line="140" w:lineRule="exact"/>
              <w:rPr>
                <w:sz w:val="20"/>
                <w:szCs w:val="20"/>
                <w:color w:val="auto"/>
              </w:rPr>
            </w:pPr>
            <w:r>
              <w:rPr>
                <w:rFonts w:ascii="Times New Roman" w:cs="Times New Roman" w:eastAsia="Times New Roman" w:hAnsi="Times New Roman"/>
                <w:sz w:val="14"/>
                <w:szCs w:val="14"/>
                <w:color w:val="auto"/>
              </w:rPr>
              <w:t>Borgata Land, Atlantic</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83,089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2010</w:t>
            </w: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City, NJ</w:t>
            </w: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40 East 66th Street</w:t>
            </w:r>
          </w:p>
        </w:tc>
        <w:tc>
          <w:tcPr>
            <w:tcW w:w="8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8,454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(8,193)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5,273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8,309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13,582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3,761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2005</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8"/>
        </w:trPr>
        <w:tc>
          <w:tcPr>
            <w:tcW w:w="1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Residential, New York</w:t>
            </w: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Annapolis, Maryland</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9,652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5,466</w:t>
            </w: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2005</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35"/>
        </w:trPr>
        <w:tc>
          <w:tcPr>
            <w:tcW w:w="168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Wayne Towne Center,</w:t>
            </w:r>
          </w:p>
        </w:tc>
        <w:tc>
          <w:tcPr>
            <w:tcW w:w="8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26,137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49,654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75,791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75,791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45,677</w:t>
            </w:r>
          </w:p>
        </w:tc>
        <w:tc>
          <w:tcPr>
            <w:tcW w:w="86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2010</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8"/>
        </w:trPr>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New Jersey</w:t>
            </w: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5,593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3,247</w:t>
            </w: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3"/>
        </w:trPr>
        <w:tc>
          <w:tcPr>
            <w:tcW w:w="16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Total Other</w:t>
            </w:r>
          </w:p>
        </w:tc>
        <w:tc>
          <w:tcPr>
            <w:tcW w:w="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1,200,000</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384,683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1,263,635</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809,197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381,509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2,076,006</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2,457,515</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974,383</w:t>
            </w: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16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4"/>
                <w:szCs w:val="14"/>
                <w:color w:val="auto"/>
              </w:rPr>
              <w:t>Leasehold improvements,</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120,915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120,915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120,915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89,512</w:t>
            </w: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equipment and other</w:t>
            </w: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December 31, 2024</w:t>
            </w: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6,282,176</w:t>
            </w: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2,410,596</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5,794,204</w:t>
            </w: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5,886,832</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2,434,209</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11,657,423</w:t>
            </w: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98"/>
              </w:rPr>
              <w:t>14,091,632</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4,025,349</w:t>
            </w: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10" w:lineRule="exact"/>
        <w:rPr>
          <w:sz w:val="20"/>
          <w:szCs w:val="20"/>
          <w:color w:val="auto"/>
        </w:rPr>
      </w:pPr>
    </w:p>
    <w:p>
      <w:pPr>
        <w:ind w:left="320" w:hanging="315"/>
        <w:spacing w:after="0"/>
        <w:tabs>
          <w:tab w:leader="none" w:pos="320" w:val="left"/>
        </w:tabs>
        <w:numPr>
          <w:ilvl w:val="0"/>
          <w:numId w:val="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contractual debt obligations.</w:t>
      </w:r>
    </w:p>
    <w:p>
      <w:pPr>
        <w:spacing w:after="0" w:line="5"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net basis of Vornado's assets and liabilities for tax reporting purposes is approximately $1.4 billion lower than the amounts reported for financial statement purposes.</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Date of original construction - many properties have had substantial renovation or additional construction, see "costs capitalized subsequent to acquisition" column.</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Depreciation of the buildings and improvements is calculated over lives ranging from the life of the lease to forty years.</w:t>
      </w:r>
    </w:p>
    <w:p>
      <w:pPr>
        <w:ind w:left="320" w:hanging="315"/>
        <w:spacing w:after="0"/>
        <w:tabs>
          <w:tab w:leader="none" w:pos="320" w:val="left"/>
        </w:tabs>
        <w:numPr>
          <w:ilvl w:val="0"/>
          <w:numId w:val="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Secured amount outstanding on revolving credit facilities.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0" w:name="page121"/>
    <w:bookmarkEnd w:id="120"/>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SCHEDULE III</w:t>
      </w:r>
    </w:p>
    <w:p>
      <w:pPr>
        <w:spacing w:after="0" w:line="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REAL ESTATE AND ACCUMULATED DEPRECIATION</w:t>
      </w:r>
    </w:p>
    <w:p>
      <w:pPr>
        <w:spacing w:after="0" w:line="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following is a reconciliation of real estate assets and accumulated depreciation: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3"/>
        </w:trPr>
        <w:tc>
          <w:tcPr>
            <w:tcW w:w="6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13,801,204</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13,314,755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13,217,845</w:t>
            </w:r>
          </w:p>
        </w:tc>
        <w:tc>
          <w:tcPr>
            <w:tcW w:w="0" w:type="dxa"/>
            <w:vAlign w:val="bottom"/>
          </w:tcPr>
          <w:p>
            <w:pPr>
              <w:spacing w:after="0"/>
              <w:rPr>
                <w:sz w:val="1"/>
                <w:szCs w:val="1"/>
                <w:color w:val="auto"/>
              </w:rPr>
            </w:pPr>
          </w:p>
        </w:tc>
      </w:tr>
      <w:tr>
        <w:trPr>
          <w:trHeight w:val="189"/>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during the period: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Land</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40,145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6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Buildings &amp; improvements and other</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431,999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713,740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711,722</w:t>
            </w: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14,233,203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14,068,640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13,929,567</w:t>
            </w:r>
          </w:p>
        </w:tc>
        <w:tc>
          <w:tcPr>
            <w:tcW w:w="0" w:type="dxa"/>
            <w:vAlign w:val="bottom"/>
          </w:tcPr>
          <w:p>
            <w:pPr>
              <w:spacing w:after="0"/>
              <w:rPr>
                <w:sz w:val="1"/>
                <w:szCs w:val="1"/>
                <w:color w:val="auto"/>
              </w:rPr>
            </w:pPr>
          </w:p>
        </w:tc>
      </w:tr>
      <w:tr>
        <w:trPr>
          <w:trHeight w:val="19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Assets sold, written-off, reclassified to ready for sale and deconsolidated</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141,571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267,436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614,812</w:t>
            </w:r>
          </w:p>
        </w:tc>
        <w:tc>
          <w:tcPr>
            <w:tcW w:w="0" w:type="dxa"/>
            <w:vAlign w:val="bottom"/>
          </w:tcPr>
          <w:p>
            <w:pPr>
              <w:spacing w:after="0"/>
              <w:rPr>
                <w:sz w:val="1"/>
                <w:szCs w:val="1"/>
                <w:color w:val="auto"/>
              </w:rPr>
            </w:pPr>
          </w:p>
        </w:tc>
      </w:tr>
      <w:tr>
        <w:trPr>
          <w:trHeight w:val="221"/>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14,091,632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13,801,204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13,314,755</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 Depreciation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6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3,752,827</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3,470,991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3,376,347</w:t>
            </w:r>
          </w:p>
        </w:tc>
        <w:tc>
          <w:tcPr>
            <w:tcW w:w="0" w:type="dxa"/>
            <w:vAlign w:val="bottom"/>
          </w:tcPr>
          <w:p>
            <w:pPr>
              <w:spacing w:after="0"/>
              <w:rPr>
                <w:sz w:val="1"/>
                <w:szCs w:val="1"/>
                <w:color w:val="auto"/>
              </w:rPr>
            </w:pPr>
          </w:p>
        </w:tc>
      </w:tr>
      <w:tr>
        <w:trPr>
          <w:trHeight w:val="19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expense</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396,231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382,638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449,864</w:t>
            </w: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4,149,058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3,853,629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3,826,211</w:t>
            </w:r>
          </w:p>
        </w:tc>
        <w:tc>
          <w:tcPr>
            <w:tcW w:w="0" w:type="dxa"/>
            <w:vAlign w:val="bottom"/>
          </w:tcPr>
          <w:p>
            <w:pPr>
              <w:spacing w:after="0"/>
              <w:rPr>
                <w:sz w:val="1"/>
                <w:szCs w:val="1"/>
                <w:color w:val="auto"/>
              </w:rPr>
            </w:pPr>
          </w:p>
        </w:tc>
      </w:tr>
      <w:tr>
        <w:trPr>
          <w:trHeight w:val="19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on assets sold, written-off and deconsolidated</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123,709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100,802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355,220</w:t>
            </w:r>
          </w:p>
        </w:tc>
        <w:tc>
          <w:tcPr>
            <w:tcW w:w="0" w:type="dxa"/>
            <w:vAlign w:val="bottom"/>
          </w:tcPr>
          <w:p>
            <w:pPr>
              <w:spacing w:after="0"/>
              <w:rPr>
                <w:sz w:val="1"/>
                <w:szCs w:val="1"/>
                <w:color w:val="auto"/>
              </w:rPr>
            </w:pPr>
          </w:p>
        </w:tc>
      </w:tr>
      <w:tr>
        <w:trPr>
          <w:trHeight w:val="221"/>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4,025,349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3,752,827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3,470,991</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74295</wp:posOffset>
            </wp:positionV>
            <wp:extent cx="71615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591" w:right="339" w:bottom="1440" w:gutter="0" w:footer="0" w:header="0"/>
        </w:sectPr>
      </w:pPr>
    </w:p>
    <w:bookmarkStart w:id="121" w:name="page122"/>
    <w:bookmarkEnd w:id="121"/>
    <w:p>
      <w:pPr>
        <w:spacing w:after="0"/>
        <w:tabs>
          <w:tab w:leader="none" w:pos="360" w:val="left"/>
        </w:tabs>
        <w:rPr>
          <w:sz w:val="20"/>
          <w:szCs w:val="20"/>
          <w:color w:val="auto"/>
        </w:rPr>
      </w:pPr>
      <w:r>
        <w:rPr>
          <w:rFonts w:ascii="Times New Roman" w:cs="Times New Roman" w:eastAsia="Times New Roman" w:hAnsi="Times New Roman"/>
          <w:sz w:val="17"/>
          <w:szCs w:val="17"/>
          <w:color w:val="auto"/>
        </w:rPr>
        <w:t>(b)</w:t>
        <w:tab/>
        <w:t>Exhibits:</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0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4"/>
        </w:trPr>
        <w:tc>
          <w:tcPr>
            <w:tcW w:w="1000" w:type="dxa"/>
            <w:vAlign w:val="bottom"/>
          </w:tcPr>
          <w:p>
            <w:pPr>
              <w:jc w:val="center"/>
              <w:ind w:right="230"/>
              <w:spacing w:after="0" w:line="155" w:lineRule="exact"/>
              <w:rPr>
                <w:rFonts w:ascii="Times New Roman" w:cs="Times New Roman" w:eastAsia="Times New Roman" w:hAnsi="Times New Roman"/>
                <w:sz w:val="14"/>
                <w:szCs w:val="14"/>
                <w:color w:val="0E32E1"/>
              </w:rPr>
            </w:pPr>
            <w:hyperlink r:id="rId153">
              <w:r>
                <w:rPr>
                  <w:rFonts w:ascii="Times New Roman" w:cs="Times New Roman" w:eastAsia="Times New Roman" w:hAnsi="Times New Roman"/>
                  <w:sz w:val="14"/>
                  <w:szCs w:val="14"/>
                  <w:color w:val="0E32E1"/>
                </w:rPr>
                <w:t>3.1</w:t>
              </w:r>
            </w:hyperlink>
          </w:p>
        </w:tc>
        <w:tc>
          <w:tcPr>
            <w:tcW w:w="500" w:type="dxa"/>
            <w:vAlign w:val="bottom"/>
          </w:tcPr>
          <w:p>
            <w:pPr>
              <w:ind w:left="3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rPr>
              <w:t>Articles of Restatement of Vornado Realty Trust, as filed with the State Department of Assessments and Taxation of Maryland on July 30, 2007 - Incorporated by</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135"/>
        </w:trPr>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reference to Exhibit 3.75 to Vornado Realty Trust’s Quarterly Report on Form 10-Q for the quarter ended June 30, 2007 (File No. 001-11954), filed on July 31,</w:t>
            </w:r>
          </w:p>
        </w:tc>
        <w:tc>
          <w:tcPr>
            <w:tcW w:w="100" w:type="dxa"/>
            <w:vAlign w:val="bottom"/>
          </w:tcPr>
          <w:p>
            <w:pPr>
              <w:spacing w:after="0"/>
              <w:rPr>
                <w:sz w:val="11"/>
                <w:szCs w:val="11"/>
                <w:color w:val="auto"/>
              </w:rPr>
            </w:pP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Pr>
          <w:p>
            <w:pPr>
              <w:spacing w:after="0"/>
              <w:rPr>
                <w:sz w:val="15"/>
                <w:szCs w:val="15"/>
                <w:color w:val="auto"/>
              </w:rPr>
            </w:pPr>
          </w:p>
        </w:tc>
      </w:tr>
      <w:tr>
        <w:trPr>
          <w:trHeight w:val="246"/>
        </w:trPr>
        <w:tc>
          <w:tcPr>
            <w:tcW w:w="1000" w:type="dxa"/>
            <w:vAlign w:val="bottom"/>
          </w:tcPr>
          <w:p>
            <w:pPr>
              <w:jc w:val="center"/>
              <w:ind w:right="230"/>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3.2</w:t>
              </w:r>
            </w:hyperlink>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Amended and Restated Bylaws of Vornado Realty Trust, as amended on July 28, 2022 - Incorporated by reference to Exhibit 3.2 to Vornado Realty Trust's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Quarterly Report on Form 10-Q for the quarter ended June 30, 2022 (File No. 001-11954), filed on August 1, 2022</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55">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3</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Articles of Amendment to Declaration of Trust, dated September 30, 2016 – Incorporated by reference to Exhibit 3.3 to Vornado Realty Trust’s Annual Report on</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Form 10-K for the year ended December 31, 2020 (File No. 001-11954), filed on February 16, 2021</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56">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4</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Articles of Amendment of Vornado Realty Trust, as filed with the State Department of Assessments and Taxation of Maryland on October 4, 2016—Incorporated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by reference to Annex B to Vornado Realty Trust's Definitive Proxy Statement on Schedule 14A (File No. 001-11954), filed on April 8, 2016</w:t>
            </w:r>
          </w:p>
        </w:tc>
        <w:tc>
          <w:tcPr>
            <w:tcW w:w="100" w:type="dxa"/>
            <w:vAlign w:val="bottom"/>
          </w:tcPr>
          <w:p>
            <w:pPr>
              <w:spacing w:after="0"/>
              <w:rPr>
                <w:sz w:val="15"/>
                <w:szCs w:val="15"/>
                <w:color w:val="auto"/>
              </w:rPr>
            </w:pPr>
          </w:p>
        </w:tc>
      </w:tr>
      <w:tr>
        <w:trPr>
          <w:trHeight w:val="250"/>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57">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5</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Articles of Amendment to Declaration of Trust, dated June 13, 2018 - Incorporated by reference to Exhibit 3.54 to Vornado Realty Trust's Quarterly Report on</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Form 10-Q for the quarter ended June 30, 2018 (File No. 001-11954), filed on July 30, 2018</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58">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6</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Articles of Amendment to Declaration of Trust, dated August 7, 2019 - Incorporated by reference to Exhibit 3.1 to Vornado Realty Trust's Current Report on Form</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8-K (File No. 001-11954), filed on August 8, 2019</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59">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7</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Articles Supplementary, 5.40% Series L Cumulative Redeemable Preferred Shares of Beneficial Interest, liquidation preference $25.00 per share, no par value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Incorporated by reference to Exhibit 3.6 to Vornado Realty Trust’s Registration Statement on Form 8-A (File No. 001-11954), filed on January 25, 2013</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60">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8</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99"/>
              </w:rPr>
              <w:t>Articles Supplementary Classifying Vornado Realty Trust's 5.25% Series M Cumulative Redeemable Preferred Shares of Beneficial Interest, liquidation preference *</w:t>
            </w:r>
          </w:p>
        </w:tc>
      </w:tr>
      <w:tr>
        <w:trPr>
          <w:trHeight w:val="135"/>
        </w:trPr>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$25.00 per share, no par value - Incorporated by reference to Exhibit 3.7 to Vornado Realty Trust's Registration Statement on Form 8-A (File No. 001-11954),</w:t>
            </w:r>
          </w:p>
        </w:tc>
        <w:tc>
          <w:tcPr>
            <w:tcW w:w="100" w:type="dxa"/>
            <w:vAlign w:val="bottom"/>
          </w:tcPr>
          <w:p>
            <w:pPr>
              <w:spacing w:after="0"/>
              <w:rPr>
                <w:sz w:val="11"/>
                <w:szCs w:val="11"/>
                <w:color w:val="auto"/>
              </w:rPr>
            </w:pP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filed on December 13, 2017</w:t>
            </w:r>
          </w:p>
        </w:tc>
        <w:tc>
          <w:tcPr>
            <w:tcW w:w="100" w:type="dxa"/>
            <w:vAlign w:val="bottom"/>
          </w:tcPr>
          <w:p>
            <w:pPr>
              <w:spacing w:after="0"/>
              <w:rPr>
                <w:sz w:val="15"/>
                <w:szCs w:val="15"/>
                <w:color w:val="auto"/>
              </w:rPr>
            </w:pPr>
          </w:p>
        </w:tc>
      </w:tr>
      <w:tr>
        <w:trPr>
          <w:trHeight w:val="246"/>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61">
              <w:r>
                <w:rPr>
                  <w:rFonts w:ascii="Times New Roman" w:cs="Times New Roman" w:eastAsia="Times New Roman" w:hAnsi="Times New Roman"/>
                  <w:sz w:val="14"/>
                  <w:szCs w:val="14"/>
                  <w:color w:val="0E32E1"/>
                </w:rPr>
                <w:t>3.9</w:t>
              </w:r>
            </w:hyperlink>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Articles Supplementary Classifying Vornado Realty Trust's 5.25% Series N Cumulative Redeemable Preferred Shares of Beneficial Interest, liquidation preference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$25.00 per share, no par value - Incorporated by reference to Exhibit 3.1 to Vornado Realty Trust's Current Report on Form 8-K (File No. 001-11954), filed on</w:t>
            </w:r>
          </w:p>
        </w:tc>
        <w:tc>
          <w:tcPr>
            <w:tcW w:w="100" w:type="dxa"/>
            <w:vAlign w:val="bottom"/>
          </w:tcPr>
          <w:p>
            <w:pPr>
              <w:spacing w:after="0"/>
              <w:rPr>
                <w:sz w:val="11"/>
                <w:szCs w:val="11"/>
                <w:color w:val="auto"/>
              </w:rPr>
            </w:pP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November 24, 2020</w:t>
            </w:r>
          </w:p>
        </w:tc>
        <w:tc>
          <w:tcPr>
            <w:tcW w:w="100" w:type="dxa"/>
            <w:vAlign w:val="bottom"/>
          </w:tcPr>
          <w:p>
            <w:pPr>
              <w:spacing w:after="0"/>
              <w:rPr>
                <w:sz w:val="15"/>
                <w:szCs w:val="15"/>
                <w:color w:val="auto"/>
              </w:rPr>
            </w:pPr>
          </w:p>
        </w:tc>
      </w:tr>
      <w:tr>
        <w:trPr>
          <w:trHeight w:val="20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62">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10</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Articles Supplementary Classifying Vornado Realty Trust's 4.45% Series O Cumulative Redeemable Preferred Shares of Beneficial Interest, liquidation preference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$25.00 per share, no par value - Incorporated by reference to Exhibit 3.1 to Vornado Realty Trust's Current Report on Form 8-K (File No. 001-11954), filed on</w:t>
            </w:r>
          </w:p>
        </w:tc>
        <w:tc>
          <w:tcPr>
            <w:tcW w:w="100" w:type="dxa"/>
            <w:vAlign w:val="bottom"/>
          </w:tcPr>
          <w:p>
            <w:pPr>
              <w:spacing w:after="0"/>
              <w:rPr>
                <w:sz w:val="11"/>
                <w:szCs w:val="11"/>
                <w:color w:val="auto"/>
              </w:rPr>
            </w:pP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September 22, 2021</w:t>
            </w:r>
          </w:p>
        </w:tc>
        <w:tc>
          <w:tcPr>
            <w:tcW w:w="100" w:type="dxa"/>
            <w:vAlign w:val="bottom"/>
          </w:tcPr>
          <w:p>
            <w:pPr>
              <w:spacing w:after="0"/>
              <w:rPr>
                <w:sz w:val="15"/>
                <w:szCs w:val="15"/>
                <w:color w:val="auto"/>
              </w:rPr>
            </w:pPr>
          </w:p>
        </w:tc>
      </w:tr>
      <w:tr>
        <w:trPr>
          <w:trHeight w:val="207"/>
        </w:trPr>
        <w:tc>
          <w:tcPr>
            <w:tcW w:w="1000" w:type="dxa"/>
            <w:vAlign w:val="bottom"/>
          </w:tcPr>
          <w:p>
            <w:pPr>
              <w:jc w:val="center"/>
              <w:ind w:right="230"/>
              <w:spacing w:after="0"/>
              <w:rPr>
                <w:rFonts w:ascii="Times New Roman" w:cs="Times New Roman" w:eastAsia="Times New Roman" w:hAnsi="Times New Roman"/>
                <w:sz w:val="14"/>
                <w:szCs w:val="14"/>
                <w:color w:val="0E32E1"/>
                <w:w w:val="89"/>
              </w:rPr>
            </w:pPr>
            <w:hyperlink r:id="rId163">
              <w:r>
                <w:rPr>
                  <w:rFonts w:ascii="Times New Roman" w:cs="Times New Roman" w:eastAsia="Times New Roman" w:hAnsi="Times New Roman"/>
                  <w:sz w:val="14"/>
                  <w:szCs w:val="14"/>
                  <w:color w:val="0E32E1"/>
                  <w:w w:val="89"/>
                </w:rPr>
                <w:t>3.</w:t>
              </w:r>
            </w:hyperlink>
            <w:r>
              <w:rPr>
                <w:rFonts w:ascii="Times New Roman" w:cs="Times New Roman" w:eastAsia="Times New Roman" w:hAnsi="Times New Roman"/>
                <w:sz w:val="14"/>
                <w:szCs w:val="14"/>
                <w:color w:val="0E32E1"/>
                <w:w w:val="89"/>
              </w:rPr>
              <w:t>11</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Second Amended and Restated Agreement of Limited Partnership of Vornado Realty L.P., dated as of October 20, 1997 (the “Partnership Agreement”)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w w:val="99"/>
              </w:rPr>
              <w:t>Incorporated by reference to Exhibit 3.26 to Vornado Realty Trust’s Quarterly Report on Form 10-Q for the quarter ended March 31, 2003 (File No. 001-11954),</w:t>
            </w:r>
          </w:p>
        </w:tc>
        <w:tc>
          <w:tcPr>
            <w:tcW w:w="100" w:type="dxa"/>
            <w:vAlign w:val="bottom"/>
          </w:tcPr>
          <w:p>
            <w:pPr>
              <w:spacing w:after="0"/>
              <w:rPr>
                <w:sz w:val="11"/>
                <w:szCs w:val="11"/>
                <w:color w:val="auto"/>
              </w:rPr>
            </w:pP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filed on May 8, 2003</w:t>
            </w:r>
          </w:p>
        </w:tc>
        <w:tc>
          <w:tcPr>
            <w:tcW w:w="100" w:type="dxa"/>
            <w:vAlign w:val="bottom"/>
          </w:tcPr>
          <w:p>
            <w:pPr>
              <w:spacing w:after="0"/>
              <w:rPr>
                <w:sz w:val="15"/>
                <w:szCs w:val="15"/>
                <w:color w:val="auto"/>
              </w:rPr>
            </w:pPr>
          </w:p>
        </w:tc>
      </w:tr>
      <w:tr>
        <w:trPr>
          <w:trHeight w:val="246"/>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64">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12</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Amendment to the Partnership Agreement, dated as of December 16, 1997 – Incorporated by reference to Exhibit 3.27 to Vornado Realty Trust’s Quarterly Report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on Form 10-Q for the quarter ended March 31, 2003 (File No. 001-11954), filed on May 8, 2003</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65">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13</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Second Amendment to the Partnership Agreement, dated as of April 1, 1998 – Incorporated by reference to Exhibit 3.5 to Vornado Realty Trust’s Registration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Statement on Form S-3 (File No. 333-50095), filed on April 14, 1998</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66">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14</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Third Amendment to the Partnership Agreement, dated as of November 12, 1998 - Incorporated by reference to Exhibit 3.2 to Vornado Realty Trust’s 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 (File No. 001-11954), filed on November 30, 1998</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67">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15</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Fourth Amendment to the Partnership Agreement, dated as of November 30, 1998 - Incorporated by reference to Exhibit 3.1 to Vornado Realty Trust’s 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 (File No. 001-11954), filed on February 9, 1999</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68">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16</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Fifth Amendment to the Partnership Agreement, dated as of March 3, 1999 - Incorporated by reference to Exhibit 3.1 to Vornado Realty Trust’s Current Report on</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Form 8-K (File No. 001-11954), filed on March 17, 1999</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69">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17</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Sixth Amendment to the Partnership Agreement, dated as of March 17, 1999 - Incorporated by reference to Exhibit 3.2 to Vornado Realty Trust’s Current Report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on Form 8-K (File No. 001-11954), filed on July 7, 1999</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69">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18</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Seventh Amendment to the Partnership Agreement, dated as of May 20, 1999 - Incorporated by reference to Exhibit 3.3 to Vornado Realty Trust’s Current Report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on Form 8-K (File No. 001-11954), filed on July 7, 1999</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69">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19</w:t>
            </w:r>
          </w:p>
        </w:tc>
        <w:tc>
          <w:tcPr>
            <w:tcW w:w="982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w w:val="99"/>
              </w:rPr>
              <w:t>—  Eighth Amendment to the Partnership Agreement, dated as of May 27, 1999 - Incorporated by reference to Exhibit 3.4 to Vornado Realty Trust’s Current Report on *</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Form 8-K (File No. 001-11954), filed on July 7, 1999</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70">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20</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Ninth Amendment to the Partnership Agreement, dated as of September 3, 1999 - Incorporated by reference to Exhibit 3.3 to Vornado Realty Trust’s 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 (File No. 001-11954), filed on October 25, 1999</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70">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21</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Tenth Amendment to the Partnership Agreement, dated as of September 3, 1999 - Incorporated by reference to Exhibit 3.4 to Vornado Realty Trust's 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 (File No. 001-11954), filed on October 25, 1999</w:t>
            </w:r>
          </w:p>
        </w:tc>
        <w:tc>
          <w:tcPr>
            <w:tcW w:w="100" w:type="dxa"/>
            <w:vAlign w:val="bottom"/>
          </w:tcPr>
          <w:p>
            <w:pPr>
              <w:spacing w:after="0"/>
              <w:rPr>
                <w:sz w:val="15"/>
                <w:szCs w:val="15"/>
                <w:color w:val="auto"/>
              </w:rPr>
            </w:pPr>
          </w:p>
        </w:tc>
      </w:tr>
      <w:tr>
        <w:trPr>
          <w:trHeight w:val="19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71">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22</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Eleventh Amendment to the Partnership Agreement, dated as of November 24, 1999 - Incorporated by reference to Exhibit 3.2 to Vornado Realty Trust’s 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 (File No. 001-11954), filed on December 23, 1999</w:t>
            </w:r>
          </w:p>
        </w:tc>
        <w:tc>
          <w:tcPr>
            <w:tcW w:w="100" w:type="dxa"/>
            <w:vAlign w:val="bottom"/>
          </w:tcPr>
          <w:p>
            <w:pPr>
              <w:spacing w:after="0"/>
              <w:rPr>
                <w:sz w:val="15"/>
                <w:szCs w:val="15"/>
                <w:color w:val="auto"/>
              </w:rPr>
            </w:pPr>
          </w:p>
        </w:tc>
      </w:tr>
    </w:tbl>
    <w:p>
      <w:pPr>
        <w:spacing w:after="0" w:line="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35" w:lineRule="exact"/>
        <w:rPr>
          <w:sz w:val="20"/>
          <w:szCs w:val="20"/>
          <w:color w:val="auto"/>
        </w:rPr>
      </w:pPr>
    </w:p>
    <w:p>
      <w:pPr>
        <w:ind w:left="1700" w:hanging="748"/>
        <w:spacing w:after="0"/>
        <w:tabs>
          <w:tab w:leader="none" w:pos="170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40"/>
          </w:cols>
          <w:pgMar w:left="320" w:top="1064" w:right="6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61"/>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73">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23</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99"/>
              </w:rPr>
              <w:t>Twelfth Amendment to the Partnership Agreement, dated as of May 1, 2000 - Incorporated by reference to Exhibit 3.2 to Vornado Realty Trust’s Current Report on *</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Form 8-K (File No. 001-11954), filed on May 19, 2000</w:t>
            </w:r>
          </w:p>
        </w:tc>
        <w:tc>
          <w:tcPr>
            <w:tcW w:w="120" w:type="dxa"/>
            <w:vAlign w:val="bottom"/>
          </w:tcPr>
          <w:p>
            <w:pPr>
              <w:spacing w:after="0"/>
              <w:rPr>
                <w:sz w:val="15"/>
                <w:szCs w:val="15"/>
                <w:color w:val="auto"/>
              </w:rPr>
            </w:pPr>
          </w:p>
        </w:tc>
      </w:tr>
      <w:tr>
        <w:trPr>
          <w:trHeight w:val="23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74">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24</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Thirteenth Amendment to the Partnership Agreement, dated as of May 25, 2000 - Incorporated by reference to Exhibit 3.2 to Vornado Realty Trust’s 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 (File No. 001-11954), filed on June 16, 2000</w:t>
            </w:r>
          </w:p>
        </w:tc>
        <w:tc>
          <w:tcPr>
            <w:tcW w:w="120" w:type="dxa"/>
            <w:vAlign w:val="bottom"/>
          </w:tcPr>
          <w:p>
            <w:pPr>
              <w:spacing w:after="0"/>
              <w:rPr>
                <w:sz w:val="15"/>
                <w:szCs w:val="15"/>
                <w:color w:val="auto"/>
              </w:rPr>
            </w:pPr>
          </w:p>
        </w:tc>
      </w:tr>
      <w:tr>
        <w:trPr>
          <w:trHeight w:val="23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75">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25</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Fourteenth Amendment to the Partnership Agreement, dated as of December 8, 2000 - Incorporated by reference to Exhibit 3.2 to Vornado Realty Trust’s 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 (File No. 001-11954), filed on December 28, 2000</w:t>
            </w:r>
          </w:p>
        </w:tc>
        <w:tc>
          <w:tcPr>
            <w:tcW w:w="120" w:type="dxa"/>
            <w:vAlign w:val="bottom"/>
          </w:tcPr>
          <w:p>
            <w:pPr>
              <w:spacing w:after="0"/>
              <w:rPr>
                <w:sz w:val="15"/>
                <w:szCs w:val="15"/>
                <w:color w:val="auto"/>
              </w:rPr>
            </w:pPr>
          </w:p>
        </w:tc>
      </w:tr>
      <w:tr>
        <w:trPr>
          <w:trHeight w:val="23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76">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26</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Fifteenth Amendment to the Partnership Agreement, dated as of December 15, 2000 - Incorporated by reference to Exhibit 4.35 to Vornado Realty Trust’s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Registration Statement on Form S-8 (File No. 333-68462), filed on August 27, 2001</w:t>
            </w:r>
          </w:p>
        </w:tc>
        <w:tc>
          <w:tcPr>
            <w:tcW w:w="120" w:type="dxa"/>
            <w:vAlign w:val="bottom"/>
          </w:tcPr>
          <w:p>
            <w:pPr>
              <w:spacing w:after="0"/>
              <w:rPr>
                <w:sz w:val="15"/>
                <w:szCs w:val="15"/>
                <w:color w:val="auto"/>
              </w:rPr>
            </w:pPr>
          </w:p>
        </w:tc>
      </w:tr>
      <w:tr>
        <w:trPr>
          <w:trHeight w:val="23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77">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27</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Sixteenth Amendment to the Partnership Agreement, dated as of July 25, 2001 - Incorporated by reference to Exhibit 3.3 to Vornado Realty Trust’s Current Report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on Form 8-K (File No. 001-11954), filed on October 12, 2001</w:t>
            </w:r>
          </w:p>
        </w:tc>
        <w:tc>
          <w:tcPr>
            <w:tcW w:w="120" w:type="dxa"/>
            <w:vAlign w:val="bottom"/>
          </w:tcPr>
          <w:p>
            <w:pPr>
              <w:spacing w:after="0"/>
              <w:rPr>
                <w:sz w:val="15"/>
                <w:szCs w:val="15"/>
                <w:color w:val="auto"/>
              </w:rPr>
            </w:pPr>
          </w:p>
        </w:tc>
      </w:tr>
      <w:tr>
        <w:trPr>
          <w:trHeight w:val="250"/>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78">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28</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Seventeenth Amendment to the Partnership Agreement, dated as of September 21, 2001 - Incorporated by reference to Exhibit 3.4 to Vornado Realty Trust’s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 Report on Form 8-K (File No. 001-11954), filed on October 12, 2001</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79">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29</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Eighteenth Amendment to the Partnership Agreement, dated as of January 1, 2002 - Incorporated by reference to Exhibit 3.1 to Vornado Realty Trust’s 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8-K/A (File No. 001-11954), filed on March 18, 2002</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80">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30</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Nineteenth Amendment to the Partnership Agreement, dated as of July 1, 2002 - Incorporated by reference to Exhibit 3.47 to Vornado Realty Trust’s Quarterly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10-Q for the quarter ended June 30, 2002 (File No. 001-11954), filed on August 7, 2002</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81">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31</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Twentieth Amendment to the Partnership Agreement, dated April 9, 2003 - Incorporated by reference to Exhibit 3.46 to Vornado Realty Trust’s Quarterly Report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on Form 10-Q for the quarter ended March 31, 2003 (File No. 001-11954), filed on May 8, 2003</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82">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32</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Twenty-First Amendment to the Partnership Agreement, dated as of July 31, 2003 - Incorporated by reference to Exhibit 3.47 to Vornado Realty Trust’s Quarterly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10-Q for the quarter ended September 30, 2003 (File No. 001-11954), filed on November 7, 2003</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83">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33</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Twenty-Second Amendment to the Partnership Agreement, dated as of November 17, 2003 – Incorporated by reference to Exhibit 3.49 to Vornado Realty Trust’s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Annual Report on Form 10-K for the year ended December 31, 2003 (File No. 001-11954), filed on March 3, 2004</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84">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34</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Twenty-Third Amendment to the Partnership Agreement, dated May 27, 2004 – Incorporated by reference to Exhibit 99.2 to Vornado Realty Trust’s 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 (File No. 001-11954), filed on June 14, 2004</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85">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35</w:t>
            </w:r>
          </w:p>
        </w:tc>
        <w:tc>
          <w:tcPr>
            <w:tcW w:w="99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w w:val="99"/>
              </w:rPr>
              <w:t>—  Twenty-Fourth Amendment to the Partnership Agreement, dated August 17, 2004 – Incorporated by reference to Exhibit 3.57 to Vornado Realty Trust and Vornado *</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Realty L.P.’s Registration Statement on Form S-3 (File No. 333-122306), filed on January 26, 2005</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86">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36</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Twenty-Fifth Amendment to the Partnership Agreement, dated November 17, 2004 – Incorporated by reference to Exhibit 3.58 to Vornado Realty Trust and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Vornado Realty L.P.’s Registration Statement on Form S-3 (File No. 333-122306), filed on January 26, 2005</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87">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37</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Twenty-Sixth Amendment to the Partnership Agreement, dated December 17, 2004 – Incorporated by reference to Exhibit 3.1 to Vornado Realty L.P.’s 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 (File No. 000-22685), filed on December 21, 2004</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88">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38</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Twenty-Seventh Amendment to the Partnership Agreement, dated December 20, 2004 – Incorporated by reference to Exhibit 3.2 to Vornado Realty L.P.’s 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 (File No. 000-22685), filed on December 21, 2004</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89">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39</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Twenty-Eighth Amendment to the Partnership Agreement, dated December 30, 2004 - Incorporated by reference to Exhibit 3.1 to Vornado Realty L.P.’s 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 (File No. 000-22685), filed on January 4, 2005</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90">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40</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Twenty-Ninth Amendment to the Partnership Agreement, dated June 17, 2005 - Incorporated by reference to Exhibit 3.1 to Vornado Realty L.P.’s Current Report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on Form 8-K (File No. 000-22685), filed on June 21, 2005</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91">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41</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Thirtieth Amendment to the Partnership Agreement, dated August 31, 2005 - Incorporated by reference to Exhibit 3.1 to Vornado Realty L.P.’s Current Report on</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Form 8-K (File No. 000-22685), filed on September 1, 2005</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92">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42</w:t>
            </w:r>
          </w:p>
        </w:tc>
        <w:tc>
          <w:tcPr>
            <w:tcW w:w="99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w w:val="99"/>
              </w:rPr>
              <w:t>—  Thirty-First Amendment to the Partnership Agreement, dated September 9, 2005 - Incorporated by reference to Exhibit 3.1 to Vornado Realty L.P.’s Current Report *</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on Form 8-K (File No. 000-22685), filed on September 14, 2005</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93">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43</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Thirty-Second Amendment and Restated Agreement of Limited Partnership, dated as of December 19, 2005 – Incorporated by reference to Exhibit 3.59 to</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Vornado Realty L.P.’s Quarterly Report on Form 10-Q for the quarter ended March 31, 2006 (File No. 000-22685), filed on May 8, 2006</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94">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44</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Thirty-Third Amendment to Second Amended and Restated Agreement of Limited Partnership, dated as of April 25, 2006 – Incorporated by reference to Exhibit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10.2 to Vornado Realty Trust’s Form 8-K (File No. 001-11954), filed on May 1, 2006</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95">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45</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Thirty-Fourth Amendment to Second Amended and Restated Agreement of Limited Partnership, dated as of May 2, 2006 – Incorporated by reference to Exhibit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3.1 to Vornado Realty L.P.’s Current Report on Form 8-K (File No. 000-22685), filed on May 3, 2006</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96">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46</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Thirty-Fifth Amendment to Second Amended and Restated Agreement of Limited Partnership, dated as of August 17, 2006 – Incorporated by reference to Exhibit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3.1 to Vornado Realty L.P.’s Form 8-K (File No. 000-22685), filed on August 23, 2006</w:t>
            </w:r>
          </w:p>
        </w:tc>
        <w:tc>
          <w:tcPr>
            <w:tcW w:w="120" w:type="dxa"/>
            <w:vAlign w:val="bottom"/>
          </w:tcPr>
          <w:p>
            <w:pPr>
              <w:spacing w:after="0"/>
              <w:rPr>
                <w:sz w:val="15"/>
                <w:szCs w:val="15"/>
                <w:color w:val="auto"/>
              </w:rPr>
            </w:pPr>
          </w:p>
        </w:tc>
      </w:tr>
      <w:tr>
        <w:trPr>
          <w:trHeight w:val="250"/>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97">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47</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Thirty-Sixth Amendment to Second Amended and Restated Agreement of Limited Partnership, dated as of October 2, 2006 – Incorporated by reference to Exhibit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3.1 to Vornado Realty L.P.’s Form 8-K (File No. 000-22685), filed on January 22, 2007</w:t>
            </w:r>
          </w:p>
        </w:tc>
        <w:tc>
          <w:tcPr>
            <w:tcW w:w="120" w:type="dxa"/>
            <w:vAlign w:val="bottom"/>
          </w:tcPr>
          <w:p>
            <w:pPr>
              <w:spacing w:after="0"/>
              <w:rPr>
                <w:sz w:val="15"/>
                <w:szCs w:val="15"/>
                <w:color w:val="auto"/>
              </w:rPr>
            </w:pPr>
          </w:p>
        </w:tc>
      </w:tr>
    </w:tbl>
    <w:p>
      <w:pPr>
        <w:spacing w:after="0" w:line="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__________________________________</w:t>
      </w:r>
    </w:p>
    <w:p>
      <w:pPr>
        <w:spacing w:after="0" w:line="35" w:lineRule="exact"/>
        <w:rPr>
          <w:sz w:val="20"/>
          <w:szCs w:val="20"/>
          <w:color w:val="auto"/>
        </w:rPr>
      </w:pPr>
    </w:p>
    <w:p>
      <w:pPr>
        <w:ind w:left="1360" w:hanging="748"/>
        <w:spacing w:after="0"/>
        <w:tabs>
          <w:tab w:leader="none" w:pos="13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74295</wp:posOffset>
            </wp:positionV>
            <wp:extent cx="716153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00"/>
          </w:cols>
          <w:pgMar w:left="660" w:top="1066" w:right="6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61"/>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199">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48</w:t>
            </w:r>
          </w:p>
        </w:tc>
        <w:tc>
          <w:tcPr>
            <w:tcW w:w="480" w:type="dxa"/>
            <w:vAlign w:val="bottom"/>
          </w:tcPr>
          <w:p>
            <w:pPr>
              <w:spacing w:after="0"/>
              <w:rPr>
                <w:sz w:val="13"/>
                <w:szCs w:val="13"/>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Thirty-Seventh Amendment to Second Amended and Restated Agreement of Limited Partnership, dated as of June 28, 2007 – Incorporated by reference to Exhibit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3.1 to Vornado Realty L.P.'s Current Report on Form 8-K (File No. 000-22685), filed on June 27, 2007</w:t>
            </w:r>
          </w:p>
        </w:tc>
        <w:tc>
          <w:tcPr>
            <w:tcW w:w="240" w:type="dxa"/>
            <w:vAlign w:val="bottom"/>
          </w:tcPr>
          <w:p>
            <w:pPr>
              <w:spacing w:after="0"/>
              <w:rPr>
                <w:sz w:val="15"/>
                <w:szCs w:val="15"/>
                <w:color w:val="auto"/>
              </w:rPr>
            </w:pPr>
          </w:p>
        </w:tc>
      </w:tr>
      <w:tr>
        <w:trPr>
          <w:trHeight w:val="19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00">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49</w:t>
            </w:r>
          </w:p>
        </w:tc>
        <w:tc>
          <w:tcPr>
            <w:tcW w:w="48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Thirty-Eighth Amendment to Second Amended and Restated Agreement of Limited Partnership, dated as of June 28, 2007 – Incorporated by reference to Exhibit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3.2 to Vornado Realty L.P.'s Current Report on Form 8-K (File No. 000-22685), filed on June 27, 2007</w:t>
            </w:r>
          </w:p>
        </w:tc>
        <w:tc>
          <w:tcPr>
            <w:tcW w:w="240" w:type="dxa"/>
            <w:vAlign w:val="bottom"/>
          </w:tcPr>
          <w:p>
            <w:pPr>
              <w:spacing w:after="0"/>
              <w:rPr>
                <w:sz w:val="15"/>
                <w:szCs w:val="15"/>
                <w:color w:val="auto"/>
              </w:rPr>
            </w:pPr>
          </w:p>
        </w:tc>
      </w:tr>
      <w:tr>
        <w:trPr>
          <w:trHeight w:val="23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01">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50</w:t>
            </w:r>
          </w:p>
        </w:tc>
        <w:tc>
          <w:tcPr>
            <w:tcW w:w="48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Thirty-Ninth Amendment to Second Amended and Restated Agreement of Limited Partnership, dated as of June 28, 2007 – Incorporated by reference to Exhibit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 to Vornado Realty L.P.’s Current Report on Form 8-K (File No. 000-22685), filed on June 27, 2007</w:t>
            </w:r>
          </w:p>
        </w:tc>
        <w:tc>
          <w:tcPr>
            <w:tcW w:w="240" w:type="dxa"/>
            <w:vAlign w:val="bottom"/>
          </w:tcPr>
          <w:p>
            <w:pPr>
              <w:spacing w:after="0"/>
              <w:rPr>
                <w:sz w:val="15"/>
                <w:szCs w:val="15"/>
                <w:color w:val="auto"/>
              </w:rPr>
            </w:pPr>
          </w:p>
        </w:tc>
      </w:tr>
      <w:tr>
        <w:trPr>
          <w:trHeight w:val="19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02">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51</w:t>
            </w:r>
          </w:p>
        </w:tc>
        <w:tc>
          <w:tcPr>
            <w:tcW w:w="48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Fortieth Amendment to Second Amended and Restated Agreement of Limited Partnership, dated as of June 28, 2007 – Incorporated by reference to Exhibit 3.4 to</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Vornado Realty L.P.’s Current Report on Form 8-K (File No. 000-22685), filed on June 27, 2007</w:t>
            </w:r>
          </w:p>
        </w:tc>
        <w:tc>
          <w:tcPr>
            <w:tcW w:w="240" w:type="dxa"/>
            <w:vAlign w:val="bottom"/>
          </w:tcPr>
          <w:p>
            <w:pPr>
              <w:spacing w:after="0"/>
              <w:rPr>
                <w:sz w:val="15"/>
                <w:szCs w:val="15"/>
                <w:color w:val="auto"/>
              </w:rPr>
            </w:pPr>
          </w:p>
        </w:tc>
      </w:tr>
      <w:tr>
        <w:trPr>
          <w:trHeight w:val="19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03">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52</w:t>
            </w:r>
          </w:p>
        </w:tc>
        <w:tc>
          <w:tcPr>
            <w:tcW w:w="48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Forty-First Amendment to Second Amended and Restated Agreement of Limited Partnership, dated as of March 31, 2008 – Incorporated by reference to Exhibit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3.44 to Vornado Realty Trust’s Quarterly Report on Form 10-Q for the quarter ended March 31, 2008 (file No. 001-11954), filed on May 6, 2008</w:t>
            </w:r>
          </w:p>
        </w:tc>
        <w:tc>
          <w:tcPr>
            <w:tcW w:w="240" w:type="dxa"/>
            <w:vAlign w:val="bottom"/>
          </w:tcPr>
          <w:p>
            <w:pPr>
              <w:spacing w:after="0"/>
              <w:rPr>
                <w:sz w:val="15"/>
                <w:szCs w:val="15"/>
                <w:color w:val="auto"/>
              </w:rPr>
            </w:pPr>
          </w:p>
        </w:tc>
      </w:tr>
      <w:tr>
        <w:trPr>
          <w:trHeight w:val="23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04">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53</w:t>
            </w:r>
          </w:p>
        </w:tc>
        <w:tc>
          <w:tcPr>
            <w:tcW w:w="48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Forty-Second Amendment to Second Amended and Restated Agreement of Limited Partnership, dated as of December 17, 2010 – Incorporated by reference to</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Exhibit 99.1 to Vornado Realty L.P.'s Current Report on Form 8-K (File No 000-22685), filed on December 21, 2010</w:t>
            </w:r>
          </w:p>
        </w:tc>
        <w:tc>
          <w:tcPr>
            <w:tcW w:w="240" w:type="dxa"/>
            <w:vAlign w:val="bottom"/>
          </w:tcPr>
          <w:p>
            <w:pPr>
              <w:spacing w:after="0"/>
              <w:rPr>
                <w:sz w:val="15"/>
                <w:szCs w:val="15"/>
                <w:color w:val="auto"/>
              </w:rPr>
            </w:pPr>
          </w:p>
        </w:tc>
      </w:tr>
      <w:tr>
        <w:trPr>
          <w:trHeight w:val="23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05">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54</w:t>
            </w:r>
          </w:p>
        </w:tc>
        <w:tc>
          <w:tcPr>
            <w:tcW w:w="48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Forty-Third Amendment to Second Amended and Restated Agreement of Limited Partnership, dated as of April 20, 2011 – Incorporated by reference to Exhibit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3.1 to Vornado Realty L.P.'s Current Report on Form 8-K (File No. 000-22685), filed on April 21, 2011</w:t>
            </w:r>
          </w:p>
        </w:tc>
        <w:tc>
          <w:tcPr>
            <w:tcW w:w="240" w:type="dxa"/>
            <w:vAlign w:val="bottom"/>
          </w:tcPr>
          <w:p>
            <w:pPr>
              <w:spacing w:after="0"/>
              <w:rPr>
                <w:sz w:val="15"/>
                <w:szCs w:val="15"/>
                <w:color w:val="auto"/>
              </w:rPr>
            </w:pPr>
          </w:p>
        </w:tc>
      </w:tr>
      <w:tr>
        <w:trPr>
          <w:trHeight w:val="23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06">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55</w:t>
            </w:r>
          </w:p>
        </w:tc>
        <w:tc>
          <w:tcPr>
            <w:tcW w:w="48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Forty-Fourth Amendment to Second Amended and Restated Agreement of Limited Partnership of Vornado Realty L.P., dated as, of March 30, 2012 - Incorporated</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by reference to Exhibit 99.1 to Vornado Realty L.P.'s Current Report on Form 8-K (File No. 001-34482), filed on April 5, 2012</w:t>
            </w:r>
          </w:p>
        </w:tc>
        <w:tc>
          <w:tcPr>
            <w:tcW w:w="240" w:type="dxa"/>
            <w:vAlign w:val="bottom"/>
          </w:tcPr>
          <w:p>
            <w:pPr>
              <w:spacing w:after="0"/>
              <w:rPr>
                <w:sz w:val="15"/>
                <w:szCs w:val="15"/>
                <w:color w:val="auto"/>
              </w:rPr>
            </w:pPr>
          </w:p>
        </w:tc>
      </w:tr>
      <w:tr>
        <w:trPr>
          <w:trHeight w:val="23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07">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56</w:t>
            </w:r>
          </w:p>
        </w:tc>
        <w:tc>
          <w:tcPr>
            <w:tcW w:w="48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Forty-Fourth Amendment to Second Amended and Restated Agreement of Limited Partnership dated as of July 18, 2012 – Incorporated by reference to Exhibit 3.1</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 Vornado Realty L.P.’s Current Report on Form 8-K (File No. 001-34482), filed on July 18, 2012</w:t>
            </w:r>
          </w:p>
        </w:tc>
        <w:tc>
          <w:tcPr>
            <w:tcW w:w="240" w:type="dxa"/>
            <w:vAlign w:val="bottom"/>
          </w:tcPr>
          <w:p>
            <w:pPr>
              <w:spacing w:after="0"/>
              <w:rPr>
                <w:sz w:val="15"/>
                <w:szCs w:val="15"/>
                <w:color w:val="auto"/>
              </w:rPr>
            </w:pPr>
          </w:p>
        </w:tc>
      </w:tr>
      <w:tr>
        <w:trPr>
          <w:trHeight w:val="23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08">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57</w:t>
            </w:r>
          </w:p>
        </w:tc>
        <w:tc>
          <w:tcPr>
            <w:tcW w:w="48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Forty-Fifth Amendment to Second Amended and Restated Agreement of Limited Partnership, dated as of January 25, 2013 – Incorporated by reference to Exhibit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3.1 to Vornado Realty L.P.’s Current Report on Form 8-K (File No. 001-34482), filed on January 25, 2013</w:t>
            </w:r>
          </w:p>
        </w:tc>
        <w:tc>
          <w:tcPr>
            <w:tcW w:w="240" w:type="dxa"/>
            <w:vAlign w:val="bottom"/>
          </w:tcPr>
          <w:p>
            <w:pPr>
              <w:spacing w:after="0"/>
              <w:rPr>
                <w:sz w:val="15"/>
                <w:szCs w:val="15"/>
                <w:color w:val="auto"/>
              </w:rPr>
            </w:pPr>
          </w:p>
        </w:tc>
      </w:tr>
      <w:tr>
        <w:trPr>
          <w:trHeight w:val="23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09">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58</w:t>
            </w:r>
          </w:p>
        </w:tc>
        <w:tc>
          <w:tcPr>
            <w:tcW w:w="48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Forty-Sixth Amendment to Second Amended and Restated Agreement of Limited Partnership of Vornado Realty L.P., dated April 1, 2015 - Incorporated by</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reference to Exhibit 3.1 to Vornado Realty L.P.'s Current Report on Form 8-K (File No. 001-34482), filed on April 2, 2015</w:t>
            </w:r>
          </w:p>
        </w:tc>
        <w:tc>
          <w:tcPr>
            <w:tcW w:w="240" w:type="dxa"/>
            <w:vAlign w:val="bottom"/>
          </w:tcPr>
          <w:p>
            <w:pPr>
              <w:spacing w:after="0"/>
              <w:rPr>
                <w:sz w:val="15"/>
                <w:szCs w:val="15"/>
                <w:color w:val="auto"/>
              </w:rPr>
            </w:pPr>
          </w:p>
        </w:tc>
      </w:tr>
      <w:tr>
        <w:trPr>
          <w:trHeight w:val="243"/>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10">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59</w:t>
            </w:r>
          </w:p>
        </w:tc>
        <w:tc>
          <w:tcPr>
            <w:tcW w:w="480" w:type="dxa"/>
            <w:vAlign w:val="bottom"/>
          </w:tcPr>
          <w:p>
            <w:pPr>
              <w:spacing w:after="0"/>
              <w:rPr>
                <w:sz w:val="21"/>
                <w:szCs w:val="21"/>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Forty-Seventh Amendment to Second Amended and Restated Agreement of Limited Partnership of Vornado Realty L.P., dated December 13, 2017 - Incorporated</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by reference to Exhibit 3.2 to Vornado Realty L.P.'s Current Report on Form 8-K (File No. 001-34482), filed on December 13, 2017</w:t>
            </w:r>
          </w:p>
        </w:tc>
        <w:tc>
          <w:tcPr>
            <w:tcW w:w="240" w:type="dxa"/>
            <w:vAlign w:val="bottom"/>
          </w:tcPr>
          <w:p>
            <w:pPr>
              <w:spacing w:after="0"/>
              <w:rPr>
                <w:sz w:val="15"/>
                <w:szCs w:val="15"/>
                <w:color w:val="auto"/>
              </w:rPr>
            </w:pPr>
          </w:p>
        </w:tc>
      </w:tr>
      <w:tr>
        <w:trPr>
          <w:trHeight w:val="23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11">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60</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9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Forty-Eighth Amendment to Second Amended and Restated Agreement of Limited Partnership of Vornado Realty L.P., dated as of January 12, 2018 - Incorporated *</w:t>
            </w:r>
          </w:p>
        </w:tc>
      </w:tr>
      <w:tr>
        <w:trPr>
          <w:trHeight w:val="128"/>
        </w:trPr>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0" w:type="dxa"/>
            <w:vAlign w:val="bottom"/>
          </w:tcPr>
          <w:p>
            <w:pPr>
              <w:ind w:left="220"/>
              <w:spacing w:after="0" w:line="128" w:lineRule="exact"/>
              <w:rPr>
                <w:sz w:val="20"/>
                <w:szCs w:val="20"/>
                <w:color w:val="auto"/>
              </w:rPr>
            </w:pPr>
            <w:r>
              <w:rPr>
                <w:rFonts w:ascii="Times New Roman" w:cs="Times New Roman" w:eastAsia="Times New Roman" w:hAnsi="Times New Roman"/>
                <w:sz w:val="14"/>
                <w:szCs w:val="14"/>
                <w:color w:val="auto"/>
              </w:rPr>
              <w:t>by reference to Exhibit 3.53 to Vornado Realty Trust's Annual Report on 10-K for the year ended December 31, 2017 (File No. 001-11954), filed on February</w:t>
            </w:r>
          </w:p>
        </w:tc>
        <w:tc>
          <w:tcPr>
            <w:tcW w:w="240" w:type="dxa"/>
            <w:vAlign w:val="bottom"/>
          </w:tcPr>
          <w:p>
            <w:pPr>
              <w:spacing w:after="0"/>
              <w:rPr>
                <w:sz w:val="11"/>
                <w:szCs w:val="11"/>
                <w:color w:val="auto"/>
              </w:rPr>
            </w:pP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12, 2018</w:t>
            </w:r>
          </w:p>
        </w:tc>
        <w:tc>
          <w:tcPr>
            <w:tcW w:w="240" w:type="dxa"/>
            <w:vAlign w:val="bottom"/>
          </w:tcPr>
          <w:p>
            <w:pPr>
              <w:spacing w:after="0"/>
              <w:rPr>
                <w:sz w:val="15"/>
                <w:szCs w:val="15"/>
                <w:color w:val="auto"/>
              </w:rPr>
            </w:pPr>
          </w:p>
        </w:tc>
      </w:tr>
      <w:tr>
        <w:trPr>
          <w:trHeight w:val="246"/>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12">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61</w:t>
            </w:r>
          </w:p>
        </w:tc>
        <w:tc>
          <w:tcPr>
            <w:tcW w:w="480" w:type="dxa"/>
            <w:vAlign w:val="bottom"/>
          </w:tcPr>
          <w:p>
            <w:pPr>
              <w:spacing w:after="0"/>
              <w:rPr>
                <w:sz w:val="21"/>
                <w:szCs w:val="21"/>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Forty-Ninth Amendment to Second Amended and Restated Agreement of Limited Partnership of Vornado Realty L.P., dated as of August 7, 2019 - Incorporated</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by reference to Exhibit 3.2 to Vornado Realty Trust's Current Report on Form 8-K (File No. 001-11954), filed on August 8, 2019</w:t>
            </w:r>
          </w:p>
        </w:tc>
        <w:tc>
          <w:tcPr>
            <w:tcW w:w="240" w:type="dxa"/>
            <w:vAlign w:val="bottom"/>
          </w:tcPr>
          <w:p>
            <w:pPr>
              <w:spacing w:after="0"/>
              <w:rPr>
                <w:sz w:val="15"/>
                <w:szCs w:val="15"/>
                <w:color w:val="auto"/>
              </w:rPr>
            </w:pPr>
          </w:p>
        </w:tc>
      </w:tr>
      <w:tr>
        <w:trPr>
          <w:trHeight w:val="23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13">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62</w:t>
            </w:r>
          </w:p>
        </w:tc>
        <w:tc>
          <w:tcPr>
            <w:tcW w:w="48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Fiftieth Amendment to Second Amended and Restated Agreement of Limited Partnership of Vornado Realty L.P., dated as of November 24, 2020 - Incorporated</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by reference to Exhibit 3.2 to Vornado Realty Trust's Current Report on Form 8-K (File No. 001-11954), filed on November 24, 2020</w:t>
            </w:r>
          </w:p>
        </w:tc>
        <w:tc>
          <w:tcPr>
            <w:tcW w:w="240" w:type="dxa"/>
            <w:vAlign w:val="bottom"/>
          </w:tcPr>
          <w:p>
            <w:pPr>
              <w:spacing w:after="0"/>
              <w:rPr>
                <w:sz w:val="15"/>
                <w:szCs w:val="15"/>
                <w:color w:val="auto"/>
              </w:rPr>
            </w:pPr>
          </w:p>
        </w:tc>
      </w:tr>
      <w:tr>
        <w:trPr>
          <w:trHeight w:val="19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14">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63</w:t>
            </w:r>
          </w:p>
        </w:tc>
        <w:tc>
          <w:tcPr>
            <w:tcW w:w="48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Fifty-First Amendment to Second Amended and Restated Agreement of Limited Partnership of Vornado Realty L.P., dated as of September 22, 2021 -</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Incorporated by reference to Exhibit 3.2 to Vornado Realty Trust's Current Report on Form 8-K (File No. 001-11954), filed on September 22, 2021</w:t>
            </w:r>
          </w:p>
        </w:tc>
        <w:tc>
          <w:tcPr>
            <w:tcW w:w="240" w:type="dxa"/>
            <w:vAlign w:val="bottom"/>
          </w:tcPr>
          <w:p>
            <w:pPr>
              <w:spacing w:after="0"/>
              <w:rPr>
                <w:sz w:val="15"/>
                <w:szCs w:val="15"/>
                <w:color w:val="auto"/>
              </w:rPr>
            </w:pPr>
          </w:p>
        </w:tc>
      </w:tr>
      <w:tr>
        <w:trPr>
          <w:trHeight w:val="19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15">
              <w:r>
                <w:rPr>
                  <w:rFonts w:ascii="Times New Roman" w:cs="Times New Roman" w:eastAsia="Times New Roman" w:hAnsi="Times New Roman"/>
                  <w:sz w:val="14"/>
                  <w:szCs w:val="14"/>
                  <w:color w:val="0E32E1"/>
                </w:rPr>
                <w:t>4.1</w:t>
              </w:r>
            </w:hyperlink>
          </w:p>
        </w:tc>
        <w:tc>
          <w:tcPr>
            <w:tcW w:w="48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Indenture, dated as of November 25, 2003, between Vornado Realty L.P. and The Bank of New York, as Trustee - Incorporated by reference to Exhibit 4.10 to</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Vornado Realty Trust’s Quarterly Report on Form 10-Q for the quarter ended March 31, 2005 (File No. 001-11954), filed on April 28, 2005</w:t>
            </w:r>
          </w:p>
        </w:tc>
        <w:tc>
          <w:tcPr>
            <w:tcW w:w="240" w:type="dxa"/>
            <w:vAlign w:val="bottom"/>
          </w:tcPr>
          <w:p>
            <w:pPr>
              <w:spacing w:after="0"/>
              <w:rPr>
                <w:sz w:val="15"/>
                <w:szCs w:val="15"/>
                <w:color w:val="auto"/>
              </w:rPr>
            </w:pPr>
          </w:p>
        </w:tc>
      </w:tr>
      <w:tr>
        <w:trPr>
          <w:trHeight w:val="23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16">
              <w:r>
                <w:rPr>
                  <w:rFonts w:ascii="Times New Roman" w:cs="Times New Roman" w:eastAsia="Times New Roman" w:hAnsi="Times New Roman"/>
                  <w:sz w:val="14"/>
                  <w:szCs w:val="14"/>
                  <w:color w:val="0E32E1"/>
                </w:rPr>
                <w:t>4.2</w:t>
              </w:r>
            </w:hyperlink>
          </w:p>
        </w:tc>
        <w:tc>
          <w:tcPr>
            <w:tcW w:w="48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Indenture, dated as of November 20, 2006, among Vornado Realty Trust, as Issuer, Vornado Realty L.P., as Guarantor and The Bank of New York, as Trustee –</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Incorporated by reference to Exhibit 4.1 to Vornado Realty Trust’s Current Report on Form 8-K (File No. 001-11954), filed on November 27, 2006</w:t>
            </w:r>
          </w:p>
        </w:tc>
        <w:tc>
          <w:tcPr>
            <w:tcW w:w="240" w:type="dxa"/>
            <w:vAlign w:val="bottom"/>
          </w:tcPr>
          <w:p>
            <w:pPr>
              <w:spacing w:after="0"/>
              <w:rPr>
                <w:sz w:val="15"/>
                <w:szCs w:val="15"/>
                <w:color w:val="auto"/>
              </w:rPr>
            </w:pPr>
          </w:p>
        </w:tc>
      </w:tr>
      <w:tr>
        <w:trPr>
          <w:trHeight w:val="145"/>
        </w:trPr>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i w:val="1"/>
                <w:iCs w:val="1"/>
                <w:color w:val="auto"/>
              </w:rPr>
              <w:t>Certain instruments defining the rights of holders of long-term debt securities of Vornado Realty Trust and its subsidiaries are omitted pursuant to Item 601(b)(4)</w:t>
            </w:r>
          </w:p>
        </w:tc>
        <w:tc>
          <w:tcPr>
            <w:tcW w:w="240" w:type="dxa"/>
            <w:vAlign w:val="bottom"/>
          </w:tcPr>
          <w:p>
            <w:pPr>
              <w:spacing w:after="0"/>
              <w:rPr>
                <w:sz w:val="12"/>
                <w:szCs w:val="12"/>
                <w:color w:val="auto"/>
              </w:rPr>
            </w:pPr>
          </w:p>
        </w:tc>
      </w:tr>
      <w:tr>
        <w:trPr>
          <w:trHeight w:val="184"/>
        </w:trPr>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i w:val="1"/>
                <w:iCs w:val="1"/>
                <w:color w:val="auto"/>
                <w:w w:val="99"/>
              </w:rPr>
              <w:t>(iii) of Regulation S-K. Vornado Realty Trust hereby undertakes to furnish to the Securities and Exchange Commission, upon request, copies of such instruments</w:t>
            </w:r>
          </w:p>
        </w:tc>
        <w:tc>
          <w:tcPr>
            <w:tcW w:w="240" w:type="dxa"/>
            <w:vAlign w:val="bottom"/>
          </w:tcPr>
          <w:p>
            <w:pPr>
              <w:spacing w:after="0"/>
              <w:rPr>
                <w:sz w:val="16"/>
                <w:szCs w:val="16"/>
                <w:color w:val="auto"/>
              </w:rPr>
            </w:pPr>
          </w:p>
        </w:tc>
      </w:tr>
      <w:tr>
        <w:trPr>
          <w:trHeight w:val="277"/>
        </w:trPr>
        <w:tc>
          <w:tcPr>
            <w:tcW w:w="44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0000FF"/>
              </w:rPr>
              <w:t>4.3</w:t>
            </w:r>
          </w:p>
        </w:tc>
        <w:tc>
          <w:tcPr>
            <w:tcW w:w="480" w:type="dxa"/>
            <w:vAlign w:val="bottom"/>
          </w:tcPr>
          <w:p>
            <w:pPr>
              <w:spacing w:after="0"/>
              <w:rPr>
                <w:sz w:val="24"/>
                <w:szCs w:val="24"/>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Description of Vornado Realty Trust securities registered pursuant to Section 12 of the Securities Exchange Act of 1934</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5"/>
              </w:rPr>
              <w:t>***</w:t>
            </w:r>
          </w:p>
        </w:tc>
      </w:tr>
      <w:tr>
        <w:trPr>
          <w:trHeight w:val="288"/>
        </w:trPr>
        <w:tc>
          <w:tcPr>
            <w:tcW w:w="44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0000FF"/>
              </w:rPr>
              <w:t>4.4</w:t>
            </w:r>
          </w:p>
        </w:tc>
        <w:tc>
          <w:tcPr>
            <w:tcW w:w="480" w:type="dxa"/>
            <w:vAlign w:val="bottom"/>
          </w:tcPr>
          <w:p>
            <w:pPr>
              <w:spacing w:after="0"/>
              <w:rPr>
                <w:sz w:val="24"/>
                <w:szCs w:val="24"/>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Description of Class A units of Vornado Realty L.P. and certain provisions of its agreement of limited partnership</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5"/>
              </w:rPr>
              <w:t>***</w:t>
            </w:r>
          </w:p>
        </w:tc>
      </w:tr>
      <w:tr>
        <w:trPr>
          <w:trHeight w:val="196"/>
        </w:trPr>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__________________________________________</w:t>
            </w:r>
          </w:p>
        </w:tc>
        <w:tc>
          <w:tcPr>
            <w:tcW w:w="240" w:type="dxa"/>
            <w:vAlign w:val="bottom"/>
          </w:tcPr>
          <w:p>
            <w:pPr>
              <w:spacing w:after="0"/>
              <w:rPr>
                <w:sz w:val="17"/>
                <w:szCs w:val="17"/>
                <w:color w:val="auto"/>
              </w:rPr>
            </w:pPr>
          </w:p>
        </w:tc>
      </w:tr>
    </w:tbl>
    <w:p>
      <w:pPr>
        <w:spacing w:after="0" w:line="14" w:lineRule="exact"/>
        <w:rPr>
          <w:sz w:val="20"/>
          <w:szCs w:val="20"/>
          <w:color w:val="auto"/>
        </w:rPr>
      </w:pPr>
    </w:p>
    <w:p>
      <w:pPr>
        <w:ind w:left="1360" w:hanging="748"/>
        <w:spacing w:after="0"/>
        <w:tabs>
          <w:tab w:leader="none" w:pos="13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w:t>
      </w:r>
    </w:p>
    <w:p>
      <w:pPr>
        <w:spacing w:after="0" w:line="35" w:lineRule="exact"/>
        <w:rPr>
          <w:sz w:val="20"/>
          <w:szCs w:val="20"/>
          <w:color w:val="auto"/>
        </w:rPr>
      </w:pPr>
    </w:p>
    <w:p>
      <w:pPr>
        <w:ind w:left="1360" w:hanging="748"/>
        <w:spacing w:after="0"/>
        <w:tabs>
          <w:tab w:leader="none" w:pos="13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agreement</w:t>
      </w:r>
    </w:p>
    <w:p>
      <w:pPr>
        <w:spacing w:after="0" w:line="35" w:lineRule="exact"/>
        <w:rPr>
          <w:rFonts w:ascii="Times New Roman" w:cs="Times New Roman" w:eastAsia="Times New Roman" w:hAnsi="Times New Roman"/>
          <w:sz w:val="14"/>
          <w:szCs w:val="14"/>
          <w:color w:val="auto"/>
        </w:rPr>
      </w:pPr>
    </w:p>
    <w:p>
      <w:pPr>
        <w:ind w:left="1360" w:hanging="748"/>
        <w:spacing w:after="0"/>
        <w:tabs>
          <w:tab w:leader="none" w:pos="136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74295</wp:posOffset>
            </wp:positionV>
            <wp:extent cx="716153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40"/>
          </w:cols>
          <w:pgMar w:left="660" w:top="1118" w:right="49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61"/>
        </w:trPr>
        <w:tc>
          <w:tcPr>
            <w:tcW w:w="4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0E32E1"/>
              </w:rPr>
              <w:t>10.1</w:t>
            </w:r>
          </w:p>
        </w:tc>
        <w:tc>
          <w:tcPr>
            <w:tcW w:w="480" w:type="dxa"/>
            <w:vAlign w:val="bottom"/>
          </w:tcPr>
          <w:p>
            <w:pPr>
              <w:spacing w:after="0"/>
              <w:rPr>
                <w:sz w:val="13"/>
                <w:szCs w:val="13"/>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Registration Rights Agreement between Vornado, Inc. and Steven Roth, dated December 29, 1992 - Incorporated by reference to Vornado Realty Trust’s Annual</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10-K for the year ended December 31, 1992 (File No. 001-11954), filed February 16, 1993</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0E32E1"/>
              </w:rPr>
              <w:t>10.2</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Management Agreement between Interstate Properties and Vornado, Inc. dated July 13, 1992 – Incorporated by reference to Vornado, Inc.’s Annual Report on</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Form 10-K for the year ended December 31, 1992 (File No. 001-11954), filed February 16, 1993</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rFonts w:ascii="Times New Roman" w:cs="Times New Roman" w:eastAsia="Times New Roman" w:hAnsi="Times New Roman"/>
                <w:sz w:val="14"/>
                <w:szCs w:val="14"/>
                <w:color w:val="0E32E1"/>
              </w:rPr>
            </w:pPr>
            <w:hyperlink r:id="rId218">
              <w:r>
                <w:rPr>
                  <w:rFonts w:ascii="Times New Roman" w:cs="Times New Roman" w:eastAsia="Times New Roman" w:hAnsi="Times New Roman"/>
                  <w:sz w:val="14"/>
                  <w:szCs w:val="14"/>
                  <w:color w:val="0E32E1"/>
                </w:rPr>
                <w:t>10.</w:t>
              </w:r>
            </w:hyperlink>
            <w:r>
              <w:rPr>
                <w:rFonts w:ascii="Times New Roman" w:cs="Times New Roman" w:eastAsia="Times New Roman" w:hAnsi="Times New Roman"/>
                <w:sz w:val="14"/>
                <w:szCs w:val="14"/>
                <w:color w:val="0E32E1"/>
              </w:rPr>
              <w:t>3</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Amendment to Real Estate Retention Agreement, dated as of July 3, 2002, by and between Alexander’s, Inc. and Vornado Realty L.P. - Incorporated by reference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 Exhibit 10(i)(E)(3) to Alexander’s Inc.’s Quarterly Report for the quarter ended June 30, 2002 (File No. 001-06064), filed on August 7, 2002</w:t>
            </w:r>
          </w:p>
        </w:tc>
        <w:tc>
          <w:tcPr>
            <w:tcW w:w="120" w:type="dxa"/>
            <w:vAlign w:val="bottom"/>
          </w:tcPr>
          <w:p>
            <w:pPr>
              <w:spacing w:after="0"/>
              <w:rPr>
                <w:sz w:val="15"/>
                <w:szCs w:val="15"/>
                <w:color w:val="auto"/>
              </w:rPr>
            </w:pPr>
          </w:p>
        </w:tc>
      </w:tr>
      <w:tr>
        <w:trPr>
          <w:trHeight w:val="250"/>
        </w:trPr>
        <w:tc>
          <w:tcPr>
            <w:tcW w:w="460" w:type="dxa"/>
            <w:vAlign w:val="bottom"/>
          </w:tcPr>
          <w:p>
            <w:pPr>
              <w:jc w:val="center"/>
              <w:ind w:right="90"/>
              <w:spacing w:after="0"/>
              <w:rPr>
                <w:rFonts w:ascii="Times New Roman" w:cs="Times New Roman" w:eastAsia="Times New Roman" w:hAnsi="Times New Roman"/>
                <w:sz w:val="14"/>
                <w:szCs w:val="14"/>
                <w:color w:val="0E32E1"/>
              </w:rPr>
            </w:pPr>
            <w:hyperlink r:id="rId219">
              <w:r>
                <w:rPr>
                  <w:rFonts w:ascii="Times New Roman" w:cs="Times New Roman" w:eastAsia="Times New Roman" w:hAnsi="Times New Roman"/>
                  <w:sz w:val="14"/>
                  <w:szCs w:val="14"/>
                  <w:color w:val="0E32E1"/>
                </w:rPr>
                <w:t>10.</w:t>
              </w:r>
            </w:hyperlink>
            <w:r>
              <w:rPr>
                <w:rFonts w:ascii="Times New Roman" w:cs="Times New Roman" w:eastAsia="Times New Roman" w:hAnsi="Times New Roman"/>
                <w:sz w:val="14"/>
                <w:szCs w:val="14"/>
                <w:color w:val="0E32E1"/>
              </w:rPr>
              <w:t>4</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59th Street Real Estate Retention Agreement, dated as of July 3, 2002, by and between Vornado Realty L.P., 731 Residential LLC and 731 Commercial LLC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Incorporated by reference to Exhibit 10(i)(E)(4) to Alexander’s Inc.’s Quarterly Report for the quarter ended June 30, 2002 (File No. 001-06064), filed on</w:t>
            </w:r>
          </w:p>
        </w:tc>
        <w:tc>
          <w:tcPr>
            <w:tcW w:w="120" w:type="dxa"/>
            <w:vAlign w:val="bottom"/>
          </w:tcPr>
          <w:p>
            <w:pPr>
              <w:spacing w:after="0"/>
              <w:rPr>
                <w:sz w:val="11"/>
                <w:szCs w:val="11"/>
                <w:color w:val="auto"/>
              </w:rPr>
            </w:pP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August 7, 2002</w:t>
            </w:r>
          </w:p>
        </w:tc>
        <w:tc>
          <w:tcPr>
            <w:tcW w:w="120" w:type="dxa"/>
            <w:vAlign w:val="bottom"/>
          </w:tcPr>
          <w:p>
            <w:pPr>
              <w:spacing w:after="0"/>
              <w:rPr>
                <w:sz w:val="15"/>
                <w:szCs w:val="15"/>
                <w:color w:val="auto"/>
              </w:rPr>
            </w:pPr>
          </w:p>
        </w:tc>
      </w:tr>
      <w:tr>
        <w:trPr>
          <w:trHeight w:val="246"/>
        </w:trPr>
        <w:tc>
          <w:tcPr>
            <w:tcW w:w="460" w:type="dxa"/>
            <w:vAlign w:val="bottom"/>
          </w:tcPr>
          <w:p>
            <w:pPr>
              <w:jc w:val="center"/>
              <w:ind w:right="90"/>
              <w:spacing w:after="0"/>
              <w:rPr>
                <w:rFonts w:ascii="Times New Roman" w:cs="Times New Roman" w:eastAsia="Times New Roman" w:hAnsi="Times New Roman"/>
                <w:sz w:val="14"/>
                <w:szCs w:val="14"/>
                <w:color w:val="0E32E1"/>
              </w:rPr>
            </w:pPr>
            <w:hyperlink r:id="rId220">
              <w:r>
                <w:rPr>
                  <w:rFonts w:ascii="Times New Roman" w:cs="Times New Roman" w:eastAsia="Times New Roman" w:hAnsi="Times New Roman"/>
                  <w:sz w:val="14"/>
                  <w:szCs w:val="14"/>
                  <w:color w:val="0E32E1"/>
                </w:rPr>
                <w:t>10.</w:t>
              </w:r>
            </w:hyperlink>
            <w:r>
              <w:rPr>
                <w:rFonts w:ascii="Times New Roman" w:cs="Times New Roman" w:eastAsia="Times New Roman" w:hAnsi="Times New Roman"/>
                <w:sz w:val="14"/>
                <w:szCs w:val="14"/>
                <w:color w:val="0E32E1"/>
              </w:rPr>
              <w:t>5</w:t>
            </w:r>
          </w:p>
        </w:tc>
        <w:tc>
          <w:tcPr>
            <w:tcW w:w="480" w:type="dxa"/>
            <w:vAlign w:val="bottom"/>
          </w:tcPr>
          <w:p>
            <w:pPr>
              <w:spacing w:after="0"/>
              <w:rPr>
                <w:sz w:val="21"/>
                <w:szCs w:val="21"/>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Amended and Restated Management and Development Agreement, dated as of July 3, 2002, by and between Alexander's, Inc., the subsidiaries party thereto and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Vornado Management Corp. - Incorporated by reference to Exhibit 10(i)(F)(1) to Alexander's Inc.'s Quarterly Report on Form 10-Q for the quarter ended June</w:t>
            </w:r>
          </w:p>
        </w:tc>
        <w:tc>
          <w:tcPr>
            <w:tcW w:w="120" w:type="dxa"/>
            <w:vAlign w:val="bottom"/>
          </w:tcPr>
          <w:p>
            <w:pPr>
              <w:spacing w:after="0"/>
              <w:rPr>
                <w:sz w:val="11"/>
                <w:szCs w:val="11"/>
                <w:color w:val="auto"/>
              </w:rPr>
            </w:pP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30, 2002 (File No. 001-06064), filed on August 7, 2020</w:t>
            </w:r>
          </w:p>
        </w:tc>
        <w:tc>
          <w:tcPr>
            <w:tcW w:w="120" w:type="dxa"/>
            <w:vAlign w:val="bottom"/>
          </w:tcPr>
          <w:p>
            <w:pPr>
              <w:spacing w:after="0"/>
              <w:rPr>
                <w:sz w:val="15"/>
                <w:szCs w:val="15"/>
                <w:color w:val="auto"/>
              </w:rPr>
            </w:pPr>
          </w:p>
        </w:tc>
      </w:tr>
      <w:tr>
        <w:trPr>
          <w:trHeight w:val="246"/>
        </w:trPr>
        <w:tc>
          <w:tcPr>
            <w:tcW w:w="460" w:type="dxa"/>
            <w:vAlign w:val="bottom"/>
          </w:tcPr>
          <w:p>
            <w:pPr>
              <w:jc w:val="center"/>
              <w:ind w:right="90"/>
              <w:spacing w:after="0"/>
              <w:rPr>
                <w:rFonts w:ascii="Times New Roman" w:cs="Times New Roman" w:eastAsia="Times New Roman" w:hAnsi="Times New Roman"/>
                <w:sz w:val="14"/>
                <w:szCs w:val="14"/>
                <w:color w:val="0E32E1"/>
              </w:rPr>
            </w:pPr>
            <w:hyperlink r:id="rId221">
              <w:r>
                <w:rPr>
                  <w:rFonts w:ascii="Times New Roman" w:cs="Times New Roman" w:eastAsia="Times New Roman" w:hAnsi="Times New Roman"/>
                  <w:sz w:val="14"/>
                  <w:szCs w:val="14"/>
                  <w:color w:val="0E32E1"/>
                </w:rPr>
                <w:t>10.</w:t>
              </w:r>
            </w:hyperlink>
            <w:r>
              <w:rPr>
                <w:rFonts w:ascii="Times New Roman" w:cs="Times New Roman" w:eastAsia="Times New Roman" w:hAnsi="Times New Roman"/>
                <w:sz w:val="14"/>
                <w:szCs w:val="14"/>
                <w:color w:val="0E32E1"/>
              </w:rPr>
              <w:t>6</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Second Amendment to Real Estate Retention Agreement, dated January 1, 2007, by and between Vornado Realty L.P. and Alexander’s Inc. – Incorporated by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reference to Exhibit 10.55 to Vornado Realty Trust’s Annual Report on Form 10-K for the year ended December 31, 2006 (File No. 001-11954), filed on</w:t>
            </w:r>
          </w:p>
        </w:tc>
        <w:tc>
          <w:tcPr>
            <w:tcW w:w="120" w:type="dxa"/>
            <w:vAlign w:val="bottom"/>
          </w:tcPr>
          <w:p>
            <w:pPr>
              <w:spacing w:after="0"/>
              <w:rPr>
                <w:sz w:val="11"/>
                <w:szCs w:val="11"/>
                <w:color w:val="auto"/>
              </w:rPr>
            </w:pP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February 27, 2007</w:t>
            </w:r>
          </w:p>
        </w:tc>
        <w:tc>
          <w:tcPr>
            <w:tcW w:w="120" w:type="dxa"/>
            <w:vAlign w:val="bottom"/>
          </w:tcPr>
          <w:p>
            <w:pPr>
              <w:spacing w:after="0"/>
              <w:rPr>
                <w:sz w:val="15"/>
                <w:szCs w:val="15"/>
                <w:color w:val="auto"/>
              </w:rPr>
            </w:pPr>
          </w:p>
        </w:tc>
      </w:tr>
      <w:tr>
        <w:trPr>
          <w:trHeight w:val="207"/>
        </w:trPr>
        <w:tc>
          <w:tcPr>
            <w:tcW w:w="460" w:type="dxa"/>
            <w:vAlign w:val="bottom"/>
          </w:tcPr>
          <w:p>
            <w:pPr>
              <w:jc w:val="center"/>
              <w:ind w:right="90"/>
              <w:spacing w:after="0"/>
              <w:rPr>
                <w:rFonts w:ascii="Times New Roman" w:cs="Times New Roman" w:eastAsia="Times New Roman" w:hAnsi="Times New Roman"/>
                <w:sz w:val="14"/>
                <w:szCs w:val="14"/>
                <w:color w:val="0E32E1"/>
              </w:rPr>
            </w:pPr>
            <w:hyperlink r:id="rId222">
              <w:r>
                <w:rPr>
                  <w:rFonts w:ascii="Times New Roman" w:cs="Times New Roman" w:eastAsia="Times New Roman" w:hAnsi="Times New Roman"/>
                  <w:sz w:val="14"/>
                  <w:szCs w:val="14"/>
                  <w:color w:val="0E32E1"/>
                </w:rPr>
                <w:t>10.</w:t>
              </w:r>
            </w:hyperlink>
            <w:r>
              <w:rPr>
                <w:rFonts w:ascii="Times New Roman" w:cs="Times New Roman" w:eastAsia="Times New Roman" w:hAnsi="Times New Roman"/>
                <w:sz w:val="14"/>
                <w:szCs w:val="14"/>
                <w:color w:val="0E32E1"/>
              </w:rPr>
              <w:t>7</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Amendment to 59th Street Real Estate Retention Agreement, dated January 1, 2007, by and among Vornado Realty L.P., 731 Retail One LLC, 731 Restaurant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LLC, 731 Office One LLC and 731 Office Two LLC. – Incorporated by reference to Exhibit 10.56 to Vornado Realty Trust’s Annual Report on Form 10-K for</w:t>
            </w:r>
          </w:p>
        </w:tc>
        <w:tc>
          <w:tcPr>
            <w:tcW w:w="120" w:type="dxa"/>
            <w:vAlign w:val="bottom"/>
          </w:tcPr>
          <w:p>
            <w:pPr>
              <w:spacing w:after="0"/>
              <w:rPr>
                <w:sz w:val="11"/>
                <w:szCs w:val="11"/>
                <w:color w:val="auto"/>
              </w:rPr>
            </w:pP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the year ended December 31, 2006 (File No. 001-11954), filed on February 27, 2007</w:t>
            </w:r>
          </w:p>
        </w:tc>
        <w:tc>
          <w:tcPr>
            <w:tcW w:w="120" w:type="dxa"/>
            <w:vAlign w:val="bottom"/>
          </w:tcPr>
          <w:p>
            <w:pPr>
              <w:spacing w:after="0"/>
              <w:rPr>
                <w:sz w:val="15"/>
                <w:szCs w:val="15"/>
                <w:color w:val="auto"/>
              </w:rPr>
            </w:pPr>
          </w:p>
        </w:tc>
      </w:tr>
      <w:tr>
        <w:trPr>
          <w:trHeight w:val="246"/>
        </w:trPr>
        <w:tc>
          <w:tcPr>
            <w:tcW w:w="460" w:type="dxa"/>
            <w:vAlign w:val="bottom"/>
          </w:tcPr>
          <w:p>
            <w:pPr>
              <w:jc w:val="center"/>
              <w:ind w:right="90"/>
              <w:spacing w:after="0"/>
              <w:rPr>
                <w:rFonts w:ascii="Times New Roman" w:cs="Times New Roman" w:eastAsia="Times New Roman" w:hAnsi="Times New Roman"/>
                <w:sz w:val="14"/>
                <w:szCs w:val="14"/>
                <w:color w:val="0E32E1"/>
              </w:rPr>
            </w:pPr>
            <w:hyperlink r:id="rId223">
              <w:r>
                <w:rPr>
                  <w:rFonts w:ascii="Times New Roman" w:cs="Times New Roman" w:eastAsia="Times New Roman" w:hAnsi="Times New Roman"/>
                  <w:sz w:val="14"/>
                  <w:szCs w:val="14"/>
                  <w:color w:val="0E32E1"/>
                </w:rPr>
                <w:t>10.</w:t>
              </w:r>
            </w:hyperlink>
            <w:r>
              <w:rPr>
                <w:rFonts w:ascii="Times New Roman" w:cs="Times New Roman" w:eastAsia="Times New Roman" w:hAnsi="Times New Roman"/>
                <w:sz w:val="14"/>
                <w:szCs w:val="14"/>
                <w:color w:val="0E32E1"/>
              </w:rPr>
              <w:t>8</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Vornado Realty Trust's 2010 Omnibus Share Plan - Incorporated by reference to Exhibit 10.41 to Vornado Realty Trust's Quarterly Report on Form 10-Q for the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quarter ended June 30, 2010 (File No. 001-11954) filed on August 3, 2010</w:t>
            </w:r>
          </w:p>
        </w:tc>
        <w:tc>
          <w:tcPr>
            <w:tcW w:w="120" w:type="dxa"/>
            <w:vAlign w:val="bottom"/>
          </w:tcPr>
          <w:p>
            <w:pPr>
              <w:spacing w:after="0"/>
              <w:rPr>
                <w:sz w:val="15"/>
                <w:szCs w:val="15"/>
                <w:color w:val="auto"/>
              </w:rPr>
            </w:pPr>
          </w:p>
        </w:tc>
      </w:tr>
      <w:tr>
        <w:trPr>
          <w:trHeight w:val="237"/>
        </w:trPr>
        <w:tc>
          <w:tcPr>
            <w:tcW w:w="460" w:type="dxa"/>
            <w:vAlign w:val="bottom"/>
          </w:tcPr>
          <w:p>
            <w:pPr>
              <w:jc w:val="center"/>
              <w:ind w:right="90"/>
              <w:spacing w:after="0"/>
              <w:rPr>
                <w:rFonts w:ascii="Times New Roman" w:cs="Times New Roman" w:eastAsia="Times New Roman" w:hAnsi="Times New Roman"/>
                <w:sz w:val="14"/>
                <w:szCs w:val="14"/>
                <w:color w:val="0E32E1"/>
              </w:rPr>
            </w:pPr>
            <w:hyperlink r:id="rId224">
              <w:r>
                <w:rPr>
                  <w:rFonts w:ascii="Times New Roman" w:cs="Times New Roman" w:eastAsia="Times New Roman" w:hAnsi="Times New Roman"/>
                  <w:sz w:val="14"/>
                  <w:szCs w:val="14"/>
                  <w:color w:val="0E32E1"/>
                </w:rPr>
                <w:t>10.</w:t>
              </w:r>
            </w:hyperlink>
            <w:r>
              <w:rPr>
                <w:rFonts w:ascii="Times New Roman" w:cs="Times New Roman" w:eastAsia="Times New Roman" w:hAnsi="Times New Roman"/>
                <w:sz w:val="14"/>
                <w:szCs w:val="14"/>
                <w:color w:val="0E32E1"/>
              </w:rPr>
              <w:t>9</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Form of Vornado Realty Trust 2010 Omnibus Share Plan Restricted LTIP Unit Agreement - Incorporated by reference to Exhibit 99.3 to Vornado Realty Trust's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 Report on Form 8-K (File No. 001-11954) filed on April 5, 2012</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25">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10</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Employment agreement between Vornado Realty Trust and Michael J. Franco dated January 10, 2014 - Incorporated by reference to Exhibit 10.52 to Vornado</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Realty Trust's Quarterly Report on Form 10-Q for the quarter ended March 31, 2014 (File No. 001-11954), filed on May 5, 2014</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26">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11</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Form of Vornado Realty Trust 2010 Omnibus Share Plan AO LTIP Unit Award Agreement - Incorporated by reference to Exhibit 10.34 to Vornado Realty Trust's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Annual Report on Form 10-K for the year ended December 31, 2017 (File No. 001-11954), filed on February 12, 2018</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27">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12</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99"/>
              </w:rPr>
              <w:t>Form of 2019 Amendment to Restricted LTIP Unit and Restricted Stock Agreements - Incorporated by reference to Exhibit 10.37 to Vornado Realty Trust's Annual *</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10-K for the year ended December 31, 2018 (File No. 001-11954), filed on February 11, 2019</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28">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13</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Form of Vornado Realty Trust 2010 Omnibus Share Plan Restricted LTIP Unit Agreement - Incorporated by reference to Exhibit 10.38 to Vornado Realty Trust's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Annual Report on Form 10-K for the year ended December 31, 2018 (File No. 001-11954), filed on February 11, 2019</w:t>
            </w:r>
          </w:p>
        </w:tc>
        <w:tc>
          <w:tcPr>
            <w:tcW w:w="120" w:type="dxa"/>
            <w:vAlign w:val="bottom"/>
          </w:tcPr>
          <w:p>
            <w:pPr>
              <w:spacing w:after="0"/>
              <w:rPr>
                <w:sz w:val="15"/>
                <w:szCs w:val="15"/>
                <w:color w:val="auto"/>
              </w:rPr>
            </w:pPr>
          </w:p>
        </w:tc>
      </w:tr>
      <w:tr>
        <w:trPr>
          <w:trHeight w:val="239"/>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29">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14</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534"/>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Vornado Realty Trust 2019 Omnibus Share Plan - Incorporated by reference to Annex B to Vornado Realty Trust's Proxy Statement dated April 5, 2019 (File No.</w:t>
            </w:r>
          </w:p>
        </w:tc>
        <w:tc>
          <w:tcPr>
            <w:tcW w:w="120" w:type="dxa"/>
            <w:vAlign w:val="bottom"/>
          </w:tcPr>
          <w:p>
            <w:pPr>
              <w:spacing w:after="0"/>
              <w:rPr>
                <w:sz w:val="24"/>
                <w:szCs w:val="24"/>
                <w:color w:val="auto"/>
              </w:rPr>
            </w:pP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001-11954), filed on April 5, 2019</w:t>
            </w:r>
          </w:p>
        </w:tc>
        <w:tc>
          <w:tcPr>
            <w:tcW w:w="120" w:type="dxa"/>
            <w:vAlign w:val="bottom"/>
          </w:tcPr>
          <w:p>
            <w:pPr>
              <w:spacing w:after="0"/>
              <w:rPr>
                <w:sz w:val="15"/>
                <w:szCs w:val="15"/>
                <w:color w:val="auto"/>
              </w:rPr>
            </w:pPr>
          </w:p>
        </w:tc>
      </w:tr>
      <w:tr>
        <w:trPr>
          <w:trHeight w:val="23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30">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15</w:t>
            </w:r>
          </w:p>
        </w:tc>
        <w:tc>
          <w:tcPr>
            <w:tcW w:w="48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Transaction Agreement between Vornado Realty L.P. and Crown Jewel Partner LLC, dated April 18, 2019 - Incorporated by reference to Exhibit 10.42 to Vornado</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Realty Trust's Quarterly Report on Form 10-Q for the quarter ended June 30, 2019 (File No. 001-11954), filed on July 29, 2019</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31">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16</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Form of Vornado Realty Trust 2019 Omnibus Share Plan Restricted LTIP Unit Agreement - Incorporated by reference to Exhibit 10.33 to Vornado Realty Trust's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Quarterly Report on Form 10-K for the year ended December 31, 2019 (File No. 001-11954), filed on February 18, 2020</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32">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17</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Form of Vornado Realty Trust 2019 Omnibus Share Plan Incentive/Non-Qualified Stock Option Agreement - Incorporated by reference to Exhibit 10.34 to</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Vornado Realty Trust's Quarterly Report on Form 10-K for the year ended December 31, 2019 (File No. 001-11954), filed on February 18, 2020</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33">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18</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Employment agreement between Vornado Realty Trust and Glen J. Weiss dated May 25, 2018 - Incorporated by reference to Exhibit 10.35 to Vornado Realty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Trust's Quarterly Report on Form 10-Q for the quarter ended March 31, 2020 (File No. 001-11954), filed on May 4, 2020</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34">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19</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Employment agreement between Vornado Realty Trust and Haim Chera dated April 19, 2019 - Incorporated by reference to Exhibit 10.36 to Vornado Realty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Trust's Quarterly Report on Form 10-Q for the quarter ended March 31, 2020 (File No. 001-11954), filed on May 4, 2020</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35">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20</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Form of Vornado Realty Trust 2022 Long-term Performance Plan LTIP Unit Award Agreement - Incorporated by reference to Exhibit 10.36 to Vornado Realty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Trust's Annual Report on form 10-K for the year ended December 31, 2021 (File No. 001-11954), filed on February 14, 2022</w:t>
            </w:r>
          </w:p>
        </w:tc>
        <w:tc>
          <w:tcPr>
            <w:tcW w:w="120" w:type="dxa"/>
            <w:vAlign w:val="bottom"/>
          </w:tcPr>
          <w:p>
            <w:pPr>
              <w:spacing w:after="0"/>
              <w:rPr>
                <w:sz w:val="15"/>
                <w:szCs w:val="15"/>
                <w:color w:val="auto"/>
              </w:rPr>
            </w:pPr>
          </w:p>
        </w:tc>
      </w:tr>
      <w:tr>
        <w:trPr>
          <w:trHeight w:val="23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36">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21</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99"/>
              </w:rPr>
              <w:t>Employment agreement between Vornado Realty Trust and Barry Langer dated June 4, 2018 - Incorporated by reference to Exhibit 10.37 to Vornado Realty Trust's *</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Quarterly Report on Form 10-Q for the quarter ended March 31, 2022 (File No. 001-11954), filed on May 2, 2022</w:t>
            </w:r>
          </w:p>
        </w:tc>
        <w:tc>
          <w:tcPr>
            <w:tcW w:w="120" w:type="dxa"/>
            <w:vAlign w:val="bottom"/>
          </w:tcPr>
          <w:p>
            <w:pPr>
              <w:spacing w:after="0"/>
              <w:rPr>
                <w:sz w:val="15"/>
                <w:szCs w:val="15"/>
                <w:color w:val="auto"/>
              </w:rPr>
            </w:pPr>
          </w:p>
        </w:tc>
      </w:tr>
    </w:tbl>
    <w:p>
      <w:pPr>
        <w:spacing w:after="0" w:line="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__________________________________________</w:t>
      </w:r>
    </w:p>
    <w:p>
      <w:pPr>
        <w:spacing w:after="0" w:line="35" w:lineRule="exact"/>
        <w:rPr>
          <w:sz w:val="20"/>
          <w:szCs w:val="20"/>
          <w:color w:val="auto"/>
        </w:rPr>
      </w:pPr>
    </w:p>
    <w:p>
      <w:pPr>
        <w:ind w:left="1380" w:hanging="748"/>
        <w:spacing w:after="0"/>
        <w:tabs>
          <w:tab w:leader="none" w:pos="13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w:t>
      </w:r>
    </w:p>
    <w:p>
      <w:pPr>
        <w:spacing w:after="0" w:line="35" w:lineRule="exact"/>
        <w:rPr>
          <w:sz w:val="20"/>
          <w:szCs w:val="20"/>
          <w:color w:val="auto"/>
        </w:rPr>
      </w:pPr>
    </w:p>
    <w:p>
      <w:pPr>
        <w:ind w:left="1380" w:hanging="748"/>
        <w:spacing w:after="0"/>
        <w:tabs>
          <w:tab w:leader="none" w:pos="138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agreement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74295</wp:posOffset>
            </wp:positionV>
            <wp:extent cx="716153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20"/>
          </w:cols>
          <w:pgMar w:left="640" w:top="1066" w:right="6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61"/>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38">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22</w:t>
            </w:r>
          </w:p>
        </w:tc>
        <w:tc>
          <w:tcPr>
            <w:tcW w:w="480" w:type="dxa"/>
            <w:vAlign w:val="bottom"/>
          </w:tcPr>
          <w:p>
            <w:pPr>
              <w:spacing w:after="0"/>
              <w:rPr>
                <w:sz w:val="13"/>
                <w:szCs w:val="13"/>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Second Amended and Restated Term Loan Agreement dated as of June 30, 2022, among Vornado Realty L.P., as Borrower, Vornado Realty Trust as General</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Partner, the Banks listed on the signature pages thereof, and JPMorgan Chase Bank N.A., as Administrative Agent for the Banks - Incorporated by reference to</w:t>
            </w:r>
          </w:p>
        </w:tc>
        <w:tc>
          <w:tcPr>
            <w:tcW w:w="120" w:type="dxa"/>
            <w:vAlign w:val="bottom"/>
          </w:tcPr>
          <w:p>
            <w:pPr>
              <w:spacing w:after="0"/>
              <w:rPr>
                <w:sz w:val="11"/>
                <w:szCs w:val="11"/>
                <w:color w:val="auto"/>
              </w:rPr>
            </w:pP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Exhibit 10.38 to Vornado Realty Trust's Quarterly Report on Form 10-Q for the quarter ended June 30, 2022 (File No. 001-11954), filed on August 1, 2022</w:t>
            </w:r>
          </w:p>
        </w:tc>
        <w:tc>
          <w:tcPr>
            <w:tcW w:w="120" w:type="dxa"/>
            <w:vAlign w:val="bottom"/>
          </w:tcPr>
          <w:p>
            <w:pPr>
              <w:spacing w:after="0"/>
              <w:rPr>
                <w:sz w:val="15"/>
                <w:szCs w:val="15"/>
                <w:color w:val="auto"/>
              </w:rPr>
            </w:pPr>
          </w:p>
        </w:tc>
      </w:tr>
      <w:tr>
        <w:trPr>
          <w:trHeight w:val="20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39">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23</w:t>
            </w:r>
          </w:p>
        </w:tc>
        <w:tc>
          <w:tcPr>
            <w:tcW w:w="48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Third Amended and Restated Revolving Credit Agreement dated as of June 30, 2022, among Vornado Realty L.P., as Borrower, Vornado Realty Trust as General</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Partner, the Banks listed on the signature pages thereof, and JPMorgan Chase Bank N.A., as Administrative Agent for the Banks - Incorporated by reference to</w:t>
            </w:r>
          </w:p>
        </w:tc>
        <w:tc>
          <w:tcPr>
            <w:tcW w:w="120" w:type="dxa"/>
            <w:vAlign w:val="bottom"/>
          </w:tcPr>
          <w:p>
            <w:pPr>
              <w:spacing w:after="0"/>
              <w:rPr>
                <w:sz w:val="11"/>
                <w:szCs w:val="11"/>
                <w:color w:val="auto"/>
              </w:rPr>
            </w:pP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Exhibit 10.40 to Vornado Realty Trust's Quarterly Report on Form 10-Q for the quarter ended June 30, 2022 (File No. 001-11954), filed on August 1, 2022</w:t>
            </w:r>
          </w:p>
        </w:tc>
        <w:tc>
          <w:tcPr>
            <w:tcW w:w="120" w:type="dxa"/>
            <w:vAlign w:val="bottom"/>
          </w:tcPr>
          <w:p>
            <w:pPr>
              <w:spacing w:after="0"/>
              <w:rPr>
                <w:sz w:val="15"/>
                <w:szCs w:val="15"/>
                <w:color w:val="auto"/>
              </w:rPr>
            </w:pPr>
          </w:p>
        </w:tc>
      </w:tr>
      <w:tr>
        <w:trPr>
          <w:trHeight w:val="20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40">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24</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Form of Vornado Realty Trust 2019 Omnibus Share Plan Restricted LTIP Unit Agreement granted in 2023 - Incorporated by reference to Exhibit 10.36 to Vornado</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Realty Trust's Annual Report on Form 10-K for the year ended December 31, 2022 (File No. 001-11954), filed on February 13, 2023</w:t>
            </w:r>
          </w:p>
        </w:tc>
        <w:tc>
          <w:tcPr>
            <w:tcW w:w="120" w:type="dxa"/>
            <w:vAlign w:val="bottom"/>
          </w:tcPr>
          <w:p>
            <w:pPr>
              <w:spacing w:after="0"/>
              <w:rPr>
                <w:sz w:val="15"/>
                <w:szCs w:val="15"/>
                <w:color w:val="auto"/>
              </w:rPr>
            </w:pPr>
          </w:p>
        </w:tc>
      </w:tr>
      <w:tr>
        <w:trPr>
          <w:trHeight w:val="23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41">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25</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Form of Vornado Realty Trust 2023 Long-term Performance Plan LTPP Unit Award Agreement - Incorporated by reference to Exhibit 10.37 to Vornado Realty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Trust's Annual Report on Form 10-K for the year ended December 31, 2022 (File No. 001-11954), filed on February 13, 2023</w:t>
            </w:r>
          </w:p>
        </w:tc>
        <w:tc>
          <w:tcPr>
            <w:tcW w:w="120" w:type="dxa"/>
            <w:vAlign w:val="bottom"/>
          </w:tcPr>
          <w:p>
            <w:pPr>
              <w:spacing w:after="0"/>
              <w:rPr>
                <w:sz w:val="15"/>
                <w:szCs w:val="15"/>
                <w:color w:val="auto"/>
              </w:rPr>
            </w:pPr>
          </w:p>
        </w:tc>
      </w:tr>
      <w:tr>
        <w:trPr>
          <w:trHeight w:val="250"/>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42">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26</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Form of Vornado Realty Trust’s 2023 Omnibus Share Plan - Incorporated by reference to Annex A to Vornado Realty Trust’s Proxy Statement dated April 7,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(File No. 001-11954), filed on April 7, 2023</w:t>
            </w:r>
          </w:p>
        </w:tc>
        <w:tc>
          <w:tcPr>
            <w:tcW w:w="120" w:type="dxa"/>
            <w:vAlign w:val="bottom"/>
          </w:tcPr>
          <w:p>
            <w:pPr>
              <w:spacing w:after="0"/>
              <w:rPr>
                <w:sz w:val="15"/>
                <w:szCs w:val="15"/>
                <w:color w:val="auto"/>
              </w:rPr>
            </w:pPr>
          </w:p>
        </w:tc>
      </w:tr>
      <w:tr>
        <w:trPr>
          <w:trHeight w:val="250"/>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43">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27</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Form of Vornado Realty Trust 2023 Omnibus Share Plan Restricted LTIP Unit Agreement - Incorporated by reference to Exhibit 10.1 to Vornado Realty Trust’s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 Report on Form 8-K (File No. 001-11954), filed on July 3, 2023</w:t>
            </w:r>
          </w:p>
        </w:tc>
        <w:tc>
          <w:tcPr>
            <w:tcW w:w="120" w:type="dxa"/>
            <w:vAlign w:val="bottom"/>
          </w:tcPr>
          <w:p>
            <w:pPr>
              <w:spacing w:after="0"/>
              <w:rPr>
                <w:sz w:val="15"/>
                <w:szCs w:val="15"/>
                <w:color w:val="auto"/>
              </w:rPr>
            </w:pPr>
          </w:p>
        </w:tc>
      </w:tr>
      <w:tr>
        <w:trPr>
          <w:trHeight w:val="250"/>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44">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28</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99"/>
              </w:rPr>
              <w:t>Form of Vornado Realty Trust 2023 Omnibus Share Plan Performance Conditioned AO LTIP Unit Award Agreement - Incorporated by reference to Exhibit 10.2 to *</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Vornado Realty Trust’s Current Report on Form 8-K (File No. 001-11954), filed on July 3, 2023</w:t>
            </w:r>
          </w:p>
        </w:tc>
        <w:tc>
          <w:tcPr>
            <w:tcW w:w="120" w:type="dxa"/>
            <w:vAlign w:val="bottom"/>
          </w:tcPr>
          <w:p>
            <w:pPr>
              <w:spacing w:after="0"/>
              <w:rPr>
                <w:sz w:val="15"/>
                <w:szCs w:val="15"/>
                <w:color w:val="auto"/>
              </w:rPr>
            </w:pPr>
          </w:p>
        </w:tc>
      </w:tr>
      <w:tr>
        <w:trPr>
          <w:trHeight w:val="289"/>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45">
              <w:r>
                <w:rPr>
                  <w:rFonts w:ascii="Times New Roman" w:cs="Times New Roman" w:eastAsia="Times New Roman" w:hAnsi="Times New Roman"/>
                  <w:sz w:val="14"/>
                  <w:szCs w:val="14"/>
                  <w:color w:val="0E32E1"/>
                  <w:w w:val="95"/>
                </w:rPr>
                <w:t>10.29</w:t>
              </w:r>
            </w:hyperlink>
          </w:p>
        </w:tc>
        <w:tc>
          <w:tcPr>
            <w:tcW w:w="480" w:type="dxa"/>
            <w:vAlign w:val="bottom"/>
          </w:tcPr>
          <w:p>
            <w:pPr>
              <w:spacing w:after="0"/>
              <w:rPr>
                <w:sz w:val="24"/>
                <w:szCs w:val="24"/>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Third Amended and Restated Revolving Credit Agreement dated as of May 3, 2024, among Vornado Realty L.P., as Borrower, Vornado Realty Trust as General</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Partner, the Banks listed on the signature pages thereof, and JPMorgan Chase Bank N.A., as Administrative Agent for the Banks - Incorporated by reference to</w:t>
            </w:r>
          </w:p>
        </w:tc>
        <w:tc>
          <w:tcPr>
            <w:tcW w:w="120" w:type="dxa"/>
            <w:vAlign w:val="bottom"/>
          </w:tcPr>
          <w:p>
            <w:pPr>
              <w:spacing w:after="0"/>
              <w:rPr>
                <w:sz w:val="11"/>
                <w:szCs w:val="11"/>
                <w:color w:val="auto"/>
              </w:rPr>
            </w:pP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Exhibit 10.34 to Vornado Realty Trust's Quarterly Report on Form 10-Q for the quarter ended June 30, 2024 (File No. 001-11954), filed on August 5, 2024</w:t>
            </w:r>
          </w:p>
        </w:tc>
        <w:tc>
          <w:tcPr>
            <w:tcW w:w="120" w:type="dxa"/>
            <w:vAlign w:val="bottom"/>
          </w:tcPr>
          <w:p>
            <w:pPr>
              <w:spacing w:after="0"/>
              <w:rPr>
                <w:sz w:val="15"/>
                <w:szCs w:val="15"/>
                <w:color w:val="auto"/>
              </w:rPr>
            </w:pPr>
          </w:p>
        </w:tc>
      </w:tr>
      <w:tr>
        <w:trPr>
          <w:trHeight w:val="299"/>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46">
              <w:r>
                <w:rPr>
                  <w:rFonts w:ascii="Times New Roman" w:cs="Times New Roman" w:eastAsia="Times New Roman" w:hAnsi="Times New Roman"/>
                  <w:sz w:val="14"/>
                  <w:szCs w:val="14"/>
                  <w:color w:val="0E32E1"/>
                  <w:w w:val="95"/>
                </w:rPr>
                <w:t>10.30</w:t>
              </w:r>
            </w:hyperlink>
          </w:p>
        </w:tc>
        <w:tc>
          <w:tcPr>
            <w:tcW w:w="480" w:type="dxa"/>
            <w:vAlign w:val="bottom"/>
          </w:tcPr>
          <w:p>
            <w:pPr>
              <w:spacing w:after="0"/>
              <w:rPr>
                <w:sz w:val="24"/>
                <w:szCs w:val="24"/>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Amendment No. 1 to Third Amended and Restated Revolving Credit Agreement dated as of May 14, 2024, among Vornado Realty L.P., as Borrower, the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listed on signature pages thereof, and JPMorgan Chase Bank N.A., as Administrative Agent for the Banks - Incorporated by reference to Exhibit 10.35 to</w:t>
            </w:r>
          </w:p>
        </w:tc>
        <w:tc>
          <w:tcPr>
            <w:tcW w:w="120" w:type="dxa"/>
            <w:vAlign w:val="bottom"/>
          </w:tcPr>
          <w:p>
            <w:pPr>
              <w:spacing w:after="0"/>
              <w:rPr>
                <w:sz w:val="11"/>
                <w:szCs w:val="11"/>
                <w:color w:val="auto"/>
              </w:rPr>
            </w:pP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Vornado Realty Trust's Quarterly Report on Form 10-Q for the quarter ended June 30, 2024 (File No. 001-11954), filed on August 5, 2024</w:t>
            </w:r>
          </w:p>
        </w:tc>
        <w:tc>
          <w:tcPr>
            <w:tcW w:w="120" w:type="dxa"/>
            <w:vAlign w:val="bottom"/>
          </w:tcPr>
          <w:p>
            <w:pPr>
              <w:spacing w:after="0"/>
              <w:rPr>
                <w:sz w:val="15"/>
                <w:szCs w:val="15"/>
                <w:color w:val="auto"/>
              </w:rPr>
            </w:pPr>
          </w:p>
        </w:tc>
      </w:tr>
      <w:tr>
        <w:trPr>
          <w:trHeight w:val="299"/>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47">
              <w:r>
                <w:rPr>
                  <w:rFonts w:ascii="Times New Roman" w:cs="Times New Roman" w:eastAsia="Times New Roman" w:hAnsi="Times New Roman"/>
                  <w:sz w:val="14"/>
                  <w:szCs w:val="14"/>
                  <w:color w:val="0E32E1"/>
                  <w:w w:val="95"/>
                </w:rPr>
                <w:t>10.31</w:t>
              </w:r>
            </w:hyperlink>
          </w:p>
        </w:tc>
        <w:tc>
          <w:tcPr>
            <w:tcW w:w="480" w:type="dxa"/>
            <w:vAlign w:val="bottom"/>
          </w:tcPr>
          <w:p>
            <w:pPr>
              <w:spacing w:after="0"/>
              <w:rPr>
                <w:sz w:val="24"/>
                <w:szCs w:val="24"/>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Amendment No. 1 to Second Amended and Restated Term Loan Agreement dated as of May 14, 2024, among Vornado Realty L.P., as Borrower, the Banks listed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on signature pages thereof, and JPMorgan Chase Bank N.A., as Administrative Agent for the Banks - Incorporated by reference to Exhibit 10.36 to Vornado</w:t>
            </w:r>
          </w:p>
        </w:tc>
        <w:tc>
          <w:tcPr>
            <w:tcW w:w="120" w:type="dxa"/>
            <w:vAlign w:val="bottom"/>
          </w:tcPr>
          <w:p>
            <w:pPr>
              <w:spacing w:after="0"/>
              <w:rPr>
                <w:sz w:val="11"/>
                <w:szCs w:val="11"/>
                <w:color w:val="auto"/>
              </w:rPr>
            </w:pP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Realty Trust's Quarterly Report on Form 10-Q for the quarter ended June 30, 2024 (File No. 001-11954), filed on August 5, 2024</w:t>
            </w:r>
          </w:p>
        </w:tc>
        <w:tc>
          <w:tcPr>
            <w:tcW w:w="120" w:type="dxa"/>
            <w:vAlign w:val="bottom"/>
          </w:tcPr>
          <w:p>
            <w:pPr>
              <w:spacing w:after="0"/>
              <w:rPr>
                <w:sz w:val="15"/>
                <w:szCs w:val="15"/>
                <w:color w:val="auto"/>
              </w:rPr>
            </w:pPr>
          </w:p>
        </w:tc>
      </w:tr>
      <w:tr>
        <w:trPr>
          <w:trHeight w:val="299"/>
        </w:trPr>
        <w:tc>
          <w:tcPr>
            <w:tcW w:w="460" w:type="dxa"/>
            <w:vAlign w:val="bottom"/>
          </w:tcPr>
          <w:p>
            <w:pPr>
              <w:jc w:val="center"/>
              <w:ind w:right="90"/>
              <w:spacing w:after="0"/>
              <w:rPr>
                <w:rFonts w:ascii="Times New Roman" w:cs="Times New Roman" w:eastAsia="Times New Roman" w:hAnsi="Times New Roman"/>
                <w:sz w:val="14"/>
                <w:szCs w:val="14"/>
                <w:color w:val="0E32E1"/>
              </w:rPr>
            </w:pPr>
            <w:hyperlink r:id="rId248">
              <w:r>
                <w:rPr>
                  <w:rFonts w:ascii="Times New Roman" w:cs="Times New Roman" w:eastAsia="Times New Roman" w:hAnsi="Times New Roman"/>
                  <w:sz w:val="14"/>
                  <w:szCs w:val="14"/>
                  <w:color w:val="0E32E1"/>
                </w:rPr>
                <w:t>97.1</w:t>
              </w:r>
            </w:hyperlink>
          </w:p>
        </w:tc>
        <w:tc>
          <w:tcPr>
            <w:tcW w:w="480" w:type="dxa"/>
            <w:vAlign w:val="bottom"/>
          </w:tcPr>
          <w:p>
            <w:pPr>
              <w:spacing w:after="0"/>
              <w:rPr>
                <w:sz w:val="24"/>
                <w:szCs w:val="24"/>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Vornado Realty Trust Restatement Clawback Policy - Incorporated by reference to Exhibit 97.1 to Vornado Realty Trust's Annual Report on Form 10-K for the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year ended December 31, 2023 (File No. 001-11954), filed on February 12, 2024</w:t>
            </w:r>
          </w:p>
        </w:tc>
        <w:tc>
          <w:tcPr>
            <w:tcW w:w="120" w:type="dxa"/>
            <w:vAlign w:val="bottom"/>
          </w:tcPr>
          <w:p>
            <w:pPr>
              <w:spacing w:after="0"/>
              <w:rPr>
                <w:sz w:val="15"/>
                <w:szCs w:val="15"/>
                <w:color w:val="auto"/>
              </w:rPr>
            </w:pPr>
          </w:p>
        </w:tc>
      </w:tr>
    </w:tbl>
    <w:p>
      <w:pPr>
        <w:spacing w:after="0" w:line="14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__________________________________________</w:t>
      </w:r>
    </w:p>
    <w:p>
      <w:pPr>
        <w:spacing w:after="0" w:line="35" w:lineRule="exact"/>
        <w:rPr>
          <w:sz w:val="20"/>
          <w:szCs w:val="20"/>
          <w:color w:val="auto"/>
        </w:rPr>
      </w:pPr>
    </w:p>
    <w:p>
      <w:pPr>
        <w:ind w:left="1380" w:hanging="748"/>
        <w:spacing w:after="0"/>
        <w:tabs>
          <w:tab w:leader="none" w:pos="138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w:t>
      </w:r>
    </w:p>
    <w:p>
      <w:pPr>
        <w:spacing w:after="0" w:line="35" w:lineRule="exact"/>
        <w:rPr>
          <w:sz w:val="20"/>
          <w:szCs w:val="20"/>
          <w:color w:val="auto"/>
        </w:rPr>
      </w:pPr>
    </w:p>
    <w:p>
      <w:pPr>
        <w:ind w:left="1380" w:hanging="748"/>
        <w:spacing w:after="0"/>
        <w:tabs>
          <w:tab w:leader="none" w:pos="138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74295</wp:posOffset>
            </wp:positionV>
            <wp:extent cx="716153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20"/>
          </w:cols>
          <w:pgMar w:left="640" w:top="1066" w:right="639" w:bottom="1440" w:gutter="0" w:footer="0" w:header="0"/>
        </w:sectPr>
      </w:pPr>
    </w:p>
    <w:bookmarkStart w:id="126" w:name="page127"/>
    <w:bookmarkEnd w:id="126"/>
    <w:tbl>
      <w:tblPr>
        <w:tblLayout w:type="fixed"/>
        <w:tblInd w:w="340" w:type="dxa"/>
        <w:tblCellMar>
          <w:top w:w="0" w:type="dxa"/>
          <w:left w:w="0" w:type="dxa"/>
          <w:bottom w:w="0" w:type="dxa"/>
          <w:right w:w="0" w:type="dxa"/>
        </w:tblCellMar>
      </w:tblPr>
      <w:tr>
        <w:trPr>
          <w:trHeight w:val="182"/>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rPr>
              <w:t>19.1</w:t>
            </w:r>
          </w:p>
        </w:tc>
        <w:tc>
          <w:tcPr>
            <w:tcW w:w="98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   Insider Trading Policy</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w w:val="99"/>
              </w:rPr>
              <w:t>21</w:t>
            </w:r>
          </w:p>
        </w:tc>
        <w:tc>
          <w:tcPr>
            <w:tcW w:w="98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   Subsidiaries of Vornado Realty Trust and Vornado Realty L.P.</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rPr>
              <w:t>23.1</w:t>
            </w:r>
          </w:p>
        </w:tc>
        <w:tc>
          <w:tcPr>
            <w:tcW w:w="98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   Consent of Independent Registered Public Accounting Firm for Vornado Realty Trust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rPr>
              <w:t>23.2</w:t>
            </w:r>
          </w:p>
        </w:tc>
        <w:tc>
          <w:tcPr>
            <w:tcW w:w="98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   Consent of Independent Registered Public Accounting Firm for Vornado Realty L.P.</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rPr>
              <w:t>31.1</w:t>
            </w:r>
          </w:p>
        </w:tc>
        <w:tc>
          <w:tcPr>
            <w:tcW w:w="14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Rule 13a-14</w:t>
            </w:r>
          </w:p>
        </w:tc>
        <w:tc>
          <w:tcPr>
            <w:tcW w:w="8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Certification of the Chief Executive Officer of Vornado Realty Trust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rPr>
              <w:t>31.2</w:t>
            </w:r>
          </w:p>
        </w:tc>
        <w:tc>
          <w:tcPr>
            <w:tcW w:w="14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Rule 13a-14</w:t>
            </w:r>
          </w:p>
        </w:tc>
        <w:tc>
          <w:tcPr>
            <w:tcW w:w="8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Certification of the Chief Financial Officer of Vornado Realty Trust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rPr>
              <w:t>31.3</w:t>
            </w:r>
          </w:p>
        </w:tc>
        <w:tc>
          <w:tcPr>
            <w:tcW w:w="14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Rule 13a-14</w:t>
            </w:r>
          </w:p>
        </w:tc>
        <w:tc>
          <w:tcPr>
            <w:tcW w:w="8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Certification of the Chief Executive Officer of Vornado Realty L.P.</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rPr>
              <w:t>31.4</w:t>
            </w:r>
          </w:p>
        </w:tc>
        <w:tc>
          <w:tcPr>
            <w:tcW w:w="14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Rule 13a-14</w:t>
            </w:r>
          </w:p>
        </w:tc>
        <w:tc>
          <w:tcPr>
            <w:tcW w:w="8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Certification of the Chief Financial Officer of Vornado Realty L.P.</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rPr>
              <w:t>32.1</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Section 1350</w:t>
            </w:r>
          </w:p>
        </w:tc>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Certification of the Chief Executive Officer of Vornado Realty Trust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rPr>
              <w:t>32.2</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Section 1350</w:t>
            </w:r>
          </w:p>
        </w:tc>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Certification of the Chief Financial Officer of Vornado Realty Trust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rPr>
              <w:t>32.3</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Section 1350</w:t>
            </w:r>
          </w:p>
        </w:tc>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Certification of the Chief Executive Officer of Vornado Realty L.P.</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rPr>
              <w:t>32.4</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Section 1350</w:t>
            </w:r>
          </w:p>
        </w:tc>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Certification of the Chief Financial Officer of Vornado Realty L.P.</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auto"/>
              </w:rPr>
              <w:t>101</w:t>
            </w:r>
          </w:p>
        </w:tc>
        <w:tc>
          <w:tcPr>
            <w:tcW w:w="98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   The following financial information from Vornado Realty Trust and Vornado Realty L.P. Annual Report on Form 10-K for the year ended December 31, 2024,</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0"/>
        </w:trPr>
        <w:tc>
          <w:tcPr>
            <w:tcW w:w="620" w:type="dxa"/>
            <w:vAlign w:val="bottom"/>
          </w:tcPr>
          <w:p>
            <w:pPr>
              <w:spacing w:after="0"/>
              <w:rPr>
                <w:sz w:val="12"/>
                <w:szCs w:val="12"/>
                <w:color w:val="auto"/>
              </w:rPr>
            </w:pPr>
          </w:p>
        </w:tc>
        <w:tc>
          <w:tcPr>
            <w:tcW w:w="9880" w:type="dxa"/>
            <w:vAlign w:val="bottom"/>
            <w:gridSpan w:val="3"/>
          </w:tcPr>
          <w:p>
            <w:pPr>
              <w:ind w:left="840"/>
              <w:spacing w:after="0" w:line="141" w:lineRule="exact"/>
              <w:rPr>
                <w:sz w:val="20"/>
                <w:szCs w:val="20"/>
                <w:color w:val="auto"/>
              </w:rPr>
            </w:pPr>
            <w:r>
              <w:rPr>
                <w:rFonts w:ascii="Times New Roman" w:cs="Times New Roman" w:eastAsia="Times New Roman" w:hAnsi="Times New Roman"/>
                <w:sz w:val="14"/>
                <w:szCs w:val="14"/>
                <w:color w:val="auto"/>
              </w:rPr>
              <w:t>formatted in Inline Extensible Business Reporting Language (iXBRL) includes: (i) consolidated balance sheets, (ii) consolidated statements of income, (iii)</w:t>
            </w:r>
          </w:p>
        </w:tc>
        <w:tc>
          <w:tcPr>
            <w:tcW w:w="260" w:type="dxa"/>
            <w:vAlign w:val="bottom"/>
          </w:tcPr>
          <w:p>
            <w:pPr>
              <w:spacing w:after="0"/>
              <w:rPr>
                <w:sz w:val="12"/>
                <w:szCs w:val="12"/>
                <w:color w:val="auto"/>
              </w:rPr>
            </w:pPr>
          </w:p>
        </w:tc>
      </w:tr>
      <w:tr>
        <w:trPr>
          <w:trHeight w:val="135"/>
        </w:trPr>
        <w:tc>
          <w:tcPr>
            <w:tcW w:w="620" w:type="dxa"/>
            <w:vAlign w:val="bottom"/>
          </w:tcPr>
          <w:p>
            <w:pPr>
              <w:spacing w:after="0"/>
              <w:rPr>
                <w:sz w:val="11"/>
                <w:szCs w:val="11"/>
                <w:color w:val="auto"/>
              </w:rPr>
            </w:pPr>
          </w:p>
        </w:tc>
        <w:tc>
          <w:tcPr>
            <w:tcW w:w="9880" w:type="dxa"/>
            <w:vAlign w:val="bottom"/>
            <w:gridSpan w:val="3"/>
          </w:tcPr>
          <w:p>
            <w:pPr>
              <w:ind w:left="840"/>
              <w:spacing w:after="0" w:line="135" w:lineRule="exact"/>
              <w:rPr>
                <w:sz w:val="20"/>
                <w:szCs w:val="20"/>
                <w:color w:val="auto"/>
              </w:rPr>
            </w:pPr>
            <w:r>
              <w:rPr>
                <w:rFonts w:ascii="Times New Roman" w:cs="Times New Roman" w:eastAsia="Times New Roman" w:hAnsi="Times New Roman"/>
                <w:sz w:val="14"/>
                <w:szCs w:val="14"/>
                <w:color w:val="auto"/>
                <w:w w:val="99"/>
              </w:rPr>
              <w:t>consolidated statements of comprehensive income, (iv) consolidated statements of changes in equity, (v) consolidated statements of cash flows, and (vi) the notes</w:t>
            </w:r>
          </w:p>
        </w:tc>
        <w:tc>
          <w:tcPr>
            <w:tcW w:w="260" w:type="dxa"/>
            <w:vAlign w:val="bottom"/>
          </w:tcPr>
          <w:p>
            <w:pPr>
              <w:spacing w:after="0"/>
              <w:rPr>
                <w:sz w:val="11"/>
                <w:szCs w:val="11"/>
                <w:color w:val="auto"/>
              </w:rPr>
            </w:pPr>
          </w:p>
        </w:tc>
      </w:tr>
      <w:tr>
        <w:trPr>
          <w:trHeight w:val="182"/>
        </w:trPr>
        <w:tc>
          <w:tcPr>
            <w:tcW w:w="620" w:type="dxa"/>
            <w:vAlign w:val="bottom"/>
          </w:tcPr>
          <w:p>
            <w:pPr>
              <w:spacing w:after="0"/>
              <w:rPr>
                <w:sz w:val="15"/>
                <w:szCs w:val="15"/>
                <w:color w:val="auto"/>
              </w:rPr>
            </w:pPr>
          </w:p>
        </w:tc>
        <w:tc>
          <w:tcPr>
            <w:tcW w:w="988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to consolidated financial statements.</w:t>
            </w:r>
          </w:p>
        </w:tc>
        <w:tc>
          <w:tcPr>
            <w:tcW w:w="260" w:type="dxa"/>
            <w:vAlign w:val="bottom"/>
          </w:tcPr>
          <w:p>
            <w:pPr>
              <w:spacing w:after="0"/>
              <w:rPr>
                <w:sz w:val="15"/>
                <w:szCs w:val="15"/>
                <w:color w:val="auto"/>
              </w:rPr>
            </w:pPr>
          </w:p>
        </w:tc>
      </w:tr>
      <w:tr>
        <w:trPr>
          <w:trHeight w:val="211"/>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auto"/>
              </w:rPr>
              <w:t>104</w:t>
            </w:r>
          </w:p>
        </w:tc>
        <w:tc>
          <w:tcPr>
            <w:tcW w:w="98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   The cover page from the Vornado Realty Trust and Vornado Realty L.P. Annual Report on Form 10-K for the year ended December 31, 2024, formatted as iXBRL</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20" w:type="dxa"/>
            <w:vAlign w:val="bottom"/>
          </w:tcPr>
          <w:p>
            <w:pPr>
              <w:spacing w:after="0"/>
              <w:rPr>
                <w:sz w:val="15"/>
                <w:szCs w:val="15"/>
                <w:color w:val="auto"/>
              </w:rPr>
            </w:pPr>
          </w:p>
        </w:tc>
        <w:tc>
          <w:tcPr>
            <w:tcW w:w="988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and contained in Exhibit 101.</w:t>
            </w:r>
          </w:p>
        </w:tc>
        <w:tc>
          <w:tcPr>
            <w:tcW w:w="260" w:type="dxa"/>
            <w:vAlign w:val="bottom"/>
          </w:tcPr>
          <w:p>
            <w:pPr>
              <w:spacing w:after="0"/>
              <w:rPr>
                <w:sz w:val="15"/>
                <w:szCs w:val="15"/>
                <w:color w:val="auto"/>
              </w:rPr>
            </w:pPr>
          </w:p>
        </w:tc>
      </w:tr>
    </w:tbl>
    <w:p>
      <w:pPr>
        <w:spacing w:after="0" w:line="5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32" w:lineRule="exact"/>
        <w:rPr>
          <w:sz w:val="20"/>
          <w:szCs w:val="20"/>
          <w:color w:val="auto"/>
        </w:rPr>
      </w:pPr>
    </w:p>
    <w:p>
      <w:pPr>
        <w:ind w:left="1640" w:hanging="688"/>
        <w:spacing w:after="0"/>
        <w:tabs>
          <w:tab w:leader="none" w:pos="16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0" w:lineRule="exact"/>
        <w:rPr>
          <w:sz w:val="20"/>
          <w:szCs w:val="20"/>
          <w:color w:val="auto"/>
        </w:rPr>
      </w:pPr>
    </w:p>
    <w:p>
      <w:pPr>
        <w:spacing w:after="0" w:line="20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047" w:right="479" w:bottom="1440" w:gutter="0" w:footer="0" w:header="0"/>
        </w:sectPr>
      </w:pPr>
    </w:p>
    <w:bookmarkStart w:id="127" w:name="page128"/>
    <w:bookmarkEnd w:id="127"/>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68"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80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51">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2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7"/>
          <w:szCs w:val="17"/>
          <w:color w:val="auto"/>
        </w:rPr>
        <w:t>(Registrant)</w:t>
      </w:r>
    </w:p>
    <w:p>
      <w:pPr>
        <w:spacing w:after="0" w:line="250" w:lineRule="exact"/>
        <w:rPr>
          <w:sz w:val="20"/>
          <w:szCs w:val="20"/>
          <w:color w:val="auto"/>
        </w:rPr>
      </w:pPr>
    </w:p>
    <w:p>
      <w:pPr>
        <w:ind w:left="20"/>
        <w:spacing w:after="0"/>
        <w:tabs>
          <w:tab w:leader="none" w:pos="5000" w:val="left"/>
          <w:tab w:leader="none" w:pos="5940" w:val="left"/>
        </w:tabs>
        <w:rPr>
          <w:sz w:val="20"/>
          <w:szCs w:val="20"/>
          <w:color w:val="auto"/>
        </w:rPr>
      </w:pPr>
      <w:r>
        <w:rPr>
          <w:rFonts w:ascii="Times New Roman" w:cs="Times New Roman" w:eastAsia="Times New Roman" w:hAnsi="Times New Roman"/>
          <w:sz w:val="17"/>
          <w:szCs w:val="17"/>
          <w:color w:val="auto"/>
        </w:rPr>
        <w:t>February 10,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Deirdre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80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52">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1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Deirdre Maddock, Chief Accounting Officer</w:t>
      </w:r>
    </w:p>
    <w:p>
      <w:pPr>
        <w:ind w:left="5760"/>
        <w:spacing w:after="0"/>
        <w:rPr>
          <w:sz w:val="20"/>
          <w:szCs w:val="20"/>
          <w:color w:val="auto"/>
        </w:rPr>
      </w:pPr>
      <w:r>
        <w:rPr>
          <w:rFonts w:ascii="Times New Roman" w:cs="Times New Roman" w:eastAsia="Times New Roman" w:hAnsi="Times New Roman"/>
          <w:sz w:val="17"/>
          <w:szCs w:val="17"/>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28" w:name="page129"/>
    <w:bookmarkEnd w:id="128"/>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SIGNATURES - CONTINUED</w:t>
      </w:r>
    </w:p>
    <w:p>
      <w:pPr>
        <w:spacing w:after="0" w:line="68"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120" w:type="dxa"/>
            <w:vAlign w:val="bottom"/>
          </w:tcPr>
          <w:p>
            <w:pPr>
              <w:spacing w:after="0"/>
              <w:rPr>
                <w:sz w:val="19"/>
                <w:szCs w:val="19"/>
                <w:color w:val="auto"/>
              </w:rPr>
            </w:pPr>
          </w:p>
        </w:tc>
        <w:tc>
          <w:tcPr>
            <w:tcW w:w="534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00" w:type="dxa"/>
            <w:vAlign w:val="bottom"/>
          </w:tcPr>
          <w:p>
            <w:pPr>
              <w:spacing w:after="0"/>
              <w:rPr>
                <w:sz w:val="19"/>
                <w:szCs w:val="19"/>
                <w:color w:val="auto"/>
              </w:rPr>
            </w:pPr>
          </w:p>
        </w:tc>
        <w:tc>
          <w:tcPr>
            <w:tcW w:w="27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7"/>
                <w:szCs w:val="17"/>
                <w:b w:val="1"/>
                <w:bCs w:val="1"/>
                <w:color w:val="auto"/>
              </w:rPr>
              <w:t>Date</w:t>
            </w:r>
          </w:p>
        </w:tc>
      </w:tr>
      <w:tr>
        <w:trPr>
          <w:trHeight w:val="451"/>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/s/Steven Roth</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Chairman of the Board of Trustees</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164"/>
        </w:trPr>
        <w:tc>
          <w:tcPr>
            <w:tcW w:w="560" w:type="dxa"/>
            <w:vAlign w:val="bottom"/>
          </w:tcPr>
          <w:p>
            <w:pPr>
              <w:spacing w:after="0"/>
              <w:rPr>
                <w:sz w:val="14"/>
                <w:szCs w:val="14"/>
                <w:color w:val="auto"/>
              </w:rPr>
            </w:pPr>
          </w:p>
        </w:tc>
        <w:tc>
          <w:tcPr>
            <w:tcW w:w="2360" w:type="dxa"/>
            <w:vAlign w:val="bottom"/>
          </w:tcPr>
          <w:p>
            <w:pPr>
              <w:ind w:left="140"/>
              <w:spacing w:after="0" w:line="164" w:lineRule="exact"/>
              <w:rPr>
                <w:sz w:val="20"/>
                <w:szCs w:val="20"/>
                <w:color w:val="auto"/>
              </w:rPr>
            </w:pPr>
            <w:r>
              <w:rPr>
                <w:rFonts w:ascii="Times New Roman" w:cs="Times New Roman" w:eastAsia="Times New Roman" w:hAnsi="Times New Roman"/>
                <w:sz w:val="17"/>
                <w:szCs w:val="17"/>
                <w:color w:val="auto"/>
              </w:rPr>
              <w:t>(Steven Roth)</w:t>
            </w:r>
          </w:p>
        </w:tc>
        <w:tc>
          <w:tcPr>
            <w:tcW w:w="120" w:type="dxa"/>
            <w:vAlign w:val="bottom"/>
          </w:tcPr>
          <w:p>
            <w:pPr>
              <w:spacing w:after="0"/>
              <w:rPr>
                <w:sz w:val="14"/>
                <w:szCs w:val="14"/>
                <w:color w:val="auto"/>
              </w:rPr>
            </w:pPr>
          </w:p>
        </w:tc>
        <w:tc>
          <w:tcPr>
            <w:tcW w:w="5440" w:type="dxa"/>
            <w:vAlign w:val="bottom"/>
            <w:gridSpan w:val="2"/>
          </w:tcPr>
          <w:p>
            <w:pPr>
              <w:ind w:left="200"/>
              <w:spacing w:after="0" w:line="164" w:lineRule="exact"/>
              <w:rPr>
                <w:sz w:val="20"/>
                <w:szCs w:val="20"/>
                <w:color w:val="auto"/>
              </w:rPr>
            </w:pPr>
            <w:r>
              <w:rPr>
                <w:rFonts w:ascii="Times New Roman" w:cs="Times New Roman" w:eastAsia="Times New Roman" w:hAnsi="Times New Roman"/>
                <w:sz w:val="17"/>
                <w:szCs w:val="17"/>
                <w:color w:val="auto"/>
              </w:rPr>
              <w:t>and Chief Executive Officer</w:t>
            </w:r>
          </w:p>
        </w:tc>
        <w:tc>
          <w:tcPr>
            <w:tcW w:w="2760" w:type="dxa"/>
            <w:vAlign w:val="bottom"/>
          </w:tcPr>
          <w:p>
            <w:pPr>
              <w:spacing w:after="0"/>
              <w:rPr>
                <w:sz w:val="14"/>
                <w:szCs w:val="14"/>
                <w:color w:val="auto"/>
              </w:rPr>
            </w:pPr>
          </w:p>
        </w:tc>
      </w:tr>
      <w:tr>
        <w:trPr>
          <w:trHeight w:val="228"/>
        </w:trPr>
        <w:tc>
          <w:tcPr>
            <w:tcW w:w="5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760" w:type="dxa"/>
            <w:vAlign w:val="bottom"/>
          </w:tcPr>
          <w:p>
            <w:pPr>
              <w:spacing w:after="0"/>
              <w:rPr>
                <w:sz w:val="19"/>
                <w:szCs w:val="19"/>
                <w:color w:val="auto"/>
              </w:rPr>
            </w:pPr>
          </w:p>
        </w:tc>
      </w:tr>
      <w:tr>
        <w:trPr>
          <w:trHeight w:val="440"/>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/s/Candace K. Beinecke</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221"/>
        </w:trPr>
        <w:tc>
          <w:tcPr>
            <w:tcW w:w="56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(Candace K. Beinecke)</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40"/>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/s/Michael D. Fascitelli</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221"/>
        </w:trPr>
        <w:tc>
          <w:tcPr>
            <w:tcW w:w="56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(Michael D. Fascitelli)</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70"/>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/s/Beatrice Hamza Bassey</w:t>
            </w:r>
          </w:p>
        </w:tc>
        <w:tc>
          <w:tcPr>
            <w:tcW w:w="120" w:type="dxa"/>
            <w:vAlign w:val="bottom"/>
          </w:tcPr>
          <w:p>
            <w:pPr>
              <w:spacing w:after="0"/>
              <w:rPr>
                <w:sz w:val="23"/>
                <w:szCs w:val="2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221"/>
        </w:trPr>
        <w:tc>
          <w:tcPr>
            <w:tcW w:w="56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(Beatrice Hamza Bassey)</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40"/>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/s/William W. Helman IV</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221"/>
        </w:trPr>
        <w:tc>
          <w:tcPr>
            <w:tcW w:w="56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(William W. Helman IV)</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40"/>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/s/David Mandelbaum</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221"/>
        </w:trPr>
        <w:tc>
          <w:tcPr>
            <w:tcW w:w="56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(David Mandelbaum)</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40"/>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/s/Raymond J. McGuire</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221"/>
        </w:trPr>
        <w:tc>
          <w:tcPr>
            <w:tcW w:w="56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(Raymond J. McGuire)</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70"/>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/s/Mandakini Puri</w:t>
            </w:r>
          </w:p>
        </w:tc>
        <w:tc>
          <w:tcPr>
            <w:tcW w:w="120" w:type="dxa"/>
            <w:vAlign w:val="bottom"/>
          </w:tcPr>
          <w:p>
            <w:pPr>
              <w:spacing w:after="0"/>
              <w:rPr>
                <w:sz w:val="23"/>
                <w:szCs w:val="2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221"/>
        </w:trPr>
        <w:tc>
          <w:tcPr>
            <w:tcW w:w="56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(Mandakini Puri)</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40"/>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/s/Daniel R. Tisch</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221"/>
        </w:trPr>
        <w:tc>
          <w:tcPr>
            <w:tcW w:w="56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(Daniel R. Tisch)</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40"/>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/s/Russell B. Wight, Jr.</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221"/>
        </w:trPr>
        <w:tc>
          <w:tcPr>
            <w:tcW w:w="56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(Russell B. Wight, Jr.)</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70"/>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/s/Michael J. Franco</w:t>
            </w:r>
          </w:p>
        </w:tc>
        <w:tc>
          <w:tcPr>
            <w:tcW w:w="120" w:type="dxa"/>
            <w:vAlign w:val="bottom"/>
          </w:tcPr>
          <w:p>
            <w:pPr>
              <w:spacing w:after="0"/>
              <w:rPr>
                <w:sz w:val="23"/>
                <w:szCs w:val="2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and Chief Financial Officer</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221"/>
        </w:trPr>
        <w:tc>
          <w:tcPr>
            <w:tcW w:w="56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(Michael J. Franco)</w:t>
            </w:r>
          </w:p>
        </w:tc>
        <w:tc>
          <w:tcPr>
            <w:tcW w:w="1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760" w:type="dxa"/>
            <w:vAlign w:val="bottom"/>
          </w:tcPr>
          <w:p>
            <w:pPr>
              <w:spacing w:after="0"/>
              <w:rPr>
                <w:sz w:val="19"/>
                <w:szCs w:val="19"/>
                <w:color w:val="auto"/>
              </w:rPr>
            </w:pPr>
          </w:p>
        </w:tc>
      </w:tr>
      <w:tr>
        <w:trPr>
          <w:trHeight w:val="270"/>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/s/Deirdre Maddock</w:t>
            </w:r>
          </w:p>
        </w:tc>
        <w:tc>
          <w:tcPr>
            <w:tcW w:w="120" w:type="dxa"/>
            <w:vAlign w:val="bottom"/>
          </w:tcPr>
          <w:p>
            <w:pPr>
              <w:spacing w:after="0"/>
              <w:rPr>
                <w:sz w:val="23"/>
                <w:szCs w:val="2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Accounting Officer</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221"/>
        </w:trPr>
        <w:tc>
          <w:tcPr>
            <w:tcW w:w="56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(Deirdre Maddock)</w:t>
            </w:r>
          </w:p>
        </w:tc>
        <w:tc>
          <w:tcPr>
            <w:tcW w:w="1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2760" w:type="dxa"/>
            <w:vAlign w:val="bottom"/>
          </w:tcPr>
          <w:p>
            <w:pPr>
              <w:spacing w:after="0"/>
              <w:rPr>
                <w:sz w:val="19"/>
                <w:szCs w:val="19"/>
                <w:color w:val="auto"/>
              </w:rPr>
            </w:pPr>
          </w:p>
        </w:tc>
      </w:tr>
      <w:tr>
        <w:trPr>
          <w:trHeight w:val="938"/>
        </w:trPr>
        <w:tc>
          <w:tcPr>
            <w:tcW w:w="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460" w:type="dxa"/>
            <w:vAlign w:val="bottom"/>
            <w:gridSpan w:val="2"/>
          </w:tcPr>
          <w:p>
            <w:pPr>
              <w:jc w:val="right"/>
              <w:ind w:right="2373"/>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11"/>
        </w:trPr>
        <w:tc>
          <w:tcPr>
            <w:tcW w:w="56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29" w:name="page130"/>
    <w:bookmarkEnd w:id="129"/>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68"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7"/>
          <w:szCs w:val="17"/>
          <w:b w:val="1"/>
          <w:bCs w:val="1"/>
          <w:color w:val="auto"/>
        </w:rPr>
        <w:t>VORNADO REALTY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80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6">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2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7"/>
          <w:szCs w:val="17"/>
          <w:color w:val="auto"/>
        </w:rPr>
        <w:t>(Registrant)</w:t>
      </w:r>
    </w:p>
    <w:p>
      <w:pPr>
        <w:spacing w:after="0" w:line="250" w:lineRule="exact"/>
        <w:rPr>
          <w:sz w:val="20"/>
          <w:szCs w:val="20"/>
          <w:color w:val="auto"/>
        </w:rPr>
      </w:pPr>
    </w:p>
    <w:p>
      <w:pPr>
        <w:ind w:left="20"/>
        <w:spacing w:after="0"/>
        <w:tabs>
          <w:tab w:leader="none" w:pos="5000" w:val="left"/>
          <w:tab w:leader="none" w:pos="5940" w:val="left"/>
        </w:tabs>
        <w:rPr>
          <w:sz w:val="20"/>
          <w:szCs w:val="20"/>
          <w:color w:val="auto"/>
        </w:rPr>
      </w:pPr>
      <w:r>
        <w:rPr>
          <w:rFonts w:ascii="Times New Roman" w:cs="Times New Roman" w:eastAsia="Times New Roman" w:hAnsi="Times New Roman"/>
          <w:sz w:val="17"/>
          <w:szCs w:val="17"/>
          <w:color w:val="auto"/>
        </w:rPr>
        <w:t>February 10,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Deirdre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80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7">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1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Deirdre Maddock, Chief Accounting Officer of Vornado Realty Trust, sole</w:t>
      </w:r>
    </w:p>
    <w:p>
      <w:pPr>
        <w:ind w:left="5760"/>
        <w:spacing w:after="0" w:line="225" w:lineRule="auto"/>
        <w:rPr>
          <w:sz w:val="20"/>
          <w:szCs w:val="20"/>
          <w:color w:val="auto"/>
        </w:rPr>
      </w:pPr>
      <w:r>
        <w:rPr>
          <w:rFonts w:ascii="Times New Roman" w:cs="Times New Roman" w:eastAsia="Times New Roman" w:hAnsi="Times New Roman"/>
          <w:sz w:val="17"/>
          <w:szCs w:val="17"/>
          <w:color w:val="auto"/>
        </w:rPr>
        <w:t>General Partner of Vornado Realty L.P. (duly authorized officer and principal</w:t>
      </w:r>
    </w:p>
    <w:p>
      <w:pPr>
        <w:ind w:left="5760"/>
        <w:spacing w:after="0"/>
        <w:rPr>
          <w:sz w:val="20"/>
          <w:szCs w:val="20"/>
          <w:color w:val="auto"/>
        </w:rPr>
      </w:pPr>
      <w:r>
        <w:rPr>
          <w:rFonts w:ascii="Times New Roman" w:cs="Times New Roman" w:eastAsia="Times New Roman" w:hAnsi="Times New Roman"/>
          <w:sz w:val="17"/>
          <w:szCs w:val="17"/>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30" w:name="page131"/>
    <w:bookmarkEnd w:id="130"/>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SIGNATURES - CONTINUED</w:t>
      </w:r>
    </w:p>
    <w:p>
      <w:pPr>
        <w:spacing w:after="0" w:line="68"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0" w:type="dxa"/>
            <w:vAlign w:val="bottom"/>
          </w:tcPr>
          <w:p>
            <w:pPr>
              <w:spacing w:after="0"/>
              <w:rPr>
                <w:sz w:val="19"/>
                <w:szCs w:val="19"/>
                <w:color w:val="auto"/>
              </w:rPr>
            </w:pP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120" w:type="dxa"/>
            <w:vAlign w:val="bottom"/>
          </w:tcPr>
          <w:p>
            <w:pPr>
              <w:spacing w:after="0"/>
              <w:rPr>
                <w:sz w:val="19"/>
                <w:szCs w:val="19"/>
                <w:color w:val="auto"/>
              </w:rPr>
            </w:pPr>
          </w:p>
        </w:tc>
        <w:tc>
          <w:tcPr>
            <w:tcW w:w="534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00" w:type="dxa"/>
            <w:vAlign w:val="bottom"/>
          </w:tcPr>
          <w:p>
            <w:pPr>
              <w:spacing w:after="0"/>
              <w:rPr>
                <w:sz w:val="19"/>
                <w:szCs w:val="19"/>
                <w:color w:val="auto"/>
              </w:rPr>
            </w:pPr>
          </w:p>
        </w:tc>
        <w:tc>
          <w:tcPr>
            <w:tcW w:w="27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7"/>
                <w:szCs w:val="17"/>
                <w:b w:val="1"/>
                <w:bCs w:val="1"/>
                <w:color w:val="auto"/>
              </w:rPr>
              <w:t>Date</w:t>
            </w:r>
          </w:p>
        </w:tc>
      </w:tr>
      <w:tr>
        <w:trPr>
          <w:trHeight w:val="438"/>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/s/Steven Roth</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Chairman of the Board of Trustees and</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164"/>
        </w:trPr>
        <w:tc>
          <w:tcPr>
            <w:tcW w:w="540" w:type="dxa"/>
            <w:vAlign w:val="bottom"/>
          </w:tcPr>
          <w:p>
            <w:pPr>
              <w:spacing w:after="0"/>
              <w:rPr>
                <w:sz w:val="14"/>
                <w:szCs w:val="14"/>
                <w:color w:val="auto"/>
              </w:rPr>
            </w:pPr>
          </w:p>
        </w:tc>
        <w:tc>
          <w:tcPr>
            <w:tcW w:w="2360" w:type="dxa"/>
            <w:vAlign w:val="bottom"/>
          </w:tcPr>
          <w:p>
            <w:pPr>
              <w:ind w:left="140"/>
              <w:spacing w:after="0" w:line="164" w:lineRule="exact"/>
              <w:rPr>
                <w:sz w:val="20"/>
                <w:szCs w:val="20"/>
                <w:color w:val="auto"/>
              </w:rPr>
            </w:pPr>
            <w:r>
              <w:rPr>
                <w:rFonts w:ascii="Times New Roman" w:cs="Times New Roman" w:eastAsia="Times New Roman" w:hAnsi="Times New Roman"/>
                <w:sz w:val="17"/>
                <w:szCs w:val="17"/>
                <w:color w:val="auto"/>
              </w:rPr>
              <w:t>(Steven Roth)</w:t>
            </w:r>
          </w:p>
        </w:tc>
        <w:tc>
          <w:tcPr>
            <w:tcW w:w="120" w:type="dxa"/>
            <w:vAlign w:val="bottom"/>
          </w:tcPr>
          <w:p>
            <w:pPr>
              <w:spacing w:after="0"/>
              <w:rPr>
                <w:sz w:val="14"/>
                <w:szCs w:val="14"/>
                <w:color w:val="auto"/>
              </w:rPr>
            </w:pPr>
          </w:p>
        </w:tc>
        <w:tc>
          <w:tcPr>
            <w:tcW w:w="5440" w:type="dxa"/>
            <w:vAlign w:val="bottom"/>
            <w:gridSpan w:val="2"/>
          </w:tcPr>
          <w:p>
            <w:pPr>
              <w:ind w:left="200"/>
              <w:spacing w:after="0" w:line="164" w:lineRule="exact"/>
              <w:rPr>
                <w:sz w:val="20"/>
                <w:szCs w:val="20"/>
                <w:color w:val="auto"/>
              </w:rPr>
            </w:pPr>
            <w:r>
              <w:rPr>
                <w:rFonts w:ascii="Times New Roman" w:cs="Times New Roman" w:eastAsia="Times New Roman" w:hAnsi="Times New Roman"/>
                <w:sz w:val="17"/>
                <w:szCs w:val="17"/>
                <w:color w:val="auto"/>
              </w:rPr>
              <w:t>Chief Executive Officer of Vornado Realty Trust</w:t>
            </w:r>
          </w:p>
        </w:tc>
        <w:tc>
          <w:tcPr>
            <w:tcW w:w="2760" w:type="dxa"/>
            <w:vAlign w:val="bottom"/>
          </w:tcPr>
          <w:p>
            <w:pPr>
              <w:spacing w:after="0"/>
              <w:rPr>
                <w:sz w:val="14"/>
                <w:szCs w:val="14"/>
                <w:color w:val="auto"/>
              </w:rPr>
            </w:pPr>
          </w:p>
        </w:tc>
      </w:tr>
      <w:tr>
        <w:trPr>
          <w:trHeight w:val="228"/>
        </w:trPr>
        <w:tc>
          <w:tcPr>
            <w:tcW w:w="5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760" w:type="dxa"/>
            <w:vAlign w:val="bottom"/>
          </w:tcPr>
          <w:p>
            <w:pPr>
              <w:spacing w:after="0"/>
              <w:rPr>
                <w:sz w:val="19"/>
                <w:szCs w:val="19"/>
                <w:color w:val="auto"/>
              </w:rPr>
            </w:pPr>
          </w:p>
        </w:tc>
      </w:tr>
      <w:tr>
        <w:trPr>
          <w:trHeight w:val="44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/s/Candace K. Beinecke</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 of Vornado Realty Trust</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221"/>
        </w:trPr>
        <w:tc>
          <w:tcPr>
            <w:tcW w:w="54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(Candace K. Beinecke)</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4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/s/Michael D. Fascitelli</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 of Vornado Realty Trust</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221"/>
        </w:trPr>
        <w:tc>
          <w:tcPr>
            <w:tcW w:w="54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(Michael D. Fascitelli)</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/s/Beatrice Hamza Bassey</w:t>
            </w:r>
          </w:p>
        </w:tc>
        <w:tc>
          <w:tcPr>
            <w:tcW w:w="120" w:type="dxa"/>
            <w:vAlign w:val="bottom"/>
          </w:tcPr>
          <w:p>
            <w:pPr>
              <w:spacing w:after="0"/>
              <w:rPr>
                <w:sz w:val="23"/>
                <w:szCs w:val="2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 of Vornado Realty Trust</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221"/>
        </w:trPr>
        <w:tc>
          <w:tcPr>
            <w:tcW w:w="54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(Beatrice Hamza Bassey)</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/s/William W. Helman IV</w:t>
            </w:r>
          </w:p>
        </w:tc>
        <w:tc>
          <w:tcPr>
            <w:tcW w:w="120" w:type="dxa"/>
            <w:vAlign w:val="bottom"/>
          </w:tcPr>
          <w:p>
            <w:pPr>
              <w:spacing w:after="0"/>
              <w:rPr>
                <w:sz w:val="23"/>
                <w:szCs w:val="2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 of Vornado Realty Trust</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221"/>
        </w:trPr>
        <w:tc>
          <w:tcPr>
            <w:tcW w:w="54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(William W. Helman IV)</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4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/s/David Mandelbaum</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 of Vornado Realty Trust</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221"/>
        </w:trPr>
        <w:tc>
          <w:tcPr>
            <w:tcW w:w="54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(David Mandelbaum)</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4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/s/Raymond J. McGuire</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 of Vornado Realty Trust</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221"/>
        </w:trPr>
        <w:tc>
          <w:tcPr>
            <w:tcW w:w="54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(Raymond J. McGuire)</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/s/Mandakini Puri</w:t>
            </w:r>
          </w:p>
        </w:tc>
        <w:tc>
          <w:tcPr>
            <w:tcW w:w="120" w:type="dxa"/>
            <w:vAlign w:val="bottom"/>
          </w:tcPr>
          <w:p>
            <w:pPr>
              <w:spacing w:after="0"/>
              <w:rPr>
                <w:sz w:val="23"/>
                <w:szCs w:val="2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 of Vornado Realty Trust</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221"/>
        </w:trPr>
        <w:tc>
          <w:tcPr>
            <w:tcW w:w="54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(Mandakini Puri)</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4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/s/Daniel R. Tisch</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 of Vornado Realty Trust</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221"/>
        </w:trPr>
        <w:tc>
          <w:tcPr>
            <w:tcW w:w="54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(Daniel R. Tisch)</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4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/s/Russell B. Wight, Jr.</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 of Vornado Realty Trust</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221"/>
        </w:trPr>
        <w:tc>
          <w:tcPr>
            <w:tcW w:w="54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(Russell B. Wight, Jr.)</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/s/Michael J. Franco</w:t>
            </w:r>
          </w:p>
        </w:tc>
        <w:tc>
          <w:tcPr>
            <w:tcW w:w="120" w:type="dxa"/>
            <w:vAlign w:val="bottom"/>
          </w:tcPr>
          <w:p>
            <w:pPr>
              <w:spacing w:after="0"/>
              <w:rPr>
                <w:sz w:val="23"/>
                <w:szCs w:val="2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and Chief Financial Officer of Vornado Realty Trust</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221"/>
        </w:trPr>
        <w:tc>
          <w:tcPr>
            <w:tcW w:w="54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(Michael J. Franco)</w:t>
            </w:r>
          </w:p>
        </w:tc>
        <w:tc>
          <w:tcPr>
            <w:tcW w:w="1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760" w:type="dxa"/>
            <w:vAlign w:val="bottom"/>
          </w:tcPr>
          <w:p>
            <w:pPr>
              <w:spacing w:after="0"/>
              <w:rPr>
                <w:sz w:val="19"/>
                <w:szCs w:val="19"/>
                <w:color w:val="auto"/>
              </w:rPr>
            </w:pP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/s/Deirdre Maddock</w:t>
            </w:r>
          </w:p>
        </w:tc>
        <w:tc>
          <w:tcPr>
            <w:tcW w:w="120" w:type="dxa"/>
            <w:vAlign w:val="bottom"/>
          </w:tcPr>
          <w:p>
            <w:pPr>
              <w:spacing w:after="0"/>
              <w:rPr>
                <w:sz w:val="23"/>
                <w:szCs w:val="2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Accounting Officer of Vornado Realty Trust</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10, 2025</w:t>
            </w:r>
          </w:p>
        </w:tc>
      </w:tr>
      <w:tr>
        <w:trPr>
          <w:trHeight w:val="221"/>
        </w:trPr>
        <w:tc>
          <w:tcPr>
            <w:tcW w:w="54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(Deirdre Maddock)</w:t>
            </w:r>
          </w:p>
        </w:tc>
        <w:tc>
          <w:tcPr>
            <w:tcW w:w="1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27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131</w:t>
      </w:r>
    </w:p>
    <w:p>
      <w:pPr>
        <w:sectPr>
          <w:pgSz w:w="11900" w:h="16838" w:orient="portrait"/>
          <w:cols w:equalWidth="0" w:num="1">
            <w:col w:w="11240"/>
          </w:cols>
          <w:pgMar w:left="320" w:top="1010"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VORNADO REALTY TRUST SECURITIES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REGISTERED PURSUANT TO SECTION 12 OF THE</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73"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The following description of the material terms of the shares of beneficial interest of Vornado Realty Trust is only a summary and is subject to, and qualified in its entirety by reference to, the more complete descriptions of the shares in the following documents: (a) Vornado Realty Trust’s Declaration of Trust, as amended and supplemented (including the applicable articles supplementary), which we refer to as our Declaration of Trust, and (b) Vornado Realty Trust’s amended and restated bylaws, which we refer to as our bylaws, copies of which are exhibits to this Annual Report on Form 10-K. Please note that references to “Vornado,” “we,” “our” and “us” refer only to Vornado Realty Trust. Capitalized terms used but not defined herein have the meanings set forth in the Annual Report on Form 10-K to which this description is an exhibit.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08"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The Declaration of Trust authorizes the issuance of up to 720,000,000 shares of beneficial interest, consisting of 250,000,000 common shares of beneficial interest, $.04 par value per share (the "Common Shares"), 110,000,000 preferred shares of beneficial interest, no par value per share (the “Preferred Shares”), and 360,000,000 excess shares, $.04 par value per share. The Board of Trustees may classify or reclassify any unissued Preferred Shares from time to time in one or more series, without shareholder approval, with such designations, preferences, conversion or other rights, voting powers, restrictions, limitations as to dividends, qualifications and terms and conditions of redemption thereof as established by our Board of Trustees.</w:t>
      </w:r>
    </w:p>
    <w:p>
      <w:pPr>
        <w:spacing w:after="0" w:line="52"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As permitted by Maryland law, the Declaration of Trust authorizes our Board of Trustees, without any action by our shareholders, to amend the Declaration of Trust from time to time to increase or decrease the aggregate number of shares of beneficial interest or the number of shares of beneficial interest of any class that we are authorized to issue. The effect of this provision in our Declaration of Trust is to permit our Board of Trustees, without shareholder action, to increase or decrease (a) the total number of authorized shares of beneficial interest of Vornado Realty Trust and/or (b) the number of authorized shares of beneficial interest of any one or more classes. Maryland law permits a real estate investment trust to have shares of beneficial interest that are assigned to a particular class as well as shares that are not assigned to a particular class but are available to be classified by the Board of Trustees at a later time. Thus, the total number of authorized shares of beneficial interest may exceed the total number of authorized shares of all classes. Currently, all of our authorized shares of beneficial interest are assigned to one of the three classes set forth above.</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  Common Shares, $0.04 par value share</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Dividend Rights</w:t>
      </w:r>
    </w:p>
    <w:p>
      <w:pPr>
        <w:spacing w:after="0" w:line="110"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The holders of Common Shares are entitled to receive dividends when, if and as authorized by the Board of Trustees and declared by Vornado out of assets legally available to pay dividends, if receipt of the dividends is in compliance with the provisions in the Declaration of Trust restricting the ownership and transfer of shares of beneficial interest. However, the terms of Vornado’s issued and outstanding Preferred Shares provide that, other than in compliance with requirements of an employee incentive or benefit plan or as permitted under Article IV of the Declaration of Trust, Vornado may only pay dividends or other distributions on Common Shares or purchase Common Shares if full cumulative dividends have, for all past dividend periods and the then-current dividend period, been paid or set apart for payment on all outstanding Preferred Shares. The terms of the Preferred Shares that are now issued and outstanding do not provide for any mandatory sinking fund in connection with the payment of dividends on Preferred Shares.</w:t>
      </w:r>
    </w:p>
    <w:p>
      <w:pPr>
        <w:spacing w:after="0" w:line="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110"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Subject to the provisions of the Declaration of Trust regarding the restrictions on ownership and transfer of Common Shares, the holders of Common Shares are entitled to one vote for each share on all matters on which shareholders are entitled to vote, including elections of Trustees. There is no cumulative voting in the election of Trustees, which means that the holders of a majority of the outstanding Common Shares may elect all of the Trustees then standing for election. The holders of Common Shares do not have any conversion, redemption or preemptive rights to subscribe to any securities of Vornado.</w:t>
      </w:r>
    </w:p>
    <w:p>
      <w:pPr>
        <w:spacing w:after="0" w:line="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Listing of Common Shares</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Common Shares are listed on the New York Stock Exchange under the symbol “VNO”.</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Rights Upon Liquidation</w:t>
      </w:r>
    </w:p>
    <w:p>
      <w:pPr>
        <w:spacing w:after="0" w:line="110"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If Vornado is dissolved, liquidated or wound up, holders of Common Shares are entitled to share proportionally in any assets available for distribution after the prior rights of creditors, including holders of Vornado’s indebtedness, and the aggregate liquidation preference of any Preferred Shares then outstanding are satisfied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682"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Restrictions on Ownership of Common Shares</w:t>
      </w:r>
    </w:p>
    <w:p>
      <w:pPr>
        <w:spacing w:after="0" w:line="93"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The Common Shares Beneficial Ownership Limit. </w:t>
      </w:r>
      <w:r>
        <w:rPr>
          <w:rFonts w:ascii="Times New Roman" w:cs="Times New Roman" w:eastAsia="Times New Roman" w:hAnsi="Times New Roman"/>
          <w:sz w:val="17"/>
          <w:szCs w:val="17"/>
          <w:color w:val="auto"/>
        </w:rPr>
        <w:t>For Vornado to maintain its qualification as a REIT under the Internal Revenue Code of 1986,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amended (the "Code"), not more than 50% of the value of its outstanding shares of beneficial interest may be owned, directly or indirectly, by five or fewer individuals at any time during the last half of a taxable year and the shares of beneficial interest must be beneficially owned by 100 or more persons during at least 335 days of a taxable year of 12 months, or during a proportionate part of a shorter taxable year. The Code defines “individuals” to include some entities for purposes of the preceding sentence. All references to a shareholder’s ownership of Common Shares in this section “ — The Common Shares Beneficial Ownership Limit” assume application of the applicable attribution rules of the Code under which, for example, a shareholder is deemed to own shares owned by his or her spouse.</w:t>
      </w:r>
    </w:p>
    <w:p>
      <w:pPr>
        <w:spacing w:after="0" w:line="57"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The Declaration of Trust contains a number of provisions that restrict the ownership and transfer of shares and are designed to safeguard Vornado against loss of its REIT status. These provisions may also have the effect of deterring non-negotiated acquisitions of, and proxy fights for, us by third parties. The Declaration of Trust contains a limitation that restricts, with some exceptions, shareholders from owning more than a specified percentage of the outstanding Common Shares. We call this percentage the “common shares beneficial ownership limit.” The common shares beneficial ownership limit was initially set at 2.0% of the outstanding Common Shares. Our Board of Trustees subsequently adopted a resolution raising the common shares beneficial ownership limit from 2.0% to 6.7% of the outstanding Common Shares and has the authority to grant exemptions from the common shares beneficial ownership limit. The shareholders who owned more than 6.7% of the Common Shares immediately after the merger of Vornado, Inc. into Vornado in May 1993 may continue to do so and may acquire additional Common Shares through stock option and similar plans or from other shareholders who owned more than 6.7% of the Common Shares immediately after that merger. However, Common Shares may not be transferred if, as a result, more than 50% in value of the outstanding shares of Vornado would be owned by five or fewer individuals. While the shareholders who owned more than 6.7% of the Common Shares immediately after the merger of Vornado, Inc. into Vornado in May 1993 are not generally permitted to acquire additional Common Shares from any other source, these shareholders may acquire additional Common Shares from any source if Vornado issues additional Common Shares, up to the percentage held by them immediately before Vornado issues the additional shares.</w:t>
      </w:r>
    </w:p>
    <w:p>
      <w:pPr>
        <w:spacing w:after="0" w:line="275"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color w:val="auto"/>
        </w:rPr>
        <w:t>Shareholders should be aware that events other than a purchase or other transfer of Common Shares may result in ownership, under the applicable attribution rules of the Code, of Common Shares in excess of the common shares beneficial ownership limit. For instance, if two shareholders, each of whom owns 3.5% of the outstanding Common Shares, were to marry, then after their marriage both shareholders would be deemed to own 7.0% of the outstanding Common Shares, which is in excess of the common shares beneficial ownership limit. Similarly, if a shareholder who owns 4.9% of the outstanding Common Shares were to acquire a 50% interest in a corporation which owns 4.8% of the outstanding Common Shares, then the shareholder would be deemed to own 7.3% of the outstanding Common Shares. You should consult your own tax advisors concerning the application of the attribution rules of the Code in your particular circumstances.</w:t>
      </w:r>
    </w:p>
    <w:p>
      <w:pPr>
        <w:spacing w:after="0" w:line="251"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The Constructive Ownership Limit</w:t>
      </w:r>
      <w:r>
        <w:rPr>
          <w:rFonts w:ascii="Times New Roman" w:cs="Times New Roman" w:eastAsia="Times New Roman" w:hAnsi="Times New Roman"/>
          <w:sz w:val="17"/>
          <w:szCs w:val="17"/>
          <w:color w:val="auto"/>
        </w:rPr>
        <w:t>. Under the Code, rental income received by a REIT from persons in which the REIT is treated, under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applicable attribution rules of the Code, as owning a 10% or greater interest does not constitute qualifying income for purposes of the income requirements that REITs must satisfy. For these purposes, a REIT is treated as owning any stock owned, under the applicable attribution rules of the Code, by a person that owns 10% or more of the value of the outstanding shares of the REIT. The attribution rules of the Code applicable for these purposes are different from those applicable with respect to the common shares beneficial ownership limit. All references to a shareholder’s ownership of Common Shares in this section “— The Constructive Ownership Limit” assume application of the applicable attribution rules of the Code.</w:t>
      </w:r>
    </w:p>
    <w:p>
      <w:pPr>
        <w:spacing w:after="0" w:line="53"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In order to ensure that rental income of Vornado will not be treated as nonqualifying income under the rule described in the preceding paragraph, and thus to ensure that Vornado will not lose its REIT status as a result of the ownership of shares by a tenant, or a person that holds an interest in a tenant, the Declaration of Trust contains an ownership limit that restricts, with some exceptions, shareholders from owning more than 9.9% of the outstanding shares of any class. We refer to this 9.9% ownership limit as the “constructive ownership limit.” The shareholders who owned shares in excess of the constructive ownership limit immediately after the merger of Vornado, Inc. into Vornado in May 1993 generally are not subject to the constructive ownership limit. The Declaration of Trust also contains restrictions that are designed to ensure that the shareholders who owned shares in excess of the constructive ownership limit immediately after the merger of Vornado, Inc. into Vornado in May 1993 will not, in the aggregate, own a large enough interest in a tenant or subtenant of the REIT to cause rental income received, directly or indirectly, by the REIT from that tenant or subtenant to be treated as nonqualifying income for purposes of the income requirements that REITs must satisfy. The restrictions described in the preceding sentence have an exception for tenants and subtenants from whom the REIT receives, directly or indirectly, rental income that is not in excess of a specified threshold.</w:t>
      </w:r>
    </w:p>
    <w:p>
      <w:pPr>
        <w:spacing w:after="0" w:line="62"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color w:val="auto"/>
        </w:rPr>
        <w:t>Shareholders should be aware that events other than a purchase or other transfer of shares may result in ownership, under the applicable attribution rules of the Code, of shares in excess of the constructive ownership limit. As the attribution rules that apply with respect to the constructive ownership limit differ from those that apply with respect to the common shares beneficial ownership limit, the events other than a purchase or other transfer of shares which may result in share ownership in excess of the constructive ownership limit may differ from those which may result in share ownership in excess of the common shares beneficial ownership limit. You should consult your own tax advisors concerning the application of the attribution rules of the Code in your particular circumstances.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680" w:right="339" w:bottom="1440" w:gutter="0" w:footer="0" w:header="0"/>
        </w:sectPr>
      </w:pPr>
    </w:p>
    <w:bookmarkStart w:id="133" w:name="page134"/>
    <w:bookmarkEnd w:id="133"/>
    <w:p>
      <w:pPr>
        <w:jc w:val="both"/>
        <w:ind w:firstLine="62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DREIT Ownership Limit</w:t>
      </w:r>
      <w:r>
        <w:rPr>
          <w:rFonts w:ascii="Times New Roman" w:cs="Times New Roman" w:eastAsia="Times New Roman" w:hAnsi="Times New Roman"/>
          <w:sz w:val="17"/>
          <w:szCs w:val="17"/>
          <w:color w:val="auto"/>
        </w:rPr>
        <w:t>. Under the Code, a domestically controlled qualified investment entity includes a REIT in which, at all times during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relevant testing period, less than 50% in value of the REIT’s stock was held directly or indirectly by foreign persons, as such term is used in the provision of the Code defining a domestically controlled qualified investment entity. Our qualification as a domestically controlled qualified investment entity (which, in our case, would mean that we would be a domestically controlled REIT) would mean that foreign investors that enter into joint venture structures with us that utilize subsidiary REITs may be able to treat our interest in such subsidiary REITs as being held entirely by U.S. persons for purposes of determining whether the subsidiary REIT is itself a domestically controlled qualified investment entity (and, therefore, a domestically controlled REIT), thereby enabling such foreign investors to avail themselves of certain tax benefits under the Foreign Investment in Real Property Tax Act of 1980 that may not otherwise be available.</w:t>
      </w:r>
    </w:p>
    <w:p>
      <w:pPr>
        <w:spacing w:after="0" w:line="4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The Declaration of Trust contains provisions that restrict the ownership and transfer of shares and are designed to assist us prospectively in qualifying as a domestically controlled qualified investment entity. Specifically, if any transfer or non-transfer event involving our capital shares would result in Vornado failing to qualify as a domestically controlled qualified investment entity, the purported transferee or affected holder will be a “prohibited owner” and would not acquire any right or interest in those shares.</w:t>
      </w:r>
    </w:p>
    <w:p>
      <w:pPr>
        <w:spacing w:after="0" w:line="46"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Issuance of Excess Shares If the Ownership Limits Are Violated. </w:t>
      </w:r>
      <w:r>
        <w:rPr>
          <w:rFonts w:ascii="Times New Roman" w:cs="Times New Roman" w:eastAsia="Times New Roman" w:hAnsi="Times New Roman"/>
          <w:sz w:val="17"/>
          <w:szCs w:val="17"/>
          <w:color w:val="auto"/>
        </w:rPr>
        <w:t>The Declaration of Trust provides that a transfer of Common Shares that would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otherwise result in ownership, under the applicable attribution rules of the Code, of Common Shares in excess of the common shares beneficial ownership limit or the constructive ownership limit, or which would cause the shares of beneficial interest of Vornado to be beneficially owned by fewer than 100 persons, will be void and the purported transferee will acquire no rights or economic interest in the Common Shares. In addition, the Declaration of Trust provides that Common Shares that would otherwise be owned, under the applicable attribution rules of the Code, in excess of the common shares beneficial ownership limit or the constructive ownership limit will be automatically exchanged for excess shares. The Declaration of Trust further provides that, if there is a purported transfer or any other event that would, if effective, result in Vornado failing to qualify as a domestically controlled qualified investment entity, then the smallest number of Common Shares owned or purported to be owned, directly or indirectly within the meaning of Section 897(h)(4)(B) of the Code, by the purported transferee or affected holder which, if exchanged for excess shares, would not cause Vornado to fail to qualify as a domestically controlled qualified investment entity shall be automatically exchanged for an equal number of excess shares. These excess shares will be transferred, by operation of law, to Vornado as trustee of a trust for the exclusive benefit of a beneficiary designated by the purported transferee or purported holder. While so held in trust, excess shares are not entitled to vote and are not entitled to participate in any dividends or distributions made by Vornado. Any dividends or distributions received by the purported transferee or other purported holder of the excess shares before Vornado discovers the automatic exchange for excess shares must be repaid to Vornado upon demand.</w:t>
      </w:r>
    </w:p>
    <w:p>
      <w:pPr>
        <w:spacing w:after="0" w:line="277"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If the purported transferee or purported holder elects to designate a beneficiary of an interest in the trust with respect to the excess shares, he or she may designate only a person whose ownership of the shares will not violate the common shares beneficial ownership limit or the constructive ownership limit. When the designation is made, the excess shares will be automatically exchanged for Common Shares. The Declaration of Trust contains provisions designed to ensure that the purported transferee or other purported holder of the excess shares may not receive, in return for transferring an interest in the trust with respect to the excess shares, an amount that reflects any appreciation in the Common Shares for which the excess shares were exchanged during the period that the excess shares were outstanding but will bear the burden of any decline in value during that period. Any amount received by a purported transferee or other purported holder for designating a beneficiary in excess of the amount permitted to be received must be turned over to Vornado. The Declaration of Trust provides that Vornado, or its designee, may purchase any excess shares that have been automatically exchanged for Common Shares as a result of a purported transfer or other event. The price at which Vornado, or its designee, may purchase the excess shares will be equal to the lesser of:</w:t>
      </w:r>
    </w:p>
    <w:p>
      <w:pPr>
        <w:spacing w:after="0" w:line="44" w:lineRule="exact"/>
        <w:rPr>
          <w:sz w:val="20"/>
          <w:szCs w:val="20"/>
          <w:color w:val="auto"/>
        </w:rPr>
      </w:pPr>
    </w:p>
    <w:p>
      <w:pPr>
        <w:jc w:val="both"/>
        <w:ind w:left="940" w:hanging="306"/>
        <w:spacing w:after="0" w:line="276" w:lineRule="auto"/>
        <w:tabs>
          <w:tab w:leader="none" w:pos="93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excess shares resulting from a purported transfer for value, the price per share in the purported transfer that resulted in the automatic exchange for excess shares, or in the case of excess shares resulting from some other event, the market price of the Common Shares exchanged on the date of the automatic exchange for excess shares; and</w:t>
      </w:r>
    </w:p>
    <w:p>
      <w:pPr>
        <w:spacing w:after="0" w:line="45"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the Common Shares exchanged for the excess shares on the date that Vornado accepts the deemed offer to sell the excess shares.</w:t>
      </w:r>
    </w:p>
    <w:p>
      <w:pPr>
        <w:spacing w:after="0" w:line="106"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Vornado’s right to buy the excess shares will exist for 90 days, beginning on the date that the automatic exchange for excess shares occurred or, if Vornado did not receive a notice concerning the purported transfer that resulted in the automatic exchange for excess shares, the date on which the Board of Trustees determines in good faith that an exchange for excess shares has occurred.</w:t>
      </w:r>
    </w:p>
    <w:p>
      <w:pPr>
        <w:spacing w:after="0" w:line="29"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Provisions Concerning the Restrictions on Ownership. </w:t>
      </w:r>
      <w:r>
        <w:rPr>
          <w:rFonts w:ascii="Times New Roman" w:cs="Times New Roman" w:eastAsia="Times New Roman" w:hAnsi="Times New Roman"/>
          <w:sz w:val="17"/>
          <w:szCs w:val="17"/>
          <w:color w:val="auto"/>
        </w:rPr>
        <w:t>Our Board of Trustees may exempt persons from the common shares beneficial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ownership limit or the constructive ownership limit, including the limitations applicable to holders who owned in excess of 6.7% of the Common Shares immediately after the merger of Vornado, Inc. into Vornado in May 1993, if evidence satisfactory to the Board of Trustees is presented showing that the exemption will not jeopardize Vornado’s status as a REIT under the Code. No exemption to a person that is an individual for purposes of Section 542(a)(2) of the Code, however, may permit the individual to have beneficial ownership in excess of 9.9% of the outstanding shares of the class. Before granting an exemption of this kind, the Board of Trustees is required to obtain a ruling from the IRS or an opinion of counsel satisfactory to it and representations and undertakings, including representations, from the applicant, that demonstrate, to the reasonable satisfaction of the Board of Trustees, that such ownership would not jeopardize the REIT status of Vornado.</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680" w:right="339" w:bottom="1440" w:gutter="0" w:footer="0" w:header="0"/>
        </w:sectPr>
      </w:pPr>
    </w:p>
    <w:bookmarkStart w:id="134" w:name="page135"/>
    <w:bookmarkEnd w:id="134"/>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foregoing restrictions on transfer and ownership will not apply if the Board of Trustees determines that it is no longer in the best interests of Vornado to attempt to qualify, or to continue to qualify, as a REIT.</w:t>
      </w:r>
    </w:p>
    <w:p>
      <w:pPr>
        <w:spacing w:after="0" w:line="16"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All persons who own, directly or by virtue of the applicable attribution rules of the Code, more than 2.0% of the outstanding Common Shares must give a written notice to Vornado containing the information specified in the Declaration of Trust by January 31 of each year. In addition, each shareholder will be required to disclose to Vornado upon demand any information that Vornado may request, in good faith, to determine Vornado’s status as a REIT or to comply with Treasury regulations promulgated under the REIT provisions of the Code.</w:t>
      </w:r>
    </w:p>
    <w:p>
      <w:pPr>
        <w:spacing w:after="0" w:line="50"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ownership restrictions described above may have the effect of precluding acquisition of control of Vornado unless the Vornado Board determines that maintenance of REIT status is no longer in the best interests of Vornado.</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  Preferred Shares of beneficial interest, no par value</w:t>
      </w:r>
    </w:p>
    <w:p>
      <w:pPr>
        <w:spacing w:after="0" w:line="95"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Declaration of Trust authorizes the issuance of 110,000,000 preferred shares. Of the 110,000,000 authorized preferred shares, as of December 31, 2024, the Declaration of Trust authorizes Vornado to issue:</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9,180 as $3.25 Series A Convertible Preferred Shares (the “Series A Convertible Preferred Shares”);</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3,200,000 as Series D-10 7.00% Cumulative Redeemable Preferred Shares;</w:t>
      </w:r>
    </w:p>
    <w:p>
      <w:pPr>
        <w:spacing w:after="0" w:line="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1,400,000 as Series D-11 7.20% Cumulative Redeemable Preferred Shares;</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800,000 as Series D-12 6.55% Cumulative Redeemable Preferred Shares;</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4,000,000 as Series D-14 6.75% Cumulative Redeemable Preferred Shares;</w:t>
      </w:r>
    </w:p>
    <w:p>
      <w:pPr>
        <w:spacing w:after="0" w:line="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1,800,000 as Series D-15 6.875% Cumulative Redeemable Preferred Shares;</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13,800,000 as 5.40% Series L Cumulative Redeemable Preferred Shares (the “Series L Preferred Shares”);</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13,800,000 as 5.25% Series M Cumulative Redeemable Preferred Shares (the “Series M Preferred Shares”);</w:t>
      </w:r>
    </w:p>
    <w:p>
      <w:pPr>
        <w:spacing w:after="0" w:line="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12,000,000 as 5.25% Series N Cumulative Redeemable Preferred Shares (the “Series N Preferred Shares”); and</w:t>
      </w:r>
    </w:p>
    <w:p>
      <w:pPr>
        <w:spacing w:after="0" w:line="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12,000,000 as 4.45% Series O Cumulative Redeemable Preferred Shares (the “Series O Preferred Shares”).</w:t>
      </w:r>
    </w:p>
    <w:p>
      <w:pPr>
        <w:spacing w:after="0" w:line="119"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color w:val="auto"/>
        </w:rPr>
        <w:t>As of December 31, 2024, 9,180 of $3.25 Series A Convertible Preferred Shares, 12,000,000 of 5.40% Series L Preferred Shares, 12,780,000 of 5.25% Series M Preferred Shares, 12,000,000 of 5.25% Series N Preferred Shares, 12,000,000 of 4.45% Series O Preferred Shares and no other series of preferred shares, were issued and outstanding. Series D-10 7.00% Cumulative Redeemable Preferred Shares, Series D-11 7.20% Cumulative Redeemable Preferred Shares, Series D-12 6.55% Cumulative Redeemable Preferred Shares, Series D-14 6.75% Cumulative Redeemable Preferred Shares or Series D-15 6.875% Cumulative Redeemable Preferred Shares may be issued upon the redemption of preferred units of limited partnership interest of Vornado Realty L.P. of a corresponding series.</w:t>
      </w:r>
    </w:p>
    <w:p>
      <w:pPr>
        <w:spacing w:after="0" w:line="253"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Item 601(b)(4)(vi) of Regulation S-K requires a description of each class of equity securities registered under Section 12 of the Securities Exchange Act of 1934, as amended, or the Exchange Act. Accordingly, the only series of preferred shares described below are the Series A Convertible Preferred Shares and the Series L, M, N and O Preferred Shares.</w:t>
      </w:r>
    </w:p>
    <w:p>
      <w:pPr>
        <w:spacing w:after="0" w:line="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Dividend Rights</w:t>
      </w:r>
    </w:p>
    <w:p>
      <w:pPr>
        <w:spacing w:after="0" w:line="110"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Dividends on the Series A Convertible Preferred Shares are cumulative from the date of original issue of this series and payable quarterly in arrears on January 1, April 1, July 1 and October 1 of each year, commencing on July 1, 1997, at the rate of $3.25 per Series A Convertible Preferred Share per annum.</w:t>
      </w:r>
    </w:p>
    <w:p>
      <w:pPr>
        <w:spacing w:after="0" w:line="29"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Dividends on the Series L Preferred Shares are cumulative from the date of original issue of this series and payable quarterly in arrears on January 1, April 1, July 1 and October 1 of each year, commencing April 1, 2013, at the rate of 5.40% of the liquidation preference per annum, or $1.35 per Series L Preferred Share per annum.</w:t>
      </w:r>
    </w:p>
    <w:p>
      <w:pPr>
        <w:spacing w:after="0" w:line="33"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Dividends on the Series M Preferred Shares are cumulative from the date of original issue of this series and payable quarterly in arrears on January 1, April 1, July 1 and October 1 of each year, commencing on April 1, 2018, at the rate of 5.25% of the liquidation preference per annum, or $1.3125 per Series M Preferred Share per annum.</w:t>
      </w:r>
    </w:p>
    <w:p>
      <w:pPr>
        <w:spacing w:after="0" w:line="46"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Dividends on the Series N Preferred Shares are cumulative from the date of original issue of this series and payable quarterly in arrears on January 1, April 1, July 1 and October 1 of each year, commencing on January 1, 2021, at the rate of 5.25% of the liquidation preference per annum, or $1.3125 per Series N Preferred Share per annum.</w:t>
      </w:r>
    </w:p>
    <w:p>
      <w:pPr>
        <w:spacing w:after="0" w:line="46"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Dividends on the Series O Preferred Shares are cumulative from the date of original issue of this series and payable quarterly in arrears on January 1, April 1, July 1 and October 1 of each year, commencing on January 1, 2022, at the rate of 4.45% of the liquidation preference per annum, or $1.1125 per Series O Preferred Share per annum.</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684" w:right="339" w:bottom="1440" w:gutter="0" w:footer="0" w:header="0"/>
        </w:sectPr>
      </w:pPr>
    </w:p>
    <w:bookmarkStart w:id="135" w:name="page136"/>
    <w:bookmarkEnd w:id="135"/>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Redemption at Option of Vornado</w:t>
      </w:r>
    </w:p>
    <w:p>
      <w:pPr>
        <w:spacing w:after="0" w:line="97"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The Series A Convertible Preferred Shares are currently redeemable by the Company, in whole or in part, at the option of the Company, for such number of Common Shares as are issuable at the initial conversion rate of 0.68728 Common Share for each Series A Convertible Preferred Share, subject to adjustment in certain circumstances. The conversion rate as of December 31, 2024 is 1.9531 Common Share for each Series A Convertible Preferred Share. The Company may exercise this option only if for 20 trading days within any period of 30 consecutive trading days, including the last trading day of such period, the closing price of the Common Shares on the New York Stock Exchange ("NYSE") exceeds $87.30 per share, subject to adjustment in certain circumstances. In order to exercise its redemption option, the Company must issue a press release announcing the redemption prior to the opening of business on the second trading day after the conditions described in the preceding sentences have, from time to time, been met. The Series A Convertible Preferred Shares are not redeemable for cash.</w:t>
      </w:r>
    </w:p>
    <w:p>
      <w:pPr>
        <w:spacing w:after="0" w:line="269"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We may redeem the Series L Preferred Shares in whole at any time or in part from time to time at a redemption price of $25.00 per share, plus any accrued and unpaid dividends through the date of redemption. The Series L Preferred Shares have no maturity date and will remain outstanding indefinitely unless redeemed. We are not required to set aside funds to redeem the Series L Preferred Shares.</w:t>
      </w:r>
    </w:p>
    <w:p>
      <w:pPr>
        <w:spacing w:after="0" w:line="46"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We may redeem the Series M Preferred Shares in whole at any time or in part from time to time at a redemption price of $25.00 per share, plus any accrued and unpaid dividends through the date of redemption. The Series M Preferred Shares have no maturity date and will remain outstanding indefinitely unless redeemed. We are not required to set aside funds to redeem the Series M Preferred Shares.</w:t>
      </w:r>
    </w:p>
    <w:p>
      <w:pPr>
        <w:spacing w:after="0" w:line="33"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Except in instances relating to preservation of our status as a real estate investment trust, the Series N Preferred Shares are not redeemable until November 24, 2025. On and after November 24, 2025, we may redeem the Series N Preferred Shares in whole at any time or in part from time to time at a redemption price of $25.00 per share, plus any accrued and unpaid dividends through the date of redemption. The Series N Preferred Shares have no maturity date and will remain outstanding indefinitely unless redeemed. We are not required to set aside funds to redeem the Series N Preferred Shares.</w:t>
      </w:r>
    </w:p>
    <w:p>
      <w:pPr>
        <w:spacing w:after="0" w:line="50"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Except in instances relating to preservation of our status as a real estate investment trust, the Series O Preferred Shares are not redeemable until September 22, 2026. On and after September 22, 2026, we may redeem the Series O Preferred Shares in whole at any time or in part from time to time at a redemption price of $25.00 per share, plus any accrued and unpaid dividends through the date of redemption. The Series O Preferred Shares have no maturity date and will remain outstanding indefinitely unless redeemed. We are not required to set aside funds to redeem the Series O Preferred Shares.</w:t>
      </w:r>
    </w:p>
    <w:p>
      <w:pPr>
        <w:spacing w:after="0" w:line="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Liquidation Preference</w:t>
      </w:r>
    </w:p>
    <w:p>
      <w:pPr>
        <w:spacing w:after="0" w:line="97"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The holders of Series A Convertible Preferred Shares will be entitled to receive in the event of any liquidation, dissolution or winding up of Vornado, whether voluntary or involuntary, $50.00 per Series A Convertible Preferred Share, and the holders of Series L, M, N and O Preferred Shares will be entitled to receive in the event of any liquidation, dissolution or winding up of Vornado, whether voluntary or involuntary, $25.00 per Preferred Share (such amounts, the "Liquidation Preference") plus an amount per Preferred Share equal to all dividends (whether or not earned or declared) accrued and unpaid thereon to the date of final distribution to such holders.</w:t>
      </w:r>
    </w:p>
    <w:p>
      <w:pPr>
        <w:spacing w:after="0" w:line="52"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Until the holders of the Series A Convertible Preferred Shares and the Series L, M, N and O Preferred Shares have been paid the Liquidation Preference and all accrued and unpaid dividends in full, no payment will be made to any holder of Junior Shares upon the liquidation, dissolution or winding up of Vornado. If, upon any liquidation, dissolution or winding up of Vornado, the assets of Vornado, or proceeds thereof, distributable among the holders of the Parity Shares (as defined below under "—Ranking") are insufficient to pay in full the Liquidation Preference and all accrued and unpaid dividends and the liquidation preference and all accrued and unpaid dividends with respect to any other shares of Parity Shares, then such assets, or the proceeds thereof, will be distributed among the holders of Preferred Shares and any such Parity Shares ratably in accordance with the respective amounts which would be payable on such Preferred Shares and any such Parity Shares if all amounts payable thereon were paid in full. None of (i) a consolidation or merger of Vornado with one or more entities, (ii) a statutory share exchange by Vornado or (iii) a sale or transfer of all or substantially all of Vornado's assets will be considered a liquidation, dissolution or winding up, voluntary or involuntary, of Vornado.</w:t>
      </w:r>
    </w:p>
    <w:p>
      <w:pPr>
        <w:spacing w:after="0" w:line="57"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 term "Junior Shares" means the Common Shares, and any other class of capital stock of Vornado now or hereafter issued and outstanding that ranks junior as to the payment of dividends or amounts upon liquidation, dissolution and winding up to the Series A Convertible Preferred Shares and the Series L, M, N and O Preferred Shares.</w:t>
      </w:r>
    </w:p>
    <w:p>
      <w:pPr>
        <w:spacing w:after="0" w:line="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Ranking</w:t>
      </w:r>
    </w:p>
    <w:p>
      <w:pPr>
        <w:spacing w:after="0" w:line="110"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The Series A Convertible Preferred Shares and the Series L, M, N and O Preferred Shares rank senior to the Junior Shares, including the Common Shares, with respect to payment of dividends and amounts upon liquidation, dissolution or winding up. While any Series A Convertible Preferred Shares or any L, M, N or O Preferred Shares are outstanding, we may not authorize, create or increase the authorized amount of any class or series of beneficial interest that ranks senior to the Series A Convertible Preferred Shares or the Series L, M, N and O Preferred Shares with respect to the payment of amounts upon liquidation, dissolution or winding up without the consent of the holders of two-thirds of the outstanding Series A Convertible Preferred Shares, and the Series L, M, 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680" w:right="339" w:bottom="1440" w:gutter="0" w:footer="0" w:header="0"/>
        </w:sectPr>
      </w:pPr>
    </w:p>
    <w:bookmarkStart w:id="136" w:name="page137"/>
    <w:bookmarkEnd w:id="136"/>
    <w:p>
      <w:pPr>
        <w:jc w:val="both"/>
        <w:spacing w:after="0" w:line="267" w:lineRule="auto"/>
        <w:rPr>
          <w:sz w:val="20"/>
          <w:szCs w:val="20"/>
          <w:color w:val="auto"/>
        </w:rPr>
      </w:pPr>
      <w:r>
        <w:rPr>
          <w:rFonts w:ascii="Times New Roman" w:cs="Times New Roman" w:eastAsia="Times New Roman" w:hAnsi="Times New Roman"/>
          <w:sz w:val="17"/>
          <w:szCs w:val="17"/>
          <w:color w:val="auto"/>
        </w:rPr>
        <w:t>and O Preferred Shares and all other shares of Voting Preferred Shares (as defined under "—Voting Rights" below), voting as a single class. However, we may create additional classes of beneficial interest, increase the authorized number of Preferred Shares or issue series of Preferred Shares ranking on parity with the Series A Convertible Preferred Shares or the Series L, M, N or O Preferred Shares with respect, in each case, to the payment of dividends and amounts upon liquidation, dissolution or winding up ("Parity Shares") without the consent of any holder of Series A Convertible Preferred Shares or Series L, M, N or O Preferred Shares.</w:t>
      </w:r>
    </w:p>
    <w:p>
      <w:pPr>
        <w:spacing w:after="0" w:line="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110"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The holders of the Series A Convertible Preferred Shares and the L, M, N and O Preferred Shares will generally have no voting rights. However, if dividends on any series of the Preferred Shares upon which like voting rights have been conferred and are exercisable, (together with the Series A Convertible Preferred Shares and the L, M, N and O Preferred Shares, the “Voting Preferred Shares”) are in arrears for six quarterly dividend periods (whether or not consecutive), the holders of the Voting Preferred Shares (voting separately as a class with holders of all other series of parity preferred shares upon which like voting rights have been conferred and are exercisable) will have the right to elect two additional trustees to serve on our Board of Trustees until such dividend arrearage is eliminated.</w:t>
      </w:r>
    </w:p>
    <w:p>
      <w:pPr>
        <w:spacing w:after="0" w:line="5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The approval of two-thirds of the votes entitled to be cast by the holders of outstanding Series A Convertible Preferred Shares and all other series of Voting Preferred Shares, acting as a single class either at a meeting of shareholders or by written consent, is required in order to (i) amend, alter or repeal any of the provisions of the Declaration of Trust to materially and adversely affect the voting powers, rights or preferences of the Series A Convertible Preferred Shares and the Voting Preferred Shares; provided that any filing with the State Department of Assessments and Taxation of Maryland in connection with a merger, consolidation or sale of all or substantially all the assets of Vornado shall not be deemed to be an amendment, alteration or repeal of any provisions of the Declaration of Trust, or (ii) to authorize, create, or increase the authorized amount of, any shares of any class or series or any security convertible into shares of any class or series having rights senior to the Series A Convertible Preferred Shares with respect to the payment of dividends or amounts upon liquidation, dissolution or winding up.</w:t>
      </w:r>
    </w:p>
    <w:p>
      <w:pPr>
        <w:spacing w:after="0" w:line="256"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The approval of two-thirds of the votes entitled to be cast by the holders of outstanding Series L, M, N and O Preferred Shares and all other series of Voting Preferred Shares, acting as a single class either at a meeting of shareholders or by written consent, is required in order (i) to amend, alter or repeal any provisions of the Declaration of Trust, whether by merger, consolidation or otherwise, to affect materially and adversely the voting powers, rights or preferences of the holders of the Series L, M, N or O Preferred Shares, unless in connection with any such amendment, alteration or repeal, each such share remains outstanding without the terms thereof being materially changed in any respect adverse to the holders thereof or is converted into or exchanged for preferred stock of the surviving entity having preferences, conversion and other rights, voting powers, restrictions, limitations as to dividends, qualifications and terms and conditions of redemption thereof identical to those of the applicable Preferred Shares (except for changes that do not materially and adversely affect the holders of such shares), or (ii) to authorize, create, or increase the authorized amount of, any class or series of beneficial interest having rights senior to the Series L, M, N or O Preferred Shares with respect to the payment of dividends or amounts upon liquidation, dissolution or winding up.</w:t>
      </w:r>
    </w:p>
    <w:p>
      <w:pPr>
        <w:spacing w:after="0" w:line="57"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For all Voting Preferred Shares, if such amendment affects materially and adversely the rights, preferences, privileges or voting powers of one or more but not all of the series of Voting Preferred Shares, then only the consent of the holders of at least two-thirds of the votes entitled to be cast by the series so affected is required in lieu of the consent of the holders of two-thirds of the Voting Preferred Shares as a class.</w:t>
      </w:r>
    </w:p>
    <w:p>
      <w:pPr>
        <w:spacing w:after="0" w:line="46"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color w:val="auto"/>
        </w:rPr>
        <w:t>We may create additional classes of shares that rank junior to or on parity with the Series A Convertible Preferred Shares or the Series L, M, N and O Preferred Shares, increase the authorized number of shares of classes that rank junior to or on parity with the Series A Convertible Preferred Shares or the Series L, M, N and O Preferred Shares and issue additional shares of classes that rank junior to or on parity with the Series A Convertible Preferred Shares or the Series L, M, N and O Preferred Shares without the consent of any holder of the Series A Convertible Preferred Shares or the Series L, M, N and O Preferred Shares.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Listing of Preferred Shares</w:t>
      </w:r>
    </w:p>
    <w:p>
      <w:pPr>
        <w:spacing w:after="0" w:line="110"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As of the date of filing of this Exhibit 4.3, our Series L, M, N and O Preferred Shares are listed on the New York Stock Exchange under the symbols “VNO Pr L,” “VNO Pr M,” “VNO Pr N,” and “VNO Pr O,” respectively.</w:t>
      </w:r>
    </w:p>
    <w:p>
      <w:pPr>
        <w:spacing w:after="0" w:line="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Conversion Rights</w:t>
      </w:r>
    </w:p>
    <w:p>
      <w:pPr>
        <w:spacing w:after="0" w:line="97"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 Series A Convertible A Preferred Shares are convertible, in whole or in part, at the option of the holder at any time, unless previously redeemed, into Common Shares, at an initial conversion price of $72.75 of Liquidation Preference per Common Share, subject to adjustment in certain circumstances. As of December 31, 2024, the conversion price is $1.9531 per Common Share.</w:t>
      </w:r>
    </w:p>
    <w:p>
      <w:pPr>
        <w:spacing w:after="0" w:line="46" w:lineRule="exact"/>
        <w:rPr>
          <w:sz w:val="20"/>
          <w:szCs w:val="20"/>
          <w:color w:val="auto"/>
        </w:rPr>
      </w:pPr>
    </w:p>
    <w:p>
      <w:pPr>
        <w:ind w:left="400" w:right="1400" w:firstLine="236"/>
        <w:spacing w:after="0" w:line="361" w:lineRule="auto"/>
        <w:rPr>
          <w:sz w:val="20"/>
          <w:szCs w:val="20"/>
          <w:color w:val="auto"/>
        </w:rPr>
      </w:pPr>
      <w:r>
        <w:rPr>
          <w:rFonts w:ascii="Times New Roman" w:cs="Times New Roman" w:eastAsia="Times New Roman" w:hAnsi="Times New Roman"/>
          <w:sz w:val="17"/>
          <w:szCs w:val="17"/>
          <w:color w:val="auto"/>
        </w:rPr>
        <w:t xml:space="preserve">The Series L, M, N and O Preferred Shares are not convertible into or exchangeable for any other property or securities of Vornado. </w:t>
      </w:r>
      <w:r>
        <w:rPr>
          <w:rFonts w:ascii="Times New Roman" w:cs="Times New Roman" w:eastAsia="Times New Roman" w:hAnsi="Times New Roman"/>
          <w:sz w:val="17"/>
          <w:szCs w:val="17"/>
          <w:b w:val="1"/>
          <w:bCs w:val="1"/>
          <w:i w:val="1"/>
          <w:iCs w:val="1"/>
          <w:color w:val="auto"/>
        </w:rPr>
        <w:t>Restrictions on Ownership of Preferred Shares</w:t>
      </w:r>
    </w:p>
    <w:p>
      <w:pPr>
        <w:spacing w:after="0" w:line="1"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As noted above, for us to maintain our qualification as a REIT under the Code, not more than 50% in value of our outstanding shares of beneficial interest may be owned, beneficially or constructively, by five or fewer individuals (as defined in the Code to include certain entities) at any time during the last half of a taxable year, and the shares of beneficial interest must be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684" w:right="339" w:bottom="1440" w:gutter="0" w:footer="0" w:header="0"/>
        </w:sectPr>
      </w:pPr>
    </w:p>
    <w:bookmarkStart w:id="137" w:name="page138"/>
    <w:bookmarkEnd w:id="137"/>
    <w:p>
      <w:pPr>
        <w:jc w:val="both"/>
        <w:spacing w:after="0" w:line="276" w:lineRule="auto"/>
        <w:rPr>
          <w:sz w:val="20"/>
          <w:szCs w:val="20"/>
          <w:color w:val="auto"/>
        </w:rPr>
      </w:pPr>
      <w:r>
        <w:rPr>
          <w:rFonts w:ascii="Times New Roman" w:cs="Times New Roman" w:eastAsia="Times New Roman" w:hAnsi="Times New Roman"/>
          <w:sz w:val="17"/>
          <w:szCs w:val="17"/>
          <w:color w:val="auto"/>
        </w:rPr>
        <w:t>beneficially owned by 100 or more persons during at least 335 days of a taxable year of 12 months (or during a proportionate part of a shorter taxable year). For this and other reasons, the Declaration of Trust and the Articles Supplementary for each series of Preferred Shares contain provisions that restrict the ownership and transfer of shares of beneficial interest.</w:t>
      </w:r>
    </w:p>
    <w:p>
      <w:pPr>
        <w:spacing w:after="0" w:line="33"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Our Declaration of Trust contains a Preferred Share ownership limit that restricts shareholders from owning, under the applicable attribution rules of the Code, more than 9.9% of the outstanding Preferred Shares of any class or series and a Common Share ownership limit that generally restricts shareholders from owning, under the applicable attribution rules of the Code, more than 6.7% of the Outstanding Common Shares. In addition, our Declaration of Trust contains provisions that limit ownership under the applicable attribution rules of the Code of our Preferred Shares and our Common Shares to the extent that such ownership of such shares would cause us to fail to qualify as a “domestically controlled qualified investment entity” within the meaning of Section 897(h)</w:t>
      </w:r>
    </w:p>
    <w:p>
      <w:pPr>
        <w:spacing w:after="0" w:line="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(4)(B) of the Code. Shares owned in excess of any of these limits will be automatically exchanged for excess shares pursuant to our Declaration of Trust. Excess shares will be held in trust by us and, while held in trust, will not be entitled to vote or participate in dividends or distributions made by us.</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(c) Certain Provisions of Maryland Law and of our Declaration of Trust and our bylaws</w:t>
      </w:r>
    </w:p>
    <w:p>
      <w:pPr>
        <w:spacing w:after="0" w:line="108"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following description of certain provisions of Maryland law and of our Declaration of Trust and bylaws is only a summary. For a complete description, we refer you to Maryland law, our Declaration of Trust and our bylaws.</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Board of Trustees</w:t>
      </w:r>
    </w:p>
    <w:p>
      <w:pPr>
        <w:spacing w:after="0" w:line="110"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color w:val="auto"/>
        </w:rPr>
        <w:t>Our Declaration of Trust provides that the number of trustees of the Company will not be more than fifteen and may be increased or decreased by a vote of the trustees then in office. Our bylaws provide that any vacancy on the Board may be filled only by a majority of the remaining trustees, even if the remaining trustees do not constitute a quorum. Any trustee elected to fill a vacancy will hold office for the remainder of the full term of the class of trustees in which the vacancy occurred and until a successor is duly elected and qualifies. Pursuant to our Declaration of Trust and bylaws, each member of our Board of Trustees is elected by our shareholders to serve until the next annual meeting of shareholders and until his or her successor is duly elected and qualifies. Holders of Common Shares have no right to cumulative voting in the election of trustees and trustees will be elected by a plurality of the votes cast in the election of trustees.</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Removal of Trustees</w:t>
      </w:r>
    </w:p>
    <w:p>
      <w:pPr>
        <w:spacing w:after="0" w:line="97"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Our Declaration of Trust provides that a trustee may be removed only for cause and only by the affirmative vote of at least two-thirds of the votes entitled to be cast in the election of trustees. This provision, when coupled with the provision in our bylaws authorizing the Board of Trustees to fill vacant trusteeships, precludes shareholders from removing incumbent trustees except for cause and by a substantial affirmative vote and thereafter filling the vacancies created by the removal with their own nominees.</w:t>
      </w:r>
    </w:p>
    <w:p>
      <w:pPr>
        <w:spacing w:after="0" w:line="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110"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Under Maryland law, "business combinations" between a Maryland real estate investment trust and an interested shareholder or an affiliate of an interested shareholder are prohibited for five years after the most recent date on which the interested shareholder becomes an interested shareholder. These business combinations include a merger, consolidation, share exchange, or, in circumstances specified in the statute, an asset transfer or issuance or reclassification of equity securities. An interested shareholder is defined as:</w:t>
      </w:r>
    </w:p>
    <w:p>
      <w:pPr>
        <w:spacing w:after="0" w:line="37" w:lineRule="exact"/>
        <w:rPr>
          <w:sz w:val="20"/>
          <w:szCs w:val="20"/>
          <w:color w:val="auto"/>
        </w:rPr>
      </w:pPr>
    </w:p>
    <w:p>
      <w:pPr>
        <w:ind w:left="940" w:hanging="306"/>
        <w:spacing w:after="0"/>
        <w:tabs>
          <w:tab w:leader="none" w:pos="9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beneficially owns, directly or indirectly, ten percent or more of the voting power of the trust's outstanding shares; or</w:t>
      </w:r>
    </w:p>
    <w:p>
      <w:pPr>
        <w:spacing w:after="0" w:line="105" w:lineRule="exact"/>
        <w:rPr>
          <w:rFonts w:ascii="Times New Roman" w:cs="Times New Roman" w:eastAsia="Times New Roman" w:hAnsi="Times New Roman"/>
          <w:sz w:val="17"/>
          <w:szCs w:val="17"/>
          <w:color w:val="auto"/>
        </w:rPr>
      </w:pPr>
    </w:p>
    <w:p>
      <w:pPr>
        <w:ind w:left="940" w:hanging="306"/>
        <w:spacing w:after="0" w:line="296" w:lineRule="auto"/>
        <w:tabs>
          <w:tab w:leader="none" w:pos="936"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affiliate or associate of the trust who, at any time within the two-year period prior to the date in question, was the beneficial owner, directly or indirectly, of ten percent or more of the voting power of the then-outstanding voting shares of the trust.</w:t>
      </w:r>
    </w:p>
    <w:p>
      <w:pPr>
        <w:spacing w:after="0" w:line="29"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A person is not an interested shareholder under the statute if the Board of Trustees approved in advance the transaction by which the interested shareholder otherwise would have become an interested shareholder. However, in approving a transaction, the Board of Trustees may provide that its approval is subject to compliance, at or after the time of approval, with any terms and conditions determined by the Board.</w:t>
      </w:r>
    </w:p>
    <w:p>
      <w:pPr>
        <w:spacing w:after="0" w:line="33"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After the five-year prohibition, any business combination between the Maryland trust and an interested shareholder generally must be recommended by the Board of Trustees of the trust and approved by the affirmative vote of at least:</w:t>
      </w:r>
    </w:p>
    <w:p>
      <w:pPr>
        <w:spacing w:after="0" w:line="29" w:lineRule="exact"/>
        <w:rPr>
          <w:sz w:val="20"/>
          <w:szCs w:val="20"/>
          <w:color w:val="auto"/>
        </w:rPr>
      </w:pPr>
    </w:p>
    <w:p>
      <w:pPr>
        <w:ind w:left="940" w:hanging="306"/>
        <w:spacing w:after="0"/>
        <w:tabs>
          <w:tab w:leader="none" w:pos="9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 of the votes entitled to be cast by holders of outstanding shares of the trust; and</w:t>
      </w:r>
    </w:p>
    <w:p>
      <w:pPr>
        <w:spacing w:after="0" w:line="105" w:lineRule="exact"/>
        <w:rPr>
          <w:rFonts w:ascii="Times New Roman" w:cs="Times New Roman" w:eastAsia="Times New Roman" w:hAnsi="Times New Roman"/>
          <w:sz w:val="17"/>
          <w:szCs w:val="17"/>
          <w:color w:val="auto"/>
        </w:rPr>
      </w:pPr>
    </w:p>
    <w:p>
      <w:pPr>
        <w:ind w:left="940" w:hanging="306"/>
        <w:spacing w:after="0" w:line="296" w:lineRule="auto"/>
        <w:tabs>
          <w:tab w:leader="none" w:pos="936"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two-thirds of the votes entitled to be cast by holders of voting shares of the trust other than voting shares held by the interested shareholder with whom or with whose affiliate the business combination is to be effected or held by an affiliate or associate of the interested shareholder.</w:t>
      </w:r>
    </w:p>
    <w:p>
      <w:pPr>
        <w:spacing w:after="0" w:line="16"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These super-majority vote requirements do not apply if the holders of the trust's Common Shares receive a minimum price, as defined under Maryland law, for their shares in the form of cash or other consideration in the same form as previously paid by the interested shareholder for its shares.</w:t>
      </w:r>
    </w:p>
    <w:p>
      <w:pPr>
        <w:spacing w:after="0" w:line="29"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The statute permits various exemptions from its provisions, including business combinations that are exempted by the Board of Trustees before the time that the interested shareholder becomes an interested shareholder.</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684" w:right="339" w:bottom="1440" w:gutter="0" w:footer="0" w:header="0"/>
        </w:sectPr>
      </w:pPr>
    </w:p>
    <w:bookmarkStart w:id="138" w:name="page139"/>
    <w:bookmarkEnd w:id="138"/>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Our Board of Trustees has adopted a resolution exempting any business combination between any trustee or officer of Vornado, or their affiliates, and Vornado. Consequently, the five-year prohibition and the super-majority vote requirements will not apply to business combinations between us and any of them. As a result, the trustees and officers of Vornado and their affiliates may be able to enter into business combinations with us without compliance with the super-majority vote requirements and the other provisions of the statute. With respect to business combinations with other persons, the business combination provisions of Maryland law may have the effect of delaying, deferring or preventing a change in control of Vornado or other transaction that might involve a premium price or otherwise be in the best interest of the shareholders. The business combination statute may discourage others from trying to acquire control of Vornado and increase the difficulty of consummating any offer.</w:t>
      </w:r>
    </w:p>
    <w:p>
      <w:pPr>
        <w:spacing w:after="0" w:line="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Control Share Acquisitions</w:t>
      </w:r>
    </w:p>
    <w:p>
      <w:pPr>
        <w:spacing w:after="0" w:line="110"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Maryland law provides that control shares of a Maryland real estate investment trust acquired in a control share acquisition have no voting rights except to the extent approved by a vote of two-thirds of the votes entitled to be cast on the matter. Shares owned by the acquiror, by officers or by employees who are trustees of the trust are excluded from shares entitled to vote on the matter. Control shares are voting shares which, if aggregated with all other shares owned by the acquiror or in respect of which the acquiror is able to exercise or direct the exercise of voting power (except solely by virtue of a revocable proxy), would entitle the acquiror to exercise voting power in electing trustees within one of the following ranges of voting power:</w:t>
      </w:r>
    </w:p>
    <w:p>
      <w:pPr>
        <w:spacing w:after="0" w:line="52" w:lineRule="exact"/>
        <w:rPr>
          <w:sz w:val="20"/>
          <w:szCs w:val="20"/>
          <w:color w:val="auto"/>
        </w:rPr>
      </w:pPr>
    </w:p>
    <w:p>
      <w:pPr>
        <w:ind w:left="1260" w:hanging="312"/>
        <w:spacing w:after="0"/>
        <w:tabs>
          <w:tab w:leader="none" w:pos="126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one-tenth or more but less than one-third,</w:t>
      </w:r>
    </w:p>
    <w:p>
      <w:pPr>
        <w:spacing w:after="0" w:line="92"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one-third or more but less than a majority, or</w:t>
      </w:r>
    </w:p>
    <w:p>
      <w:pPr>
        <w:spacing w:after="0" w:line="105"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or more of all voting power.</w:t>
      </w:r>
    </w:p>
    <w:p>
      <w:pPr>
        <w:spacing w:after="0" w:line="106"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Control shares do not include shares the acquiring person is then entitled to vote as a result of having previously obtained shareholder approval, or shares acquired directly from the trust. A control share acquisition means the acquisition of control shares, subject to certain exceptions.</w:t>
      </w:r>
    </w:p>
    <w:p>
      <w:pPr>
        <w:spacing w:after="0" w:line="16"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A person who has made or proposes to make a control share acquisition may compel the board of trustees of the trust to call a special meeting of shareholders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trust may itself present the question at any shareholders meeting.</w:t>
      </w:r>
    </w:p>
    <w:p>
      <w:pPr>
        <w:spacing w:after="0" w:line="50"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If voting rights are not approved at the meeting or if the acquiring person does not deliver an acquiring person statement as required by the statute, then the trust may redeem for fair value any or all of the control shares, except those for which voting rights have previously been approved. The right of the trust to redeem control shares is subject to certain conditions and limitations. Fair value is determined, without regard to the absence of voting rights for the control shares, as of the date of the last control share acquisition by the acquiror or of any meeting of shareholders at which the voting rights of the shares are considered and not approved. If voting rights for control shares are approved at a shareholders meeting and the acquiror becomes entitled to vote a majority of the shares entitled to vote, all other shareholders may exercise appraisal rights. The fair value of the shares as determined for purposes of appraisal rights may not be less than the highest price per share paid by the acquiror in the control share acquisition.</w:t>
      </w:r>
    </w:p>
    <w:p>
      <w:pPr>
        <w:spacing w:after="0" w:line="59"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control share acquisition statute does not apply (a) to shares acquired in a merger, consolidation or share exchange if the trust is a party to the transaction, or (b) to acquisitions approved or exempted by the declaration of trust or bylaws of the trust.</w:t>
      </w:r>
    </w:p>
    <w:p>
      <w:pPr>
        <w:spacing w:after="0" w:line="16"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Our bylaws contain a provision exempting from the control share acquisition statute any and all acquisitions by any person of our shares. There can be no assurance that this provision will not be amended or eliminated at any time in the future.</w:t>
      </w:r>
    </w:p>
    <w:p>
      <w:pPr>
        <w:spacing w:after="0" w:line="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Approval of Extraordinary Trust Action; Amendment of Declaration of Trust and Bylaws</w:t>
      </w:r>
    </w:p>
    <w:p>
      <w:pPr>
        <w:spacing w:after="0" w:line="110"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Under Maryland law, a Maryland real estate investment trust generally may not amend its declaration of trust, dissolve, merge or consolidate with or convert into another entity, sell all or substantially all of its assets or engage in a statutory share exchange, unless approved by the affirmative vote of shareholders holding at least two-thirds of the shares entitled to vote on the matter. However, a Maryland real estate investment trust may provide in its declaration of trust for approval of these matters by a lesser percentage, but not less than a majority of all of the votes entitled to be cast on the matter. Vornado may take any of these actions if approved by the Board of Trustees and by the affirmative vote of not less than a majority of all of the votes entitled to be cast on the matter. Similarly, our Declaration of Trust provides for approval of amendments by the affirmative vote of a majority of the votes entitled to be cast on the matter. Some limited exceptions (including amendments to the provisions of our Declaration of Trust related to the removal of trustees, ownership and transfer restrictions and amendments) require the affirmative vote of shareholders holding at least two-thirds of the shares entitled to vote on the matter.</w:t>
      </w:r>
    </w:p>
    <w:p>
      <w:pPr>
        <w:spacing w:after="0" w:line="48"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Under Maryland law, the declaration of trust of a Maryland real estate investment trust may permit the trustees, by a two-thirds vote, to amend the declaration of trust from time to time to qualify as a REIT under the Code or the Maryland REIT Law, without the affirmative vote or written consent of the shareholders. Our Declaration of Trust permits such action by the Board of Trustees. In addition, our Declaration of Trust, as permitted by Maryland law, contains a provision that permits our Board, without a shareholder vote, to amend the Declaration of Trust to increase or decrease the total number of shares of beneficial interest that we are authorized to issue and the number of authorized shares of any class or series of beneficial interest that we are authorized to issue.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684" w:right="339" w:bottom="1440" w:gutter="0" w:footer="0" w:header="0"/>
        </w:sectPr>
      </w:pPr>
    </w:p>
    <w:bookmarkStart w:id="139" w:name="page140"/>
    <w:bookmarkEnd w:id="139"/>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Board of Trustees has the right to adopt and amend the bylaws. Additionally, our bylaws provide that shareholders may adopt, alter or repeal any bylaw by the affirmative vote of a majority of the votes entitled to be cast on the matter, to the extent permitted by law.</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Advance Notice of Trustee Nominations and New Business</w:t>
      </w:r>
    </w:p>
    <w:p>
      <w:pPr>
        <w:spacing w:after="0" w:line="110"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Our bylaws provide that with respect to an annual meeting of shareholders, nominations of persons for election to the Board of Trustees and the proposal of business to be considered by shareholders may be made only (i) pursuant to our notice of the meeting, (ii) by the Board of Trustees or (iii) by a shareholder or record who is entitled to vote at the meeting and who has complied with the advance notice procedures of our bylaws. With respect to special meetings of shareholders, only the business specified in our notice of the meeting may be brought before the meeting. Nominations of persons for election to the Board of Trustees at a special meeting may be made only (i) by the Board of Trustees, or (ii) pursuant to our notice of the meeting, provided that the Board of Trustees has determined that trustees will be elected at the meeting, by a shareholder of record who is entitled to vote at the meeting and who has complied with the advance notice provisions of our bylaws.</w:t>
      </w:r>
    </w:p>
    <w:p>
      <w:pPr>
        <w:spacing w:after="0" w:line="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Proxy Access Procedures for Qualifying Shareholders</w:t>
      </w:r>
    </w:p>
    <w:p>
      <w:pPr>
        <w:spacing w:after="0" w:line="97"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Our bylaws permit a shareholder, or a group of up to 20 stockholders, that owns 3% or more of our outstanding Common Shares, continuously for at least three years, to nominate and include in our proxy statement for an annual meeting of shareholders, trustee nominees constituting up to the greater of two nominees or 20% of our Board of Trustees, provided that the shareholder(s) and the trustee nominee(s) satisfy the requirements specified in our bylaws.</w:t>
      </w:r>
    </w:p>
    <w:p>
      <w:pPr>
        <w:spacing w:after="0" w:line="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Subtitle 8</w:t>
      </w:r>
    </w:p>
    <w:p>
      <w:pPr>
        <w:spacing w:after="0" w:line="110"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Maryland law permits a Maryland real estate investment trust with a class of equity securities registered under the Exchange Act and at least three independent trustees to elect, without shareholder approval, to classify our Board of Trustees.</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Anti-takeover Effect of Certain Provisions of Maryland Law and of the Declaration of Trust and Bylaws</w:t>
      </w:r>
    </w:p>
    <w:p>
      <w:pPr>
        <w:spacing w:after="0" w:line="110"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 business combination provisions and, if the applicable provision in our bylaws is rescinded, the control share acquisition provisions of Maryland law, the provisions in our Declaration of Trust on removal of trustees and the advance notice provisions of our bylaws could delay, defer or prevent a transaction or a change in control of Vornado that might involve a premium price for holders of Common Shares or otherwise be in their best interest.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684"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9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DESCRIPTION OF CLASS A UNITS OF VORNADO REALTY L.P. AND</w:t>
      </w:r>
    </w:p>
    <w:p>
      <w:pPr>
        <w:spacing w:after="0" w:line="3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b w:val="1"/>
          <w:bCs w:val="1"/>
          <w:color w:val="auto"/>
        </w:rPr>
        <w:t>CERTAIN PROVISIONS OF ITS AGREEMENT OF LIMITED PARTNERSHIP</w:t>
      </w:r>
    </w:p>
    <w:p>
      <w:pPr>
        <w:spacing w:after="0" w:line="8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 following description of the material terms of the class A units of Vornado Realty L.P., which we refer to as the “operating partnership,” and some material provisions of the operating partnership’s agreement of limited partnership, which we refer to as the “partnership agreement,” does not describe every aspect of the units or the partnership agreement and is only a summary of, and qualified in its entirety by reference to, applicable provisions of Delaware law and the partnership agreement. A copy of the partnership agreement is filed as an exhibit to the Annual Report on Form 10-K to which this Exhibit is attached.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Operating Partnership's Outstanding Classes of Units</w:t>
      </w:r>
    </w:p>
    <w:p>
      <w:pPr>
        <w:spacing w:after="0" w:line="95"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Holders of units, other than Vornado Realty Trust in its capacity as general partner, hold a limited partnership interest in the operating partnership. All holders of units, including Vornado Realty Trust in its capacity as general partner, are entitled to share in cash distributions from, and in the profits and losses of, the operating partnership.</w:t>
      </w:r>
    </w:p>
    <w:p>
      <w:pPr>
        <w:spacing w:after="0" w:line="46"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Holders of units have the rights to which limited partners are entitled under the partnership agreement and the Delaware Revised Uniform Limited Partnership Act. Class A units are registered with the SEC under the Exchange Act. No other class of units is registered under Federal law and no units are registered under any state securities laws, and no units are listed on any exchange or quoted on any national market system. The partnership agreement imposes restrictions on the transfer of units. See "—Restrictions on Transfers of Units by Limited Partners" below for further information about these restrictions.</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2024, there were outstanding:</w:t>
      </w:r>
    </w:p>
    <w:p>
      <w:pPr>
        <w:spacing w:after="0" w:line="93" w:lineRule="exact"/>
        <w:rPr>
          <w:sz w:val="20"/>
          <w:szCs w:val="20"/>
          <w:color w:val="auto"/>
        </w:rPr>
      </w:pPr>
    </w:p>
    <w:p>
      <w:pPr>
        <w:ind w:left="940" w:hanging="306"/>
        <w:spacing w:after="0"/>
        <w:tabs>
          <w:tab w:leader="none" w:pos="9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9,180 series A preferred units;</w:t>
      </w:r>
    </w:p>
    <w:p>
      <w:pPr>
        <w:spacing w:after="0" w:line="32"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12,000,000 series L preferred units;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12,780,000 series M preferred units;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12,000,000 series N preferred units;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12,000,000 series O preferred units;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1,867,311 series D-13 preferred units;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141,400 series D-17 preferred units;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5,828 series G-1 preferred units;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14,424 series G-2 preferred units;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43,532 series G-3 preferred units;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73,201 series G-4 preferred units;</w:t>
      </w:r>
    </w:p>
    <w:p>
      <w:pPr>
        <w:spacing w:after="0" w:line="14" w:lineRule="exact"/>
        <w:rPr>
          <w:rFonts w:ascii="Times New Roman" w:cs="Times New Roman" w:eastAsia="Times New Roman" w:hAnsi="Times New Roman"/>
          <w:sz w:val="17"/>
          <w:szCs w:val="17"/>
          <w:color w:val="auto"/>
        </w:rPr>
      </w:pPr>
    </w:p>
    <w:p>
      <w:pPr>
        <w:ind w:left="940" w:hanging="306"/>
        <w:spacing w:after="0" w:line="257" w:lineRule="auto"/>
        <w:tabs>
          <w:tab w:leader="none" w:pos="936"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19,796,233 restricted operating partnership units (“LTIP units”), including 14,319,250 performance conditioned appreciation-only long-term incentive plan units and 529,836 appreciation-only long-term incentive plan units issued in connection with out-performance plan awards; and</w:t>
      </w:r>
    </w:p>
    <w:p>
      <w:pPr>
        <w:ind w:left="940" w:hanging="306"/>
        <w:spacing w:after="0"/>
        <w:tabs>
          <w:tab w:leader="none" w:pos="9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202,462,443 Class A units, including 11,615,863 not held by Vornado Realty Trust.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Distributions with Respect to Units</w:t>
      </w:r>
    </w:p>
    <w:p>
      <w:pPr>
        <w:spacing w:after="0" w:line="108"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The partnership agreement provides for distributions, as determined in the manner provided in the partnership agreement, to Vornado Realty Trust and the limited partners in proportion to their percentage interests in the operating partnership, subject to the distribution preferences that are described in the next paragraph. As general partner of the operating partnership, Vornado Realty Trust has the exclusive right to declare and cause the operating partnership to make distributions as and when it deems appropriate or desirable in its discretion. For so long as Vornado Realty Trust elects to qualify as a REIT, it will make reasonable efforts, as determined by Vornado Realty Trust in its sole discretion, to make distributions to partners in amounts such that it will be able to pay shareholder dividends that will satisfy the requirements for qualification as a REIT and avoid any federal income or excise tax liability for Vornado Realty Trust.</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Distributions vary among the holders of different classes of units:</w:t>
      </w:r>
    </w:p>
    <w:p>
      <w:pPr>
        <w:spacing w:after="0" w:line="106" w:lineRule="exact"/>
        <w:rPr>
          <w:sz w:val="20"/>
          <w:szCs w:val="20"/>
          <w:color w:val="auto"/>
        </w:rPr>
      </w:pPr>
    </w:p>
    <w:p>
      <w:pPr>
        <w:jc w:val="both"/>
        <w:ind w:left="940" w:hanging="306"/>
        <w:spacing w:after="0" w:line="264" w:lineRule="auto"/>
        <w:tabs>
          <w:tab w:leader="none" w:pos="936"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A preferred units entitle Vornado Realty Trust as their holder to a cumulative preferential distribution at an annual rate of $3.25 per series A preferred unit, which we refer to as the "series A preferred distribution preference." The series A preferred units correspond to Vornado Realty Trust’s series A convertible preferred shares.</w:t>
      </w:r>
    </w:p>
    <w:p>
      <w:pPr>
        <w:spacing w:after="0" w:line="1" w:lineRule="exact"/>
        <w:rPr>
          <w:rFonts w:ascii="Times New Roman" w:cs="Times New Roman" w:eastAsia="Times New Roman" w:hAnsi="Times New Roman"/>
          <w:sz w:val="17"/>
          <w:szCs w:val="17"/>
          <w:color w:val="auto"/>
        </w:rPr>
      </w:pPr>
    </w:p>
    <w:p>
      <w:pPr>
        <w:ind w:left="940" w:hanging="306"/>
        <w:spacing w:after="0" w:line="257" w:lineRule="auto"/>
        <w:tabs>
          <w:tab w:leader="none" w:pos="936"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L preferred units entitle their holder to a preferential distribution at the annual rate of $1.35 per unit, which we refer to as the "series L preferred distribution preference." The series L preferred units correspond to Vornado Realty Trust’s series L preferred shares.</w:t>
      </w:r>
    </w:p>
    <w:p>
      <w:pPr>
        <w:ind w:left="940" w:hanging="306"/>
        <w:spacing w:after="0" w:line="257" w:lineRule="auto"/>
        <w:tabs>
          <w:tab w:leader="none" w:pos="936"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M preferred units entitle their holder to a preferential distribution at the annual rate of $1.3125 per unit, which we refer to as the "series M preferred distribution preference." The series M preferred units correspond to Vornado Realty Trust's series M preferred shares.</w:t>
      </w:r>
    </w:p>
    <w:p>
      <w:pPr>
        <w:ind w:left="940" w:hanging="306"/>
        <w:spacing w:after="0" w:line="274" w:lineRule="auto"/>
        <w:tabs>
          <w:tab w:leader="none" w:pos="936"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N preferred units entitle their holder to a preferential distribution at the annual rate of $1.3125 per unit, which we refer to as the "series N preferred distribution preference." The series N preferred units correspond to Vornado Realty Trust's series N preferred shares.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682" w:right="339" w:bottom="1440" w:gutter="0" w:footer="0" w:header="0"/>
        </w:sectPr>
      </w:pPr>
    </w:p>
    <w:bookmarkStart w:id="141" w:name="page142"/>
    <w:bookmarkEnd w:id="141"/>
    <w:p>
      <w:pPr>
        <w:ind w:left="940" w:hanging="306"/>
        <w:spacing w:after="0" w:line="268" w:lineRule="auto"/>
        <w:tabs>
          <w:tab w:leader="none" w:pos="936"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O preferred units entitle their holder to a preferential distribution at the annual rate of $1.1125 per unit, which we refer to as the "series O preferred distribution preference." The series O preferred units correspond to Vornado Realty Trust's series O preferred shares.</w:t>
      </w:r>
    </w:p>
    <w:p>
      <w:pPr>
        <w:ind w:left="940" w:hanging="306"/>
        <w:spacing w:after="0" w:line="257" w:lineRule="auto"/>
        <w:tabs>
          <w:tab w:leader="none" w:pos="936"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D-13 preferred units entitle their holder to a preferential distribution at the annual rate of $0.75 per unit, which we refer to as the "series D-13 preferred distribution preference."</w:t>
      </w:r>
    </w:p>
    <w:p>
      <w:pPr>
        <w:ind w:left="940" w:hanging="306"/>
        <w:spacing w:after="0" w:line="257" w:lineRule="auto"/>
        <w:tabs>
          <w:tab w:leader="none" w:pos="936"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D-17 preferred units entitle their holder to a preferential distribution at the annual rate of $0.8125 per unit, which we refer to as the "series D-17 preferred distribution preference."</w:t>
      </w:r>
    </w:p>
    <w:p>
      <w:pPr>
        <w:ind w:left="940" w:hanging="306"/>
        <w:spacing w:after="0" w:line="257" w:lineRule="auto"/>
        <w:tabs>
          <w:tab w:leader="none" w:pos="936"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G-1 preferred units entitle their holder to a preferential distribution at the annual rate of SOFR plus 1.16 basis points per unit, which we refer to as the "series G-1 preferred distribution preference."</w:t>
      </w:r>
    </w:p>
    <w:p>
      <w:pPr>
        <w:ind w:left="940" w:hanging="306"/>
        <w:spacing w:after="0" w:line="257" w:lineRule="auto"/>
        <w:tabs>
          <w:tab w:leader="none" w:pos="936"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G-2 preferred units entitle their holder to a preferential distribution at the annual rate of $1.375 per unit, which we refer to as the "series G-2 preferred distribution preference."</w:t>
      </w:r>
    </w:p>
    <w:p>
      <w:pPr>
        <w:ind w:left="940" w:hanging="306"/>
        <w:spacing w:after="0" w:line="257" w:lineRule="auto"/>
        <w:tabs>
          <w:tab w:leader="none" w:pos="936"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G-3 preferred units entitle their holder to a preferential distribution at the annual rate of SOFR plus 1.16 basis points per unit, which we refer to as the "series G-3 preferred distribution preference."</w:t>
      </w:r>
    </w:p>
    <w:p>
      <w:pPr>
        <w:ind w:left="940" w:hanging="306"/>
        <w:spacing w:after="0" w:line="274" w:lineRule="auto"/>
        <w:tabs>
          <w:tab w:leader="none" w:pos="936"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G-4 preferred units entitle their holder to a preferential distribution at the annual rate of $1.375 per unit, which we call the "series G-4 preferred distribution preference."</w:t>
      </w:r>
    </w:p>
    <w:p>
      <w:pPr>
        <w:spacing w:after="0" w:line="46"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In this description we sometimes refer to the series A preferred distribution preference, the series L distribution preference, the series M preferred distribution preference, the series N preferred distribution preference, the series O preferred distribution preference, the series D-13 preferred distribution preference, the series D-17 preferred distribution preference, the series G-1 preferred distribution preference, the series G-2 preferred distribution preference, the series G-3 preferred distribution preference, and the series G-4 preferred distribution preference as the "preferred distribution preferences."</w:t>
      </w:r>
    </w:p>
    <w:p>
      <w:pPr>
        <w:spacing w:after="0" w:line="37"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 value of each class A unit, which is the operating partnership’s common unit, regardless of its class, equates to one common share of Vornado Realty Trust. Preferred units do not have a value equating to one common share, but have the liquidation preferences and conversion prices for conversion into class A units or terms for redemption for cash or corresponding preferred shares that are established in the partnership agreement. LTIP units have a value equating to one class A unit if and when the LTIP unit becomes exchangeable for one class A unit.</w:t>
      </w:r>
    </w:p>
    <w:p>
      <w:pPr>
        <w:spacing w:after="0" w:line="50"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 partnership agreement provides that the operating partnership will make distributions when, as and if declared by Vornado Realty Trust in the order of preference provided for in the partnership agreement. The order of preference in the partnership agreement provides that distributions will be paid first to Vornado Realty Trust as necessary to enable Vornado Realty Trust to pay REIT expenses. The partnership agreement defines "REIT expenses" to mean the following in respect of Vornado Realty Trust:</w:t>
      </w:r>
    </w:p>
    <w:p>
      <w:pPr>
        <w:spacing w:after="0" w:line="50" w:lineRule="exact"/>
        <w:rPr>
          <w:sz w:val="20"/>
          <w:szCs w:val="20"/>
          <w:color w:val="auto"/>
        </w:rPr>
      </w:pPr>
    </w:p>
    <w:p>
      <w:pPr>
        <w:ind w:left="940" w:hanging="306"/>
        <w:spacing w:after="0"/>
        <w:tabs>
          <w:tab w:leader="none" w:pos="94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expenses relating to the continuity of is existence and any entity in which Vornado Realty Trust owns an equity interest;</w:t>
      </w:r>
    </w:p>
    <w:p>
      <w:pPr>
        <w:spacing w:after="0" w:line="32"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expenses relating to any of the offer or registration of securities;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expenses associated with preparing and filing of periodic reports under federal, state and local laws, including SEC filings;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expenses associated with its compliance with laws, rules and regulations applicable to it; and</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operating or administrative expenses incurred in the ordinary course of its business.</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After the operating partnership pays Vornado Realty Trust distributions as necessary to enable it to pay REIT expenses, distributions will be paid:</w:t>
      </w:r>
    </w:p>
    <w:p>
      <w:pPr>
        <w:spacing w:after="0" w:line="106" w:lineRule="exact"/>
        <w:rPr>
          <w:sz w:val="20"/>
          <w:szCs w:val="20"/>
          <w:color w:val="auto"/>
        </w:rPr>
      </w:pPr>
    </w:p>
    <w:p>
      <w:pPr>
        <w:ind w:left="940" w:hanging="306"/>
        <w:spacing w:after="0"/>
        <w:tabs>
          <w:tab w:leader="none" w:pos="94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to holders of any class of preferred units ranking senior, as to distributions or redemption or voting rights, to class A units and LTIP units; and</w:t>
      </w:r>
    </w:p>
    <w:p>
      <w:pPr>
        <w:spacing w:after="0" w:line="32"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second, to holders of class A units and LTIP units.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Ranking of Units</w:t>
      </w:r>
    </w:p>
    <w:p>
      <w:pPr>
        <w:spacing w:after="0" w:line="95"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The series A preferred units, series L preferred units, series M preferred units, series N preferred units, series O preferred units, series D-13 preferred units, series D-17 preferred units, series G-1 preferred units, series G-2 preferred units, series G-3 preferred units, and series G-4 preferred units rank senior to the class A and LTIP units with respect to the payment of distributions and amounts upon liquidation, dissolution or winding up of the operating partnership. The series A preferred units, series L preferred units, series M preferred units, series N preferred units, series O preferred units, series D-13 preferred units, series D-17 preferred units, series G-1 preferred units, series G-2 preferred units, series G-3 preferred units, and series G-4 preferred units and any other units designated as "parity units" all rank on a parity with each other, in each case with respect to the payment of distributions and amounts upon liquidation, dissolution or winding up of the operating partnership, without preference or priority of one over the other.</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series of preferred units have the following liquidation preferences:</w:t>
      </w:r>
    </w:p>
    <w:p>
      <w:pPr>
        <w:spacing w:after="0" w:line="106" w:lineRule="exact"/>
        <w:rPr>
          <w:sz w:val="20"/>
          <w:szCs w:val="20"/>
          <w:color w:val="auto"/>
        </w:rPr>
      </w:pPr>
    </w:p>
    <w:p>
      <w:pPr>
        <w:ind w:left="940" w:hanging="306"/>
        <w:spacing w:after="0"/>
        <w:tabs>
          <w:tab w:leader="none" w:pos="9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$50.00 per series A preferred unit; and</w:t>
      </w:r>
    </w:p>
    <w:p>
      <w:pPr>
        <w:spacing w:after="0" w:line="32" w:lineRule="exact"/>
        <w:rPr>
          <w:rFonts w:ascii="Times New Roman" w:cs="Times New Roman" w:eastAsia="Times New Roman" w:hAnsi="Times New Roman"/>
          <w:sz w:val="17"/>
          <w:szCs w:val="17"/>
          <w:color w:val="auto"/>
        </w:rPr>
      </w:pPr>
    </w:p>
    <w:p>
      <w:pPr>
        <w:ind w:left="940" w:hanging="306"/>
        <w:spacing w:after="0" w:line="274" w:lineRule="auto"/>
        <w:tabs>
          <w:tab w:leader="none" w:pos="936"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$25.00 per series L preferred unit, series M preferred unit, series N preferred unit, series O preferred unit, series D-13 preferred unit, series D-17 preferred unit, series G-1 preferred unit, series G-2 preferred unit, series G-3 preferred unit and series G-4 preferred unit.</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593" w:right="339" w:bottom="1440" w:gutter="0" w:footer="0" w:header="0"/>
        </w:sectPr>
      </w:pPr>
    </w:p>
    <w:bookmarkStart w:id="142" w:name="page143"/>
    <w:bookmarkEnd w:id="142"/>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From time to time as determined by Vornado Realty Trust, in its discretion, the operating partnership may create additional series of preference units or classes of other units senior to or on parity with the class A units with respect to the payment of distributions and amounts upon liquidation, dissolution or winding up of the partnership.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Redemption or Conversion of Units</w:t>
      </w:r>
    </w:p>
    <w:p>
      <w:pPr>
        <w:spacing w:after="0" w:line="10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holders of class A units, other than Vornado Realty Trust or any of its subsidiaries, have the right to redeem their units for cash or, at the option of Vornado Realty Trust, an equivalent number of Vornado Realty Trust’s common shares.</w:t>
      </w:r>
    </w:p>
    <w:p>
      <w:pPr>
        <w:spacing w:after="0" w:line="29"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series A preferred units became redeemable at Vornado Realty Trust’s option for class A units on April 1, 2001, and are convertible at its option into class A units at any time, provided that an equivalent number of series A preferred shares are concurrently converted into common shares by their holders. The number of class A units into which the series A preferred units are redeemable or convertible is equal to the aggregate liquidation preference of the series A preferred units being redeemed or converted divided by their conversion price. The conversion price of the series A preferred units is now 1.9531 and may be adjusted from time to time to take account of stock dividends and other transactions.</w:t>
      </w:r>
    </w:p>
    <w:p>
      <w:pPr>
        <w:spacing w:after="0" w:line="39"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series L, series M, series N and series O preferred units are redeemable for cash equal to the liquidation preference of $25.00 per unit plus any accrued and unpaid distributions at the option of Vornado Realty Trust, provided that an equivalent number of series L, series M, series N or series O preferred shares of Vornado Realty Trust, respectively, are concurrently redeemed by Vornado Realty Trust.</w:t>
      </w:r>
    </w:p>
    <w:p>
      <w:pPr>
        <w:spacing w:after="0" w:line="4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series D-13 preferred units are redeemable by the holder for cash equal to the liquidation preference of $25.00 per unit plus any accrued and unpaid distribution, provided that Vornado Realty Trust may determine, at its option, to deliver its common shares with a value equal to the liquidation preference of $25.00 per unit plus any accrued and unpaid distributions.</w:t>
      </w:r>
    </w:p>
    <w:p>
      <w:pPr>
        <w:spacing w:after="0" w:line="4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series D-17 preferred units are redeemable for cash (i) at the option of Vornado Realty Trust and (ii) at the option of the holder, in each case following certain events equal to the liquidation preference of $25.00 per unit plus any accrued and unpaid distributions.</w:t>
      </w:r>
    </w:p>
    <w:p>
      <w:pPr>
        <w:spacing w:after="0" w:line="1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Any redemption of units must comply with the delivery and other requirements of the operating partnership agreement which may limit the ability of a holder to redeem their units at a particular time or in a particular quantity.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Formation of the Operating Partnership</w:t>
      </w:r>
    </w:p>
    <w:p>
      <w:pPr>
        <w:spacing w:after="0" w:line="10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operating partnership was formed as a limited partnership under the Delaware Revised Uniform Limited Partnership Act on October 2, 1996. Vornado Realty Trust is the sole general partner of, and owned approximately 91.4% of the common limited partnership interest in, the operating partnership at December 31,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Purposes, Business and Management of the Operating Partnership</w:t>
      </w:r>
    </w:p>
    <w:p>
      <w:pPr>
        <w:spacing w:after="0" w:line="10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purpose of the operating partnership includes the conduct of any business that may be lawfully conducted by a limited partnership formed under the Delaware Revised Uniform Limited Partnership Act, except that the partnership agreement requires the business of the operating partnership to be conducted in a manner that will permit Vornado Realty Trust to be classified as a REIT under Section 856 of the Internal Revenue Code, unless it ceases to qualify as a REIT for any reason. In furtherance of its business, the operating partnership may enter into partnerships, joint ventures, limited liability companies or similar arrangements and may own interests in any other entity engaged, directly or indirectly, in any of the foregoing.</w:t>
      </w:r>
    </w:p>
    <w:p>
      <w:pPr>
        <w:spacing w:after="0" w:line="52"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As the general partner of the operating partnership, Vornado Realty Trust has the exclusive power and authority to conduct the business of the operating partnership, except that the consent of the limited partners is required in some limited circumstances discussed under "—Meetings and Voting" below. No limited partner may take part in the operation, management or control of the business of the operating partnership by virtue of being a holder of units.</w:t>
      </w:r>
    </w:p>
    <w:p>
      <w:pPr>
        <w:spacing w:after="0" w:line="33"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In particular, the limited partners expressly acknowledge in the partnership agreement that the general partner is acting on behalf of the operating partnership and the shareholders of Vornado Realty Trust collectively, and is under no obligation to consider the tax consequences to, or other separate interests of, limited partners when making decisions on behalf of the operating partnership. Except as required by lockup agreements described below, Vornado Realty Trust intends to make decisions in its capacity as general partner of the operating partnership taking into account its interests and the operating partnership as a whole, independent of the tax effects on the limited partners. See "—Borrowing by the Operating Partnership" below for a discussion of lockup agreements. Vornado Realty Trust and its trustees and officers will have no liability to the operating partnership or to any partner or assignee for any losses sustained, liabilities incurred or benefits not derived as a result of errors in judgment or mistakes of fact or law or any act or omission if it acted in good faith.</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Ability to Engage in Other Businesses; Conflicts of Interest</w:t>
      </w:r>
    </w:p>
    <w:p>
      <w:pPr>
        <w:spacing w:after="0" w:line="10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Vornado Realty Trust generally may not conduct any business other than through the operating partnership without the consent of the holders of a majority of the common limited partnership interests, excluding the limited partnership interests held by it. Other persons including Vornado Realty Trust’s officers, trustees, employees, agents and its other affiliates are not prohibited under the partnership agreement from engaging in other business activities and are not required to present any business opportunities to the operating partnership. In addition, the partnership agreement does not prevent another person or entity that acquires control of</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684" w:right="339" w:bottom="1440" w:gutter="0" w:footer="0" w:header="0"/>
        </w:sectPr>
      </w:pPr>
    </w:p>
    <w:bookmarkStart w:id="143" w:name="page144"/>
    <w:bookmarkEnd w:id="143"/>
    <w:p>
      <w:pPr>
        <w:jc w:val="both"/>
        <w:spacing w:after="0" w:line="296" w:lineRule="auto"/>
        <w:rPr>
          <w:sz w:val="20"/>
          <w:szCs w:val="20"/>
          <w:color w:val="auto"/>
        </w:rPr>
      </w:pPr>
      <w:r>
        <w:rPr>
          <w:rFonts w:ascii="Times New Roman" w:cs="Times New Roman" w:eastAsia="Times New Roman" w:hAnsi="Times New Roman"/>
          <w:sz w:val="17"/>
          <w:szCs w:val="17"/>
          <w:color w:val="auto"/>
        </w:rPr>
        <w:t>Vornado Realty Trust in the future from conducting other businesses or owning other assets, even though those businesses or assets may be ones that it would be in the best interests of the limited partners for the operating partnership to own.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Borrowing by the Operating Partnership</w:t>
      </w:r>
    </w:p>
    <w:p>
      <w:pPr>
        <w:spacing w:after="0" w:line="10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Vornado Realty Trust is authorized to cause the operating partnership to borrow money and to issue and guarantee debt as it deems necessary for the conduct of the activities of the operating partnership. The operating partnership's debt may be secured by mortgages, deeds of trust, liens or encumbrances on the operating partnership's properties. Vornado Realty Trust also may cause the operating partnership to borrow money to enable the operating partnership to make distributions, including distributions in an amount sufficient to permit us to avoid the payment of any federal income tax.</w:t>
      </w:r>
    </w:p>
    <w:p>
      <w:pPr>
        <w:spacing w:after="0" w:line="50"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From time to time in connection with acquisitions of properties or other assets in exchange for limited partner interests in the operating partnership, Vornado Realty Trust and the operating partnership have entered into contractual arrangements that impose restrictions on the operating partnership's ability to sell, finance, refinance and, in some instances, pay down existing financing on certain of the operating partnership's properties or other assets. These arrangements are sometimes referred to as "lockup agreements" and include, for example, arrangements in which the operating partnership agrees that it will not sell the property or other assets in question for a period of years unless the operating partnership also pays the contributing partner a portion of the federal income tax liability that will accrue to that partner as a result of the sale. Arrangements of this kind may significantly reduce the operating partnership's ability to sell, finance or repay indebtedness secured by the subject properties or assets. Vornado Realty Trust expects to cause the operating partnership to continue entering into transactions of this type in the future and may do so without obtaining the consent of any partners in the operating partnership.</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Reimbursement; Transactions with Vornado Realty Trust and Its Affiliates</w:t>
      </w:r>
    </w:p>
    <w:p>
      <w:pPr>
        <w:spacing w:after="0" w:line="108" w:lineRule="exact"/>
        <w:rPr>
          <w:sz w:val="20"/>
          <w:szCs w:val="20"/>
          <w:color w:val="auto"/>
        </w:rPr>
      </w:pPr>
    </w:p>
    <w:p>
      <w:pPr>
        <w:jc w:val="both"/>
        <w:ind w:firstLine="171"/>
        <w:spacing w:after="0" w:line="263" w:lineRule="auto"/>
        <w:rPr>
          <w:sz w:val="20"/>
          <w:szCs w:val="20"/>
          <w:color w:val="auto"/>
        </w:rPr>
      </w:pPr>
      <w:r>
        <w:rPr>
          <w:rFonts w:ascii="Times New Roman" w:cs="Times New Roman" w:eastAsia="Times New Roman" w:hAnsi="Times New Roman"/>
          <w:sz w:val="17"/>
          <w:szCs w:val="17"/>
          <w:color w:val="auto"/>
        </w:rPr>
        <w:t>Vornado Realty Trust does not receive any compensation for its services as general partner of the operating partnership. However, as a partner in the operating partnership, it has the same right to allocations and distributions with respect to the units it holds as other partners in the operating partnership holding the same classes of units. In addition, the operating partnership reimburses Vornado Realty Trust for all expenses it incurs relating to its ongoing operations and any offering of additional partnership interests in the operating partnership, its securities or rights, options, warrants or convertible or exchangeable securities, including expenses in connection with the registration of Vornado Realty Trust’s common shares for issuance in exchange for units if it assumes the obligation to redeem units and elects to redeem them for common shares instead of cash when a limited partner in the operating partnership exercises the right to redeem units. See "Redemption or Conversion of Units" above for further information about the right to redeem units.</w:t>
      </w:r>
    </w:p>
    <w:p>
      <w:pPr>
        <w:spacing w:after="0" w:line="59" w:lineRule="exact"/>
        <w:rPr>
          <w:sz w:val="20"/>
          <w:szCs w:val="20"/>
          <w:color w:val="auto"/>
        </w:rPr>
      </w:pPr>
    </w:p>
    <w:p>
      <w:pPr>
        <w:jc w:val="both"/>
        <w:ind w:firstLine="195"/>
        <w:spacing w:after="0" w:line="270" w:lineRule="auto"/>
        <w:rPr>
          <w:sz w:val="20"/>
          <w:szCs w:val="20"/>
          <w:color w:val="auto"/>
        </w:rPr>
      </w:pPr>
      <w:r>
        <w:rPr>
          <w:rFonts w:ascii="Times New Roman" w:cs="Times New Roman" w:eastAsia="Times New Roman" w:hAnsi="Times New Roman"/>
          <w:sz w:val="17"/>
          <w:szCs w:val="17"/>
          <w:color w:val="auto"/>
        </w:rPr>
        <w:t>Except as expressly permitted by the partnership agreement, the operating partnership will not, directly or indirectly, sell, transfer or convey any property to, or purchase any property from, or borrow funds from, or lend funds to, any partner in the operating partnership or any affiliate of the operating partnership or Vornado Realty Trust that is not also a subsidiary of the operating partnership, except in a transaction that has been approved by a majority of Vornado Realty Trust’s disinterested trustees, taking into account its fiduciary duties to the limited partners of the operating partnership.</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Vornado Realty Trust’s Liability and Limited Partners</w:t>
      </w:r>
    </w:p>
    <w:p>
      <w:pPr>
        <w:spacing w:after="0" w:line="10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Vornado Realty Trust, as general partner of the operating partnership, is liable for all general recourse obligations of the operating partnership to the extent not paid by the operating partnership. Vornado Realty Trust is not liable for the nonrecourse obligations of the operating partnership.</w:t>
      </w:r>
    </w:p>
    <w:p>
      <w:pPr>
        <w:spacing w:after="0" w:line="29"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The limited partners in the operating partnership are not required to make additional contributions to the operating partnership. Assuming that a limited partner does not take part in the control of the business of the operating partnership and otherwise complies with the provisions of the partnership agreement, the liability of a limited partner for obligations of the operating partnership under the partnership agreement and the Delaware Revised Uniform Limited Partnership Act will be limited, with some exceptions, generally to the loss of the limited partner's investment in the operating partnership represented by his or her units. Under the Delaware Revised Uniform Limited Partnership Act, a limited partner may not receive a distribution from the operating partnership if, at the time of the distribution and after giving effect to the distribution, the liabilities of the operating partnership, other than liabilities to parties on account of their interests in the operating partnership and liabilities for which recourse is limited to specified property of the operating partnership, exceed the fair value of the operating partnership's assets, other than the fair value of any property subject to nonrecourse liabilities of the operating partnership, but only to the extent of such liabilities. The Delaware Revised Uniform Limited Partnership Act provides that a limited partner who receives a distribution knowing at the time that it violates the foregoing prohibition is liable to the operating partnership for the amount of the distribution. Unless otherwise agreed, a limited partner in the circumstances described in the preceding sentence will not be liable for the return of the distribution after the expiration of three years from the date of the distribution.</w:t>
      </w:r>
    </w:p>
    <w:p>
      <w:pPr>
        <w:spacing w:after="0" w:line="255"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The operating partnership has qualified to conduct business in the State of New York and may qualify in certain other jurisdictions. Maintenance of limited liability status may require compliance with legal requirements of those jurisdictions and some other jurisdictions. Limitations on the liability of a limited partner for the obligations of a limited partnership have not been clearly established in many jurisdictions. Accordingly, if it were determined that the right, or exercise of the right by the limited partners, to make some amendments to the partnership agreement or to take other action under the partnership agreement constituted "control" of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684" w:right="339" w:bottom="1440" w:gutter="0" w:footer="0" w:header="0"/>
        </w:sectPr>
      </w:pPr>
    </w:p>
    <w:bookmarkStart w:id="144" w:name="page145"/>
    <w:bookmarkEnd w:id="144"/>
    <w:p>
      <w:pPr>
        <w:jc w:val="both"/>
        <w:spacing w:after="0" w:line="296" w:lineRule="auto"/>
        <w:rPr>
          <w:sz w:val="20"/>
          <w:szCs w:val="20"/>
          <w:color w:val="auto"/>
        </w:rPr>
      </w:pPr>
      <w:r>
        <w:rPr>
          <w:rFonts w:ascii="Times New Roman" w:cs="Times New Roman" w:eastAsia="Times New Roman" w:hAnsi="Times New Roman"/>
          <w:sz w:val="17"/>
          <w:szCs w:val="17"/>
          <w:color w:val="auto"/>
        </w:rPr>
        <w:t>the operating partnership's business for the purposes of the statutes of any relevant jurisdiction, the limited partners might be held personally liable for the operating partnership's obligations.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Exculpation and Indemnification of Vornado Realty Trust</w:t>
      </w:r>
    </w:p>
    <w:p>
      <w:pPr>
        <w:spacing w:after="0" w:line="10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The partnership agreement generally provides that Vornado Realty Trust, as general partner of the operating partnership, will incur no liability to the operating partnership or any limited partner for losses sustained, liabilities incurred or benefits not derived as a result of errors in judgment or mistakes of fact or law or any act or omission, if it acted in good faith. In addition, Vornado Realty Trust is not responsible for any misconduct or negligence on the part of its agents, provided it appointed those agents in good faith. Vornado Realty Trust may consult with legal counsel, accountants, appraisers, management consultants, investment bankers and other consultants and advisors, and any action it takes or omits to take in reliance upon the opinion of those persons, as to matters that it reasonably believes to be within their professional or expert competence, will be conclusively presumed to have been done or omitted in good faith and in accordance with the opinion of those persons.</w:t>
      </w:r>
    </w:p>
    <w:p>
      <w:pPr>
        <w:spacing w:after="0" w:line="59"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partnership agreement also provides for indemnification of Vornado Realty Trust and the indemnification of its trustees and officers and any other persons that it may from time to time designate against any and all losses, claims, damages, liabilities, expenses, judgments, fines, settlements and other amounts incurred by an indemnified person in connection with any proceeding and related to the operating partnership or Vornado Realty Trust, the formation and operations of the operating partnership or Vornado Realty Trust or the ownership of property by the operating partnership or Vornado Realty Trust, unless it is established by a final determination of a court of competent jurisdiction that:</w:t>
      </w:r>
    </w:p>
    <w:p>
      <w:pPr>
        <w:spacing w:after="0" w:line="39" w:lineRule="exact"/>
        <w:rPr>
          <w:sz w:val="20"/>
          <w:szCs w:val="20"/>
          <w:color w:val="auto"/>
        </w:rPr>
      </w:pPr>
    </w:p>
    <w:p>
      <w:pPr>
        <w:ind w:left="940" w:hanging="306"/>
        <w:spacing w:after="0" w:line="268" w:lineRule="auto"/>
        <w:tabs>
          <w:tab w:leader="none" w:pos="936"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 or omission of the indemnified person was material to the matter giving rise to the proceeding and either was committed in bad faith or was the result of active and deliberate dishonesty;</w:t>
      </w:r>
    </w:p>
    <w:p>
      <w:pPr>
        <w:ind w:left="940" w:hanging="306"/>
        <w:spacing w:after="0"/>
        <w:tabs>
          <w:tab w:leader="none" w:pos="9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indemnified person actually received an improper personal benefit in money, property or services; or</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criminal proceeding, the indemnified person had reasonable cause to believe that the act or omission was unlawful.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of Assets</w:t>
      </w:r>
    </w:p>
    <w:p>
      <w:pPr>
        <w:spacing w:after="0" w:line="88"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Under the partnership agreement, Vornado Realty Trust generally has the exclusive authority to determine whether, when and on what terms assets of the operating partnership will be sold, as long as any sale of a property covered by a lockup agreement complies with such agreement. The partnership agreement prohibits Vornado Realty Trust from engaging in any merger, consolidation or other combination with or into another person, sale of all or substantially all of its assets or any reclassification, recapitalization or change of the terms of any outstanding common shares unless, in connection with the transaction, all limited partners other than Vornado Realty Trust and entities controlled by Vornado Realty Trust will have the right to elect to receive, or will receive, for each unit an amount of cash, securities or other property equal to the conversion factor multiplied by the greatest amount of cash, securities or other property paid to a holder of shares of beneficial interest of Vornado, if any, corresponding to that unit in consideration of one share of that kind. Vornado Realty Trust refers to transactions described in the preceding sentence as "termination transactions." The conversion factor is initially 1.0, but will be adjusted as necessary to prevent dilution or inflation of the interests of limited partners that would result if Vornado Realty Trust were to pay a dividend on its outstanding shares of beneficial interest in shares of beneficial interest, subdivide its outstanding shares of beneficial interest or combine its outstanding shares of beneficial interest into a smaller number of shares, in each case without a corresponding issuance to, or redemption or exchange of interests held by, limited partners in the operating partnership.</w:t>
      </w:r>
    </w:p>
    <w:p>
      <w:pPr>
        <w:spacing w:after="0" w:line="26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See "—Borrowing by the Operating Partnership" above for information about lockup agreements which limit the ability of Vornado Realty Trust to sell some of its properties.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Removal of the General Partner; Transfer of Interests of Vornado Realty Trust</w:t>
      </w:r>
    </w:p>
    <w:p>
      <w:pPr>
        <w:spacing w:after="0" w:line="108"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The partnership agreement provides that the limited partners may not remove Vornado Realty Trust as general partner of the operating partnership with or without cause. The partnership agreement also generally prohibits Vornado Realty Trust from withdrawing as general partner of the operating partnership or transferring any of its interests in the operating partnership to any other person, except in each case, in connection with a termination transaction. In addition, the partnership agreement prohibits Vornado Realty Trust from engaging in any termination transaction unless all limited partners other than Vornado Realty Trust and entities controlled by Vornado Realty Trust will have the right in the termination transaction to elect to receive, or will receive, for each unit an amount of cash, securities or other property equal to the conversion factor multiplied by the greatest amount of cash, securities or other property paid to a holder of shares of beneficial interest of Vornado, if any, corresponding to that unit in consideration of one share of Vornado. The lock-up provisions and the gross-up provisions do not apply to a sale or other transfer by Vornado Realty Trust of is interests as a partner in the operating partnership, but they would apply to transfers of assets of the operating partnership undertaken during the period when the lock-up agreements are in effect as part of any sale or other transfer by Vornado Realty Trust of its interests as a partner in the operating partnership. See "—Borrowing by the Operating Partnership" for a description of the restrictions on transfers of assets under the lock-up agreements.</w:t>
      </w:r>
    </w:p>
    <w:p>
      <w:pPr>
        <w:spacing w:after="0" w:line="59"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partnership agreement does not prevent a transaction in which another entity acquires control or all of Vornado Realty Trust’s shares nor does it prevent any holder of interests in Vornado Realty Trust from owning assets or conducting businesses outside of the operating partnership.</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684"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color w:val="auto"/>
        </w:rPr>
        <w:t>Restrictions on Transfers of Units by Limited Partners</w:t>
      </w:r>
    </w:p>
    <w:p>
      <w:pPr>
        <w:spacing w:after="0" w:line="95"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Subject to the percentage limitations discussed below, a limited partner, other than Vornado Realty Trust and some members of the Mendik group and FW/Mendik REIT, is permitted to transfer all or any portion of his or her units without restriction, provided that the limited partner obtains the prior written consent of Vornado Realty Trust, which it may withhold only if (a) it determines in its sole discretion exercised in good faith that the transfer would cause the operating partnership or any or all of the partners other than the partner seeking to make the transfer to incur tax liability or (b) if it determines that any of the circumstances referred to in the next paragraph exist. In addition, limited partners other than Vornado Realty Trust or any of its subsidiaries are permitted to dispose of their units by exercising their right to redeem units as described under "Redemption and Conversion of Units" above.</w:t>
      </w:r>
    </w:p>
    <w:p>
      <w:pPr>
        <w:spacing w:after="0" w:line="54" w:lineRule="exact"/>
        <w:rPr>
          <w:sz w:val="20"/>
          <w:szCs w:val="20"/>
          <w:color w:val="auto"/>
        </w:rPr>
      </w:pPr>
    </w:p>
    <w:p>
      <w:pPr>
        <w:jc w:val="both"/>
        <w:ind w:firstLine="314"/>
        <w:spacing w:after="0" w:line="259" w:lineRule="auto"/>
        <w:rPr>
          <w:sz w:val="20"/>
          <w:szCs w:val="20"/>
          <w:color w:val="auto"/>
        </w:rPr>
      </w:pPr>
      <w:r>
        <w:rPr>
          <w:rFonts w:ascii="Times New Roman" w:cs="Times New Roman" w:eastAsia="Times New Roman" w:hAnsi="Times New Roman"/>
          <w:sz w:val="17"/>
          <w:szCs w:val="17"/>
          <w:color w:val="auto"/>
        </w:rPr>
        <w:t xml:space="preserve">Vornado Realty Trust may withhold its consent to any proposed transfer (including any sale, assignment, gift, pledge, encumbrance or other disposition by law or otherwise, and including any redemption pursuant to the redemption rights described under "—Redemption or Conversion of Units" above) for a variety of reasons set forth in Article XI of the partnership agreement. These reasons include, without limitation, a determination by Vornado Realty Trust, in its sole and absolute discretion, that the transfer in question would (i) cause a termination of the operating partnership for tax purposes, (ii) cause the operating partnership to become a "party-in-interest" or a "disqualified person" with respect to any employee benefit plan subject to ERISA, (iii) cause the operating partnership to become a publicly-traded partnership (as defined in Section 469(k)(2) or Section 7704 of the Internal Revenue Code), (iv) cause the operating partnership to become subject to regulation under the Investment Company Act of 1940 or ERISA, (v) adversely affect Vornado Realty Trust’s ability to continue to qualify as a REIT or (vi) subject Vornado Realty Trust or the operating partnership to any additional taxes under Section 857 or Section 4981 of the Internal Revenue Code. In addition, no partner of the operating partnership may pledge or transfer any of its units to a lender to the operating partnership or any person who is related (within the meaning of Section 1.752-4(b) of the Treasury regulations) to any lender to the operating partnership whose loan constitutes a nonrecourse liability without the consent of Vornado Realty Trust, in its sole and absolute discretion, and without entering into an agreement with Vornado Realty Trust as described in the partnership agreement. The partnership agreement also </w:t>
      </w:r>
      <w:r>
        <w:rPr>
          <w:rFonts w:ascii="Times New Roman" w:cs="Times New Roman" w:eastAsia="Times New Roman" w:hAnsi="Times New Roman"/>
          <w:sz w:val="17"/>
          <w:szCs w:val="17"/>
          <w:color w:val="212529"/>
        </w:rPr>
        <w:t>provides that unless exempt due to a waiver granted by Vornado Realty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Trust, no limited partnership interest in the operating partnership or portion thereof may be transferred in whole or in part, directly or indirectly, if such transfer would cause (i) any “foreign person” (as such term is used in Section 897(h)(4)(b) of the Internal Revenue Code) who already owns any limited partnership interest, to increase its direct or indirect ownership of limited partnership interests, or (ii) any foreign person, other than an a foreign person that owns any direct or indirect interest in the operating partnership on and as of August 7, 2019, to directly or indirectly own any such limited partnership interests. Any purported transfer to a foreign person in violation of the foregoing shall be deemed void ab initio and shall have no force or effect.</w:t>
      </w:r>
    </w:p>
    <w:p>
      <w:pPr>
        <w:spacing w:after="0" w:line="68"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Transfers of operating partnership units (other than "private transfers" as defined in the regulations under the Internal Revenue Code) are limited in any one taxable year of the operating partnership to 2% of the interests in capital or profits not held by Vornado Realty Trust or certain of its affiliates, and Vornado Realty Trust has the right and currently intends to refuse to permit any attempted transfer of operating partnership units by a holder of such units that, when aggregated with prior redemptions and transfers by other holders of operating partnership units, would exceed this limit. In addition, redemptions of operating partnership units by the operating partnership pursuant to the redemption right of such units and transfers of operating partnership units to Vornado Realty Trust as a result of its assumption and performance of the operating partnership's obligation with respect to the redemption right of units, together with other transfers and redemptions (other than certain of the redemptions or transfers qualifying as "private transfers" under the regulations under Section 7704 of the Internal Revenue Code), are limited in any one taxable year to 10% of the interests in capital or profits not held by Vornado Realty Trust or certain of its affiliates, and it has the right and currently intends to refuse to permit certain redemptions and other transfers of operating partnership units that, when aggregated with prior redemptions and transfers, would exceed this limit.</w:t>
      </w:r>
    </w:p>
    <w:p>
      <w:pPr>
        <w:spacing w:after="0" w:line="4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Any permitted transferee of units may become a substituted limited partner only with Vornado Realty Trust’s consent, and it may withhold its consent in its sole and absolute discretion. If it does not consent to the admission of a transferee of units as a substituted limited partner, then the transferee will succeed to the economic rights and benefits attributable to the units, including the right to redeem units, but will not become a limited partner or possess any other rights of limited partners, including the right to vote.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Withdrawal by Limited Partners</w:t>
      </w:r>
    </w:p>
    <w:p>
      <w:pPr>
        <w:spacing w:after="0" w:line="10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No limited partner has the right to withdraw from or reduce his or her capital contribution to the operating partnership, except as a result of the redemption, exchange or transfer of units under the terms of the partnership agreement.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Issuance of Limited Partnership Interests</w:t>
      </w:r>
    </w:p>
    <w:p>
      <w:pPr>
        <w:spacing w:after="0" w:line="10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Vornado Realty Trust is authorized, without the consent of the limited partners, to cause the operating partnership to issue limited partnership interests to Vornado Realty Trust, to the limited partners and to other persons for the consideration and upon the terms and conditions that it deems appropriate. The operating partnership also may issue partnership interests in different series or classes. Units may be issued to Vornado Realty Trust only if it issues shares of beneficial interest and contributes to the operating partnership the proceeds received by it from the issuance of the shares. Consideration for partnership interests may be cash or any property or other assets permitted by the Delaware Revised Uniform Limited Partnership Act. Except to the extent expressly granted by Vornado Realty Trust on behalf of the partnership pursuant to another agreement, no limited partner has preemptive, preferential or similar rights with respect to capital contributions to the operating partnership or the issuance or sale of any partnership interests.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682"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color w:val="auto"/>
        </w:rPr>
        <w:t>Meetings and Voting</w:t>
      </w:r>
    </w:p>
    <w:p>
      <w:pPr>
        <w:spacing w:after="0" w:line="95"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Meetings of the limited partners may be proposed and called only by Vornado Realty Trust. Limited partners may vote either in person or by proxy at meetings. Any action that is required or permitted to be taken by the limited partners may be taken either at a meeting of the limited partners or without a meeting if consents in writing stating the action so taken are signed by limited partners owning not less than the minimum number of units that would be necessary to authorize or take the action at a meeting of the limited partners at which all limited partners entitled to vote on the action were present. On matters in which limited partners are entitled to vote, each limited partner, including Vornado Realty Trust to the extent it holds units, will have a vote equal to the number of common units he or she holds. At this time, there is no voting preference among the classes of common units. The preferred units have no voting rights, except as required by law or the terms of a particular series of preferred units. A transferee of units who has not been admitted as a substituted limited partner with respect to his or her transferred units will have no voting rights with respect to those units, even if the transferee holds other units as to which he or she has been admitted as a limited partner, and units owned by the transferee will be deemed to be voted on any matter in the same proportion as all other interests held by limited partners are voted. The partnership agreement does not provide for annual meetings of the limited partners, and Vornado Realty Trust does not anticipate calling such meetings.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 of the Partnership Agreement</w:t>
      </w:r>
    </w:p>
    <w:p>
      <w:pPr>
        <w:spacing w:after="0" w:line="10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Amendments to the partnership agreement may be proposed only by Vornado Realty Trust. Vornado Realty Trust generally has the power, without the consent of any limited partners, to amend the partnership agreement as may be required to reflect any changes to the agreement that it deems necessary or appropriate in its sole discretion, provided that the amendment does not adversely affect or eliminate any right granted to a limited partner that is protected by the special voting provisions described below. Limitations on its power to amend the partnership agreement are described below.</w:t>
      </w:r>
    </w:p>
    <w:p>
      <w:pPr>
        <w:spacing w:after="0" w:line="37"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partnership agreement provides that it generally may not be amended with respect to any partner adversely affected by the amendment without the consent of that partner if the amendment would:</w:t>
      </w:r>
    </w:p>
    <w:p>
      <w:pPr>
        <w:spacing w:after="0" w:line="29" w:lineRule="exact"/>
        <w:rPr>
          <w:sz w:val="20"/>
          <w:szCs w:val="20"/>
          <w:color w:val="auto"/>
        </w:rPr>
      </w:pPr>
    </w:p>
    <w:p>
      <w:pPr>
        <w:ind w:left="940" w:hanging="306"/>
        <w:spacing w:after="0"/>
        <w:tabs>
          <w:tab w:leader="none" w:pos="9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 a limited partner's interest into a general partner's interest;</w:t>
      </w:r>
    </w:p>
    <w:p>
      <w:pPr>
        <w:spacing w:after="0" w:line="32"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the limited liability of a limited partner;</w:t>
      </w:r>
    </w:p>
    <w:p>
      <w:pPr>
        <w:spacing w:after="0" w:line="14" w:lineRule="exact"/>
        <w:rPr>
          <w:rFonts w:ascii="Times New Roman" w:cs="Times New Roman" w:eastAsia="Times New Roman" w:hAnsi="Times New Roman"/>
          <w:sz w:val="17"/>
          <w:szCs w:val="17"/>
          <w:color w:val="auto"/>
        </w:rPr>
      </w:pPr>
    </w:p>
    <w:p>
      <w:pPr>
        <w:jc w:val="both"/>
        <w:ind w:left="940" w:hanging="306"/>
        <w:spacing w:after="0" w:line="265" w:lineRule="auto"/>
        <w:tabs>
          <w:tab w:leader="none" w:pos="936"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Section 7.11.A, which prohibits Vornado Realty Trust from taking any action in contravention of an express prohibition or limitation in the partnership agreement without the written consent of all partners adversely affected by the action or any lower percentage of the limited partnership interests that may be specifically provided for in the partnership agreement or under the Delaware Revised Uniform Limited Partnership Act;</w:t>
      </w:r>
    </w:p>
    <w:p>
      <w:pPr>
        <w:spacing w:after="0" w:line="190" w:lineRule="exact"/>
        <w:rPr>
          <w:rFonts w:ascii="Times New Roman" w:cs="Times New Roman" w:eastAsia="Times New Roman" w:hAnsi="Times New Roman"/>
          <w:sz w:val="17"/>
          <w:szCs w:val="17"/>
          <w:color w:val="auto"/>
        </w:rPr>
      </w:pPr>
    </w:p>
    <w:p>
      <w:pPr>
        <w:jc w:val="both"/>
        <w:ind w:left="940" w:hanging="306"/>
        <w:spacing w:after="0" w:line="257" w:lineRule="auto"/>
        <w:tabs>
          <w:tab w:leader="none" w:pos="936"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Article V, which governs distributions, Article VI, which governs allocations of income and loss for capital account purposes, or Section 13.2.A(3), which provides for distributions, after payment of partnership debts, among partners according to their capital accounts upon a winding up of the operating partnership;</w:t>
      </w:r>
    </w:p>
    <w:p>
      <w:pPr>
        <w:ind w:left="940" w:hanging="306"/>
        <w:spacing w:after="0"/>
        <w:tabs>
          <w:tab w:leader="none" w:pos="9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Section 8.6, which provides redemption rights; or</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the provision being described in this paragraph.</w:t>
      </w:r>
    </w:p>
    <w:p>
      <w:pPr>
        <w:spacing w:after="0" w:line="101" w:lineRule="exact"/>
        <w:rPr>
          <w:sz w:val="20"/>
          <w:szCs w:val="20"/>
          <w:color w:val="auto"/>
        </w:rPr>
      </w:pPr>
    </w:p>
    <w:p>
      <w:pPr>
        <w:ind w:firstLine="314"/>
        <w:spacing w:after="0" w:line="268" w:lineRule="auto"/>
        <w:rPr>
          <w:sz w:val="20"/>
          <w:szCs w:val="20"/>
          <w:color w:val="auto"/>
        </w:rPr>
      </w:pPr>
      <w:r>
        <w:rPr>
          <w:rFonts w:ascii="Times New Roman" w:cs="Times New Roman" w:eastAsia="Times New Roman" w:hAnsi="Times New Roman"/>
          <w:sz w:val="17"/>
          <w:szCs w:val="17"/>
          <w:color w:val="auto"/>
        </w:rPr>
        <w:t>In addition, except with the consent of a majority of the common limited partners, excluding Vornado Realty Trust and entities controlled by Vornado Realty Trust, Vornado Realty Trust may not amend:</w:t>
      </w:r>
    </w:p>
    <w:p>
      <w:pPr>
        <w:spacing w:after="0" w:line="1" w:lineRule="exact"/>
        <w:rPr>
          <w:sz w:val="20"/>
          <w:szCs w:val="20"/>
          <w:color w:val="auto"/>
        </w:rPr>
      </w:pPr>
    </w:p>
    <w:p>
      <w:pPr>
        <w:ind w:left="940" w:hanging="306"/>
        <w:spacing w:after="0"/>
        <w:tabs>
          <w:tab w:leader="none" w:pos="9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4.2.A, which authorizes issuance of additional limited partnership interests;</w:t>
      </w:r>
    </w:p>
    <w:p>
      <w:pPr>
        <w:spacing w:after="0" w:line="14" w:lineRule="exact"/>
        <w:rPr>
          <w:rFonts w:ascii="Times New Roman" w:cs="Times New Roman" w:eastAsia="Times New Roman" w:hAnsi="Times New Roman"/>
          <w:sz w:val="17"/>
          <w:szCs w:val="17"/>
          <w:color w:val="auto"/>
        </w:rPr>
      </w:pPr>
    </w:p>
    <w:p>
      <w:pPr>
        <w:ind w:left="940" w:hanging="306"/>
        <w:spacing w:after="0" w:line="257" w:lineRule="auto"/>
        <w:tabs>
          <w:tab w:leader="none" w:pos="936"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5.1.C, which requires that if Vornado Realty Trust is not a REIT or a publicly traded entity it must for each taxable year make cash distributions equal to at least 95% of the operating partnership's taxable income;</w:t>
      </w:r>
    </w:p>
    <w:p>
      <w:pPr>
        <w:jc w:val="both"/>
        <w:ind w:left="940" w:hanging="306"/>
        <w:spacing w:after="0" w:line="257" w:lineRule="auto"/>
        <w:tabs>
          <w:tab w:leader="none" w:pos="936"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7.5, which prohibits Vornado Realty Trust from conducting any business other than in connection with the ownership of interests in the operating partnership except with the consent of a majority of the common limited partners, excluding Vornado Realty Trust and any entity controlled by Vornado Realty Trust;</w:t>
      </w:r>
    </w:p>
    <w:p>
      <w:pPr>
        <w:ind w:left="940" w:hanging="306"/>
        <w:spacing w:after="0"/>
        <w:tabs>
          <w:tab w:leader="none" w:pos="9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7.6, which limits the operating partnership's ability to enter into transactions with affiliates;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7.8, which establishes limits on Vornado Realty Trust’s liabilities to the operating partnership and the limited partners;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11.2, which limits Vornado Realty Trust’ ability to transfer its interests in the operating partnership;</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13.1, which describes the manner and circumstances in which the operating partnership will be dissolved;</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14.1.C, which establishes the limitations on amendments being described in this paragraph; or</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14.2, which establishes the rules governing meetings of partners.</w:t>
      </w:r>
    </w:p>
    <w:p>
      <w:pPr>
        <w:spacing w:after="0" w:line="88" w:lineRule="exact"/>
        <w:rPr>
          <w:sz w:val="20"/>
          <w:szCs w:val="20"/>
          <w:color w:val="auto"/>
        </w:rPr>
      </w:pPr>
    </w:p>
    <w:p>
      <w:pPr>
        <w:jc w:val="both"/>
        <w:ind w:firstLine="359"/>
        <w:spacing w:after="0" w:line="276" w:lineRule="auto"/>
        <w:rPr>
          <w:sz w:val="20"/>
          <w:szCs w:val="20"/>
          <w:color w:val="auto"/>
        </w:rPr>
      </w:pPr>
      <w:r>
        <w:rPr>
          <w:rFonts w:ascii="Times New Roman" w:cs="Times New Roman" w:eastAsia="Times New Roman" w:hAnsi="Times New Roman"/>
          <w:sz w:val="17"/>
          <w:szCs w:val="17"/>
          <w:color w:val="auto"/>
        </w:rPr>
        <w:t>In addition, any amendment that would affect those lockup agreements that are part of the partnership agreement requires the consent of 75% of the limited partners benefited by those lockup agreements, with some exceptions. See "—Borrowing by the Operating Partnership" above for information about the lockup agreements.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Books and Reports</w:t>
      </w:r>
    </w:p>
    <w:p>
      <w:pPr>
        <w:spacing w:after="0" w:line="108" w:lineRule="exact"/>
        <w:rPr>
          <w:sz w:val="20"/>
          <w:szCs w:val="20"/>
          <w:color w:val="auto"/>
        </w:rPr>
      </w:pPr>
    </w:p>
    <w:p>
      <w:pPr>
        <w:jc w:val="both"/>
        <w:ind w:hanging="78"/>
        <w:spacing w:after="0" w:line="268" w:lineRule="auto"/>
        <w:rPr>
          <w:sz w:val="20"/>
          <w:szCs w:val="20"/>
          <w:color w:val="auto"/>
        </w:rPr>
      </w:pPr>
      <w:r>
        <w:rPr>
          <w:rFonts w:ascii="Times New Roman" w:cs="Times New Roman" w:eastAsia="Times New Roman" w:hAnsi="Times New Roman"/>
          <w:sz w:val="17"/>
          <w:szCs w:val="17"/>
          <w:color w:val="auto"/>
        </w:rPr>
        <w:t>Vornado Realty Trust is required to keep the operating partnership's books and records at the principal office of the operating partnership. The books of the operating partnership are required to be maintained for financial and tax reporting purposes on an accrual basis in accordance with generally accepted accounting principles, which we refer to as "GAAP." The limited partners have the right, with some limitations, to receive copies of the most recent annual and quarterly reports filed with the SEC by Vornado Realty Trust, the operating partnership's federal, state and local income tax returns, a list of limited partners, the partnership agreement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682" w:right="339" w:bottom="1440" w:gutter="0" w:footer="0" w:header="0"/>
        </w:sectPr>
      </w:pPr>
    </w:p>
    <w:bookmarkStart w:id="147" w:name="page148"/>
    <w:bookmarkEnd w:id="147"/>
    <w:p>
      <w:pPr>
        <w:jc w:val="both"/>
        <w:spacing w:after="0" w:line="276" w:lineRule="auto"/>
        <w:rPr>
          <w:sz w:val="20"/>
          <w:szCs w:val="20"/>
          <w:color w:val="auto"/>
        </w:rPr>
      </w:pPr>
      <w:r>
        <w:rPr>
          <w:rFonts w:ascii="Times New Roman" w:cs="Times New Roman" w:eastAsia="Times New Roman" w:hAnsi="Times New Roman"/>
          <w:sz w:val="17"/>
          <w:szCs w:val="17"/>
          <w:color w:val="auto"/>
        </w:rPr>
        <w:t>and the partnership certificate and all amendments to the partnership certificate. Vornado Realty Trust may keep confidential from the limited partners any information that it believes to be in the nature of trade secrets or other information whose disclosure it in good faith believes is not in the best interests of the operating partnership or which the operating partnership is required by law or by agreements with unaffiliated third parties to keep confidential.</w:t>
      </w:r>
    </w:p>
    <w:p>
      <w:pPr>
        <w:spacing w:after="0" w:line="33"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Vornado Realty Trust will furnish to each limited partner, no later than the date on which it mails its annual report to its shareholders, an annual report containing financial statements of the operating partnership, or of Vornado Realty Trust, if it prepares consolidated financial statements including the operating partnership, for each fiscal year, presented in accordance with GAAP. The financial statements will be audited by a nationally recognized firm of independent public accountants selected by Vornado Realty Trust. In addition, if and to the extent that it mails quarterly reports to its shareholders, Vornado Realty Trust will furnish to each limited partner, no later than the date on which it mails the quarterly reports to its shareholders, a report containing unaudited financial statements of the operating partnership, or of Vornado Realty Trust, if the reports are prepared on a consolidated basis, as of the last day of the quarter and any other information that may be required by applicable law or regulation or that it deems appropriate.</w:t>
      </w:r>
    </w:p>
    <w:p>
      <w:pPr>
        <w:spacing w:after="0" w:line="59"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operating partnership is presently subject to the informational requirements of the Exchange Act, and in accordance therewith, files reports and other information with the SEC. Such reports and other information are also available from the SEC's Internet site (</w:t>
      </w:r>
      <w:r>
        <w:rPr>
          <w:rFonts w:ascii="Times New Roman" w:cs="Times New Roman" w:eastAsia="Times New Roman" w:hAnsi="Times New Roman"/>
          <w:sz w:val="17"/>
          <w:szCs w:val="17"/>
          <w:i w:val="1"/>
          <w:iCs w:val="1"/>
          <w:color w:val="auto"/>
        </w:rPr>
        <w:t>https://www.sec.gov</w:t>
      </w:r>
      <w:r>
        <w:rPr>
          <w:rFonts w:ascii="Times New Roman" w:cs="Times New Roman" w:eastAsia="Times New Roman" w:hAnsi="Times New Roman"/>
          <w:sz w:val="17"/>
          <w:szCs w:val="17"/>
          <w:color w:val="auto"/>
        </w:rPr>
        <w:t>).</w:t>
      </w:r>
    </w:p>
    <w:p>
      <w:pPr>
        <w:spacing w:after="0" w:line="29"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Vornado Realty Trust will use reasonable efforts to furnish to each limited partner, within 90 days after the close of each taxable year, the tax information reasonably required by the limited partners for Federal and state income tax reporting purposes.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08"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Under the terms of the partnership agreement, each limited partner and each assignee appoints Vornado Realty Trust, any liquidator, and the authorized officers and attorneys-in-fact of each, as the limited partner's or assignee's attorney-in-fact to do the following:</w:t>
      </w:r>
    </w:p>
    <w:p>
      <w:pPr>
        <w:spacing w:after="0" w:line="29" w:lineRule="exact"/>
        <w:rPr>
          <w:sz w:val="20"/>
          <w:szCs w:val="20"/>
          <w:color w:val="auto"/>
        </w:rPr>
      </w:pPr>
    </w:p>
    <w:p>
      <w:pPr>
        <w:jc w:val="both"/>
        <w:ind w:left="940" w:hanging="306"/>
        <w:spacing w:after="0" w:line="259" w:lineRule="auto"/>
        <w:tabs>
          <w:tab w:leader="none" w:pos="936"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execute, swear to, acknowledge, deliver, file and record in the appropriate public offices (a) all certificates, documents and other instruments including, among other things, the partnership agreement and the certificate of limited partnership and all amendments or restatements of the certificate of limited partnership that Vornado Realty Trust or any liquidator deems appropriate or necessary to form, qualify or maintain the existence of the operating partnership as a limited partnership in the State of Delaware and in all other jurisdictions in which the operating partnership may conduct business or own property, (b) all instruments that Vornado Realty Trust or any liquidator deems appropriate or necessary to reflect any amendment or restatement of the partnership agreement in accordance with its terms, (c) all conveyances and other instruments that Vornado Realty Trust or any liquidator deems appropriate or necessary to reflect the dissolution and liquidation of the operating partnership under the terms of the partnership agreement, (d) all instruments relating to the admission, withdrawal, removal or substitution of any partner, any transfer of units or the capital contribution of any partner and (e) all certificates, documents and other instruments relating to the determination of the rights, preferences and privileges of partnership interests; and</w:t>
      </w:r>
    </w:p>
    <w:p>
      <w:pPr>
        <w:spacing w:after="0" w:line="4" w:lineRule="exact"/>
        <w:rPr>
          <w:rFonts w:ascii="Times New Roman" w:cs="Times New Roman" w:eastAsia="Times New Roman" w:hAnsi="Times New Roman"/>
          <w:sz w:val="17"/>
          <w:szCs w:val="17"/>
          <w:color w:val="auto"/>
        </w:rPr>
      </w:pPr>
    </w:p>
    <w:p>
      <w:pPr>
        <w:jc w:val="both"/>
        <w:ind w:left="940" w:hanging="306"/>
        <w:spacing w:after="0" w:line="257" w:lineRule="auto"/>
        <w:tabs>
          <w:tab w:leader="none" w:pos="936"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execute, swear to, acknowledge and file all ballots, consents, approvals, waivers, certificates and other instruments appropriate or necessary, in the sole and absolute discretion of Vornado Realty Trust or any liquidator, to make, evidence, give, confirm or ratify any vote, consent, approval, agreement or other action which is made or given by the partners under the partnership agreement or is consistent with the terms of the partnership agreement or appropriate or necessary, in the sole discretion of Vornado Realty Trust or any liquidator, to effectuate the terms or intent of the</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partnership agreement.</w:t>
      </w:r>
    </w:p>
    <w:p>
      <w:pPr>
        <w:spacing w:after="0" w:line="14"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The partnership agreement provides that this power of attorney is irrevocable, will survive the subsequent incapacity of any limited partner and the transfer of all or any portion of the limited partner’s or assignee's units and will extend to the limited partner's or assignee's heirs, successors, assigns and personal representatives.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684" w:right="339" w:bottom="1440" w:gutter="0" w:footer="0" w:header="0"/>
        </w:sectPr>
      </w:pPr>
    </w:p>
    <w:bookmarkStart w:id="148" w:name="page149"/>
    <w:bookmarkEnd w:id="148"/>
    <w:p>
      <w:pPr>
        <w:ind w:left="320"/>
        <w:spacing w:after="0"/>
        <w:rPr>
          <w:sz w:val="20"/>
          <w:szCs w:val="20"/>
          <w:color w:val="auto"/>
        </w:rPr>
      </w:pPr>
      <w:r>
        <w:rPr>
          <w:rFonts w:ascii="Times New Roman" w:cs="Times New Roman" w:eastAsia="Times New Roman" w:hAnsi="Times New Roman"/>
          <w:sz w:val="17"/>
          <w:szCs w:val="17"/>
          <w:b w:val="1"/>
          <w:bCs w:val="1"/>
          <w:color w:val="auto"/>
        </w:rPr>
        <w:t>Dissolution, Winding Up and Termination</w:t>
      </w:r>
    </w:p>
    <w:p>
      <w:pPr>
        <w:spacing w:after="0" w:line="10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operating partnership will continue until December 31, 2095, as this date may be extended by Vornado Realty Trust in its sole discretion, unless sooner dissolved and terminated. The operating partnership will be dissolved before the expiration of its term, and its affairs wound up upon the occurrence of the earliest of:</w:t>
      </w:r>
    </w:p>
    <w:p>
      <w:pPr>
        <w:spacing w:after="0" w:line="33" w:lineRule="exact"/>
        <w:rPr>
          <w:sz w:val="20"/>
          <w:szCs w:val="20"/>
          <w:color w:val="auto"/>
        </w:rPr>
      </w:pPr>
    </w:p>
    <w:p>
      <w:pPr>
        <w:ind w:left="940" w:hanging="306"/>
        <w:spacing w:after="0" w:line="268" w:lineRule="auto"/>
        <w:tabs>
          <w:tab w:leader="none" w:pos="936"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Vornado Realty Trust’s withdrawal as general partner without the permitted transfer of its interest to a successor general partner, except in some limited circumstances;</w:t>
      </w:r>
    </w:p>
    <w:p>
      <w:pPr>
        <w:ind w:left="940" w:hanging="306"/>
        <w:spacing w:after="0" w:line="257" w:lineRule="auto"/>
        <w:tabs>
          <w:tab w:leader="none" w:pos="936"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of all or substantially all of the operating partnership's assets and properties, subject to the lock-up agreements during the period when the lock-up agreements are in effect;</w:t>
      </w:r>
    </w:p>
    <w:p>
      <w:pPr>
        <w:ind w:left="940" w:hanging="306"/>
        <w:spacing w:after="0" w:line="257" w:lineRule="auto"/>
        <w:tabs>
          <w:tab w:leader="none" w:pos="936"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of a decree of judicial dissolution of the operating partnership under the provisions of the Delaware Revised Uniform Limited Partnership Act;</w:t>
      </w:r>
    </w:p>
    <w:p>
      <w:pPr>
        <w:jc w:val="both"/>
        <w:ind w:left="940" w:hanging="306"/>
        <w:spacing w:after="0" w:line="265" w:lineRule="auto"/>
        <w:tabs>
          <w:tab w:leader="none" w:pos="936"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of a final non-appealable order for relief in a bankruptcy proceeding of the general partner, or the entry of a final non-appealable judgment ruling that the general partner is bankrupt or insolvent, except that, in either of these cases, in some circumstances the limited partners other than Vornado Realty Trust may vote to continue the operating partnership and substitute a new general partner in Vornado Realty Trust’s place; or</w:t>
      </w:r>
    </w:p>
    <w:p>
      <w:pPr>
        <w:spacing w:after="0" w:line="190"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December 31, 2046, on election by Vornado Realty Trust, in its sole and absolute discretion.</w:t>
      </w:r>
    </w:p>
    <w:p>
      <w:pPr>
        <w:spacing w:after="0" w:line="88"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Upon dissolution, Vornado Realty Trust, as general partner, or any liquidator will proceed to liquidate the assets of the operating partnership and apply the proceeds from the liquidation in the order of priority provided in the partnership agreement.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591"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VORNADO REALTY TRUST INSIDER TRADING POLICY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POLICY STATEMENT</w:t>
      </w:r>
    </w:p>
    <w:p>
      <w:pPr>
        <w:spacing w:after="0" w:line="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Federal and state securities laws prohibit a person from purchasing or selling a security issued by a public company at a time when that person possesses material information concerning the issuer of the security that has not yet become a matter of general public knowledge and that has been obtained as a result of the person’s special relationship to the issuer or is being used in breach of a duty to maintain the information in confidence. Accordingly, employees of Vornado Realty Trust (the “Company”) who are aware of any “material” information regarding the Company and/or its affiliates, their activities, or their proposed actions, which has not yet become public information, are prohibited by law and Company policy from trading in the Company’s and its affiliates’ securities.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Such “insider information” belongs to the Company only and must therefore be treated in the strictest confidence. It may not be used for personal investment or disclosed to outsiders (including immediate family members) or others in the Company who do not require such information in the conduct of their respective duties. Such information pertains to the Company and each of its affiliates, as well as to material, non-public information regarding other entities (“Other Entities”) learned while conducting Company business.</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Insider trading by employees or other actual or potential violation of securities laws or even the appearance of such may adversely affect the Company, the trading of its securities and the value of its securities. To prevent any actual or potential violation of securities laws or the appearance of such, the Company’s policy is to restrict certain persons from engaging in certain securities transactions at certain times called “Blackout Periods” (as discussed below). This policy applies to employees, trustees and their Immediate Family Members (as defined below) as well as to persons who may receive such “insider information” from an employee or due to such person’s relationship with the Company (“Covered Persons”).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POLICY</w:t>
      </w:r>
    </w:p>
    <w:p>
      <w:pPr>
        <w:spacing w:after="0" w:line="9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Covered Persons may not purchase or sell securities of the Company, any of its affiliates, or Other Entities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stocks, bonds, notes, debentures, or rights to acquire or dispose of securities, such as options, puts, calls or other derivative interests) while in possession of any material, non-public information with respect to the Company, any of its Affiliates or the Other Entity, as applicable. For purposes of this policy, gifts of securities will be treated as sales of securities.</w:t>
      </w:r>
    </w:p>
    <w:p>
      <w:pPr>
        <w:spacing w:after="0" w:line="4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No Covered Person should attempt to use such information, or purchase and sell securities while in possession of such information, by acting through any other person or entity.</w:t>
      </w:r>
    </w:p>
    <w:p>
      <w:pPr>
        <w:spacing w:after="0" w:line="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No Covered Person may communicate (or “tip”) insider information concerning the Company or Other Entities or otherwise disclose such information to any third-parties or to others in the Company who do not require such information in the conduct of their respective duties to the Company. Tipping may result in the same disciplinary actions and/or criminal or civil liability, even if the person communicating insider information does not gain directly or indirectly from any other persons trading while in possession of such insider information.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Covered Person may assist anyone in engaging in any of the above prohibited activities.</w:t>
      </w:r>
    </w:p>
    <w:p>
      <w:pPr>
        <w:spacing w:after="0" w:line="10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Violations of these provisions are not only unethical but may also subject you to criminal and/or civil liability under federal and state securities laws. In addition, violation of this policy may subject you to disciplinary action, up to and including termination, regardless of whether your actions are found to violate applicable law.</w:t>
      </w:r>
    </w:p>
    <w:p>
      <w:pPr>
        <w:spacing w:after="0" w:line="4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From time to time the Company may engage in transactions in its own securities. It is the Company’s policy to comply with all applicable securities laws when transacting in its own securities and the Company is prohibited from trading its own securities based upon material, non-public information.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106" w:lineRule="exact"/>
        <w:rPr>
          <w:sz w:val="20"/>
          <w:szCs w:val="20"/>
          <w:color w:val="auto"/>
        </w:rPr>
      </w:pPr>
    </w:p>
    <w:p>
      <w:pPr>
        <w:jc w:val="both"/>
        <w:ind w:left="320" w:hanging="315"/>
        <w:spacing w:after="0" w:line="265" w:lineRule="auto"/>
        <w:tabs>
          <w:tab w:leader="none" w:pos="315"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Insider Information. </w:t>
      </w:r>
      <w:r>
        <w:rPr>
          <w:rFonts w:ascii="Times New Roman" w:cs="Times New Roman" w:eastAsia="Times New Roman" w:hAnsi="Times New Roman"/>
          <w:sz w:val="17"/>
          <w:szCs w:val="17"/>
          <w:color w:val="auto"/>
        </w:rPr>
        <w:t>Generally, insider information is material, non-public information about the securities, activities, or financial condition of a public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or other issuer of securities. Material, non-public information concerning market developments also may be construed as insider information. In certain cases, information regarding non-public companies may be considered “insider information.”</w:t>
      </w:r>
    </w:p>
    <w:p>
      <w:pPr>
        <w:spacing w:after="0" w:line="1" w:lineRule="exact"/>
        <w:rPr>
          <w:rFonts w:ascii="Times New Roman" w:cs="Times New Roman" w:eastAsia="Times New Roman" w:hAnsi="Times New Roman"/>
          <w:sz w:val="17"/>
          <w:szCs w:val="17"/>
          <w:color w:val="auto"/>
        </w:rPr>
      </w:pPr>
    </w:p>
    <w:p>
      <w:pPr>
        <w:jc w:val="both"/>
        <w:ind w:left="320" w:hanging="315"/>
        <w:spacing w:after="0" w:line="257" w:lineRule="auto"/>
        <w:tabs>
          <w:tab w:leader="none" w:pos="315"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Material Information. </w:t>
      </w:r>
      <w:r>
        <w:rPr>
          <w:rFonts w:ascii="Times New Roman" w:cs="Times New Roman" w:eastAsia="Times New Roman" w:hAnsi="Times New Roman"/>
          <w:sz w:val="17"/>
          <w:szCs w:val="17"/>
          <w:color w:val="auto"/>
        </w:rPr>
        <w:t>It is not possible to give a complete list of what constitutes “material” information. The question of whether particular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 subjective and judged with the benefit of hindsight. However, you should assume that it includes any information -- whether positive or negative -- that an investor might consider important in determining whether to purchase, sell or hold securities, or that could reasonably be expected to affect the market price of the securities involved. (Information can be material even if it would not be the sole reason why an investor would decide to purchase, sell or hold securities.) Examples of specific material information include (but are not limited to) information concerning:</w:t>
      </w:r>
    </w:p>
    <w:p>
      <w:pPr>
        <w:spacing w:after="0" w:line="1"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mergers, acquisitions, tender offers, or restructurings;</w:t>
      </w:r>
    </w:p>
    <w:p>
      <w:pPr>
        <w:sectPr>
          <w:pgSz w:w="11900" w:h="16838" w:orient="portrait"/>
          <w:cols w:equalWidth="0" w:num="1">
            <w:col w:w="11240"/>
          </w:cols>
          <w:pgMar w:left="320" w:top="119" w:right="339" w:bottom="1440" w:gutter="0" w:footer="0" w:header="0"/>
        </w:sectPr>
      </w:pPr>
    </w:p>
    <w:bookmarkStart w:id="150" w:name="page151"/>
    <w:bookmarkEnd w:id="150"/>
    <w:p>
      <w:pPr>
        <w:spacing w:after="0" w:line="83" w:lineRule="exact"/>
        <w:rPr>
          <w:sz w:val="20"/>
          <w:szCs w:val="20"/>
          <w:color w:val="auto"/>
        </w:rPr>
      </w:pPr>
    </w:p>
    <w:p>
      <w:pPr>
        <w:ind w:left="940" w:hanging="306"/>
        <w:spacing w:after="0"/>
        <w:tabs>
          <w:tab w:leader="none" w:pos="94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offerings or repurchases;</w:t>
      </w:r>
    </w:p>
    <w:p>
      <w:pPr>
        <w:spacing w:after="0" w:line="32"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earnings or dividends (or estimates of same);</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new properties, business products, services or relationships, or the loss of any of these;</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senior management;</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or potential change in credit rating by a rating agency;</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shifts in operating or financial circumstances such as cash-flow reductions, major write-offs, changes in accounting methods;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auditors or a notification that the auditor’s reports may no longer be relied upon;</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 significant cybersecurity incident;</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voluntary calls of debt or preferred stock issues; and</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litigation or litigation developments.</w:t>
      </w:r>
    </w:p>
    <w:p>
      <w:pPr>
        <w:spacing w:after="0" w:line="74" w:lineRule="exact"/>
        <w:rPr>
          <w:rFonts w:ascii="Times New Roman" w:cs="Times New Roman" w:eastAsia="Times New Roman" w:hAnsi="Times New Roman"/>
          <w:sz w:val="17"/>
          <w:szCs w:val="17"/>
          <w:color w:val="auto"/>
        </w:rPr>
      </w:pPr>
    </w:p>
    <w:p>
      <w:pPr>
        <w:ind w:left="320" w:hanging="315"/>
        <w:spacing w:after="0" w:line="268" w:lineRule="auto"/>
        <w:tabs>
          <w:tab w:leader="none" w:pos="31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above examples are illustrative and not exhaustive. Other types of information may be “material” at any particular time depending on the context. When it doubt, you should consult with the Corporation Counsel.</w:t>
      </w:r>
    </w:p>
    <w:p>
      <w:pPr>
        <w:jc w:val="both"/>
        <w:ind w:left="320" w:hanging="315"/>
        <w:spacing w:after="0" w:line="257" w:lineRule="auto"/>
        <w:tabs>
          <w:tab w:leader="none" w:pos="31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Public Information. </w:t>
      </w:r>
      <w:r>
        <w:rPr>
          <w:rFonts w:ascii="Times New Roman" w:cs="Times New Roman" w:eastAsia="Times New Roman" w:hAnsi="Times New Roman"/>
          <w:sz w:val="17"/>
          <w:szCs w:val="17"/>
          <w:color w:val="auto"/>
        </w:rPr>
        <w:t>There is no precise definition of public information. However, examples of public information include, but are not limited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information that appears in the periodic filings that the Company and its affiliates make with the Securities and Exchange Commission (the “SEC”) and Company press releases that are broadly disseminated on a major wire service. Limited disclosure, such as on a private wire service for institutional investors, may not be sufficient to render information “publicly” disclosed. Generally, information is considered “public information” only after it has been publicly available, through an SEC filing, press release or otherwise, for at least one full trading day.</w:t>
      </w:r>
    </w:p>
    <w:p>
      <w:pPr>
        <w:spacing w:after="0" w:line="1" w:lineRule="exact"/>
        <w:rPr>
          <w:rFonts w:ascii="Times New Roman" w:cs="Times New Roman" w:eastAsia="Times New Roman" w:hAnsi="Times New Roman"/>
          <w:sz w:val="17"/>
          <w:szCs w:val="17"/>
          <w:color w:val="auto"/>
        </w:rPr>
      </w:pPr>
    </w:p>
    <w:p>
      <w:pPr>
        <w:jc w:val="both"/>
        <w:ind w:left="320" w:hanging="315"/>
        <w:spacing w:after="0" w:line="263" w:lineRule="auto"/>
        <w:tabs>
          <w:tab w:leader="none" w:pos="31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Immediate Family. </w:t>
      </w:r>
      <w:r>
        <w:rPr>
          <w:rFonts w:ascii="Times New Roman" w:cs="Times New Roman" w:eastAsia="Times New Roman" w:hAnsi="Times New Roman"/>
          <w:sz w:val="17"/>
          <w:szCs w:val="17"/>
          <w:color w:val="auto"/>
        </w:rPr>
        <w:t>The following persons are considered members of your immediate family: your spouse, parents, grandparents, children, grandchildren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siblings, including any such relationship that arises through marriage or adoption. It also includes members of your household (whether or not they are related to you), and any family members who do not live in your household but whose transactions in securities covered by this policy are directed by you or are subject to your influence or control.</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BLACKOUT AND PRE-CLEARANCE POLICY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addition to the general prohibition against trading while in possession of “insider information” described above, no employee may purchase or sell securities of the Company or its affiliates during any “Blackout Period”. Blackout Periods are established and communicated by the Corporation Counsel. You also may be subject to additional restrictions (including, without limitation, a more stringent Blackout Period), if you have access to particular information or hold a certain position in the Company. Furthermore, the Company may, from time to time, impose additional Blackout Periods relating to one or more material non-public events or occurrences. Covered Persons should contact the Corporation Counsel if they have any questions regarding applicable Blackout Periods that may apply to them.</w:t>
      </w: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Trustees, executive officers, certain financial reporting personnel, any other persons designated by the Company and any Immediate Family Members of the foregoing are subject to an additional set of policies and procedures for transactions in securities of the Company and its affiliates (as such policies and procedures may be updated or amended from time to time, the “Supplemental Securities Transactions Policies”). If you are subject to the Supplemental Securities Transactions Policies, you must inform the Corporation Counsel, in writing, prior to buying or selling Company securities, exercising stock options or entering into any other “Covered Transaction”. “Covered Transactions” include any trading in any of the Company’s equity securities, all Omnibus Share Plan transactions (such as an option exercise), gifts, loans, pledges (including margin loans) or hedges, a contribution to a trust, a transaction that tracks the Company’s equity securities within the Company’s deferred compensation plans, any other transfer of the Company’s securities and any transactions in the equity securities of Alexander’s Inc. A request for pre-clearance should be submitted not less than two business days in advance of the proposed transaction. If a Blackout Period or other trading limitation is in effect, you will not be able to buy or sell securities or exercise stock options. Any transaction approved by the Corporation Counsel must be executed promptly, and in any event within two (2) business days.</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Notwithstanding the foregoing, transactions outside of a “Blackout Period” or transactions that have been pre-cleared by the Corporation Counsel do not preclude any person’s obligations to comply with any other part of this policy. If you are in possession of material, nonpublic information about the Company, you may not purchase or sell securities of the Company, regardless of whether or not such transaction is executed outside of a blackout period or if such transaction was pre-cleared by the Corporation Counsel.</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EXCEPTIONS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policy does not apply in the case of the following transactions, except as specifically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Calibri" w:cs="Calibri" w:eastAsia="Calibri" w:hAnsi="Calibri"/>
          <w:sz w:val="21"/>
          <w:szCs w:val="21"/>
          <w:color w:val="auto"/>
        </w:rPr>
        <w:t>-2-</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8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tab/>
        <w:t>Transactions Directly with the Company.</w:t>
      </w:r>
    </w:p>
    <w:p>
      <w:pPr>
        <w:spacing w:after="0" w:line="95"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This policy does not apply to transactions directly with the Company only without any sale into the market. More specifically, the following transactions are permitted:</w:t>
      </w:r>
    </w:p>
    <w:p>
      <w:pPr>
        <w:spacing w:after="0" w:line="27" w:lineRule="exact"/>
        <w:rPr>
          <w:sz w:val="20"/>
          <w:szCs w:val="20"/>
          <w:color w:val="auto"/>
        </w:rPr>
      </w:pPr>
    </w:p>
    <w:p>
      <w:pPr>
        <w:jc w:val="both"/>
        <w:ind w:left="320" w:hanging="315"/>
        <w:spacing w:after="0" w:line="261" w:lineRule="auto"/>
        <w:tabs>
          <w:tab w:leader="none" w:pos="31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Exercises Under Stock Option Plans. </w:t>
      </w:r>
      <w:r>
        <w:rPr>
          <w:rFonts w:ascii="Times New Roman" w:cs="Times New Roman" w:eastAsia="Times New Roman" w:hAnsi="Times New Roman"/>
          <w:sz w:val="17"/>
          <w:szCs w:val="17"/>
          <w:color w:val="auto"/>
        </w:rPr>
        <w:t>This policy does not apply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without a sale</w:t>
      </w:r>
      <w:r>
        <w:rPr>
          <w:rFonts w:ascii="Times New Roman" w:cs="Times New Roman" w:eastAsia="Times New Roman" w:hAnsi="Times New Roman"/>
          <w:sz w:val="17"/>
          <w:szCs w:val="17"/>
          <w:color w:val="auto"/>
        </w:rPr>
        <w:t>) of an employee stock option acquired pursuant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Company’s Omnibus Share Plan or other Company equity incentive plan, or to the exercise of a tax withholding right (if any) pursuant to which a person has elected to have the Company withhold shares subject to an option to satisfy tax withholding requirements.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any subsequent sale of shares acquired under the Company’s Omnibus Share Plan or other Company equity incentive plan is subject to this policy. In addition, any sale of shares as part of a broker-assisted cashless exercise of an option, or any other market sale for the purpose of generating the cash needed to pay the exercise price of an option, is subject to this policy.</w:t>
      </w:r>
    </w:p>
    <w:p>
      <w:pPr>
        <w:spacing w:after="0" w:line="1" w:lineRule="exact"/>
        <w:rPr>
          <w:rFonts w:ascii="Times New Roman" w:cs="Times New Roman" w:eastAsia="Times New Roman" w:hAnsi="Times New Roman"/>
          <w:sz w:val="17"/>
          <w:szCs w:val="17"/>
          <w:color w:val="auto"/>
        </w:rPr>
      </w:pPr>
    </w:p>
    <w:p>
      <w:pPr>
        <w:jc w:val="both"/>
        <w:ind w:left="320" w:hanging="315"/>
        <w:spacing w:after="0" w:line="257" w:lineRule="auto"/>
        <w:tabs>
          <w:tab w:leader="none" w:pos="31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Vesting of Restricted Share Awards. </w:t>
      </w:r>
      <w:r>
        <w:rPr>
          <w:rFonts w:ascii="Times New Roman" w:cs="Times New Roman" w:eastAsia="Times New Roman" w:hAnsi="Times New Roman"/>
          <w:sz w:val="17"/>
          <w:szCs w:val="17"/>
          <w:color w:val="auto"/>
        </w:rPr>
        <w:t>This policy does not apply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vesting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restricted shares or units acquired pursuant to the Company’s Omnibus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Share Plan or other Company equity incentive plan, or the exercise of a tax withholding right (if any) pursuant to which you elect to have the Company withhold securities to satisfy tax withholding requirements upon the vesting of any restricted securities.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any market sale of any securities received is subject to this policy.</w:t>
      </w:r>
    </w:p>
    <w:p>
      <w:pPr>
        <w:jc w:val="both"/>
        <w:ind w:left="320" w:hanging="315"/>
        <w:spacing w:after="0" w:line="265" w:lineRule="auto"/>
        <w:tabs>
          <w:tab w:leader="none" w:pos="31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Redemption of Units for Shares. </w:t>
      </w:r>
      <w:r>
        <w:rPr>
          <w:rFonts w:ascii="Times New Roman" w:cs="Times New Roman" w:eastAsia="Times New Roman" w:hAnsi="Times New Roman"/>
          <w:sz w:val="17"/>
          <w:szCs w:val="17"/>
          <w:color w:val="auto"/>
        </w:rPr>
        <w:t>This policy does not apply to the redemption of limited partnership units that you may own for common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any market sale of any securities received is subject to this policy, and furthermore, you may become subject to taxation on such redemption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without the immediate ability to sell shares.</w:t>
      </w:r>
    </w:p>
    <w:p>
      <w:pPr>
        <w:spacing w:after="0" w:line="53" w:lineRule="exact"/>
        <w:rPr>
          <w:sz w:val="20"/>
          <w:szCs w:val="20"/>
          <w:color w:val="auto"/>
        </w:rPr>
      </w:pPr>
    </w:p>
    <w:p>
      <w:pPr>
        <w:ind w:firstLine="5"/>
        <w:spacing w:after="0" w:line="299" w:lineRule="auto"/>
        <w:tabs>
          <w:tab w:leader="none" w:pos="332" w:val="left"/>
        </w:tabs>
        <w:numPr>
          <w:ilvl w:val="0"/>
          <w:numId w:val="1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Transactions For Which Elections Are Predetermined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Certain transactions involving plans where you have made an election in advance of a Blackout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Period or a period in which you otherwise do not have insider information are permitted. More specifically, the following transactions are permitted:</w:t>
      </w:r>
    </w:p>
    <w:p>
      <w:pPr>
        <w:spacing w:after="0" w:line="11" w:lineRule="exact"/>
        <w:rPr>
          <w:sz w:val="20"/>
          <w:szCs w:val="20"/>
          <w:color w:val="auto"/>
        </w:rPr>
      </w:pPr>
    </w:p>
    <w:p>
      <w:pPr>
        <w:jc w:val="both"/>
        <w:ind w:left="320" w:hanging="315"/>
        <w:spacing w:after="0" w:line="262" w:lineRule="auto"/>
        <w:tabs>
          <w:tab w:leader="none" w:pos="31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Pursuant to Certain Company-Sponsored Plans. </w:t>
      </w:r>
      <w:r>
        <w:rPr>
          <w:rFonts w:ascii="Times New Roman" w:cs="Times New Roman" w:eastAsia="Times New Roman" w:hAnsi="Times New Roman"/>
          <w:sz w:val="17"/>
          <w:szCs w:val="17"/>
          <w:color w:val="auto"/>
        </w:rPr>
        <w:t>If and to the extent permitted by the Company's 401(k) plan or its deferred compensation plans,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purchases of Company securities under such plans resulting from your periodic contribution of money to such plans pursuant to your then-existing payroll deduction or similar election. However, certain elections you may make under such plans are subject to this policy if and to the extent such plans allow for investments in Company securities, including: (a) an election to increase or decrease the percentage of your periodic contributions that will be allocated to any investment in Company securities; (b) an election to make an intra-plan transfer of an existing account balance into or out of any Company securities;</w:t>
      </w:r>
    </w:p>
    <w:p>
      <w:pPr>
        <w:ind w:left="320" w:hanging="1"/>
        <w:spacing w:after="0" w:line="257" w:lineRule="auto"/>
        <w:tabs>
          <w:tab w:leader="none" w:pos="580"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election to borrow money against your 401(k) plan account if the loan will result in a liquidation of some or all of an investment in Company securities; and (d) an election to pre-pay a plan loan if the pre-payment will result in allocation of loan proceeds to an investment in Company securities.</w:t>
      </w:r>
    </w:p>
    <w:p>
      <w:pPr>
        <w:jc w:val="both"/>
        <w:ind w:left="320" w:hanging="315"/>
        <w:spacing w:after="0" w:line="263" w:lineRule="auto"/>
        <w:tabs>
          <w:tab w:leader="none" w:pos="31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Transactions Pursuant to Dividend Reinvestment Plan. </w:t>
      </w:r>
      <w:r>
        <w:rPr>
          <w:rFonts w:ascii="Times New Roman" w:cs="Times New Roman" w:eastAsia="Times New Roman" w:hAnsi="Times New Roman"/>
          <w:sz w:val="17"/>
          <w:szCs w:val="17"/>
          <w:color w:val="auto"/>
        </w:rPr>
        <w:t>Purchases of Company securities (without your input) under the Company's dividend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reinvestment plan resulting from your reinvestment of dividends paid on Company securities. However, voluntary purchases of Company securities resulting from additional contributions you choose to make pursuant to the dividend reinvestment plan, and your election to participate in such a plan or increase or decrease your level of participation in such plan, are subject to this policy. In addition, your sale of any Company securities purchased pursuant to the plan is subject to this policy.</w:t>
      </w:r>
    </w:p>
    <w:p>
      <w:pPr>
        <w:spacing w:after="0" w:line="191" w:lineRule="exact"/>
        <w:rPr>
          <w:rFonts w:ascii="Times New Roman" w:cs="Times New Roman" w:eastAsia="Times New Roman" w:hAnsi="Times New Roman"/>
          <w:sz w:val="17"/>
          <w:szCs w:val="17"/>
          <w:color w:val="auto"/>
        </w:rPr>
      </w:pPr>
    </w:p>
    <w:p>
      <w:pPr>
        <w:jc w:val="both"/>
        <w:ind w:left="320" w:hanging="315"/>
        <w:spacing w:after="0" w:line="259" w:lineRule="auto"/>
        <w:tabs>
          <w:tab w:leader="none" w:pos="31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Transactions Pursuant to 10b5-1 Trading Plans. </w:t>
      </w:r>
      <w:r>
        <w:rPr>
          <w:rFonts w:ascii="Times New Roman" w:cs="Times New Roman" w:eastAsia="Times New Roman" w:hAnsi="Times New Roman"/>
          <w:sz w:val="17"/>
          <w:szCs w:val="17"/>
          <w:color w:val="auto"/>
        </w:rPr>
        <w:t>The trading prohibitions described in this policy will not apply to transactions in the Company's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made by a Covered Person under an arrangement or plan to trade securities that complies with Rule 10b5-1 of the Securities Exchange Act of 1934 (a “10b5-1 Plan”) that has been submitted to the Company's Corporation Counsel and approved by the Company in accordance with this policy. No 10b5-1 Plan may become effective until the participant (i) has delivered a complete copy to the Company's Corporation Counsel and (ii) has received the Corporation Counsel's written approval of the plan. In general, a 10b5-1 Plan must be entered into at a time when the person entering into the plan is not aware of material nonpublic information, may not be entered into during a Blackout Period and (iii) must provide that no trade may occur until the completion of the applicable cooling off period, as required by Rule 10b5-1. It is the responsibility of the Covered Person to ensure that their 10b5-1 Plan is in compliance with the requirements under Rule 10b5-1 of the Securities Exchange Act of 1934. Once a 10b5-1 Plan is adopted, the person must not exercise any influence over the amount of securities to be traded, the price at which they are to be traded or the date of the trade. The 10b5-1 Plan must either specify the amount, pricing and timing of transactions in advance or delegate discretion on these matters to an independent third party. Any amendment, modification or early termination of a Rule 10b5-1 Plan must be pre-approved by the Corporation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3608705</wp:posOffset>
            </wp:positionH>
            <wp:positionV relativeFrom="paragraph">
              <wp:posOffset>-2428875</wp:posOffset>
            </wp:positionV>
            <wp:extent cx="279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9">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APPLICABILITY AFTER TERMINATION OF EMPLOYMENT</w:t>
      </w:r>
    </w:p>
    <w:p>
      <w:pPr>
        <w:spacing w:after="0" w:line="108"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Any employee whose employment terminates during a Blackout Period (or who otherwise leaves while in possession of insider information) will continue to be subject to this policy, and specifically to the ongoing prohibition against trading, until the Blackout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Calibri" w:cs="Calibri" w:eastAsia="Calibri" w:hAnsi="Calibri"/>
          <w:sz w:val="21"/>
          <w:szCs w:val="21"/>
          <w:color w:val="auto"/>
        </w:rPr>
        <w:t>-3-</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83"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Period ends (or otherwise until the close of the first full trading day following public announcement, by SEC filing, press release or other means, of the material nonpublic information).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PROCEDURAL STEPS</w:t>
      </w:r>
    </w:p>
    <w:p>
      <w:pPr>
        <w:spacing w:after="0" w:line="108" w:lineRule="exact"/>
        <w:rPr>
          <w:sz w:val="20"/>
          <w:szCs w:val="20"/>
          <w:color w:val="auto"/>
        </w:rPr>
      </w:pPr>
    </w:p>
    <w:p>
      <w:pPr>
        <w:ind w:left="320" w:hanging="315"/>
        <w:spacing w:after="0" w:line="268" w:lineRule="auto"/>
        <w:tabs>
          <w:tab w:leader="none" w:pos="31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ultimately responsible for adhering to the requirements of this policy and any applicable securities laws in connection with the purchase and sale of securities.</w:t>
      </w:r>
    </w:p>
    <w:p>
      <w:pPr>
        <w:ind w:left="320" w:hanging="315"/>
        <w:spacing w:after="0" w:line="257" w:lineRule="auto"/>
        <w:tabs>
          <w:tab w:leader="none" w:pos="31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responsible for compliance with this policy in connection with transactions conducted by your Immediate Family Members, and therefore should make them aware of the need to confer with you before they conduct any transactions that may be subject to this policy.</w:t>
      </w:r>
    </w:p>
    <w:p>
      <w:pPr>
        <w:ind w:left="320" w:hanging="315"/>
        <w:spacing w:after="0" w:line="257" w:lineRule="auto"/>
        <w:tabs>
          <w:tab w:leader="none" w:pos="31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have any questions as to your responsibilities under this Policy or the Supplemental Securities Transactions Policies, please talk to the Corporation Counsel before your act. Do not try to resolve uncertainties on your own.</w:t>
      </w:r>
    </w:p>
    <w:p>
      <w:pPr>
        <w:ind w:left="320" w:hanging="315"/>
        <w:spacing w:after="0" w:line="257" w:lineRule="auto"/>
        <w:tabs>
          <w:tab w:leader="none" w:pos="31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also bound by any other Company policies promulgated from time to time with respect to insider information and trading in Company securities generally.</w:t>
      </w:r>
    </w:p>
    <w:p>
      <w:pPr>
        <w:ind w:left="320" w:hanging="315"/>
        <w:spacing w:after="0"/>
        <w:tabs>
          <w:tab w:leader="none" w:pos="3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Suspected violations of this policy should be reported to the Corporation Counsel and/or through the Company’s whistleblower hotline.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Calibri" w:cs="Calibri" w:eastAsia="Calibri" w:hAnsi="Calibri"/>
          <w:sz w:val="21"/>
          <w:szCs w:val="21"/>
          <w:color w:val="auto"/>
        </w:rPr>
        <w:t>-4-</w:t>
      </w:r>
    </w:p>
    <w:p>
      <w:pPr>
        <w:sectPr>
          <w:pgSz w:w="11900" w:h="16838" w:orient="portrait"/>
          <w:cols w:equalWidth="0" w:num="1">
            <w:col w:w="11240"/>
          </w:cols>
          <w:pgMar w:left="320" w:top="1440"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9"/>
          <w:szCs w:val="19"/>
          <w:b w:val="1"/>
          <w:bCs w:val="1"/>
          <w:color w:val="auto"/>
        </w:rPr>
        <w:t>EXHIBIT 21</w:t>
      </w:r>
    </w:p>
    <w:p>
      <w:pPr>
        <w:spacing w:after="0" w:line="200" w:lineRule="exact"/>
        <w:rPr>
          <w:sz w:val="20"/>
          <w:szCs w:val="20"/>
          <w:color w:val="auto"/>
        </w:rPr>
      </w:pPr>
    </w:p>
    <w:p>
      <w:pPr>
        <w:spacing w:after="0" w:line="400"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All of the following are subsidiaries of both Vornado Realty Trust and Vornado Realty, L.P. as of December 31, 2024, except Vornado Realty, L.P. is a subsidiary of only Vornado Realty Trust.</w:t>
      </w:r>
    </w:p>
    <w:p>
      <w:pPr>
        <w:spacing w:after="0" w:line="7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3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SUBSIDIARIES OF THE REGISTRANT</w:t>
      </w:r>
    </w:p>
    <w:p>
      <w:pPr>
        <w:spacing w:after="0" w:line="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AS OF DECEMBER 31, 2024</w:t>
      </w:r>
    </w:p>
    <w:p>
      <w:pPr>
        <w:spacing w:after="0" w:line="335"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State of</w:t>
            </w:r>
          </w:p>
        </w:tc>
        <w:tc>
          <w:tcPr>
            <w:tcW w:w="660" w:type="dxa"/>
            <w:vAlign w:val="bottom"/>
          </w:tcPr>
          <w:p>
            <w:pPr>
              <w:spacing w:after="0"/>
              <w:rPr>
                <w:sz w:val="19"/>
                <w:szCs w:val="19"/>
                <w:color w:val="auto"/>
              </w:rPr>
            </w:pPr>
          </w:p>
        </w:tc>
      </w:tr>
      <w:tr>
        <w:trPr>
          <w:trHeight w:val="230"/>
        </w:trPr>
        <w:tc>
          <w:tcPr>
            <w:tcW w:w="540" w:type="dxa"/>
            <w:vAlign w:val="bottom"/>
          </w:tcPr>
          <w:p>
            <w:pPr>
              <w:spacing w:after="0"/>
              <w:rPr>
                <w:sz w:val="19"/>
                <w:szCs w:val="19"/>
                <w:color w:val="auto"/>
              </w:rPr>
            </w:pPr>
          </w:p>
        </w:tc>
        <w:tc>
          <w:tcPr>
            <w:tcW w:w="6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Name of Subsidiary</w:t>
            </w:r>
          </w:p>
        </w:tc>
        <w:tc>
          <w:tcPr>
            <w:tcW w:w="820" w:type="dxa"/>
            <w:vAlign w:val="bottom"/>
          </w:tcPr>
          <w:p>
            <w:pPr>
              <w:spacing w:after="0"/>
              <w:rPr>
                <w:sz w:val="19"/>
                <w:szCs w:val="19"/>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Organization</w:t>
            </w:r>
          </w:p>
        </w:tc>
        <w:tc>
          <w:tcPr>
            <w:tcW w:w="660" w:type="dxa"/>
            <w:vAlign w:val="bottom"/>
          </w:tcPr>
          <w:p>
            <w:pPr>
              <w:spacing w:after="0"/>
              <w:rPr>
                <w:sz w:val="19"/>
                <w:szCs w:val="19"/>
                <w:color w:val="auto"/>
              </w:rPr>
            </w:pPr>
          </w:p>
        </w:tc>
      </w:tr>
      <w:tr>
        <w:trPr>
          <w:trHeight w:val="407"/>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1</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11 East 68th Street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1</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2</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11 East 68th TRS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2</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3</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1290 Management II,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3</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4</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131</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West 33rd Street Owner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4</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5</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137</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West 33rd Street Owner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5</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6</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138-142 West 32nd EAT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6</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7</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144-150 West 34th Street EAT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7</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8</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144-150 West 34th Street Owner II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8</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9</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150</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East 58th Garage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9</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10</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150</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East 58th Street,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10</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11</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1535 Broadway Holdings II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11</w:t>
            </w:r>
          </w:p>
        </w:tc>
      </w:tr>
      <w:tr>
        <w:trPr>
          <w:trHeight w:val="223"/>
        </w:trPr>
        <w:tc>
          <w:tcPr>
            <w:tcW w:w="54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1535 Broadway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12</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1535 Broadway Sign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12</w:t>
            </w:r>
          </w:p>
        </w:tc>
      </w:tr>
      <w:tr>
        <w:trPr>
          <w:trHeight w:val="223"/>
        </w:trPr>
        <w:tc>
          <w:tcPr>
            <w:tcW w:w="54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1535 Broadway TRS Subsidiary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1535/1540 Broadway Holdings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1535/1540 Broadway TRS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1540 Broadway Garage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1540 Broadway Holdings II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1540 Broadway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13</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1540 Broadway Sign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13</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14</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1540 Broadway TRS Subsidiary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14</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16</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1800 Park REIT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16</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17</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East 66th Street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17</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18</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220 CPS Garage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18</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19</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220 CPS Tower Club Corp</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19</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20</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265</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West 34th Street Owner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20</w:t>
            </w:r>
          </w:p>
        </w:tc>
      </w:tr>
      <w:tr>
        <w:trPr>
          <w:trHeight w:val="223"/>
        </w:trPr>
        <w:tc>
          <w:tcPr>
            <w:tcW w:w="54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280</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Park Administration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21</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280</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Park Cleaning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21</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22</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280</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Park Holdings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22</w:t>
            </w:r>
          </w:p>
        </w:tc>
      </w:tr>
      <w:tr>
        <w:trPr>
          <w:trHeight w:val="223"/>
        </w:trPr>
        <w:tc>
          <w:tcPr>
            <w:tcW w:w="54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280</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Park Junior Mezzanine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280 Park Management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280 Park REIT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23</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280</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Park Senior Mezzanine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23</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24</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280</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Park Venture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24</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25</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29 West 57th Street Owner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25</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26</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304-306 Canal Street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26</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27</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31 West 57th Street Owner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27</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28</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330</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West 58th Garage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28</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29</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334</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Canal Street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29</w:t>
            </w:r>
          </w:p>
        </w:tc>
      </w:tr>
    </w:tbl>
    <w:p>
      <w:pPr>
        <w:sectPr>
          <w:pgSz w:w="11900" w:h="16838" w:orient="portrait"/>
          <w:cols w:equalWidth="0" w:num="1">
            <w:col w:w="11240"/>
          </w:cols>
          <w:pgMar w:left="320" w:top="350" w:right="339" w:bottom="1440" w:gutter="0" w:footer="0" w:header="0"/>
        </w:sectPr>
      </w:pPr>
    </w:p>
    <w:bookmarkStart w:id="154" w:name="page155"/>
    <w:bookmarkEnd w:id="1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FFFFFF"/>
                <w:w w:val="93"/>
              </w:rPr>
              <w:t>30</w:t>
            </w: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350 Park EAT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30</w:t>
            </w:r>
          </w:p>
        </w:tc>
      </w:tr>
      <w:tr>
        <w:trPr>
          <w:trHeight w:val="223"/>
        </w:trPr>
        <w:tc>
          <w:tcPr>
            <w:tcW w:w="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FFFFFF"/>
                <w:w w:val="93"/>
              </w:rPr>
              <w:t>31</w:t>
            </w: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 USS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31</w:t>
            </w:r>
          </w:p>
        </w:tc>
      </w:tr>
      <w:tr>
        <w:trPr>
          <w:trHeight w:val="223"/>
        </w:trPr>
        <w:tc>
          <w:tcPr>
            <w:tcW w:w="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FFFFFF"/>
                <w:w w:val="93"/>
              </w:rPr>
              <w:t>32</w:t>
            </w: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40 East 14 Realty Associates, L.L.C.</w:t>
            </w:r>
          </w:p>
        </w:tc>
        <w:tc>
          <w:tcPr>
            <w:tcW w:w="374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New York</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32</w:t>
            </w:r>
          </w:p>
        </w:tc>
      </w:tr>
      <w:tr>
        <w:trPr>
          <w:trHeight w:val="223"/>
        </w:trPr>
        <w:tc>
          <w:tcPr>
            <w:tcW w:w="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FFFFFF"/>
                <w:w w:val="93"/>
              </w:rPr>
              <w:t>35</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401</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 L.P.</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35</w:t>
            </w:r>
          </w:p>
        </w:tc>
      </w:tr>
      <w:tr>
        <w:trPr>
          <w:trHeight w:val="223"/>
        </w:trPr>
        <w:tc>
          <w:tcPr>
            <w:tcW w:w="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FFFFFF"/>
                <w:w w:val="93"/>
              </w:rPr>
              <w:t>33</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401</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 Son II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33</w:t>
            </w:r>
          </w:p>
        </w:tc>
      </w:tr>
      <w:tr>
        <w:trPr>
          <w:trHeight w:val="223"/>
        </w:trPr>
        <w:tc>
          <w:tcPr>
            <w:tcW w:w="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FFFFFF"/>
                <w:w w:val="93"/>
              </w:rPr>
              <w:t>34</w:t>
            </w: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401 Commercial Son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34</w:t>
            </w:r>
          </w:p>
        </w:tc>
      </w:tr>
      <w:tr>
        <w:trPr>
          <w:trHeight w:val="223"/>
        </w:trPr>
        <w:tc>
          <w:tcPr>
            <w:tcW w:w="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FFFFFF"/>
                <w:w w:val="93"/>
              </w:rPr>
              <w:t>36</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401</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Partner,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36</w:t>
            </w:r>
          </w:p>
        </w:tc>
      </w:tr>
      <w:tr>
        <w:trPr>
          <w:trHeight w:val="223"/>
        </w:trPr>
        <w:tc>
          <w:tcPr>
            <w:tcW w:w="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FFFFFF"/>
                <w:w w:val="93"/>
              </w:rPr>
              <w:t>37</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401</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Hotel General Partner,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37</w:t>
            </w:r>
          </w:p>
        </w:tc>
      </w:tr>
      <w:tr>
        <w:trPr>
          <w:trHeight w:val="223"/>
        </w:trPr>
        <w:tc>
          <w:tcPr>
            <w:tcW w:w="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FFFFFF"/>
                <w:w w:val="93"/>
              </w:rPr>
              <w:t>38</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401</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Hotel REIT,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38</w:t>
            </w: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401</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Hotel TRS,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401</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Hotel, L.P.</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408</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West 15th Street Owner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486</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8th Avenue Owner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488 Eighth Avenue Owner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49 West 57th Street Owner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527</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West Kinzie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58 Central Park II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58 Central Park III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58 Central Park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61 Ninth Avenue Development Holdings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61 Ninth Avenue Development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61 Ninth Avenue Development Member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61 Ninth Avenue Management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61 Ninth Retail Manager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640</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Avenue Holdings II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640</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Avenue Holdings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640 Fifth Avenue LLC</w:t>
            </w:r>
          </w:p>
        </w:tc>
        <w:tc>
          <w:tcPr>
            <w:tcW w:w="374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New York</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640</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Avenue Owner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640</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Mezz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650 Madison GP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650 Madison GP LP</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650</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Madison Junior Mezz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650</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Madison Office Manager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650 Madison Owner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650</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Madison Retail Manager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650</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Madison Senior Mezz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655</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Avenue Holdings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655</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Avenue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655</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Avenue Owner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655</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Holdings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655</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II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655</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III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666</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Avenue Retail Holdings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666</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Retail Holdings II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689</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Avenue Holdings II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689</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Avenue Holdings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689</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Avenue L.L.C.</w:t>
            </w:r>
          </w:p>
        </w:tc>
        <w:tc>
          <w:tcPr>
            <w:tcW w:w="374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New York</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697</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Fifth/2 East 55th Street Manager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8"/>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697</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Fifth/2 East 55th Street TIC A Holdings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bl>
    <w:p>
      <w:pPr>
        <w:sectPr>
          <w:pgSz w:w="11900" w:h="16838" w:orient="portrait"/>
          <w:cols w:equalWidth="0" w:num="1">
            <w:col w:w="11000"/>
          </w:cols>
          <w:pgMar w:left="420" w:top="1195" w:right="479" w:bottom="1440" w:gutter="0" w:footer="0" w:header="0"/>
        </w:sectPr>
      </w:pPr>
    </w:p>
    <w:bookmarkStart w:id="155" w:name="page156"/>
    <w:bookmarkEnd w:id="1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697</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Fifth/2 East 55th Street TIC A Mezz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697</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Fifth/2 East 55th Street TIC A Owner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697</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Fifth/2 East 55th Street TIC A Titleholder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697</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Fifth/2 East 55th Street TIC B Lower-Tier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697</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Fifth/2 East 55th Street TIC B Mezz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697</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Fifth/2 East 55th Street TIC B Upper-Tier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697</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Fifth/2 East 55th TIC B Holdings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697</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Fifth/2 East 55th TIC B Mortgage Borrower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6M Investor LP</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6M REIT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7 West 34th Street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715 Lexington Avenue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715</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Lexington Avenue TIC II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715</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Lexington Avenue TIC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770 Broadway Company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770 Broadway Mezzanine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770 Broadway Owner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770 Broadway Manager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825</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Seventh Avenue Holding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85 Tenth Junior Mezz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888</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Seventh Avenue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888</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Seventh Garage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909</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Third Company, L.P.</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909</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Third GP,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968</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Third,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Alexander's, Inc.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 on theMart Foundation</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w w:val="99"/>
              </w:rPr>
              <w:t>Illinois</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 on theMart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 Patron Holdings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Balena Funding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Balena Real Estate Development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Broadway 280 Park Fee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Building Maintenance Service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Carpet Care Technologies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Circle 1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Coastal Belmont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CV Harlem Park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Dock Parking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Durham Leasing II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New Jersey</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Durham Leasing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New Jersey</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Eleven Penn Plaza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Farley Building Commercial Member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Farley Building Master Tenant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Farley Building Retail Member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Farley Building TRS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Farley Building USPS Member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Farley Commercial Master Tenant SPE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Farley Commercial Master Tenant SPE Manager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8"/>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Farley Developer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9479"/>
          </w:cols>
          <w:pgMar w:left="980" w:top="1195" w:right="1440" w:bottom="1440" w:gutter="0" w:footer="0" w:header="0"/>
        </w:sectPr>
      </w:pPr>
    </w:p>
    <w:bookmarkStart w:id="156" w:name="page157"/>
    <w:bookmarkEnd w:id="1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Farley Lease Management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Farley Property Manager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Farley Retail Master Tenant SPE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Farley Retail Master Tenant SPE Manager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Farley USPS Master Tenant SPE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Farley USPS Master Tenant SPE Manager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Fuller Madison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Garfield Parcel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New Jersey</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Geneva Associates Owner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Green Acres 666 Fifth Retail EAT TIC Owner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Guard Management Service Corp.</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HBR Properties Annapolis,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HBR Properties,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IP Mezz Borrower I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IP Mezz Borrower II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IP Mortgage Borrower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LaSalle Hubbard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Leva II Holdings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Leva III Holdings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Madave Holdings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Madave Properties SPE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Manhattan High Street Holdings GP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Manhattan High Street Holdings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Manhattan High Street Holdings LP</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Manhattan High Street REIT Holdings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Manhattan High Street Retail Leasing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Mart Parking II,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Mart Parking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Mart Trade Show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MC 19 East Houston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MC VNO Soho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MC VNO Soho Manager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Merchandise Mart First Mezzanine Borrower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Merchandise Mart Holdco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Merchandise Mart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Merchandise Mart Properties, Inc.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Merchandise Mart Second Mezzanine Borrower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MMPI Piers MTS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Mortgage Owner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Moynihan Commercial Holdings II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Moynihan Commercial Holdings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Moynihan Commercial Master Landlord SPE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Moynihan Food Hall Bar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Moynihan Interim Tenant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Moynihan Overlook Bar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Moynihan Retail Holdings II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Moynihan Retail Holdings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Moynihan Retail Master Landlord SPE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8"/>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Moynihan Train Hall Developer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9479"/>
          </w:cols>
          <w:pgMar w:left="980" w:top="1195" w:right="1440" w:bottom="144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Moynihan USPS Holdings II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Moynihan USPS Holdings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Moynihan USPS Master Landlord SPE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MTS-MM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New Jersey GL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Ninety Park Garage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Ninety Park Lender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Ninety Park Lender QRS, Inc.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Ninety Park Manager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Ninety Park Owner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Ninety Park Property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One Park Avenue Partners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One Park Avenue Senior Mezz Partners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One Park Owner JV LP</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One Penn Plaza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One Penn Plaza TRS, Inc.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Orleans Hubbard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Paris Associates Owner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PCJ I Inc.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Peak Power One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1 Azure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1 Birtie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1 FC Lessee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1 Garage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1 Platform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1 Powerspace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1 Restaurant Manager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1 WorkPlace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2 2nd Floor Tenant Lounge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2 Holdings II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2 Holdings III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2 Holdings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2 Pavilion Lounge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2 Restaurant Manager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2 Rooftop Manager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District Benefits Provider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District BP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District Station Developer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Plaza Insurance Company,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w w:val="99"/>
              </w:rPr>
              <w:t>Vermont</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Pier 94 Development Manager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Pier 94 JVCo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Pier 94 LeaseCo,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Pier 94 MezzCo,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Piers 92/94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Powerspace &amp; Services, Inc.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Rego Center Garage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RV Farley Developer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RV Farley Holdings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8"/>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RVS Partners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9479"/>
          </w:cols>
          <w:pgMar w:left="980" w:top="1195" w:right="1440" w:bottom="144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Shenandoah Parent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Skyline Parent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SMB Administration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SMB Tenant Services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SO Hudson 555 Management,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SO Hudson Westside I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T53 Condominium, L.L.C.</w:t>
            </w:r>
          </w:p>
        </w:tc>
        <w:tc>
          <w:tcPr>
            <w:tcW w:w="3060" w:type="dxa"/>
            <w:vAlign w:val="bottom"/>
          </w:tcPr>
          <w:p>
            <w:pPr>
              <w:ind w:left="2340"/>
              <w:spacing w:after="0"/>
              <w:rPr>
                <w:sz w:val="20"/>
                <w:szCs w:val="20"/>
                <w:color w:val="auto"/>
              </w:rPr>
            </w:pPr>
            <w:r>
              <w:rPr>
                <w:rFonts w:ascii="Times New Roman" w:cs="Times New Roman" w:eastAsia="Times New Roman" w:hAnsi="Times New Roman"/>
                <w:sz w:val="17"/>
                <w:szCs w:val="17"/>
                <w:color w:val="auto"/>
                <w:w w:val="98"/>
              </w:rPr>
              <w:t>New York</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the Mart Conference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The Palisades A/V Company,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Thebes I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theMart FC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theMart Manager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TheMart Tots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TMO 1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Two Penn Plaza REIT, Inc.</w:t>
            </w:r>
          </w:p>
        </w:tc>
        <w:tc>
          <w:tcPr>
            <w:tcW w:w="3060" w:type="dxa"/>
            <w:vAlign w:val="bottom"/>
          </w:tcPr>
          <w:p>
            <w:pPr>
              <w:ind w:left="2340"/>
              <w:spacing w:after="0"/>
              <w:rPr>
                <w:sz w:val="20"/>
                <w:szCs w:val="20"/>
                <w:color w:val="auto"/>
              </w:rPr>
            </w:pPr>
            <w:r>
              <w:rPr>
                <w:rFonts w:ascii="Times New Roman" w:cs="Times New Roman" w:eastAsia="Times New Roman" w:hAnsi="Times New Roman"/>
                <w:sz w:val="17"/>
                <w:szCs w:val="17"/>
                <w:color w:val="auto"/>
                <w:w w:val="98"/>
              </w:rPr>
              <w:t>New York</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V3P Parking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VCP COI One Park LP</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VCP IM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VCP LP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VCP One Park Parallel REIT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VCP Parallel COI One Park LP</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Virgin Sign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VMC Parking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100 West 33rd Street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11 East 68th Street Holding Company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11 East 68th Street Mezz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1750 Pennsylvania Avenue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1800 Park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220 Development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225 West 58th Street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225 West 58th Street Mezz Owner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267 West 34th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280 Park JV Member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33 West 57th Street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350 Park Development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350 Park Member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40 East 52nd Street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401 Commercial Lessee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431 Seventh Avenue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435 Seventh Avenue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435 Seventh Avenue Sign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510 West 22nd JV Member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510 West 22nd Lender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535-545 5th Loan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537 West 26th Street Owner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606 Broadway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606 Broadway Manager Member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61 Ninth Avenue Member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r>
        <w:trPr>
          <w:trHeight w:val="228"/>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VNO 63rd Street LLC</w:t>
            </w:r>
          </w:p>
        </w:tc>
        <w:tc>
          <w:tcPr>
            <w:tcW w:w="30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9479"/>
          </w:cols>
          <w:pgMar w:left="980" w:top="1195"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color w:val="auto"/>
        </w:rPr>
        <w:t>VNO 650 Madison Investor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650 Madison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7 West 34th Street Owner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7 West 34th Street Sub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86 Lex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93rd Street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966 Third Avenue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AC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Building Acquisition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Capital Partners REIT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Capital Partners TRS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IF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IP Loan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Island Global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LF 50 West 57th Street Holding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LF 50 West 57th Street JV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LF 50 West 57th Street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LF 50 West 57th Street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LNR Holdco,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Loan Acquisition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Mobility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New York Office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One Park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One Park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One Park Owner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Parking Garages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PENN District Holdings 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PENN District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Pentagon City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Pier 94 JV Member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SC Note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Wayne License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Wayne Towne Center Holding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Wayne Towne Center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VNO/Farley BL Member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VNO/Farley Developer Member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VNO/Farley PM Member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VOI Parking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220 Central Park South 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220 Central Park South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330 W 34 Mezz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330 West 34th Street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40 East 66th Street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40 East 66th Street Member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40 East 66th Street TRS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401 Commercial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601 Madison Avenue,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620 Sixth Avenue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90 Park Avenue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ectPr>
          <w:pgSz w:w="11900" w:h="16838" w:orient="portrait"/>
          <w:cols w:equalWidth="0" w:num="2">
            <w:col w:w="7440" w:space="720"/>
            <w:col w:w="1319"/>
          </w:cols>
          <w:pgMar w:left="980" w:top="1195" w:right="1440"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90 Park Member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90 Park QRS, Inc.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Acquisition Co.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Air Rights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Auto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Capital Partners GP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Capital Partners Parallel GP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Capital Partners Parallel LP</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Capital Partners Parallel REIT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Capital Partners, L.P.</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Cogen Holdings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Communications,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Concierge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Condominium Management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Eleven Penn Plaza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Eleven Penn Plaza Owner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Farley Holdings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Farley Member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Fort Lee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Fortress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Harlem Park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Investment Corporation</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Investments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Lending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New Jersey</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Management Corp.</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Marketing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New York RR One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NY TRS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Office Inc.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Office Management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Penn Plaza Master Plan Developer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Property Advisor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Realty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Realty, L.P.</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Retail Finance Manager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Rosslyn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RTR Urban Development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RTR Urban Development TMP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RTR, Inc.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San Jose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SC Properties II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SC Properties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Shenandoah Holdings II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Sign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Suffolk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Sun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Title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Two Penn Plaza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8"/>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Two Penn Property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9479"/>
          </w:cols>
          <w:pgMar w:left="980" w:top="1195" w:right="1440" w:bottom="1440" w:gutter="0" w:footer="0" w:header="0"/>
        </w:sectPr>
      </w:pPr>
    </w:p>
    <w:bookmarkStart w:id="161" w:name="page162"/>
    <w:bookmarkEnd w:id="1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Vornado Westbury Retail II LLC</w:t>
            </w:r>
          </w:p>
        </w:tc>
        <w:tc>
          <w:tcPr>
            <w:tcW w:w="3400" w:type="dxa"/>
            <w:vAlign w:val="bottom"/>
          </w:tcPr>
          <w:p>
            <w:pPr>
              <w:ind w:left="270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Vornado Westbury Retail LLC</w:t>
            </w:r>
          </w:p>
        </w:tc>
        <w:tc>
          <w:tcPr>
            <w:tcW w:w="3400" w:type="dxa"/>
            <w:vAlign w:val="bottom"/>
          </w:tcPr>
          <w:p>
            <w:pPr>
              <w:ind w:left="270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V-R 350 Park LLC</w:t>
            </w:r>
          </w:p>
        </w:tc>
        <w:tc>
          <w:tcPr>
            <w:tcW w:w="3400" w:type="dxa"/>
            <w:vAlign w:val="bottom"/>
          </w:tcPr>
          <w:p>
            <w:pPr>
              <w:ind w:left="270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VRT Development Rights LLC</w:t>
            </w:r>
          </w:p>
        </w:tc>
        <w:tc>
          <w:tcPr>
            <w:tcW w:w="3400" w:type="dxa"/>
            <w:vAlign w:val="bottom"/>
          </w:tcPr>
          <w:p>
            <w:pPr>
              <w:ind w:left="2680"/>
              <w:spacing w:after="0"/>
              <w:rPr>
                <w:sz w:val="20"/>
                <w:szCs w:val="20"/>
                <w:color w:val="auto"/>
              </w:rPr>
            </w:pPr>
            <w:r>
              <w:rPr>
                <w:rFonts w:ascii="Times New Roman" w:cs="Times New Roman" w:eastAsia="Times New Roman" w:hAnsi="Times New Roman"/>
                <w:sz w:val="17"/>
                <w:szCs w:val="17"/>
                <w:color w:val="auto"/>
                <w:w w:val="98"/>
              </w:rPr>
              <w:t>New York</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VSPS LLC</w:t>
            </w:r>
          </w:p>
        </w:tc>
        <w:tc>
          <w:tcPr>
            <w:tcW w:w="3400" w:type="dxa"/>
            <w:vAlign w:val="bottom"/>
          </w:tcPr>
          <w:p>
            <w:pPr>
              <w:ind w:left="270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WDC 666 Fifth Retail TIC Owner LLC</w:t>
            </w:r>
          </w:p>
        </w:tc>
        <w:tc>
          <w:tcPr>
            <w:tcW w:w="3400" w:type="dxa"/>
            <w:vAlign w:val="bottom"/>
          </w:tcPr>
          <w:p>
            <w:pPr>
              <w:ind w:left="270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Wells Kinzie L.L.C.</w:t>
            </w:r>
          </w:p>
        </w:tc>
        <w:tc>
          <w:tcPr>
            <w:tcW w:w="3400" w:type="dxa"/>
            <w:vAlign w:val="bottom"/>
          </w:tcPr>
          <w:p>
            <w:pPr>
              <w:ind w:left="270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West 57th Street Holding LLC</w:t>
            </w:r>
          </w:p>
        </w:tc>
        <w:tc>
          <w:tcPr>
            <w:tcW w:w="3400" w:type="dxa"/>
            <w:vAlign w:val="bottom"/>
          </w:tcPr>
          <w:p>
            <w:pPr>
              <w:ind w:left="270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West 57th Street JV LLC</w:t>
            </w:r>
          </w:p>
        </w:tc>
        <w:tc>
          <w:tcPr>
            <w:tcW w:w="3400" w:type="dxa"/>
            <w:vAlign w:val="bottom"/>
          </w:tcPr>
          <w:p>
            <w:pPr>
              <w:ind w:left="270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West 57th Street Management LLC</w:t>
            </w:r>
          </w:p>
        </w:tc>
        <w:tc>
          <w:tcPr>
            <w:tcW w:w="3400" w:type="dxa"/>
            <w:vAlign w:val="bottom"/>
          </w:tcPr>
          <w:p>
            <w:pPr>
              <w:ind w:left="2700"/>
              <w:spacing w:after="0"/>
              <w:rPr>
                <w:sz w:val="20"/>
                <w:szCs w:val="20"/>
                <w:color w:val="auto"/>
              </w:rPr>
            </w:pPr>
            <w:r>
              <w:rPr>
                <w:rFonts w:ascii="Times New Roman" w:cs="Times New Roman" w:eastAsia="Times New Roman" w:hAnsi="Times New Roman"/>
                <w:sz w:val="17"/>
                <w:szCs w:val="17"/>
                <w:color w:val="auto"/>
              </w:rPr>
              <w:t>Delaware</w:t>
            </w:r>
          </w:p>
        </w:tc>
      </w:tr>
      <w:tr>
        <w:trPr>
          <w:trHeight w:val="228"/>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WOC 666 Fifth Retail TIC Owner LLC</w:t>
            </w:r>
          </w:p>
        </w:tc>
        <w:tc>
          <w:tcPr>
            <w:tcW w:w="3400" w:type="dxa"/>
            <w:vAlign w:val="bottom"/>
          </w:tcPr>
          <w:p>
            <w:pPr>
              <w:ind w:left="2700"/>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9479"/>
          </w:cols>
          <w:pgMar w:left="980" w:top="1195" w:right="1440"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7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 of Vornado Realty Trust of our reports dated February 10, 2025, relating to the financial statements of Vornado Realty Trust and the effectiveness of Vornado Realty Trust’s internal control over financial reporting appearing in this Annual Report on Form 10-K for the year ended December 31, 2024:</w:t>
      </w:r>
    </w:p>
    <w:p>
      <w:pPr>
        <w:spacing w:after="0" w:line="2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Amendment No.1 to Registration Statement No. 333-36080 on Form S-3</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Amendment No.1 to Registration Statement No. 333-50095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Amendment No.1 to Registration Statement No. 333-89667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Amendment No.1 to Registration Statement No. 333-102215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Amendment No.1 to Registration Statement No. 333-102217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333-105838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333-107024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333-114146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333-121929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Amendment No.1 to Registration Statement No. 333-120384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333-126963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333-139646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333-141162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333-150592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333-172880 on Form S-8</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333-191865 on Form S-4</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333-232056 on Form S-8</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333-272385 on Form S-8</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in the joint Registration Statement No. 333-278428 on Form S-3 of Vornado Realty Trust and Vornado Realty L.P.</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10, 2025</w:t>
      </w:r>
    </w:p>
    <w:p>
      <w:pPr>
        <w:sectPr>
          <w:pgSz w:w="11900" w:h="16838" w:orient="portrait"/>
          <w:cols w:equalWidth="0" w:num="1">
            <w:col w:w="11240"/>
          </w:cols>
          <w:pgMar w:left="320" w:top="748"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consent to the incorporation by reference in the joint Registration Statement No. 333-278428 on Form S-3 of Vornado Realty Trust and Vornado Realty L.P. of our reports dated February 10, 2025, relating to the financial statements of Vornado Realty L.P. and the effectiveness of Vornado Realty L. P.’s internal control over financial reporting appearing in this Annual Report on Form 10-K for the year ended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10, 2025</w:t>
      </w:r>
    </w:p>
    <w:p>
      <w:pPr>
        <w:sectPr>
          <w:pgSz w:w="11900" w:h="16838" w:orient="portrait"/>
          <w:cols w:equalWidth="0" w:num="1">
            <w:col w:w="11240"/>
          </w:cols>
          <w:pgMar w:left="320" w:top="1377"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5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 Steven Roth, certify that:</w:t>
      </w:r>
    </w:p>
    <w:p>
      <w:pPr>
        <w:spacing w:after="0" w:line="261" w:lineRule="exact"/>
        <w:rPr>
          <w:sz w:val="20"/>
          <w:szCs w:val="20"/>
          <w:color w:val="auto"/>
        </w:rPr>
      </w:pPr>
    </w:p>
    <w:p>
      <w:pPr>
        <w:ind w:left="306" w:hanging="306"/>
        <w:spacing w:after="0"/>
        <w:tabs>
          <w:tab w:leader="none" w:pos="306"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Vornado Realty Trust;</w:t>
      </w:r>
    </w:p>
    <w:p>
      <w:pPr>
        <w:spacing w:after="0" w:line="143" w:lineRule="exact"/>
        <w:rPr>
          <w:rFonts w:ascii="Times New Roman" w:cs="Times New Roman" w:eastAsia="Times New Roman" w:hAnsi="Times New Roman"/>
          <w:sz w:val="16"/>
          <w:szCs w:val="16"/>
          <w:color w:val="auto"/>
        </w:rPr>
      </w:pPr>
    </w:p>
    <w:p>
      <w:pPr>
        <w:ind w:left="306" w:hanging="306"/>
        <w:spacing w:after="0" w:line="319" w:lineRule="auto"/>
        <w:tabs>
          <w:tab w:leader="none" w:pos="306"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left="306" w:hanging="306"/>
        <w:spacing w:after="0" w:line="319" w:lineRule="auto"/>
        <w:tabs>
          <w:tab w:leader="none" w:pos="306"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6"/>
          <w:szCs w:val="16"/>
          <w:color w:val="auto"/>
        </w:rPr>
      </w:pPr>
    </w:p>
    <w:p>
      <w:pPr>
        <w:jc w:val="both"/>
        <w:ind w:left="306" w:hanging="306"/>
        <w:spacing w:after="0" w:line="221" w:lineRule="exact"/>
        <w:tabs>
          <w:tab w:leader="none" w:pos="306"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15d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6"/>
          <w:szCs w:val="16"/>
          <w:color w:val="auto"/>
        </w:rPr>
      </w:pPr>
    </w:p>
    <w:p>
      <w:pPr>
        <w:jc w:val="both"/>
        <w:ind w:left="626" w:hanging="312"/>
        <w:spacing w:after="0" w:line="304" w:lineRule="auto"/>
        <w:tabs>
          <w:tab w:leader="none" w:pos="617"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Times New Roman" w:cs="Times New Roman" w:eastAsia="Times New Roman" w:hAnsi="Times New Roman"/>
          <w:sz w:val="16"/>
          <w:szCs w:val="16"/>
          <w:color w:val="auto"/>
        </w:rPr>
      </w:pPr>
    </w:p>
    <w:p>
      <w:pPr>
        <w:jc w:val="both"/>
        <w:ind w:left="626" w:hanging="312"/>
        <w:spacing w:after="0" w:line="304" w:lineRule="auto"/>
        <w:tabs>
          <w:tab w:leader="none" w:pos="626"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6"/>
          <w:szCs w:val="16"/>
          <w:color w:val="auto"/>
        </w:rPr>
      </w:pPr>
    </w:p>
    <w:p>
      <w:pPr>
        <w:ind w:left="626" w:hanging="312"/>
        <w:spacing w:after="0" w:line="336" w:lineRule="auto"/>
        <w:tabs>
          <w:tab w:leader="none" w:pos="617"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6"/>
          <w:szCs w:val="16"/>
          <w:color w:val="auto"/>
        </w:rPr>
      </w:pPr>
    </w:p>
    <w:p>
      <w:pPr>
        <w:jc w:val="both"/>
        <w:ind w:left="626" w:hanging="312"/>
        <w:spacing w:after="0" w:line="313" w:lineRule="auto"/>
        <w:tabs>
          <w:tab w:leader="none" w:pos="626"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Times New Roman" w:cs="Times New Roman" w:eastAsia="Times New Roman" w:hAnsi="Times New Roman"/>
          <w:sz w:val="16"/>
          <w:szCs w:val="16"/>
          <w:color w:val="auto"/>
        </w:rPr>
      </w:pPr>
    </w:p>
    <w:p>
      <w:pPr>
        <w:ind w:left="306" w:hanging="306"/>
        <w:spacing w:after="0" w:line="319" w:lineRule="auto"/>
        <w:tabs>
          <w:tab w:leader="none" w:pos="306"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Times New Roman" w:cs="Times New Roman" w:eastAsia="Times New Roman" w:hAnsi="Times New Roman"/>
          <w:sz w:val="16"/>
          <w:szCs w:val="16"/>
          <w:color w:val="auto"/>
        </w:rPr>
      </w:pPr>
    </w:p>
    <w:p>
      <w:pPr>
        <w:ind w:left="626" w:hanging="312"/>
        <w:spacing w:after="0" w:line="336" w:lineRule="auto"/>
        <w:tabs>
          <w:tab w:leader="none" w:pos="617"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6"/>
          <w:szCs w:val="16"/>
          <w:color w:val="auto"/>
        </w:rPr>
      </w:pPr>
    </w:p>
    <w:p>
      <w:pPr>
        <w:ind w:left="626" w:hanging="312"/>
        <w:spacing w:after="0" w:line="319" w:lineRule="auto"/>
        <w:tabs>
          <w:tab w:leader="none" w:pos="626"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87" w:lineRule="exact"/>
        <w:rPr>
          <w:sz w:val="20"/>
          <w:szCs w:val="20"/>
          <w:color w:val="auto"/>
        </w:rPr>
      </w:pPr>
    </w:p>
    <w:p>
      <w:pPr>
        <w:ind w:left="546"/>
        <w:spacing w:after="0"/>
        <w:rPr>
          <w:sz w:val="20"/>
          <w:szCs w:val="20"/>
          <w:color w:val="auto"/>
        </w:rPr>
      </w:pPr>
      <w:r>
        <w:rPr>
          <w:rFonts w:ascii="Times New Roman" w:cs="Times New Roman" w:eastAsia="Times New Roman" w:hAnsi="Times New Roman"/>
          <w:sz w:val="16"/>
          <w:szCs w:val="16"/>
          <w:color w:val="auto"/>
        </w:rPr>
        <w:t>February 10, 2025</w:t>
      </w:r>
    </w:p>
    <w:p>
      <w:pPr>
        <w:spacing w:after="0" w:line="327" w:lineRule="exact"/>
        <w:rPr>
          <w:sz w:val="20"/>
          <w:szCs w:val="20"/>
          <w:color w:val="auto"/>
        </w:rPr>
      </w:pPr>
    </w:p>
    <w:p>
      <w:pPr>
        <w:ind w:left="546"/>
        <w:spacing w:after="0"/>
        <w:rPr>
          <w:sz w:val="20"/>
          <w:szCs w:val="20"/>
          <w:color w:val="auto"/>
        </w:rPr>
      </w:pPr>
      <w:r>
        <w:rPr>
          <w:rFonts w:ascii="Times New Roman" w:cs="Times New Roman" w:eastAsia="Times New Roman" w:hAnsi="Times New Roman"/>
          <w:sz w:val="16"/>
          <w:szCs w:val="16"/>
          <w:color w:val="auto"/>
        </w:rPr>
        <w:t>/s/ Steven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41910</wp:posOffset>
            </wp:positionV>
            <wp:extent cx="30441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60">
                      <a:extLst>
                        <a:ext uri="{28A0092B-C50C-407E-A947-70E740481C1C}"/>
                      </a:extLst>
                    </a:blip>
                    <a:srcRect/>
                    <a:stretch>
                      <a:fillRect/>
                    </a:stretch>
                  </pic:blipFill>
                  <pic:spPr bwMode="auto">
                    <a:xfrm>
                      <a:off x="0" y="0"/>
                      <a:ext cx="3044190" cy="8255"/>
                    </a:xfrm>
                    <a:prstGeom prst="rect">
                      <a:avLst/>
                    </a:prstGeom>
                    <a:noFill/>
                  </pic:spPr>
                </pic:pic>
              </a:graphicData>
            </a:graphic>
          </wp:anchor>
        </w:drawing>
      </w:r>
    </w:p>
    <w:p>
      <w:pPr>
        <w:spacing w:after="0" w:line="58" w:lineRule="exact"/>
        <w:rPr>
          <w:sz w:val="20"/>
          <w:szCs w:val="20"/>
          <w:color w:val="auto"/>
        </w:rPr>
      </w:pPr>
    </w:p>
    <w:p>
      <w:pPr>
        <w:ind w:left="546"/>
        <w:spacing w:after="0"/>
        <w:rPr>
          <w:sz w:val="20"/>
          <w:szCs w:val="20"/>
          <w:color w:val="auto"/>
        </w:rPr>
      </w:pPr>
      <w:r>
        <w:rPr>
          <w:rFonts w:ascii="Times New Roman" w:cs="Times New Roman" w:eastAsia="Times New Roman" w:hAnsi="Times New Roman"/>
          <w:sz w:val="16"/>
          <w:szCs w:val="16"/>
          <w:color w:val="auto"/>
        </w:rPr>
        <w:t>Steven Roth</w:t>
      </w:r>
    </w:p>
    <w:p>
      <w:pPr>
        <w:spacing w:after="0" w:line="65" w:lineRule="exact"/>
        <w:rPr>
          <w:sz w:val="20"/>
          <w:szCs w:val="20"/>
          <w:color w:val="auto"/>
        </w:rPr>
      </w:pPr>
    </w:p>
    <w:p>
      <w:pPr>
        <w:ind w:left="546"/>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p>
      <w:pPr>
        <w:sectPr>
          <w:pgSz w:w="11900" w:h="16838" w:orient="portrait"/>
          <w:cols w:equalWidth="0" w:num="1">
            <w:col w:w="10606"/>
          </w:cols>
          <w:pgMar w:left="954" w:top="892"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5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 Michael J. Franco, certify that:</w:t>
      </w:r>
    </w:p>
    <w:p>
      <w:pPr>
        <w:spacing w:after="0" w:line="261" w:lineRule="exact"/>
        <w:rPr>
          <w:sz w:val="20"/>
          <w:szCs w:val="20"/>
          <w:color w:val="auto"/>
        </w:rPr>
      </w:pPr>
    </w:p>
    <w:p>
      <w:pPr>
        <w:ind w:left="306" w:hanging="306"/>
        <w:spacing w:after="0"/>
        <w:tabs>
          <w:tab w:leader="none" w:pos="306"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Vornado Realty Trust;</w:t>
      </w:r>
    </w:p>
    <w:p>
      <w:pPr>
        <w:spacing w:after="0" w:line="143" w:lineRule="exact"/>
        <w:rPr>
          <w:rFonts w:ascii="Times New Roman" w:cs="Times New Roman" w:eastAsia="Times New Roman" w:hAnsi="Times New Roman"/>
          <w:sz w:val="16"/>
          <w:szCs w:val="16"/>
          <w:color w:val="auto"/>
        </w:rPr>
      </w:pPr>
    </w:p>
    <w:p>
      <w:pPr>
        <w:ind w:left="306" w:hanging="306"/>
        <w:spacing w:after="0" w:line="319" w:lineRule="auto"/>
        <w:tabs>
          <w:tab w:leader="none" w:pos="306"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left="306" w:hanging="306"/>
        <w:spacing w:after="0" w:line="319" w:lineRule="auto"/>
        <w:tabs>
          <w:tab w:leader="none" w:pos="306"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6"/>
          <w:szCs w:val="16"/>
          <w:color w:val="auto"/>
        </w:rPr>
      </w:pPr>
    </w:p>
    <w:p>
      <w:pPr>
        <w:jc w:val="both"/>
        <w:ind w:left="306" w:hanging="306"/>
        <w:spacing w:after="0" w:line="221" w:lineRule="exact"/>
        <w:tabs>
          <w:tab w:leader="none" w:pos="306"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15d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6"/>
          <w:szCs w:val="16"/>
          <w:color w:val="auto"/>
        </w:rPr>
      </w:pPr>
    </w:p>
    <w:p>
      <w:pPr>
        <w:jc w:val="both"/>
        <w:ind w:left="626" w:hanging="312"/>
        <w:spacing w:after="0" w:line="304" w:lineRule="auto"/>
        <w:tabs>
          <w:tab w:leader="none" w:pos="617"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Times New Roman" w:cs="Times New Roman" w:eastAsia="Times New Roman" w:hAnsi="Times New Roman"/>
          <w:sz w:val="16"/>
          <w:szCs w:val="16"/>
          <w:color w:val="auto"/>
        </w:rPr>
      </w:pPr>
    </w:p>
    <w:p>
      <w:pPr>
        <w:jc w:val="both"/>
        <w:ind w:left="626" w:hanging="312"/>
        <w:spacing w:after="0" w:line="304" w:lineRule="auto"/>
        <w:tabs>
          <w:tab w:leader="none" w:pos="626"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6"/>
          <w:szCs w:val="16"/>
          <w:color w:val="auto"/>
        </w:rPr>
      </w:pPr>
    </w:p>
    <w:p>
      <w:pPr>
        <w:ind w:left="626" w:hanging="312"/>
        <w:spacing w:after="0" w:line="336" w:lineRule="auto"/>
        <w:tabs>
          <w:tab w:leader="none" w:pos="617"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6"/>
          <w:szCs w:val="16"/>
          <w:color w:val="auto"/>
        </w:rPr>
      </w:pPr>
    </w:p>
    <w:p>
      <w:pPr>
        <w:jc w:val="both"/>
        <w:ind w:left="626" w:hanging="312"/>
        <w:spacing w:after="0" w:line="313" w:lineRule="auto"/>
        <w:tabs>
          <w:tab w:leader="none" w:pos="626"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Times New Roman" w:cs="Times New Roman" w:eastAsia="Times New Roman" w:hAnsi="Times New Roman"/>
          <w:sz w:val="16"/>
          <w:szCs w:val="16"/>
          <w:color w:val="auto"/>
        </w:rPr>
      </w:pPr>
    </w:p>
    <w:p>
      <w:pPr>
        <w:ind w:left="306" w:hanging="306"/>
        <w:spacing w:after="0" w:line="319" w:lineRule="auto"/>
        <w:tabs>
          <w:tab w:leader="none" w:pos="306"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Times New Roman" w:cs="Times New Roman" w:eastAsia="Times New Roman" w:hAnsi="Times New Roman"/>
          <w:sz w:val="16"/>
          <w:szCs w:val="16"/>
          <w:color w:val="auto"/>
        </w:rPr>
      </w:pPr>
    </w:p>
    <w:p>
      <w:pPr>
        <w:ind w:left="626" w:hanging="312"/>
        <w:spacing w:after="0" w:line="336" w:lineRule="auto"/>
        <w:tabs>
          <w:tab w:leader="none" w:pos="617"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6"/>
          <w:szCs w:val="16"/>
          <w:color w:val="auto"/>
        </w:rPr>
      </w:pPr>
    </w:p>
    <w:p>
      <w:pPr>
        <w:ind w:left="626" w:hanging="312"/>
        <w:spacing w:after="0" w:line="319" w:lineRule="auto"/>
        <w:tabs>
          <w:tab w:leader="none" w:pos="626"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87" w:lineRule="exact"/>
        <w:rPr>
          <w:sz w:val="20"/>
          <w:szCs w:val="20"/>
          <w:color w:val="auto"/>
        </w:rPr>
      </w:pPr>
    </w:p>
    <w:p>
      <w:pPr>
        <w:ind w:left="406"/>
        <w:spacing w:after="0"/>
        <w:rPr>
          <w:sz w:val="20"/>
          <w:szCs w:val="20"/>
          <w:color w:val="auto"/>
        </w:rPr>
      </w:pPr>
      <w:r>
        <w:rPr>
          <w:rFonts w:ascii="Times New Roman" w:cs="Times New Roman" w:eastAsia="Times New Roman" w:hAnsi="Times New Roman"/>
          <w:sz w:val="16"/>
          <w:szCs w:val="16"/>
          <w:color w:val="auto"/>
        </w:rPr>
        <w:t>February 10, 2025</w:t>
      </w:r>
    </w:p>
    <w:p>
      <w:pPr>
        <w:spacing w:after="0" w:line="314" w:lineRule="exact"/>
        <w:rPr>
          <w:sz w:val="20"/>
          <w:szCs w:val="20"/>
          <w:color w:val="auto"/>
        </w:rPr>
      </w:pPr>
    </w:p>
    <w:p>
      <w:pPr>
        <w:ind w:left="406"/>
        <w:spacing w:after="0"/>
        <w:rPr>
          <w:sz w:val="20"/>
          <w:szCs w:val="20"/>
          <w:color w:val="auto"/>
        </w:rPr>
      </w:pPr>
      <w:r>
        <w:rPr>
          <w:rFonts w:ascii="Times New Roman" w:cs="Times New Roman" w:eastAsia="Times New Roman" w:hAnsi="Times New Roman"/>
          <w:sz w:val="16"/>
          <w:szCs w:val="16"/>
          <w:color w:val="auto"/>
        </w:rPr>
        <w:t>/s/ Michael J. Franco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41910</wp:posOffset>
            </wp:positionV>
            <wp:extent cx="34270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61">
                      <a:extLst>
                        <a:ext uri="{28A0092B-C50C-407E-A947-70E740481C1C}"/>
                      </a:extLst>
                    </a:blip>
                    <a:srcRect/>
                    <a:stretch>
                      <a:fillRect/>
                    </a:stretch>
                  </pic:blipFill>
                  <pic:spPr bwMode="auto">
                    <a:xfrm>
                      <a:off x="0" y="0"/>
                      <a:ext cx="3427095" cy="8255"/>
                    </a:xfrm>
                    <a:prstGeom prst="rect">
                      <a:avLst/>
                    </a:prstGeom>
                    <a:noFill/>
                  </pic:spPr>
                </pic:pic>
              </a:graphicData>
            </a:graphic>
          </wp:anchor>
        </w:drawing>
      </w:r>
    </w:p>
    <w:p>
      <w:pPr>
        <w:spacing w:after="0" w:line="58" w:lineRule="exact"/>
        <w:rPr>
          <w:sz w:val="20"/>
          <w:szCs w:val="20"/>
          <w:color w:val="auto"/>
        </w:rPr>
      </w:pPr>
    </w:p>
    <w:p>
      <w:pPr>
        <w:ind w:left="406"/>
        <w:spacing w:after="0"/>
        <w:rPr>
          <w:sz w:val="20"/>
          <w:szCs w:val="20"/>
          <w:color w:val="auto"/>
        </w:rPr>
      </w:pPr>
      <w:r>
        <w:rPr>
          <w:rFonts w:ascii="Times New Roman" w:cs="Times New Roman" w:eastAsia="Times New Roman" w:hAnsi="Times New Roman"/>
          <w:sz w:val="16"/>
          <w:szCs w:val="16"/>
          <w:color w:val="auto"/>
        </w:rPr>
        <w:t>Michael J. Franco</w:t>
      </w:r>
    </w:p>
    <w:p>
      <w:pPr>
        <w:spacing w:after="0" w:line="104" w:lineRule="exact"/>
        <w:rPr>
          <w:sz w:val="20"/>
          <w:szCs w:val="20"/>
          <w:color w:val="auto"/>
        </w:rPr>
      </w:pPr>
    </w:p>
    <w:p>
      <w:pPr>
        <w:ind w:left="406"/>
        <w:spacing w:after="0"/>
        <w:rPr>
          <w:sz w:val="20"/>
          <w:szCs w:val="20"/>
          <w:color w:val="auto"/>
        </w:rPr>
      </w:pPr>
      <w:r>
        <w:rPr>
          <w:rFonts w:ascii="Times New Roman" w:cs="Times New Roman" w:eastAsia="Times New Roman" w:hAnsi="Times New Roman"/>
          <w:sz w:val="16"/>
          <w:szCs w:val="16"/>
          <w:color w:val="auto"/>
        </w:rPr>
        <w:t>President and Chief Financial Officer</w:t>
      </w:r>
    </w:p>
    <w:p>
      <w:pPr>
        <w:sectPr>
          <w:pgSz w:w="11900" w:h="16838" w:orient="portrait"/>
          <w:cols w:equalWidth="0" w:num="1">
            <w:col w:w="10606"/>
          </w:cols>
          <w:pgMar w:left="954" w:top="892"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7"/>
          <w:szCs w:val="17"/>
          <w:b w:val="1"/>
          <w:bCs w:val="1"/>
          <w:color w:val="auto"/>
        </w:rPr>
        <w:t>EXHIBIT 31.3</w:t>
      </w:r>
    </w:p>
    <w:p>
      <w:pPr>
        <w:spacing w:after="0" w:line="359" w:lineRule="exact"/>
        <w:rPr>
          <w:sz w:val="20"/>
          <w:szCs w:val="20"/>
          <w:color w:val="auto"/>
        </w:rPr>
      </w:pPr>
    </w:p>
    <w:p>
      <w:pPr>
        <w:ind w:left="4366"/>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 Steven Roth, certify that:</w:t>
      </w:r>
    </w:p>
    <w:p>
      <w:pPr>
        <w:spacing w:after="0" w:line="261" w:lineRule="exact"/>
        <w:rPr>
          <w:sz w:val="20"/>
          <w:szCs w:val="20"/>
          <w:color w:val="auto"/>
        </w:rPr>
      </w:pPr>
    </w:p>
    <w:p>
      <w:pPr>
        <w:ind w:left="266" w:hanging="266"/>
        <w:spacing w:after="0"/>
        <w:tabs>
          <w:tab w:leader="none" w:pos="266"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Vornado Realty L.P.;</w:t>
      </w:r>
    </w:p>
    <w:p>
      <w:pPr>
        <w:spacing w:after="0" w:line="143" w:lineRule="exact"/>
        <w:rPr>
          <w:rFonts w:ascii="Times New Roman" w:cs="Times New Roman" w:eastAsia="Times New Roman" w:hAnsi="Times New Roman"/>
          <w:sz w:val="16"/>
          <w:szCs w:val="16"/>
          <w:color w:val="auto"/>
        </w:rPr>
      </w:pPr>
    </w:p>
    <w:p>
      <w:pPr>
        <w:ind w:left="306" w:hanging="306"/>
        <w:spacing w:after="0" w:line="319" w:lineRule="auto"/>
        <w:tabs>
          <w:tab w:leader="none" w:pos="275"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left="306" w:hanging="306"/>
        <w:spacing w:after="0" w:line="319" w:lineRule="auto"/>
        <w:tabs>
          <w:tab w:leader="none" w:pos="354"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6"/>
          <w:szCs w:val="16"/>
          <w:color w:val="auto"/>
        </w:rPr>
      </w:pPr>
    </w:p>
    <w:p>
      <w:pPr>
        <w:jc w:val="both"/>
        <w:ind w:left="306" w:hanging="306"/>
        <w:spacing w:after="0" w:line="221" w:lineRule="exact"/>
        <w:tabs>
          <w:tab w:leader="none" w:pos="308"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15d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6"/>
          <w:szCs w:val="16"/>
          <w:color w:val="auto"/>
        </w:rPr>
      </w:pPr>
    </w:p>
    <w:p>
      <w:pPr>
        <w:jc w:val="both"/>
        <w:ind w:left="626" w:hanging="312"/>
        <w:spacing w:after="0" w:line="304" w:lineRule="auto"/>
        <w:tabs>
          <w:tab w:leader="none" w:pos="65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Times New Roman" w:cs="Times New Roman" w:eastAsia="Times New Roman" w:hAnsi="Times New Roman"/>
          <w:sz w:val="16"/>
          <w:szCs w:val="16"/>
          <w:color w:val="auto"/>
        </w:rPr>
      </w:pPr>
    </w:p>
    <w:p>
      <w:pPr>
        <w:jc w:val="both"/>
        <w:ind w:left="626" w:hanging="312"/>
        <w:spacing w:after="0" w:line="304" w:lineRule="auto"/>
        <w:tabs>
          <w:tab w:leader="none" w:pos="674"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6"/>
          <w:szCs w:val="16"/>
          <w:color w:val="auto"/>
        </w:rPr>
      </w:pPr>
    </w:p>
    <w:p>
      <w:pPr>
        <w:ind w:left="626" w:hanging="312"/>
        <w:spacing w:after="0" w:line="336" w:lineRule="auto"/>
        <w:tabs>
          <w:tab w:leader="none" w:pos="635"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6"/>
          <w:szCs w:val="16"/>
          <w:color w:val="auto"/>
        </w:rPr>
      </w:pPr>
    </w:p>
    <w:p>
      <w:pPr>
        <w:jc w:val="both"/>
        <w:ind w:left="626" w:hanging="312"/>
        <w:spacing w:after="0" w:line="313" w:lineRule="auto"/>
        <w:tabs>
          <w:tab w:leader="none" w:pos="632"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Times New Roman" w:cs="Times New Roman" w:eastAsia="Times New Roman" w:hAnsi="Times New Roman"/>
          <w:sz w:val="16"/>
          <w:szCs w:val="16"/>
          <w:color w:val="auto"/>
        </w:rPr>
      </w:pPr>
    </w:p>
    <w:p>
      <w:pPr>
        <w:ind w:left="306" w:hanging="306"/>
        <w:spacing w:after="0" w:line="319" w:lineRule="auto"/>
        <w:tabs>
          <w:tab w:leader="none" w:pos="292"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Times New Roman" w:cs="Times New Roman" w:eastAsia="Times New Roman" w:hAnsi="Times New Roman"/>
          <w:sz w:val="16"/>
          <w:szCs w:val="16"/>
          <w:color w:val="auto"/>
        </w:rPr>
      </w:pPr>
    </w:p>
    <w:p>
      <w:pPr>
        <w:ind w:left="626" w:hanging="312"/>
        <w:spacing w:after="0" w:line="336" w:lineRule="auto"/>
        <w:tabs>
          <w:tab w:leader="none" w:pos="656"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6"/>
          <w:szCs w:val="16"/>
          <w:color w:val="auto"/>
        </w:rPr>
      </w:pPr>
    </w:p>
    <w:p>
      <w:pPr>
        <w:ind w:left="626" w:hanging="312"/>
        <w:spacing w:after="0" w:line="319" w:lineRule="auto"/>
        <w:tabs>
          <w:tab w:leader="none" w:pos="601"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87" w:lineRule="exact"/>
        <w:rPr>
          <w:sz w:val="20"/>
          <w:szCs w:val="20"/>
          <w:color w:val="auto"/>
        </w:rPr>
      </w:pPr>
    </w:p>
    <w:p>
      <w:pPr>
        <w:ind w:left="406"/>
        <w:spacing w:after="0"/>
        <w:rPr>
          <w:sz w:val="20"/>
          <w:szCs w:val="20"/>
          <w:color w:val="auto"/>
        </w:rPr>
      </w:pPr>
      <w:r>
        <w:rPr>
          <w:rFonts w:ascii="Times New Roman" w:cs="Times New Roman" w:eastAsia="Times New Roman" w:hAnsi="Times New Roman"/>
          <w:sz w:val="16"/>
          <w:szCs w:val="16"/>
          <w:color w:val="auto"/>
        </w:rPr>
        <w:t>February 10, 2025</w:t>
      </w:r>
    </w:p>
    <w:p>
      <w:pPr>
        <w:spacing w:after="0" w:line="222" w:lineRule="exact"/>
        <w:rPr>
          <w:sz w:val="20"/>
          <w:szCs w:val="20"/>
          <w:color w:val="auto"/>
        </w:rPr>
      </w:pPr>
    </w:p>
    <w:p>
      <w:pPr>
        <w:ind w:left="406"/>
        <w:spacing w:after="0"/>
        <w:rPr>
          <w:sz w:val="20"/>
          <w:szCs w:val="20"/>
          <w:color w:val="auto"/>
        </w:rPr>
      </w:pPr>
      <w:r>
        <w:rPr>
          <w:rFonts w:ascii="Times New Roman" w:cs="Times New Roman" w:eastAsia="Times New Roman" w:hAnsi="Times New Roman"/>
          <w:sz w:val="16"/>
          <w:szCs w:val="16"/>
          <w:color w:val="auto"/>
        </w:rPr>
        <w:t>/s/ Steven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41910</wp:posOffset>
            </wp:positionV>
            <wp:extent cx="26949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62">
                      <a:extLst>
                        <a:ext uri="{28A0092B-C50C-407E-A947-70E740481C1C}"/>
                      </a:extLst>
                    </a:blip>
                    <a:srcRect/>
                    <a:stretch>
                      <a:fillRect/>
                    </a:stretch>
                  </pic:blipFill>
                  <pic:spPr bwMode="auto">
                    <a:xfrm>
                      <a:off x="0" y="0"/>
                      <a:ext cx="2694940" cy="8255"/>
                    </a:xfrm>
                    <a:prstGeom prst="rect">
                      <a:avLst/>
                    </a:prstGeom>
                    <a:noFill/>
                  </pic:spPr>
                </pic:pic>
              </a:graphicData>
            </a:graphic>
          </wp:anchor>
        </w:drawing>
      </w:r>
    </w:p>
    <w:p>
      <w:pPr>
        <w:spacing w:after="0" w:line="58" w:lineRule="exact"/>
        <w:rPr>
          <w:sz w:val="20"/>
          <w:szCs w:val="20"/>
          <w:color w:val="auto"/>
        </w:rPr>
      </w:pPr>
    </w:p>
    <w:p>
      <w:pPr>
        <w:ind w:left="406"/>
        <w:spacing w:after="0"/>
        <w:rPr>
          <w:sz w:val="20"/>
          <w:szCs w:val="20"/>
          <w:color w:val="auto"/>
        </w:rPr>
      </w:pPr>
      <w:r>
        <w:rPr>
          <w:rFonts w:ascii="Times New Roman" w:cs="Times New Roman" w:eastAsia="Times New Roman" w:hAnsi="Times New Roman"/>
          <w:sz w:val="16"/>
          <w:szCs w:val="16"/>
          <w:color w:val="auto"/>
        </w:rPr>
        <w:t>Steven Roth</w:t>
      </w:r>
    </w:p>
    <w:p>
      <w:pPr>
        <w:spacing w:after="0" w:line="130" w:lineRule="exact"/>
        <w:rPr>
          <w:sz w:val="20"/>
          <w:szCs w:val="20"/>
          <w:color w:val="auto"/>
        </w:rPr>
      </w:pPr>
    </w:p>
    <w:p>
      <w:pPr>
        <w:ind w:left="406"/>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p>
      <w:pPr>
        <w:spacing w:after="0" w:line="39" w:lineRule="exact"/>
        <w:rPr>
          <w:sz w:val="20"/>
          <w:szCs w:val="20"/>
          <w:color w:val="auto"/>
        </w:rPr>
      </w:pPr>
    </w:p>
    <w:p>
      <w:pPr>
        <w:ind w:left="406"/>
        <w:spacing w:after="0"/>
        <w:rPr>
          <w:sz w:val="20"/>
          <w:szCs w:val="20"/>
          <w:color w:val="auto"/>
        </w:rPr>
      </w:pPr>
      <w:r>
        <w:rPr>
          <w:rFonts w:ascii="Times New Roman" w:cs="Times New Roman" w:eastAsia="Times New Roman" w:hAnsi="Times New Roman"/>
          <w:sz w:val="16"/>
          <w:szCs w:val="16"/>
          <w:color w:val="auto"/>
        </w:rPr>
        <w:t>of Vornado Realty Trust, sole General Partner of Vornado Realty</w:t>
      </w:r>
    </w:p>
    <w:p>
      <w:pPr>
        <w:spacing w:after="0" w:line="52" w:lineRule="exact"/>
        <w:rPr>
          <w:sz w:val="20"/>
          <w:szCs w:val="20"/>
          <w:color w:val="auto"/>
        </w:rPr>
      </w:pPr>
    </w:p>
    <w:p>
      <w:pPr>
        <w:ind w:left="406"/>
        <w:spacing w:after="0"/>
        <w:rPr>
          <w:sz w:val="20"/>
          <w:szCs w:val="20"/>
          <w:color w:val="auto"/>
        </w:rPr>
      </w:pPr>
      <w:r>
        <w:rPr>
          <w:rFonts w:ascii="Times New Roman" w:cs="Times New Roman" w:eastAsia="Times New Roman" w:hAnsi="Times New Roman"/>
          <w:sz w:val="16"/>
          <w:szCs w:val="16"/>
          <w:color w:val="auto"/>
        </w:rPr>
        <w:t>L.P.</w:t>
      </w:r>
    </w:p>
    <w:p>
      <w:pPr>
        <w:sectPr>
          <w:pgSz w:w="11900" w:h="16838" w:orient="portrait"/>
          <w:cols w:equalWidth="0" w:num="1">
            <w:col w:w="10606"/>
          </w:cols>
          <w:pgMar w:left="954" w:top="774"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7"/>
          <w:szCs w:val="17"/>
          <w:b w:val="1"/>
          <w:bCs w:val="1"/>
          <w:color w:val="auto"/>
        </w:rPr>
        <w:t>EXHIBIT 31.4</w:t>
      </w:r>
    </w:p>
    <w:p>
      <w:pPr>
        <w:spacing w:after="0" w:line="359" w:lineRule="exact"/>
        <w:rPr>
          <w:sz w:val="20"/>
          <w:szCs w:val="20"/>
          <w:color w:val="auto"/>
        </w:rPr>
      </w:pPr>
    </w:p>
    <w:p>
      <w:pPr>
        <w:ind w:left="4366"/>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 Michael J. Franco, certify that:</w:t>
      </w:r>
    </w:p>
    <w:p>
      <w:pPr>
        <w:spacing w:after="0" w:line="261" w:lineRule="exact"/>
        <w:rPr>
          <w:sz w:val="20"/>
          <w:szCs w:val="20"/>
          <w:color w:val="auto"/>
        </w:rPr>
      </w:pPr>
    </w:p>
    <w:p>
      <w:pPr>
        <w:ind w:left="266" w:hanging="266"/>
        <w:spacing w:after="0"/>
        <w:tabs>
          <w:tab w:leader="none" w:pos="266"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Vornado Realty L.P.;</w:t>
      </w:r>
    </w:p>
    <w:p>
      <w:pPr>
        <w:spacing w:after="0" w:line="143" w:lineRule="exact"/>
        <w:rPr>
          <w:rFonts w:ascii="Times New Roman" w:cs="Times New Roman" w:eastAsia="Times New Roman" w:hAnsi="Times New Roman"/>
          <w:sz w:val="16"/>
          <w:szCs w:val="16"/>
          <w:color w:val="auto"/>
        </w:rPr>
      </w:pPr>
    </w:p>
    <w:p>
      <w:pPr>
        <w:ind w:left="306" w:hanging="306"/>
        <w:spacing w:after="0" w:line="319" w:lineRule="auto"/>
        <w:tabs>
          <w:tab w:leader="none" w:pos="275"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left="306" w:hanging="306"/>
        <w:spacing w:after="0" w:line="319" w:lineRule="auto"/>
        <w:tabs>
          <w:tab w:leader="none" w:pos="354"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6"/>
          <w:szCs w:val="16"/>
          <w:color w:val="auto"/>
        </w:rPr>
      </w:pPr>
    </w:p>
    <w:p>
      <w:pPr>
        <w:jc w:val="both"/>
        <w:ind w:left="306" w:hanging="306"/>
        <w:spacing w:after="0" w:line="221" w:lineRule="exact"/>
        <w:tabs>
          <w:tab w:leader="none" w:pos="308"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15d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6"/>
          <w:szCs w:val="16"/>
          <w:color w:val="auto"/>
        </w:rPr>
      </w:pPr>
    </w:p>
    <w:p>
      <w:pPr>
        <w:jc w:val="both"/>
        <w:ind w:left="626" w:hanging="312"/>
        <w:spacing w:after="0" w:line="304" w:lineRule="auto"/>
        <w:tabs>
          <w:tab w:leader="none" w:pos="650"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Times New Roman" w:cs="Times New Roman" w:eastAsia="Times New Roman" w:hAnsi="Times New Roman"/>
          <w:sz w:val="16"/>
          <w:szCs w:val="16"/>
          <w:color w:val="auto"/>
        </w:rPr>
      </w:pPr>
    </w:p>
    <w:p>
      <w:pPr>
        <w:jc w:val="both"/>
        <w:ind w:left="626" w:hanging="312"/>
        <w:spacing w:after="0" w:line="304" w:lineRule="auto"/>
        <w:tabs>
          <w:tab w:leader="none" w:pos="674"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6"/>
          <w:szCs w:val="16"/>
          <w:color w:val="auto"/>
        </w:rPr>
      </w:pPr>
    </w:p>
    <w:p>
      <w:pPr>
        <w:ind w:left="626" w:hanging="312"/>
        <w:spacing w:after="0" w:line="336" w:lineRule="auto"/>
        <w:tabs>
          <w:tab w:leader="none" w:pos="635"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6"/>
          <w:szCs w:val="16"/>
          <w:color w:val="auto"/>
        </w:rPr>
      </w:pPr>
    </w:p>
    <w:p>
      <w:pPr>
        <w:jc w:val="both"/>
        <w:ind w:left="626" w:hanging="312"/>
        <w:spacing w:after="0" w:line="313" w:lineRule="auto"/>
        <w:tabs>
          <w:tab w:leader="none" w:pos="632"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Times New Roman" w:cs="Times New Roman" w:eastAsia="Times New Roman" w:hAnsi="Times New Roman"/>
          <w:sz w:val="16"/>
          <w:szCs w:val="16"/>
          <w:color w:val="auto"/>
        </w:rPr>
      </w:pPr>
    </w:p>
    <w:p>
      <w:pPr>
        <w:ind w:left="306" w:hanging="306"/>
        <w:spacing w:after="0" w:line="319" w:lineRule="auto"/>
        <w:tabs>
          <w:tab w:leader="none" w:pos="292"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Times New Roman" w:cs="Times New Roman" w:eastAsia="Times New Roman" w:hAnsi="Times New Roman"/>
          <w:sz w:val="16"/>
          <w:szCs w:val="16"/>
          <w:color w:val="auto"/>
        </w:rPr>
      </w:pPr>
    </w:p>
    <w:p>
      <w:pPr>
        <w:ind w:left="626" w:hanging="312"/>
        <w:spacing w:after="0" w:line="336" w:lineRule="auto"/>
        <w:tabs>
          <w:tab w:leader="none" w:pos="656"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6"/>
          <w:szCs w:val="16"/>
          <w:color w:val="auto"/>
        </w:rPr>
      </w:pPr>
    </w:p>
    <w:p>
      <w:pPr>
        <w:ind w:left="626" w:hanging="312"/>
        <w:spacing w:after="0" w:line="319" w:lineRule="auto"/>
        <w:tabs>
          <w:tab w:leader="none" w:pos="601"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87" w:lineRule="exact"/>
        <w:rPr>
          <w:sz w:val="20"/>
          <w:szCs w:val="20"/>
          <w:color w:val="auto"/>
        </w:rPr>
      </w:pPr>
    </w:p>
    <w:p>
      <w:pPr>
        <w:ind w:left="386"/>
        <w:spacing w:after="0"/>
        <w:rPr>
          <w:sz w:val="20"/>
          <w:szCs w:val="20"/>
          <w:color w:val="auto"/>
        </w:rPr>
      </w:pPr>
      <w:r>
        <w:rPr>
          <w:rFonts w:ascii="Times New Roman" w:cs="Times New Roman" w:eastAsia="Times New Roman" w:hAnsi="Times New Roman"/>
          <w:sz w:val="16"/>
          <w:szCs w:val="16"/>
          <w:color w:val="auto"/>
        </w:rPr>
        <w:t>February 10, 2025</w:t>
      </w:r>
    </w:p>
    <w:p>
      <w:pPr>
        <w:spacing w:after="0" w:line="209" w:lineRule="exact"/>
        <w:rPr>
          <w:sz w:val="20"/>
          <w:szCs w:val="20"/>
          <w:color w:val="auto"/>
        </w:rPr>
      </w:pPr>
    </w:p>
    <w:p>
      <w:pPr>
        <w:ind w:left="386"/>
        <w:spacing w:after="0"/>
        <w:rPr>
          <w:sz w:val="20"/>
          <w:szCs w:val="20"/>
          <w:color w:val="auto"/>
        </w:rPr>
      </w:pPr>
      <w:r>
        <w:rPr>
          <w:rFonts w:ascii="Times New Roman" w:cs="Times New Roman" w:eastAsia="Times New Roman" w:hAnsi="Times New Roman"/>
          <w:sz w:val="16"/>
          <w:szCs w:val="16"/>
          <w:color w:val="auto"/>
        </w:rPr>
        <w:t>/s/ Michael J. Franco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41910</wp:posOffset>
            </wp:positionV>
            <wp:extent cx="30441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63">
                      <a:extLst>
                        <a:ext uri="{28A0092B-C50C-407E-A947-70E740481C1C}"/>
                      </a:extLst>
                    </a:blip>
                    <a:srcRect/>
                    <a:stretch>
                      <a:fillRect/>
                    </a:stretch>
                  </pic:blipFill>
                  <pic:spPr bwMode="auto">
                    <a:xfrm>
                      <a:off x="0" y="0"/>
                      <a:ext cx="3044190" cy="8255"/>
                    </a:xfrm>
                    <a:prstGeom prst="rect">
                      <a:avLst/>
                    </a:prstGeom>
                    <a:noFill/>
                  </pic:spPr>
                </pic:pic>
              </a:graphicData>
            </a:graphic>
          </wp:anchor>
        </w:drawing>
      </w:r>
    </w:p>
    <w:p>
      <w:pPr>
        <w:spacing w:after="0" w:line="58" w:lineRule="exact"/>
        <w:rPr>
          <w:sz w:val="20"/>
          <w:szCs w:val="20"/>
          <w:color w:val="auto"/>
        </w:rPr>
      </w:pPr>
    </w:p>
    <w:p>
      <w:pPr>
        <w:ind w:left="386"/>
        <w:spacing w:after="0"/>
        <w:rPr>
          <w:sz w:val="20"/>
          <w:szCs w:val="20"/>
          <w:color w:val="auto"/>
        </w:rPr>
      </w:pPr>
      <w:r>
        <w:rPr>
          <w:rFonts w:ascii="Times New Roman" w:cs="Times New Roman" w:eastAsia="Times New Roman" w:hAnsi="Times New Roman"/>
          <w:sz w:val="16"/>
          <w:szCs w:val="16"/>
          <w:color w:val="auto"/>
        </w:rPr>
        <w:t>Michael J. Franco</w:t>
      </w:r>
    </w:p>
    <w:p>
      <w:pPr>
        <w:spacing w:after="0" w:line="56" w:lineRule="exact"/>
        <w:rPr>
          <w:sz w:val="20"/>
          <w:szCs w:val="20"/>
          <w:color w:val="auto"/>
        </w:rPr>
      </w:pPr>
    </w:p>
    <w:p>
      <w:pPr>
        <w:ind w:left="386"/>
        <w:spacing w:after="0"/>
        <w:rPr>
          <w:sz w:val="20"/>
          <w:szCs w:val="20"/>
          <w:color w:val="auto"/>
        </w:rPr>
      </w:pPr>
      <w:r>
        <w:rPr>
          <w:rFonts w:ascii="Times New Roman" w:cs="Times New Roman" w:eastAsia="Times New Roman" w:hAnsi="Times New Roman"/>
          <w:sz w:val="16"/>
          <w:szCs w:val="16"/>
          <w:color w:val="auto"/>
        </w:rPr>
        <w:t>President and Chief Financial Officer of Vornado Realty Trust,</w:t>
      </w:r>
    </w:p>
    <w:p>
      <w:pPr>
        <w:ind w:left="386"/>
        <w:spacing w:after="0"/>
        <w:rPr>
          <w:sz w:val="20"/>
          <w:szCs w:val="20"/>
          <w:color w:val="auto"/>
        </w:rPr>
      </w:pPr>
      <w:r>
        <w:rPr>
          <w:rFonts w:ascii="Times New Roman" w:cs="Times New Roman" w:eastAsia="Times New Roman" w:hAnsi="Times New Roman"/>
          <w:sz w:val="16"/>
          <w:szCs w:val="16"/>
          <w:color w:val="auto"/>
        </w:rPr>
        <w:t>sole General Partner of Vornado Realty L.P.</w:t>
      </w:r>
    </w:p>
    <w:p>
      <w:pPr>
        <w:sectPr>
          <w:pgSz w:w="11900" w:h="16838" w:orient="portrait"/>
          <w:cols w:equalWidth="0" w:num="1">
            <w:col w:w="10606"/>
          </w:cols>
          <w:pgMar w:left="954" w:top="774" w:right="339" w:bottom="1440" w:gutter="0" w:footer="0" w:header="0"/>
        </w:sectPr>
      </w:pPr>
    </w:p>
    <w:bookmarkStart w:id="168" w:name="page169"/>
    <w:bookmarkEnd w:id="168"/>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(Subsection (a) and (b) of Section 1350 of Chapter 63 of Title 18 of the United States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314"/>
        <w:spacing w:after="0" w:line="319" w:lineRule="auto"/>
        <w:rPr>
          <w:sz w:val="20"/>
          <w:szCs w:val="20"/>
          <w:color w:val="auto"/>
        </w:rPr>
      </w:pPr>
      <w:r>
        <w:rPr>
          <w:rFonts w:ascii="Times New Roman" w:cs="Times New Roman" w:eastAsia="Times New Roman" w:hAnsi="Times New Roman"/>
          <w:sz w:val="16"/>
          <w:szCs w:val="16"/>
          <w:color w:val="auto"/>
        </w:rPr>
        <w:t>Pursuant to Section 906 of the Sarbanes-Oxley Act of 2002 (subsections (a) and (b) of Section 1350 of Chapter 63 of Title 18 of the United States Code), the undersigned officer of Vornado Realty Trust (the “Company”), hereby certifies, to such officer’s knowledge, that:</w:t>
      </w:r>
    </w:p>
    <w:p>
      <w:pPr>
        <w:spacing w:after="0" w:line="205" w:lineRule="exact"/>
        <w:rPr>
          <w:sz w:val="20"/>
          <w:szCs w:val="20"/>
          <w:color w:val="auto"/>
        </w:rPr>
      </w:pPr>
    </w:p>
    <w:p>
      <w:pPr>
        <w:jc w:val="both"/>
        <w:ind w:right="100" w:firstLine="314"/>
        <w:spacing w:after="0" w:line="304" w:lineRule="auto"/>
        <w:rPr>
          <w:sz w:val="20"/>
          <w:szCs w:val="20"/>
          <w:color w:val="auto"/>
        </w:rPr>
      </w:pPr>
      <w:r>
        <w:rPr>
          <w:rFonts w:ascii="Times New Roman" w:cs="Times New Roman" w:eastAsia="Times New Roman" w:hAnsi="Times New Roman"/>
          <w:sz w:val="16"/>
          <w:szCs w:val="16"/>
          <w:color w:val="auto"/>
        </w:rPr>
        <w:t>The Annual Report on Form 10-K for the year ended December 31, 2024 (the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20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February 10, 2025</w:t>
            </w:r>
          </w:p>
        </w:tc>
        <w:tc>
          <w:tcPr>
            <w:tcW w:w="4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Steven Roth</w:t>
            </w:r>
          </w:p>
        </w:tc>
        <w:tc>
          <w:tcPr>
            <w:tcW w:w="0" w:type="dxa"/>
            <w:vAlign w:val="bottom"/>
          </w:tcPr>
          <w:p>
            <w:pPr>
              <w:spacing w:after="0"/>
              <w:rPr>
                <w:sz w:val="1"/>
                <w:szCs w:val="1"/>
                <w:color w:val="auto"/>
              </w:rPr>
            </w:pPr>
          </w:p>
        </w:tc>
      </w:tr>
      <w:tr>
        <w:trPr>
          <w:trHeight w:val="44"/>
        </w:trPr>
        <w:tc>
          <w:tcPr>
            <w:tcW w:w="5620" w:type="dxa"/>
            <w:vAlign w:val="bottom"/>
            <w:vMerge w:val="restart"/>
          </w:tcPr>
          <w:p>
            <w:pPr>
              <w:ind w:left="4560"/>
              <w:spacing w:after="0"/>
              <w:rPr>
                <w:sz w:val="20"/>
                <w:szCs w:val="20"/>
                <w:color w:val="auto"/>
              </w:rPr>
            </w:pPr>
            <w:r>
              <w:rPr>
                <w:rFonts w:ascii="Times New Roman" w:cs="Times New Roman" w:eastAsia="Times New Roman" w:hAnsi="Times New Roman"/>
                <w:sz w:val="16"/>
                <w:szCs w:val="16"/>
                <w:color w:val="auto"/>
              </w:rPr>
              <w:t>Name:</w:t>
            </w:r>
          </w:p>
        </w:tc>
        <w:tc>
          <w:tcPr>
            <w:tcW w:w="4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620" w:type="dxa"/>
            <w:vAlign w:val="bottom"/>
            <w:vMerge w:val="continue"/>
          </w:tcPr>
          <w:p>
            <w:pPr>
              <w:spacing w:after="0"/>
              <w:rPr>
                <w:sz w:val="17"/>
                <w:szCs w:val="17"/>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Steven Roth</w:t>
            </w:r>
          </w:p>
        </w:tc>
        <w:tc>
          <w:tcPr>
            <w:tcW w:w="0" w:type="dxa"/>
            <w:vAlign w:val="bottom"/>
          </w:tcPr>
          <w:p>
            <w:pPr>
              <w:spacing w:after="0"/>
              <w:rPr>
                <w:sz w:val="1"/>
                <w:szCs w:val="1"/>
                <w:color w:val="auto"/>
              </w:rPr>
            </w:pPr>
          </w:p>
        </w:tc>
      </w:tr>
      <w:tr>
        <w:trPr>
          <w:trHeight w:val="248"/>
        </w:trPr>
        <w:tc>
          <w:tcPr>
            <w:tcW w:w="5620" w:type="dxa"/>
            <w:vAlign w:val="bottom"/>
          </w:tcPr>
          <w:p>
            <w:pPr>
              <w:ind w:left="4560"/>
              <w:spacing w:after="0"/>
              <w:rPr>
                <w:sz w:val="20"/>
                <w:szCs w:val="20"/>
                <w:color w:val="auto"/>
              </w:rPr>
            </w:pPr>
            <w:r>
              <w:rPr>
                <w:rFonts w:ascii="Times New Roman" w:cs="Times New Roman" w:eastAsia="Times New Roman" w:hAnsi="Times New Roman"/>
                <w:sz w:val="16"/>
                <w:szCs w:val="16"/>
                <w:color w:val="auto"/>
              </w:rPr>
              <w:t>Title:</w:t>
            </w:r>
          </w:p>
        </w:tc>
        <w:tc>
          <w:tcPr>
            <w:tcW w:w="4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tc>
        <w:tc>
          <w:tcPr>
            <w:tcW w:w="0" w:type="dxa"/>
            <w:vAlign w:val="bottom"/>
          </w:tcPr>
          <w:p>
            <w:pPr>
              <w:spacing w:after="0"/>
              <w:rPr>
                <w:sz w:val="1"/>
                <w:szCs w:val="1"/>
                <w:color w:val="auto"/>
              </w:rPr>
            </w:pPr>
          </w:p>
        </w:tc>
      </w:tr>
    </w:tbl>
    <w:p>
      <w:pPr>
        <w:sectPr>
          <w:pgSz w:w="11900" w:h="16838" w:orient="portrait"/>
          <w:cols w:equalWidth="0" w:num="1">
            <w:col w:w="11340"/>
          </w:cols>
          <w:pgMar w:left="320" w:top="892" w:right="239" w:bottom="1440" w:gutter="0" w:footer="0" w:header="0"/>
        </w:sectPr>
      </w:pPr>
    </w:p>
    <w:bookmarkStart w:id="169" w:name="page170"/>
    <w:bookmarkEnd w:id="169"/>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3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(Subsection (a) and (b) of Section 1350 of Chapter 63 of Title 18 of the United States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314"/>
        <w:spacing w:after="0" w:line="319" w:lineRule="auto"/>
        <w:rPr>
          <w:sz w:val="20"/>
          <w:szCs w:val="20"/>
          <w:color w:val="auto"/>
        </w:rPr>
      </w:pPr>
      <w:r>
        <w:rPr>
          <w:rFonts w:ascii="Times New Roman" w:cs="Times New Roman" w:eastAsia="Times New Roman" w:hAnsi="Times New Roman"/>
          <w:sz w:val="16"/>
          <w:szCs w:val="16"/>
          <w:color w:val="auto"/>
        </w:rPr>
        <w:t>Pursuant to Section 906 of the Sarbanes-Oxley Act of 2002 (subsections (a) and (b) of Section 1350 of Chapter 63 of Title 18 of the United States Code), the undersigned officer of Vornado Realty Trust (the “Company”), hereby certifies, to such officer’s knowledge, that:</w:t>
      </w:r>
    </w:p>
    <w:p>
      <w:pPr>
        <w:spacing w:after="0" w:line="205" w:lineRule="exact"/>
        <w:rPr>
          <w:sz w:val="20"/>
          <w:szCs w:val="20"/>
          <w:color w:val="auto"/>
        </w:rPr>
      </w:pPr>
    </w:p>
    <w:p>
      <w:pPr>
        <w:jc w:val="both"/>
        <w:ind w:right="100" w:firstLine="314"/>
        <w:spacing w:after="0" w:line="304" w:lineRule="auto"/>
        <w:rPr>
          <w:sz w:val="20"/>
          <w:szCs w:val="20"/>
          <w:color w:val="auto"/>
        </w:rPr>
      </w:pPr>
      <w:r>
        <w:rPr>
          <w:rFonts w:ascii="Times New Roman" w:cs="Times New Roman" w:eastAsia="Times New Roman" w:hAnsi="Times New Roman"/>
          <w:sz w:val="16"/>
          <w:szCs w:val="16"/>
          <w:color w:val="auto"/>
        </w:rPr>
        <w:t>The Annual Report on Form 10-K for the year ended December 31, 2024 (the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20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February 10, 2025</w:t>
            </w:r>
          </w:p>
        </w:tc>
        <w:tc>
          <w:tcPr>
            <w:tcW w:w="4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Michael J. Franco</w:t>
            </w:r>
          </w:p>
        </w:tc>
        <w:tc>
          <w:tcPr>
            <w:tcW w:w="0" w:type="dxa"/>
            <w:vAlign w:val="bottom"/>
          </w:tcPr>
          <w:p>
            <w:pPr>
              <w:spacing w:after="0"/>
              <w:rPr>
                <w:sz w:val="1"/>
                <w:szCs w:val="1"/>
                <w:color w:val="auto"/>
              </w:rPr>
            </w:pPr>
          </w:p>
        </w:tc>
      </w:tr>
      <w:tr>
        <w:trPr>
          <w:trHeight w:val="44"/>
        </w:trPr>
        <w:tc>
          <w:tcPr>
            <w:tcW w:w="5620" w:type="dxa"/>
            <w:vAlign w:val="bottom"/>
            <w:vMerge w:val="restart"/>
          </w:tcPr>
          <w:p>
            <w:pPr>
              <w:ind w:left="4560"/>
              <w:spacing w:after="0"/>
              <w:rPr>
                <w:sz w:val="20"/>
                <w:szCs w:val="20"/>
                <w:color w:val="auto"/>
              </w:rPr>
            </w:pPr>
            <w:r>
              <w:rPr>
                <w:rFonts w:ascii="Times New Roman" w:cs="Times New Roman" w:eastAsia="Times New Roman" w:hAnsi="Times New Roman"/>
                <w:sz w:val="16"/>
                <w:szCs w:val="16"/>
                <w:color w:val="auto"/>
              </w:rPr>
              <w:t>Name:</w:t>
            </w:r>
          </w:p>
        </w:tc>
        <w:tc>
          <w:tcPr>
            <w:tcW w:w="4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620" w:type="dxa"/>
            <w:vAlign w:val="bottom"/>
            <w:vMerge w:val="continue"/>
          </w:tcPr>
          <w:p>
            <w:pPr>
              <w:spacing w:after="0"/>
              <w:rPr>
                <w:sz w:val="17"/>
                <w:szCs w:val="17"/>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Michael J. Franco</w:t>
            </w:r>
          </w:p>
        </w:tc>
        <w:tc>
          <w:tcPr>
            <w:tcW w:w="0" w:type="dxa"/>
            <w:vAlign w:val="bottom"/>
          </w:tcPr>
          <w:p>
            <w:pPr>
              <w:spacing w:after="0"/>
              <w:rPr>
                <w:sz w:val="1"/>
                <w:szCs w:val="1"/>
                <w:color w:val="auto"/>
              </w:rPr>
            </w:pPr>
          </w:p>
        </w:tc>
      </w:tr>
      <w:tr>
        <w:trPr>
          <w:trHeight w:val="287"/>
        </w:trPr>
        <w:tc>
          <w:tcPr>
            <w:tcW w:w="5620" w:type="dxa"/>
            <w:vAlign w:val="bottom"/>
          </w:tcPr>
          <w:p>
            <w:pPr>
              <w:ind w:left="4560"/>
              <w:spacing w:after="0"/>
              <w:rPr>
                <w:sz w:val="20"/>
                <w:szCs w:val="20"/>
                <w:color w:val="auto"/>
              </w:rPr>
            </w:pPr>
            <w:r>
              <w:rPr>
                <w:rFonts w:ascii="Times New Roman" w:cs="Times New Roman" w:eastAsia="Times New Roman" w:hAnsi="Times New Roman"/>
                <w:sz w:val="16"/>
                <w:szCs w:val="16"/>
                <w:color w:val="auto"/>
              </w:rPr>
              <w:t>Title:</w:t>
            </w:r>
          </w:p>
        </w:tc>
        <w:tc>
          <w:tcPr>
            <w:tcW w:w="4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1340"/>
          </w:cols>
          <w:pgMar w:left="320" w:top="892" w:right="239" w:bottom="1440" w:gutter="0" w:footer="0" w:header="0"/>
        </w:sectPr>
      </w:pPr>
    </w:p>
    <w:bookmarkStart w:id="170" w:name="page171"/>
    <w:bookmarkEnd w:id="170"/>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EXHIBIT 32.3</w:t>
      </w: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(Subsection (a) and (b) of Section 1350 of Chapter 63 of Title 18 of the United States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firstLine="314"/>
        <w:spacing w:after="0" w:line="319" w:lineRule="auto"/>
        <w:rPr>
          <w:sz w:val="20"/>
          <w:szCs w:val="20"/>
          <w:color w:val="auto"/>
        </w:rPr>
      </w:pPr>
      <w:r>
        <w:rPr>
          <w:rFonts w:ascii="Times New Roman" w:cs="Times New Roman" w:eastAsia="Times New Roman" w:hAnsi="Times New Roman"/>
          <w:sz w:val="16"/>
          <w:szCs w:val="16"/>
          <w:color w:val="auto"/>
        </w:rPr>
        <w:t>Pursuant to Section 906 of the Sarbanes-Oxley Act of 2002 (subsections (a) and (b) of Section 1350 of Chapter 63 of Title 18 of the United States Code), the undersigned officer of Vornado Realty L.P. (the “Company”), hereby certifies, to such officer’s knowledge, that:</w:t>
      </w:r>
    </w:p>
    <w:p>
      <w:pPr>
        <w:spacing w:after="0" w:line="205" w:lineRule="exact"/>
        <w:rPr>
          <w:sz w:val="20"/>
          <w:szCs w:val="20"/>
          <w:color w:val="auto"/>
        </w:rPr>
      </w:pPr>
    </w:p>
    <w:p>
      <w:pPr>
        <w:jc w:val="both"/>
        <w:ind w:right="20" w:firstLine="314"/>
        <w:spacing w:after="0" w:line="304" w:lineRule="auto"/>
        <w:rPr>
          <w:sz w:val="20"/>
          <w:szCs w:val="20"/>
          <w:color w:val="auto"/>
        </w:rPr>
      </w:pPr>
      <w:r>
        <w:rPr>
          <w:rFonts w:ascii="Times New Roman" w:cs="Times New Roman" w:eastAsia="Times New Roman" w:hAnsi="Times New Roman"/>
          <w:sz w:val="16"/>
          <w:szCs w:val="16"/>
          <w:color w:val="auto"/>
        </w:rPr>
        <w:t>The Annual Report on Form 10-K for the year ended December 31, 2024 (the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244" w:lineRule="exact"/>
        <w:rPr>
          <w:sz w:val="20"/>
          <w:szCs w:val="20"/>
          <w:color w:val="auto"/>
        </w:rPr>
      </w:pPr>
    </w:p>
    <w:tbl>
      <w:tblPr>
        <w:tblLayout w:type="fixed"/>
        <w:tblInd w:w="800" w:type="dxa"/>
        <w:tblCellMar>
          <w:top w:w="0" w:type="dxa"/>
          <w:left w:w="0" w:type="dxa"/>
          <w:bottom w:w="0" w:type="dxa"/>
          <w:right w:w="0" w:type="dxa"/>
        </w:tblCellMar>
      </w:tblPr>
      <w:tr>
        <w:trPr>
          <w:trHeight w:val="20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February 10, 2025</w:t>
            </w:r>
          </w:p>
        </w:tc>
        <w:tc>
          <w:tcPr>
            <w:tcW w:w="4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Steven Roth</w:t>
            </w:r>
          </w:p>
        </w:tc>
        <w:tc>
          <w:tcPr>
            <w:tcW w:w="0" w:type="dxa"/>
            <w:vAlign w:val="bottom"/>
          </w:tcPr>
          <w:p>
            <w:pPr>
              <w:spacing w:after="0"/>
              <w:rPr>
                <w:sz w:val="1"/>
                <w:szCs w:val="1"/>
                <w:color w:val="auto"/>
              </w:rPr>
            </w:pPr>
          </w:p>
        </w:tc>
      </w:tr>
      <w:tr>
        <w:trPr>
          <w:trHeight w:val="44"/>
        </w:trPr>
        <w:tc>
          <w:tcPr>
            <w:tcW w:w="5980" w:type="dxa"/>
            <w:vAlign w:val="bottom"/>
            <w:vMerge w:val="restart"/>
          </w:tcPr>
          <w:p>
            <w:pPr>
              <w:ind w:left="5160"/>
              <w:spacing w:after="0"/>
              <w:rPr>
                <w:sz w:val="20"/>
                <w:szCs w:val="20"/>
                <w:color w:val="auto"/>
              </w:rPr>
            </w:pPr>
            <w:r>
              <w:rPr>
                <w:rFonts w:ascii="Times New Roman" w:cs="Times New Roman" w:eastAsia="Times New Roman" w:hAnsi="Times New Roman"/>
                <w:sz w:val="16"/>
                <w:szCs w:val="16"/>
                <w:color w:val="auto"/>
              </w:rPr>
              <w:t>Name:</w:t>
            </w:r>
          </w:p>
        </w:tc>
        <w:tc>
          <w:tcPr>
            <w:tcW w:w="4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980" w:type="dxa"/>
            <w:vAlign w:val="bottom"/>
            <w:vMerge w:val="continue"/>
          </w:tcPr>
          <w:p>
            <w:pPr>
              <w:spacing w:after="0"/>
              <w:rPr>
                <w:sz w:val="17"/>
                <w:szCs w:val="17"/>
                <w:color w:val="auto"/>
              </w:rPr>
            </w:pPr>
          </w:p>
        </w:tc>
        <w:tc>
          <w:tcPr>
            <w:tcW w:w="4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Steven Roth</w:t>
            </w:r>
          </w:p>
        </w:tc>
        <w:tc>
          <w:tcPr>
            <w:tcW w:w="0" w:type="dxa"/>
            <w:vAlign w:val="bottom"/>
          </w:tcPr>
          <w:p>
            <w:pPr>
              <w:spacing w:after="0"/>
              <w:rPr>
                <w:sz w:val="1"/>
                <w:szCs w:val="1"/>
                <w:color w:val="auto"/>
              </w:rPr>
            </w:pPr>
          </w:p>
        </w:tc>
      </w:tr>
      <w:tr>
        <w:trPr>
          <w:trHeight w:val="200"/>
        </w:trPr>
        <w:tc>
          <w:tcPr>
            <w:tcW w:w="5980" w:type="dxa"/>
            <w:vAlign w:val="bottom"/>
          </w:tcPr>
          <w:p>
            <w:pPr>
              <w:ind w:left="5160"/>
              <w:spacing w:after="0"/>
              <w:rPr>
                <w:sz w:val="20"/>
                <w:szCs w:val="20"/>
                <w:color w:val="auto"/>
              </w:rPr>
            </w:pPr>
            <w:r>
              <w:rPr>
                <w:rFonts w:ascii="Times New Roman" w:cs="Times New Roman" w:eastAsia="Times New Roman" w:hAnsi="Times New Roman"/>
                <w:sz w:val="16"/>
                <w:szCs w:val="16"/>
                <w:color w:val="auto"/>
              </w:rPr>
              <w:t>Title:</w:t>
            </w:r>
          </w:p>
        </w:tc>
        <w:tc>
          <w:tcPr>
            <w:tcW w:w="4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tc>
        <w:tc>
          <w:tcPr>
            <w:tcW w:w="0" w:type="dxa"/>
            <w:vAlign w:val="bottom"/>
          </w:tcPr>
          <w:p>
            <w:pPr>
              <w:spacing w:after="0"/>
              <w:rPr>
                <w:sz w:val="1"/>
                <w:szCs w:val="1"/>
                <w:color w:val="auto"/>
              </w:rPr>
            </w:pPr>
          </w:p>
        </w:tc>
      </w:tr>
      <w:tr>
        <w:trPr>
          <w:trHeight w:val="157"/>
        </w:trPr>
        <w:tc>
          <w:tcPr>
            <w:tcW w:w="5980" w:type="dxa"/>
            <w:vAlign w:val="bottom"/>
          </w:tcPr>
          <w:p>
            <w:pPr>
              <w:spacing w:after="0"/>
              <w:rPr>
                <w:sz w:val="13"/>
                <w:szCs w:val="13"/>
                <w:color w:val="auto"/>
              </w:rPr>
            </w:pPr>
          </w:p>
        </w:tc>
        <w:tc>
          <w:tcPr>
            <w:tcW w:w="4480" w:type="dxa"/>
            <w:vAlign w:val="bottom"/>
          </w:tcPr>
          <w:p>
            <w:pPr>
              <w:ind w:left="60"/>
              <w:spacing w:after="0" w:line="158" w:lineRule="exact"/>
              <w:rPr>
                <w:sz w:val="20"/>
                <w:szCs w:val="20"/>
                <w:color w:val="auto"/>
              </w:rPr>
            </w:pPr>
            <w:r>
              <w:rPr>
                <w:rFonts w:ascii="Times New Roman" w:cs="Times New Roman" w:eastAsia="Times New Roman" w:hAnsi="Times New Roman"/>
                <w:sz w:val="16"/>
                <w:szCs w:val="16"/>
                <w:color w:val="auto"/>
              </w:rPr>
              <w:t>of Vornado Realty Trust, sole General Partner of</w:t>
            </w:r>
          </w:p>
        </w:tc>
        <w:tc>
          <w:tcPr>
            <w:tcW w:w="0" w:type="dxa"/>
            <w:vAlign w:val="bottom"/>
          </w:tcPr>
          <w:p>
            <w:pPr>
              <w:spacing w:after="0"/>
              <w:rPr>
                <w:sz w:val="1"/>
                <w:szCs w:val="1"/>
                <w:color w:val="auto"/>
              </w:rPr>
            </w:pPr>
          </w:p>
        </w:tc>
      </w:tr>
      <w:tr>
        <w:trPr>
          <w:trHeight w:val="206"/>
        </w:trPr>
        <w:tc>
          <w:tcPr>
            <w:tcW w:w="5980" w:type="dxa"/>
            <w:vAlign w:val="bottom"/>
          </w:tcPr>
          <w:p>
            <w:pPr>
              <w:spacing w:after="0"/>
              <w:rPr>
                <w:sz w:val="17"/>
                <w:szCs w:val="17"/>
                <w:color w:val="auto"/>
              </w:rPr>
            </w:pPr>
          </w:p>
        </w:tc>
        <w:tc>
          <w:tcPr>
            <w:tcW w:w="4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Vornado Realty L.P.</w:t>
            </w:r>
          </w:p>
        </w:tc>
        <w:tc>
          <w:tcPr>
            <w:tcW w:w="0" w:type="dxa"/>
            <w:vAlign w:val="bottom"/>
          </w:tcPr>
          <w:p>
            <w:pPr>
              <w:spacing w:after="0"/>
              <w:rPr>
                <w:sz w:val="1"/>
                <w:szCs w:val="1"/>
                <w:color w:val="auto"/>
              </w:rPr>
            </w:pPr>
          </w:p>
        </w:tc>
      </w:tr>
    </w:tbl>
    <w:p>
      <w:pPr>
        <w:sectPr>
          <w:pgSz w:w="11900" w:h="16838" w:orient="portrait"/>
          <w:cols w:equalWidth="0" w:num="1">
            <w:col w:w="11260"/>
          </w:cols>
          <w:pgMar w:left="320" w:top="774" w:right="31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7"/>
          <w:szCs w:val="17"/>
          <w:b w:val="1"/>
          <w:bCs w:val="1"/>
          <w:color w:val="auto"/>
        </w:rPr>
        <w:t>EXHIBIT 32.4</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(Subsection (a) and (b) of Section 1350 of Chapter 63 of Title 18 of the United States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314"/>
        <w:spacing w:after="0" w:line="319" w:lineRule="auto"/>
        <w:rPr>
          <w:sz w:val="20"/>
          <w:szCs w:val="20"/>
          <w:color w:val="auto"/>
        </w:rPr>
      </w:pPr>
      <w:r>
        <w:rPr>
          <w:rFonts w:ascii="Times New Roman" w:cs="Times New Roman" w:eastAsia="Times New Roman" w:hAnsi="Times New Roman"/>
          <w:sz w:val="16"/>
          <w:szCs w:val="16"/>
          <w:color w:val="auto"/>
        </w:rPr>
        <w:t>Pursuant to Section 906 of the Sarbanes-Oxley Act of 2002 (subsections (a) and (b) of Section 1350 of Chapter 63 of Title 18 of the United States Code), the undersigned officer of Vornado Realty L.P. (the “Company”), hereby certifies, to such officer’s knowledge, that:</w:t>
      </w:r>
    </w:p>
    <w:p>
      <w:pPr>
        <w:spacing w:after="0" w:line="205" w:lineRule="exact"/>
        <w:rPr>
          <w:sz w:val="20"/>
          <w:szCs w:val="20"/>
          <w:color w:val="auto"/>
        </w:rPr>
      </w:pPr>
    </w:p>
    <w:p>
      <w:pPr>
        <w:jc w:val="both"/>
        <w:ind w:firstLine="314"/>
        <w:spacing w:after="0" w:line="304" w:lineRule="auto"/>
        <w:rPr>
          <w:sz w:val="20"/>
          <w:szCs w:val="20"/>
          <w:color w:val="auto"/>
        </w:rPr>
      </w:pPr>
      <w:r>
        <w:rPr>
          <w:rFonts w:ascii="Times New Roman" w:cs="Times New Roman" w:eastAsia="Times New Roman" w:hAnsi="Times New Roman"/>
          <w:sz w:val="16"/>
          <w:szCs w:val="16"/>
          <w:color w:val="auto"/>
        </w:rPr>
        <w:t>The Annual Report on Form 10-K for the year ended December 31, 2024 (the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244" w:lineRule="exact"/>
        <w:rPr>
          <w:sz w:val="20"/>
          <w:szCs w:val="20"/>
          <w:color w:val="auto"/>
        </w:rPr>
      </w:pPr>
    </w:p>
    <w:tbl>
      <w:tblPr>
        <w:tblLayout w:type="fixed"/>
        <w:tblInd w:w="700" w:type="dxa"/>
        <w:tblCellMar>
          <w:top w:w="0" w:type="dxa"/>
          <w:left w:w="0" w:type="dxa"/>
          <w:bottom w:w="0" w:type="dxa"/>
          <w:right w:w="0" w:type="dxa"/>
        </w:tblCellMar>
      </w:tblPr>
      <w:tr>
        <w:trPr>
          <w:trHeight w:val="206"/>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February 10, 2025</w:t>
            </w:r>
          </w:p>
        </w:tc>
        <w:tc>
          <w:tcPr>
            <w:tcW w:w="4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Michael J. Franco</w:t>
            </w:r>
          </w:p>
        </w:tc>
        <w:tc>
          <w:tcPr>
            <w:tcW w:w="0" w:type="dxa"/>
            <w:vAlign w:val="bottom"/>
          </w:tcPr>
          <w:p>
            <w:pPr>
              <w:spacing w:after="0"/>
              <w:rPr>
                <w:sz w:val="1"/>
                <w:szCs w:val="1"/>
                <w:color w:val="auto"/>
              </w:rPr>
            </w:pPr>
          </w:p>
        </w:tc>
      </w:tr>
      <w:tr>
        <w:trPr>
          <w:trHeight w:val="44"/>
        </w:trPr>
        <w:tc>
          <w:tcPr>
            <w:tcW w:w="6020" w:type="dxa"/>
            <w:vAlign w:val="bottom"/>
            <w:vMerge w:val="restart"/>
          </w:tcPr>
          <w:p>
            <w:pPr>
              <w:ind w:left="5220"/>
              <w:spacing w:after="0"/>
              <w:rPr>
                <w:sz w:val="20"/>
                <w:szCs w:val="20"/>
                <w:color w:val="auto"/>
              </w:rPr>
            </w:pPr>
            <w:r>
              <w:rPr>
                <w:rFonts w:ascii="Times New Roman" w:cs="Times New Roman" w:eastAsia="Times New Roman" w:hAnsi="Times New Roman"/>
                <w:sz w:val="16"/>
                <w:szCs w:val="16"/>
                <w:color w:val="auto"/>
              </w:rPr>
              <w:t>Name:</w:t>
            </w:r>
          </w:p>
        </w:tc>
        <w:tc>
          <w:tcPr>
            <w:tcW w:w="4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6020" w:type="dxa"/>
            <w:vAlign w:val="bottom"/>
            <w:vMerge w:val="continue"/>
          </w:tcPr>
          <w:p>
            <w:pPr>
              <w:spacing w:after="0"/>
              <w:rPr>
                <w:sz w:val="17"/>
                <w:szCs w:val="17"/>
                <w:color w:val="auto"/>
              </w:rPr>
            </w:pPr>
          </w:p>
        </w:tc>
        <w:tc>
          <w:tcPr>
            <w:tcW w:w="4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Michael J. Franco</w:t>
            </w:r>
          </w:p>
        </w:tc>
        <w:tc>
          <w:tcPr>
            <w:tcW w:w="0" w:type="dxa"/>
            <w:vAlign w:val="bottom"/>
          </w:tcPr>
          <w:p>
            <w:pPr>
              <w:spacing w:after="0"/>
              <w:rPr>
                <w:sz w:val="1"/>
                <w:szCs w:val="1"/>
                <w:color w:val="auto"/>
              </w:rPr>
            </w:pPr>
          </w:p>
        </w:tc>
      </w:tr>
      <w:tr>
        <w:trPr>
          <w:trHeight w:val="200"/>
        </w:trPr>
        <w:tc>
          <w:tcPr>
            <w:tcW w:w="6020" w:type="dxa"/>
            <w:vAlign w:val="bottom"/>
          </w:tcPr>
          <w:p>
            <w:pPr>
              <w:ind w:left="5220"/>
              <w:spacing w:after="0"/>
              <w:rPr>
                <w:sz w:val="20"/>
                <w:szCs w:val="20"/>
                <w:color w:val="auto"/>
              </w:rPr>
            </w:pPr>
            <w:r>
              <w:rPr>
                <w:rFonts w:ascii="Times New Roman" w:cs="Times New Roman" w:eastAsia="Times New Roman" w:hAnsi="Times New Roman"/>
                <w:sz w:val="16"/>
                <w:szCs w:val="16"/>
                <w:color w:val="auto"/>
              </w:rPr>
              <w:t>Title:</w:t>
            </w:r>
          </w:p>
        </w:tc>
        <w:tc>
          <w:tcPr>
            <w:tcW w:w="4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President and Chief Financial Officer of Vornado Realty</w:t>
            </w:r>
          </w:p>
        </w:tc>
        <w:tc>
          <w:tcPr>
            <w:tcW w:w="0" w:type="dxa"/>
            <w:vAlign w:val="bottom"/>
          </w:tcPr>
          <w:p>
            <w:pPr>
              <w:spacing w:after="0"/>
              <w:rPr>
                <w:sz w:val="1"/>
                <w:szCs w:val="1"/>
                <w:color w:val="auto"/>
              </w:rPr>
            </w:pPr>
          </w:p>
        </w:tc>
      </w:tr>
      <w:tr>
        <w:trPr>
          <w:trHeight w:val="206"/>
        </w:trPr>
        <w:tc>
          <w:tcPr>
            <w:tcW w:w="6020" w:type="dxa"/>
            <w:vAlign w:val="bottom"/>
          </w:tcPr>
          <w:p>
            <w:pPr>
              <w:spacing w:after="0"/>
              <w:rPr>
                <w:sz w:val="17"/>
                <w:szCs w:val="17"/>
                <w:color w:val="auto"/>
              </w:rPr>
            </w:pPr>
          </w:p>
        </w:tc>
        <w:tc>
          <w:tcPr>
            <w:tcW w:w="4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Trust, sole General Partner of Vornado Realty L.P.</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7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lvl w:ilvl="1">
      <w:lvlJc w:val="left"/>
      <w:lvlText w:val="•"/>
      <w:numFmt w:val="bullet"/>
      <w:start w:val="1"/>
    </w:lvl>
  </w:abstractNum>
  <w:abstractNum w:abstractNumId="4">
    <w:nsid w:val="5DB70AE5"/>
    <w:multiLevelType w:val="hybridMultilevel"/>
    <w:lvl w:ilvl="0">
      <w:lvlJc w:val="left"/>
      <w:lvlText w:val="(%1)"/>
      <w:numFmt w:val="decimal"/>
      <w:start w:val="1"/>
    </w:lvl>
  </w:abstractNum>
  <w:abstractNum w:abstractNumId="5">
    <w:nsid w:val="100F8FCA"/>
    <w:multiLevelType w:val="hybridMultilevel"/>
    <w:lvl w:ilvl="0">
      <w:lvlJc w:val="left"/>
      <w:lvlText w:val="•"/>
      <w:numFmt w:val="bullet"/>
      <w:start w:val="1"/>
    </w:lvl>
    <w:lvl w:ilvl="1">
      <w:lvlJc w:val="left"/>
      <w:lvlText w:val="•"/>
      <w:numFmt w:val="bullet"/>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1)"/>
      <w:numFmt w:val="decimal"/>
      <w:start w:val="1"/>
    </w:lvl>
  </w:abstractNum>
  <w:abstractNum w:abstractNumId="20">
    <w:nsid w:val="613EFDC5"/>
    <w:multiLevelType w:val="hybridMultilevel"/>
    <w:lvl w:ilvl="0">
      <w:lvlJc w:val="left"/>
      <w:lvlText w:val="(%1)"/>
      <w:numFmt w:val="decimal"/>
      <w:start w:val="1"/>
    </w:lvl>
  </w:abstractNum>
  <w:abstractNum w:abstractNumId="21">
    <w:nsid w:val="BF72B14"/>
    <w:multiLevelType w:val="hybridMultilevel"/>
    <w:lvl w:ilvl="0">
      <w:lvlJc w:val="left"/>
      <w:lvlText w:val="(%1)"/>
      <w:numFmt w:val="decimal"/>
      <w:start w:val="1"/>
    </w:lvl>
  </w:abstractNum>
  <w:abstractNum w:abstractNumId="22">
    <w:nsid w:val="11447B73"/>
    <w:multiLevelType w:val="hybridMultilevel"/>
    <w:lvl w:ilvl="0">
      <w:lvlJc w:val="left"/>
      <w:lvlText w:val="(%1)"/>
      <w:numFmt w:val="decimal"/>
      <w:start w:val="1"/>
    </w:lvl>
  </w:abstractNum>
  <w:abstractNum w:abstractNumId="23">
    <w:nsid w:val="42963E5A"/>
    <w:multiLevelType w:val="hybridMultilevel"/>
    <w:lvl w:ilvl="0">
      <w:lvlJc w:val="left"/>
      <w:lvlText w:val="(%1)"/>
      <w:numFmt w:val="decimal"/>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1)"/>
      <w:numFmt w:val="decimal"/>
      <w:start w:val="1"/>
    </w:lvl>
  </w:abstractNum>
  <w:abstractNum w:abstractNumId="26">
    <w:nsid w:val="1A32234B"/>
    <w:multiLevelType w:val="hybridMultilevel"/>
    <w:lvl w:ilvl="0">
      <w:lvlJc w:val="left"/>
      <w:lvlText w:val="(%1)"/>
      <w:numFmt w:val="decimal"/>
      <w:start w:val="1"/>
    </w:lvl>
  </w:abstractNum>
  <w:abstractNum w:abstractNumId="27">
    <w:nsid w:val="3B0FD379"/>
    <w:multiLevelType w:val="hybridMultilevel"/>
    <w:lvl w:ilvl="0">
      <w:lvlJc w:val="left"/>
      <w:lvlText w:val="(%1)"/>
      <w:numFmt w:val="decimal"/>
      <w:start w:val="1"/>
    </w:lvl>
  </w:abstractNum>
  <w:abstractNum w:abstractNumId="28">
    <w:nsid w:val="68EB2F63"/>
    <w:multiLevelType w:val="hybridMultilevel"/>
    <w:lvl w:ilvl="0">
      <w:lvlJc w:val="left"/>
      <w:lvlText w:val="(%1)"/>
      <w:numFmt w:val="decimal"/>
      <w:start w:val="1"/>
    </w:lvl>
  </w:abstractNum>
  <w:abstractNum w:abstractNumId="29">
    <w:nsid w:val="4962813B"/>
    <w:multiLevelType w:val="hybridMultilevel"/>
    <w:lvl w:ilvl="0">
      <w:lvlJc w:val="left"/>
      <w:lvlText w:val="(%1)"/>
      <w:numFmt w:val="decimal"/>
      <w:start w:val="1"/>
    </w:lvl>
  </w:abstractNum>
  <w:abstractNum w:abstractNumId="30">
    <w:nsid w:val="60B6DF70"/>
    <w:multiLevelType w:val="hybridMultilevel"/>
    <w:lvl w:ilvl="0">
      <w:lvlJc w:val="left"/>
      <w:lvlText w:val="(%1)"/>
      <w:numFmt w:val="decimal"/>
      <w:start w:val="1"/>
    </w:lvl>
  </w:abstractNum>
  <w:abstractNum w:abstractNumId="31">
    <w:nsid w:val="6A5EE64"/>
    <w:multiLevelType w:val="hybridMultilevel"/>
    <w:lvl w:ilvl="0">
      <w:lvlJc w:val="left"/>
      <w:lvlText w:val="(%1)"/>
      <w:numFmt w:val="decimal"/>
      <w:start w:val="1"/>
    </w:lvl>
  </w:abstractNum>
  <w:abstractNum w:abstractNumId="32">
    <w:nsid w:val="14330624"/>
    <w:multiLevelType w:val="hybridMultilevel"/>
    <w:lvl w:ilvl="0">
      <w:lvlJc w:val="left"/>
      <w:lvlText w:val="(%1)"/>
      <w:numFmt w:val="decimal"/>
      <w:start w:val="1"/>
    </w:lvl>
  </w:abstractNum>
  <w:abstractNum w:abstractNumId="33">
    <w:nsid w:val="7FFFCA11"/>
    <w:multiLevelType w:val="hybridMultilevel"/>
    <w:lvl w:ilvl="0">
      <w:lvlJc w:val="left"/>
      <w:lvlText w:val="(%1)"/>
      <w:numFmt w:val="decimal"/>
      <w:start w:val="1"/>
    </w:lvl>
  </w:abstractNum>
  <w:abstractNum w:abstractNumId="34">
    <w:nsid w:val="1A27709E"/>
    <w:multiLevelType w:val="hybridMultilevel"/>
    <w:lvl w:ilvl="0">
      <w:lvlJc w:val="left"/>
      <w:lvlText w:val="(%1)"/>
      <w:numFmt w:val="decimal"/>
      <w:start w:val="1"/>
    </w:lvl>
  </w:abstractNum>
  <w:abstractNum w:abstractNumId="35">
    <w:nsid w:val="71EA1109"/>
    <w:multiLevelType w:val="hybridMultilevel"/>
    <w:lvl w:ilvl="0">
      <w:lvlJc w:val="left"/>
      <w:lvlText w:val="(%1)"/>
      <w:numFmt w:val="decimal"/>
      <w:start w:val="1"/>
    </w:lvl>
  </w:abstractNum>
  <w:abstractNum w:abstractNumId="36">
    <w:nsid w:val="100F59DC"/>
    <w:multiLevelType w:val="hybridMultilevel"/>
    <w:lvl w:ilvl="0">
      <w:lvlJc w:val="left"/>
      <w:lvlText w:val="(%1)"/>
      <w:numFmt w:val="decimal"/>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
      <w:numFmt w:val="bullet"/>
      <w:start w:val="1"/>
    </w:lvl>
    <w:lvl w:ilvl="1">
      <w:lvlJc w:val="left"/>
      <w:lvlText w:val="•"/>
      <w:numFmt w:val="bullet"/>
      <w:start w:val="1"/>
    </w:lvl>
  </w:abstractNum>
  <w:abstractNum w:abstractNumId="40">
    <w:nsid w:val="94211F2"/>
    <w:multiLevelType w:val="hybridMultilevel"/>
    <w:lvl w:ilvl="0">
      <w:lvlJc w:val="left"/>
      <w:lvlText w:val="%1."/>
      <w:numFmt w:val="decimal"/>
      <w:start w:val="1"/>
    </w:lvl>
    <w:lvl w:ilvl="1">
      <w:lvlJc w:val="left"/>
      <w:lvlText w:val="•"/>
      <w:numFmt w:val="bullet"/>
      <w:start w:val="1"/>
    </w:lvl>
  </w:abstractNum>
  <w:abstractNum w:abstractNumId="41">
    <w:nsid w:val="885E1B"/>
    <w:multiLevelType w:val="hybridMultilevel"/>
    <w:lvl w:ilvl="0">
      <w:lvlJc w:val="left"/>
      <w:lvlText w:val="%1."/>
      <w:numFmt w:val="decimal"/>
      <w:start w:val="2"/>
    </w:lvl>
  </w:abstractNum>
  <w:abstractNum w:abstractNumId="42">
    <w:nsid w:val="76272110"/>
    <w:multiLevelType w:val="hybridMultilevel"/>
    <w:lvl w:ilvl="0">
      <w:lvlJc w:val="left"/>
      <w:lvlText w:val="%1."/>
      <w:numFmt w:val="decimal"/>
      <w:start w:val="2"/>
    </w:lvl>
  </w:abstractNum>
  <w:abstractNum w:abstractNumId="43">
    <w:nsid w:val="4C04A8AF"/>
    <w:multiLevelType w:val="hybridMultilevel"/>
    <w:lvl w:ilvl="0">
      <w:lvlJc w:val="left"/>
      <w:lvlText w:val="%1."/>
      <w:numFmt w:val="decimal"/>
      <w:start w:val="2"/>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44">
    <w:nsid w:val="1716703B"/>
    <w:multiLevelType w:val="hybridMultilevel"/>
    <w:lvl w:ilvl="0">
      <w:lvlJc w:val="left"/>
      <w:lvlText w:val="%1."/>
      <w:numFmt w:val="decimal"/>
      <w:start w:val="2"/>
    </w:lvl>
  </w:abstractNum>
  <w:abstractNum w:abstractNumId="45">
    <w:nsid w:val="14E17E33"/>
    <w:multiLevelType w:val="hybridMultilevel"/>
    <w:lvl w:ilvl="0">
      <w:lvlJc w:val="left"/>
      <w:lvlText w:val="%1."/>
      <w:numFmt w:val="decimal"/>
      <w:start w:val="3"/>
    </w:lvl>
  </w:abstractNum>
  <w:abstractNum w:abstractNumId="46">
    <w:nsid w:val="3222E7CD"/>
    <w:multiLevelType w:val="hybridMultilevel"/>
    <w:lvl w:ilvl="0">
      <w:lvlJc w:val="left"/>
      <w:lvlText w:val="(%1)"/>
      <w:numFmt w:val="decimal"/>
      <w:start w:val="2"/>
    </w:lvl>
  </w:abstractNum>
  <w:abstractNum w:abstractNumId="47">
    <w:nsid w:val="74DE0EE3"/>
    <w:multiLevelType w:val="hybridMultilevel"/>
    <w:lvl w:ilvl="0">
      <w:lvlJc w:val="left"/>
      <w:lvlText w:val="%1."/>
      <w:numFmt w:val="decimal"/>
      <w:start w:val="4"/>
    </w:lvl>
  </w:abstractNum>
  <w:abstractNum w:abstractNumId="48">
    <w:nsid w:val="68EBC550"/>
    <w:multiLevelType w:val="hybridMultilevel"/>
    <w:lvl w:ilvl="0">
      <w:lvlJc w:val="left"/>
      <w:lvlText w:val="%1."/>
      <w:numFmt w:val="decimal"/>
      <w:start w:val="4"/>
    </w:lvl>
  </w:abstractNum>
  <w:abstractNum w:abstractNumId="49">
    <w:nsid w:val="2DF6D648"/>
    <w:multiLevelType w:val="hybridMultilevel"/>
    <w:lvl w:ilvl="0">
      <w:lvlJc w:val="left"/>
      <w:lvlText w:val="%1."/>
      <w:numFmt w:val="decimal"/>
      <w:start w:val="4"/>
    </w:lvl>
  </w:abstractNum>
  <w:abstractNum w:abstractNumId="50">
    <w:nsid w:val="46B7D447"/>
    <w:multiLevelType w:val="hybridMultilevel"/>
    <w:lvl w:ilvl="0">
      <w:lvlJc w:val="left"/>
      <w:lvlText w:val="(%1)"/>
      <w:numFmt w:val="decimal"/>
      <w:start w:val="1"/>
    </w:lvl>
  </w:abstractNum>
  <w:abstractNum w:abstractNumId="51">
    <w:nsid w:val="4A2AC315"/>
    <w:multiLevelType w:val="hybridMultilevel"/>
    <w:lvl w:ilvl="0">
      <w:lvlJc w:val="left"/>
      <w:lvlText w:val="%1."/>
      <w:numFmt w:val="decimal"/>
      <w:start w:val="4"/>
    </w:lvl>
  </w:abstractNum>
  <w:abstractNum w:abstractNumId="52">
    <w:nsid w:val="39EE015C"/>
    <w:multiLevelType w:val="hybridMultilevel"/>
    <w:lvl w:ilvl="0">
      <w:lvlJc w:val="left"/>
      <w:lvlText w:val="(%1)"/>
      <w:numFmt w:val="decimal"/>
      <w:start w:val="1"/>
    </w:lvl>
  </w:abstractNum>
  <w:abstractNum w:abstractNumId="53">
    <w:nsid w:val="57FC4FBB"/>
    <w:multiLevelType w:val="hybridMultilevel"/>
    <w:lvl w:ilvl="0">
      <w:lvlJc w:val="left"/>
      <w:lvlText w:val="%1."/>
      <w:numFmt w:val="decimal"/>
      <w:start w:val="4"/>
    </w:lvl>
  </w:abstractNum>
  <w:abstractNum w:abstractNumId="54">
    <w:nsid w:val="CC1016F"/>
    <w:multiLevelType w:val="hybridMultilevel"/>
    <w:lvl w:ilvl="0">
      <w:lvlJc w:val="left"/>
      <w:lvlText w:val="(%1)"/>
      <w:numFmt w:val="decimal"/>
      <w:start w:val="1"/>
    </w:lvl>
  </w:abstractNum>
  <w:abstractNum w:abstractNumId="55">
    <w:nsid w:val="43F18422"/>
    <w:multiLevelType w:val="hybridMultilevel"/>
    <w:lvl w:ilvl="0">
      <w:lvlJc w:val="left"/>
      <w:lvlText w:val="%1."/>
      <w:numFmt w:val="decimal"/>
      <w:start w:val="5"/>
    </w:lvl>
  </w:abstractNum>
  <w:abstractNum w:abstractNumId="56">
    <w:nsid w:val="60EF0119"/>
    <w:multiLevelType w:val="hybridMultilevel"/>
    <w:lvl w:ilvl="0">
      <w:lvlJc w:val="left"/>
      <w:lvlText w:val="%1."/>
      <w:numFmt w:val="decimal"/>
      <w:start w:val="7"/>
    </w:lvl>
  </w:abstractNum>
  <w:abstractNum w:abstractNumId="57">
    <w:nsid w:val="26F324BA"/>
    <w:multiLevelType w:val="hybridMultilevel"/>
    <w:lvl w:ilvl="0">
      <w:lvlJc w:val="left"/>
      <w:lvlText w:val="%1."/>
      <w:numFmt w:val="decimal"/>
      <w:start w:val="8"/>
    </w:lvl>
  </w:abstractNum>
  <w:abstractNum w:abstractNumId="58">
    <w:nsid w:val="7F01579B"/>
    <w:multiLevelType w:val="hybridMultilevel"/>
    <w:lvl w:ilvl="0">
      <w:lvlJc w:val="left"/>
      <w:lvlText w:val="%1."/>
      <w:numFmt w:val="decimal"/>
      <w:start w:val="8"/>
    </w:lvl>
  </w:abstractNum>
  <w:abstractNum w:abstractNumId="59">
    <w:nsid w:val="49DA307D"/>
    <w:multiLevelType w:val="hybridMultilevel"/>
    <w:lvl w:ilvl="0">
      <w:lvlJc w:val="left"/>
      <w:lvlText w:val="(%1)"/>
      <w:numFmt w:val="decimal"/>
      <w:start w:val="1"/>
    </w:lvl>
  </w:abstractNum>
  <w:abstractNum w:abstractNumId="60">
    <w:nsid w:val="7055A5F5"/>
    <w:multiLevelType w:val="hybridMultilevel"/>
    <w:lvl w:ilvl="0">
      <w:lvlJc w:val="left"/>
      <w:lvlText w:val="(%1)"/>
      <w:numFmt w:val="decimal"/>
      <w:start w:val="1"/>
    </w:lvl>
  </w:abstractNum>
  <w:abstractNum w:abstractNumId="61">
    <w:nsid w:val="5FB8370B"/>
    <w:multiLevelType w:val="hybridMultilevel"/>
    <w:lvl w:ilvl="0">
      <w:lvlJc w:val="left"/>
      <w:lvlText w:val="%1."/>
      <w:numFmt w:val="decimal"/>
      <w:start w:val="9"/>
    </w:lvl>
  </w:abstractNum>
  <w:abstractNum w:abstractNumId="62">
    <w:nsid w:val="50801EE1"/>
    <w:multiLevelType w:val="hybridMultilevel"/>
    <w:lvl w:ilvl="0">
      <w:lvlJc w:val="left"/>
      <w:lvlText w:val="(%1)"/>
      <w:numFmt w:val="decimal"/>
      <w:start w:val="1"/>
    </w:lvl>
  </w:abstractNum>
  <w:abstractNum w:abstractNumId="63">
    <w:nsid w:val="488AC1A"/>
    <w:multiLevelType w:val="hybridMultilevel"/>
    <w:lvl w:ilvl="0">
      <w:lvlJc w:val="left"/>
      <w:lvlText w:val="%1."/>
      <w:numFmt w:val="decimal"/>
      <w:start w:val="10"/>
    </w:lvl>
  </w:abstractNum>
  <w:abstractNum w:abstractNumId="64">
    <w:nsid w:val="5FB8011C"/>
    <w:multiLevelType w:val="hybridMultilevel"/>
    <w:lvl w:ilvl="0">
      <w:lvlJc w:val="left"/>
      <w:lvlText w:val="%1."/>
      <w:numFmt w:val="decimal"/>
      <w:start w:val="10"/>
    </w:lvl>
  </w:abstractNum>
  <w:abstractNum w:abstractNumId="65">
    <w:nsid w:val="6AA78F7F"/>
    <w:multiLevelType w:val="hybridMultilevel"/>
    <w:lvl w:ilvl="0">
      <w:lvlJc w:val="left"/>
      <w:lvlText w:val="(%1)"/>
      <w:numFmt w:val="decimal"/>
      <w:start w:val="1"/>
    </w:lvl>
  </w:abstractNum>
  <w:abstractNum w:abstractNumId="66">
    <w:nsid w:val="7672BD23"/>
    <w:multiLevelType w:val="hybridMultilevel"/>
    <w:lvl w:ilvl="0">
      <w:lvlJc w:val="left"/>
      <w:lvlText w:val="%1."/>
      <w:numFmt w:val="decimal"/>
      <w:start w:val="11"/>
    </w:lvl>
  </w:abstractNum>
  <w:abstractNum w:abstractNumId="67">
    <w:nsid w:val="6FC75AF8"/>
    <w:multiLevelType w:val="hybridMultilevel"/>
    <w:lvl w:ilvl="0">
      <w:lvlJc w:val="left"/>
      <w:lvlText w:val="%1."/>
      <w:numFmt w:val="decimal"/>
      <w:start w:val="11"/>
    </w:lvl>
  </w:abstractNum>
  <w:abstractNum w:abstractNumId="68">
    <w:nsid w:val="6A5F7029"/>
    <w:multiLevelType w:val="hybridMultilevel"/>
    <w:lvl w:ilvl="0">
      <w:lvlJc w:val="left"/>
      <w:lvlText w:val="•"/>
      <w:numFmt w:val="bullet"/>
      <w:start w:val="1"/>
    </w:lvl>
  </w:abstractNum>
  <w:abstractNum w:abstractNumId="69">
    <w:nsid w:val="7D5E18F8"/>
    <w:multiLevelType w:val="hybridMultilevel"/>
    <w:lvl w:ilvl="0">
      <w:lvlJc w:val="left"/>
      <w:lvlText w:val="%1."/>
      <w:numFmt w:val="decimal"/>
      <w:start w:val="11"/>
    </w:lvl>
  </w:abstractNum>
  <w:abstractNum w:abstractNumId="70">
    <w:nsid w:val="5F3534A4"/>
    <w:multiLevelType w:val="hybridMultilevel"/>
    <w:lvl w:ilvl="0">
      <w:lvlJc w:val="left"/>
      <w:lvlText w:val="%1."/>
      <w:numFmt w:val="decimal"/>
      <w:start w:val="11"/>
    </w:lvl>
  </w:abstractNum>
  <w:abstractNum w:abstractNumId="71">
    <w:nsid w:val="73A1821B"/>
    <w:multiLevelType w:val="hybridMultilevel"/>
    <w:lvl w:ilvl="0">
      <w:lvlJc w:val="left"/>
      <w:lvlText w:val="%1."/>
      <w:numFmt w:val="decimal"/>
      <w:start w:val="12"/>
    </w:lvl>
  </w:abstractNum>
  <w:abstractNum w:abstractNumId="72">
    <w:nsid w:val="7DE67713"/>
    <w:multiLevelType w:val="hybridMultilevel"/>
    <w:lvl w:ilvl="0">
      <w:lvlJc w:val="left"/>
      <w:lvlText w:val="(%1)"/>
      <w:numFmt w:val="decimal"/>
      <w:start w:val="1"/>
    </w:lvl>
  </w:abstractNum>
  <w:abstractNum w:abstractNumId="73">
    <w:nsid w:val="555C55B5"/>
    <w:multiLevelType w:val="hybridMultilevel"/>
    <w:lvl w:ilvl="0">
      <w:lvlJc w:val="left"/>
      <w:lvlText w:val="%1."/>
      <w:numFmt w:val="decimal"/>
      <w:start w:val="12"/>
    </w:lvl>
  </w:abstractNum>
  <w:abstractNum w:abstractNumId="74">
    <w:nsid w:val="3FA62ACA"/>
    <w:multiLevelType w:val="hybridMultilevel"/>
    <w:lvl w:ilvl="0">
      <w:lvlJc w:val="left"/>
      <w:lvlText w:val="(%1)"/>
      <w:numFmt w:val="decimal"/>
      <w:start w:val="1"/>
    </w:lvl>
  </w:abstractNum>
  <w:abstractNum w:abstractNumId="75">
    <w:nsid w:val="14FCE74E"/>
    <w:multiLevelType w:val="hybridMultilevel"/>
    <w:lvl w:ilvl="0">
      <w:lvlJc w:val="left"/>
      <w:lvlText w:val="%1."/>
      <w:numFmt w:val="decimal"/>
      <w:start w:val="13"/>
    </w:lvl>
  </w:abstractNum>
  <w:abstractNum w:abstractNumId="76">
    <w:nsid w:val="6A3DD3E8"/>
    <w:multiLevelType w:val="hybridMultilevel"/>
    <w:lvl w:ilvl="0">
      <w:lvlJc w:val="left"/>
      <w:lvlText w:val="%1."/>
      <w:numFmt w:val="decimal"/>
      <w:start w:val="14"/>
    </w:lvl>
  </w:abstractNum>
  <w:abstractNum w:abstractNumId="77">
    <w:nsid w:val="71C91298"/>
    <w:multiLevelType w:val="hybridMultilevel"/>
    <w:lvl w:ilvl="0">
      <w:lvlJc w:val="left"/>
      <w:lvlText w:val="%1."/>
      <w:numFmt w:val="decimal"/>
      <w:start w:val="14"/>
    </w:lvl>
  </w:abstractNum>
  <w:abstractNum w:abstractNumId="78">
    <w:nsid w:val="9DAF632"/>
    <w:multiLevelType w:val="hybridMultilevel"/>
    <w:lvl w:ilvl="0">
      <w:lvlJc w:val="left"/>
      <w:lvlText w:val="(%1)"/>
      <w:numFmt w:val="decimal"/>
      <w:start w:val="1"/>
    </w:lvl>
  </w:abstractNum>
  <w:abstractNum w:abstractNumId="79">
    <w:nsid w:val="53299938"/>
    <w:multiLevelType w:val="hybridMultilevel"/>
    <w:lvl w:ilvl="0">
      <w:lvlJc w:val="left"/>
      <w:lvlText w:val="%1."/>
      <w:numFmt w:val="decimal"/>
      <w:start w:val="14"/>
    </w:lvl>
  </w:abstractNum>
  <w:abstractNum w:abstractNumId="80">
    <w:nsid w:val="1FBFE8E0"/>
    <w:multiLevelType w:val="hybridMultilevel"/>
    <w:lvl w:ilvl="0">
      <w:lvlJc w:val="left"/>
      <w:lvlText w:val="(%1)"/>
      <w:numFmt w:val="decimal"/>
      <w:start w:val="1"/>
    </w:lvl>
  </w:abstractNum>
  <w:abstractNum w:abstractNumId="81">
    <w:nsid w:val="5092CA79"/>
    <w:multiLevelType w:val="hybridMultilevel"/>
    <w:lvl w:ilvl="0">
      <w:lvlJc w:val="left"/>
      <w:lvlText w:val="(%1)"/>
      <w:numFmt w:val="decimal"/>
      <w:start w:val="6"/>
    </w:lvl>
  </w:abstractNum>
  <w:abstractNum w:abstractNumId="82">
    <w:nsid w:val="1D545C4D"/>
    <w:multiLevelType w:val="hybridMultilevel"/>
    <w:lvl w:ilvl="0">
      <w:lvlJc w:val="left"/>
      <w:lvlText w:val="%1."/>
      <w:numFmt w:val="decimal"/>
      <w:start w:val="14"/>
    </w:lvl>
  </w:abstractNum>
  <w:abstractNum w:abstractNumId="83">
    <w:nsid w:val="59ADEA3D"/>
    <w:multiLevelType w:val="hybridMultilevel"/>
    <w:lvl w:ilvl="0">
      <w:lvlJc w:val="left"/>
      <w:lvlText w:val="(%1)"/>
      <w:numFmt w:val="decimal"/>
      <w:start w:val="1"/>
    </w:lvl>
  </w:abstractNum>
  <w:abstractNum w:abstractNumId="84">
    <w:nsid w:val="288F1A34"/>
    <w:multiLevelType w:val="hybridMultilevel"/>
    <w:lvl w:ilvl="0">
      <w:lvlJc w:val="left"/>
      <w:lvlText w:val="(%1)"/>
      <w:numFmt w:val="decimal"/>
      <w:start w:val="1"/>
    </w:lvl>
  </w:abstractNum>
  <w:abstractNum w:abstractNumId="85">
    <w:nsid w:val="2A155DBC"/>
    <w:multiLevelType w:val="hybridMultilevel"/>
    <w:lvl w:ilvl="0">
      <w:lvlJc w:val="left"/>
      <w:lvlText w:val="(%1)"/>
      <w:numFmt w:val="decimal"/>
      <w:start w:val="1"/>
    </w:lvl>
  </w:abstractNum>
  <w:abstractNum w:abstractNumId="86">
    <w:nsid w:val="1D9F6E5F"/>
    <w:multiLevelType w:val="hybridMultilevel"/>
    <w:lvl w:ilvl="0">
      <w:lvlJc w:val="left"/>
      <w:lvlText w:val="(%1)"/>
      <w:numFmt w:val="decimal"/>
      <w:start w:val="1"/>
    </w:lvl>
  </w:abstractNum>
  <w:abstractNum w:abstractNumId="87">
    <w:nsid w:val="97E1B4E"/>
    <w:multiLevelType w:val="hybridMultilevel"/>
    <w:lvl w:ilvl="0">
      <w:lvlJc w:val="left"/>
      <w:lvlText w:val="%1."/>
      <w:numFmt w:val="decimal"/>
      <w:start w:val="18"/>
    </w:lvl>
  </w:abstractNum>
  <w:abstractNum w:abstractNumId="88">
    <w:nsid w:val="51088277"/>
    <w:multiLevelType w:val="hybridMultilevel"/>
    <w:lvl w:ilvl="0">
      <w:lvlJc w:val="left"/>
      <w:lvlText w:val="%1."/>
      <w:numFmt w:val="decimal"/>
      <w:start w:val="18"/>
    </w:lvl>
  </w:abstractNum>
  <w:abstractNum w:abstractNumId="89">
    <w:nsid w:val="1CA0C5FA"/>
    <w:multiLevelType w:val="hybridMultilevel"/>
    <w:lvl w:ilvl="0">
      <w:lvlJc w:val="left"/>
      <w:lvlText w:val="%1."/>
      <w:numFmt w:val="decimal"/>
      <w:start w:val="20"/>
    </w:lvl>
  </w:abstractNum>
  <w:abstractNum w:abstractNumId="90">
    <w:nsid w:val="53584BCB"/>
    <w:multiLevelType w:val="hybridMultilevel"/>
    <w:lvl w:ilvl="0">
      <w:lvlJc w:val="left"/>
      <w:lvlText w:val="%1."/>
      <w:numFmt w:val="decimal"/>
      <w:start w:val="20"/>
    </w:lvl>
  </w:abstractNum>
  <w:abstractNum w:abstractNumId="91">
    <w:nsid w:val="415E286C"/>
    <w:multiLevelType w:val="hybridMultilevel"/>
    <w:lvl w:ilvl="0">
      <w:lvlJc w:val="left"/>
      <w:lvlText w:val="%1."/>
      <w:numFmt w:val="decimal"/>
      <w:start w:val="21"/>
    </w:lvl>
  </w:abstractNum>
  <w:abstractNum w:abstractNumId="92">
    <w:nsid w:val="7C58FD05"/>
    <w:multiLevelType w:val="hybridMultilevel"/>
    <w:lvl w:ilvl="0">
      <w:lvlJc w:val="left"/>
      <w:lvlText w:val="(%1)"/>
      <w:numFmt w:val="decimal"/>
      <w:start w:val="1"/>
    </w:lvl>
  </w:abstractNum>
  <w:abstractNum w:abstractNumId="93">
    <w:nsid w:val="23D86AAC"/>
    <w:multiLevelType w:val="hybridMultilevel"/>
    <w:lvl w:ilvl="0">
      <w:lvlJc w:val="left"/>
      <w:lvlText w:val="(%1)"/>
      <w:numFmt w:val="decimal"/>
      <w:start w:val="1"/>
    </w:lvl>
  </w:abstractNum>
  <w:abstractNum w:abstractNumId="94">
    <w:nsid w:val="45E6D486"/>
    <w:multiLevelType w:val="hybridMultilevel"/>
    <w:lvl w:ilvl="0">
      <w:lvlJc w:val="left"/>
      <w:lvlText w:val="(%1)"/>
      <w:numFmt w:val="lowerLetter"/>
      <w:start w:val="1"/>
    </w:lvl>
    <w:lvl w:ilvl="1">
      <w:lvlJc w:val="left"/>
      <w:lvlText w:val="%2."/>
      <w:numFmt w:val="decimal"/>
      <w:start w:val="1"/>
    </w:lvl>
  </w:abstractNum>
  <w:abstractNum w:abstractNumId="95">
    <w:nsid w:val="5C10FE21"/>
    <w:multiLevelType w:val="hybridMultilevel"/>
    <w:lvl w:ilvl="0">
      <w:lvlJc w:val="left"/>
      <w:lvlText w:val="(%1)"/>
      <w:numFmt w:val="decimal"/>
      <w:start w:val="1"/>
    </w:lvl>
  </w:abstractNum>
  <w:abstractNum w:abstractNumId="96">
    <w:nsid w:val="E7FFA2B"/>
    <w:multiLevelType w:val="hybridMultilevel"/>
    <w:lvl w:ilvl="0">
      <w:lvlJc w:val="left"/>
      <w:lvlText w:val="*"/>
      <w:numFmt w:val="bullet"/>
      <w:start w:val="1"/>
    </w:lvl>
  </w:abstractNum>
  <w:abstractNum w:abstractNumId="97">
    <w:nsid w:val="3C5991AA"/>
    <w:multiLevelType w:val="hybridMultilevel"/>
    <w:lvl w:ilvl="0">
      <w:lvlJc w:val="left"/>
      <w:lvlText w:val="*"/>
      <w:numFmt w:val="bullet"/>
      <w:start w:val="1"/>
    </w:lvl>
  </w:abstractNum>
  <w:abstractNum w:abstractNumId="98">
    <w:nsid w:val="4BD8591A"/>
    <w:multiLevelType w:val="hybridMultilevel"/>
    <w:lvl w:ilvl="0">
      <w:lvlJc w:val="left"/>
      <w:lvlText w:val="*"/>
      <w:numFmt w:val="bullet"/>
      <w:start w:val="1"/>
    </w:lvl>
  </w:abstractNum>
  <w:abstractNum w:abstractNumId="99">
    <w:nsid w:val="78DF6A55"/>
    <w:multiLevelType w:val="hybridMultilevel"/>
    <w:lvl w:ilvl="0">
      <w:lvlJc w:val="left"/>
      <w:lvlText w:val="**"/>
      <w:numFmt w:val="bullet"/>
      <w:start w:val="1"/>
    </w:lvl>
  </w:abstractNum>
  <w:abstractNum w:abstractNumId="100">
    <w:nsid w:val="39B7AAA2"/>
    <w:multiLevelType w:val="hybridMultilevel"/>
    <w:lvl w:ilvl="0">
      <w:lvlJc w:val="left"/>
      <w:lvlText w:val="***"/>
      <w:numFmt w:val="bullet"/>
      <w:start w:val="1"/>
    </w:lvl>
  </w:abstractNum>
  <w:abstractNum w:abstractNumId="101">
    <w:nsid w:val="2B0D8DBE"/>
    <w:multiLevelType w:val="hybridMultilevel"/>
    <w:lvl w:ilvl="0">
      <w:lvlJc w:val="left"/>
      <w:lvlText w:val="*"/>
      <w:numFmt w:val="bullet"/>
      <w:start w:val="1"/>
    </w:lvl>
  </w:abstractNum>
  <w:abstractNum w:abstractNumId="102">
    <w:nsid w:val="6C80EC70"/>
    <w:multiLevelType w:val="hybridMultilevel"/>
    <w:lvl w:ilvl="0">
      <w:lvlJc w:val="left"/>
      <w:lvlText w:val="**"/>
      <w:numFmt w:val="bullet"/>
      <w:start w:val="1"/>
    </w:lvl>
  </w:abstractNum>
  <w:abstractNum w:abstractNumId="103">
    <w:nsid w:val="379E21B5"/>
    <w:multiLevelType w:val="hybridMultilevel"/>
    <w:lvl w:ilvl="0">
      <w:lvlJc w:val="left"/>
      <w:lvlText w:val="*"/>
      <w:numFmt w:val="bullet"/>
      <w:start w:val="1"/>
    </w:lvl>
  </w:abstractNum>
  <w:abstractNum w:abstractNumId="104">
    <w:nsid w:val="69E373"/>
    <w:multiLevelType w:val="hybridMultilevel"/>
    <w:lvl w:ilvl="0">
      <w:lvlJc w:val="left"/>
      <w:lvlText w:val="**"/>
      <w:numFmt w:val="bullet"/>
      <w:start w:val="1"/>
    </w:lvl>
  </w:abstractNum>
  <w:abstractNum w:abstractNumId="105">
    <w:nsid w:val="2C27173B"/>
    <w:multiLevelType w:val="hybridMultilevel"/>
    <w:lvl w:ilvl="0">
      <w:lvlJc w:val="left"/>
      <w:lvlText w:val="***"/>
      <w:numFmt w:val="bullet"/>
      <w:start w:val="1"/>
    </w:lvl>
  </w:abstractNum>
  <w:abstractNum w:abstractNumId="106">
    <w:nsid w:val="4C9B0904"/>
    <w:multiLevelType w:val="hybridMultilevel"/>
    <w:lvl w:ilvl="0">
      <w:lvlJc w:val="left"/>
      <w:lvlText w:val="•"/>
      <w:numFmt w:val="bullet"/>
      <w:start w:val="1"/>
    </w:lvl>
  </w:abstractNum>
  <w:abstractNum w:abstractNumId="107">
    <w:nsid w:val="6AA7B75C"/>
    <w:multiLevelType w:val="hybridMultilevel"/>
    <w:lvl w:ilvl="0">
      <w:lvlJc w:val="left"/>
      <w:lvlText w:val="•"/>
      <w:numFmt w:val="bullet"/>
      <w:start w:val="1"/>
    </w:lvl>
  </w:abstractNum>
  <w:abstractNum w:abstractNumId="108">
    <w:nsid w:val="1DF029D3"/>
    <w:multiLevelType w:val="hybridMultilevel"/>
    <w:lvl w:ilvl="0">
      <w:lvlJc w:val="left"/>
      <w:lvlText w:val="•"/>
      <w:numFmt w:val="bullet"/>
      <w:start w:val="1"/>
    </w:lvl>
  </w:abstractNum>
  <w:abstractNum w:abstractNumId="109">
    <w:nsid w:val="5675FF36"/>
    <w:multiLevelType w:val="hybridMultilevel"/>
    <w:lvl w:ilvl="0">
      <w:lvlJc w:val="left"/>
      <w:lvlText w:val="•"/>
      <w:numFmt w:val="bullet"/>
      <w:start w:val="1"/>
    </w:lvl>
  </w:abstractNum>
  <w:abstractNum w:abstractNumId="110">
    <w:nsid w:val="3DD15094"/>
    <w:multiLevelType w:val="hybridMultilevel"/>
    <w:lvl w:ilvl="0">
      <w:lvlJc w:val="left"/>
      <w:lvlText w:val="•"/>
      <w:numFmt w:val="bullet"/>
      <w:start w:val="1"/>
    </w:lvl>
  </w:abstractNum>
  <w:abstractNum w:abstractNumId="111">
    <w:nsid w:val="3DB012B3"/>
    <w:multiLevelType w:val="hybridMultilevel"/>
    <w:lvl w:ilvl="0">
      <w:lvlJc w:val="left"/>
      <w:lvlText w:val="•"/>
      <w:numFmt w:val="bullet"/>
      <w:start w:val="1"/>
    </w:lvl>
  </w:abstractNum>
  <w:abstractNum w:abstractNumId="112">
    <w:nsid w:val="2708C9AF"/>
    <w:multiLevelType w:val="hybridMultilevel"/>
    <w:lvl w:ilvl="0">
      <w:lvlJc w:val="left"/>
      <w:lvlText w:val="•"/>
      <w:numFmt w:val="bullet"/>
      <w:start w:val="1"/>
    </w:lvl>
  </w:abstractNum>
  <w:abstractNum w:abstractNumId="113">
    <w:nsid w:val="5B25ACE2"/>
    <w:multiLevelType w:val="hybridMultilevel"/>
    <w:lvl w:ilvl="0">
      <w:lvlJc w:val="left"/>
      <w:lvlText w:val="•"/>
      <w:numFmt w:val="bullet"/>
      <w:start w:val="1"/>
    </w:lvl>
  </w:abstractNum>
  <w:abstractNum w:abstractNumId="114">
    <w:nsid w:val="175DFCF0"/>
    <w:multiLevelType w:val="hybridMultilevel"/>
    <w:lvl w:ilvl="0">
      <w:lvlJc w:val="left"/>
      <w:lvlText w:val="•"/>
      <w:numFmt w:val="bullet"/>
      <w:start w:val="1"/>
    </w:lvl>
  </w:abstractNum>
  <w:abstractNum w:abstractNumId="115">
    <w:nsid w:val="4F97E3E4"/>
    <w:multiLevelType w:val="hybridMultilevel"/>
    <w:lvl w:ilvl="0">
      <w:lvlJc w:val="left"/>
      <w:lvlText w:val="•"/>
      <w:numFmt w:val="bullet"/>
      <w:start w:val="1"/>
    </w:lvl>
  </w:abstractNum>
  <w:abstractNum w:abstractNumId="116">
    <w:nsid w:val="53B0A9E"/>
    <w:multiLevelType w:val="hybridMultilevel"/>
    <w:lvl w:ilvl="0">
      <w:lvlJc w:val="left"/>
      <w:lvlText w:val="•"/>
      <w:numFmt w:val="bullet"/>
      <w:start w:val="1"/>
    </w:lvl>
  </w:abstractNum>
  <w:abstractNum w:abstractNumId="117">
    <w:nsid w:val="34FD6B4F"/>
    <w:multiLevelType w:val="hybridMultilevel"/>
    <w:lvl w:ilvl="0">
      <w:lvlJc w:val="left"/>
      <w:lvlText w:val="•"/>
      <w:numFmt w:val="bullet"/>
      <w:start w:val="1"/>
    </w:lvl>
  </w:abstractNum>
  <w:abstractNum w:abstractNumId="118">
    <w:nsid w:val="5915FF32"/>
    <w:multiLevelType w:val="hybridMultilevel"/>
    <w:lvl w:ilvl="0">
      <w:lvlJc w:val="left"/>
      <w:lvlText w:val="•"/>
      <w:numFmt w:val="bullet"/>
      <w:start w:val="1"/>
    </w:lvl>
  </w:abstractNum>
  <w:abstractNum w:abstractNumId="119">
    <w:nsid w:val="56438D15"/>
    <w:multiLevelType w:val="hybridMultilevel"/>
    <w:lvl w:ilvl="0">
      <w:lvlJc w:val="left"/>
      <w:lvlText w:val="•"/>
      <w:numFmt w:val="bullet"/>
      <w:start w:val="1"/>
    </w:lvl>
  </w:abstractNum>
  <w:abstractNum w:abstractNumId="120">
    <w:nsid w:val="519E3149"/>
    <w:multiLevelType w:val="hybridMultilevel"/>
    <w:lvl w:ilvl="0">
      <w:lvlJc w:val="left"/>
      <w:lvlText w:val="•"/>
      <w:numFmt w:val="bullet"/>
      <w:start w:val="1"/>
    </w:lvl>
  </w:abstractNum>
  <w:abstractNum w:abstractNumId="121">
    <w:nsid w:val="2C6E4AFD"/>
    <w:multiLevelType w:val="hybridMultilevel"/>
    <w:lvl w:ilvl="0">
      <w:lvlJc w:val="left"/>
      <w:lvlText w:val="•"/>
      <w:numFmt w:val="bullet"/>
      <w:start w:val="1"/>
    </w:lvl>
    <w:lvl w:ilvl="1">
      <w:lvlJc w:val="left"/>
      <w:lvlText w:val="•"/>
      <w:numFmt w:val="bullet"/>
      <w:start w:val="1"/>
    </w:lvl>
  </w:abstractNum>
  <w:abstractNum w:abstractNumId="122">
    <w:nsid w:val="17A1B582"/>
    <w:multiLevelType w:val="hybridMultilevel"/>
    <w:lvl w:ilvl="0">
      <w:lvlJc w:val="left"/>
      <w:lvlText w:val="•"/>
      <w:numFmt w:val="bullet"/>
      <w:start w:val="1"/>
    </w:lvl>
    <w:lvl w:ilvl="1">
      <w:lvlJc w:val="left"/>
      <w:lvlText w:val="•"/>
      <w:numFmt w:val="bullet"/>
      <w:start w:val="1"/>
    </w:lvl>
  </w:abstractNum>
  <w:abstractNum w:abstractNumId="123">
    <w:nsid w:val="4DF72E4E"/>
    <w:multiLevelType w:val="hybridMultilevel"/>
    <w:lvl w:ilvl="0">
      <w:lvlJc w:val="left"/>
      <w:lvlText w:val="•"/>
      <w:numFmt w:val="bullet"/>
      <w:start w:val="1"/>
    </w:lvl>
  </w:abstractNum>
  <w:abstractNum w:abstractNumId="124">
    <w:nsid w:val="5046B5A9"/>
    <w:multiLevelType w:val="hybridMultilevel"/>
    <w:lvl w:ilvl="0">
      <w:lvlJc w:val="left"/>
      <w:lvlText w:val="%1."/>
      <w:numFmt w:val="decimal"/>
      <w:start w:val="2"/>
    </w:lvl>
  </w:abstractNum>
  <w:abstractNum w:abstractNumId="125">
    <w:nsid w:val="5D888A08"/>
    <w:multiLevelType w:val="hybridMultilevel"/>
    <w:lvl w:ilvl="0">
      <w:lvlJc w:val="left"/>
      <w:lvlText w:val="•"/>
      <w:numFmt w:val="bullet"/>
      <w:start w:val="1"/>
    </w:lvl>
    <w:lvl w:ilvl="1">
      <w:lvlJc w:val="left"/>
      <w:lvlText w:val="(%2)"/>
      <w:numFmt w:val="lowerLetter"/>
      <w:start w:val="3"/>
    </w:lvl>
  </w:abstractNum>
  <w:abstractNum w:abstractNumId="126">
    <w:nsid w:val="2A082C70"/>
    <w:multiLevelType w:val="hybridMultilevel"/>
    <w:lvl w:ilvl="0">
      <w:lvlJc w:val="left"/>
      <w:lvlText w:val="•"/>
      <w:numFmt w:val="bullet"/>
      <w:start w:val="1"/>
    </w:lvl>
  </w:abstractNum>
  <w:abstractNum w:abstractNumId="127">
    <w:nsid w:val="5EC6AFD4"/>
    <w:multiLevelType w:val="hybridMultilevel"/>
    <w:lvl w:ilvl="0">
      <w:lvlJc w:val="left"/>
      <w:lvlText w:val="%1."/>
      <w:numFmt w:val="decimal"/>
      <w:start w:val="1"/>
    </w:lvl>
    <w:lvl w:ilvl="1">
      <w:lvlJc w:val="left"/>
      <w:lvlText w:val="%2)"/>
      <w:numFmt w:val="lowerLetter"/>
      <w:start w:val="1"/>
    </w:lvl>
  </w:abstractNum>
  <w:abstractNum w:abstractNumId="128">
    <w:nsid w:val="19E21BB2"/>
    <w:multiLevelType w:val="hybridMultilevel"/>
    <w:lvl w:ilvl="0">
      <w:lvlJc w:val="left"/>
      <w:lvlText w:val="%1."/>
      <w:numFmt w:val="decimal"/>
      <w:start w:val="1"/>
    </w:lvl>
    <w:lvl w:ilvl="1">
      <w:lvlJc w:val="left"/>
      <w:lvlText w:val="%2)"/>
      <w:numFmt w:val="lowerLetter"/>
      <w:start w:val="1"/>
    </w:lvl>
  </w:abstractNum>
  <w:abstractNum w:abstractNumId="129">
    <w:nsid w:val="75E0858A"/>
    <w:multiLevelType w:val="hybridMultilevel"/>
    <w:lvl w:ilvl="0">
      <w:lvlJc w:val="left"/>
      <w:lvlText w:val="%1."/>
      <w:numFmt w:val="decimal"/>
      <w:start w:val="1"/>
    </w:lvl>
    <w:lvl w:ilvl="1">
      <w:lvlJc w:val="left"/>
      <w:lvlText w:val="%2)"/>
      <w:numFmt w:val="lowerLetter"/>
      <w:start w:val="1"/>
    </w:lvl>
  </w:abstractNum>
  <w:abstractNum w:abstractNumId="130">
    <w:nsid w:val="57A61A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72" Type="http://schemas.openxmlformats.org/officeDocument/2006/relationships/image" Target="media/image146.png"/><Relationship Id="rId198" Type="http://schemas.openxmlformats.org/officeDocument/2006/relationships/image" Target="media/image147.png"/><Relationship Id="rId217" Type="http://schemas.openxmlformats.org/officeDocument/2006/relationships/image" Target="media/image148.png"/><Relationship Id="rId237" Type="http://schemas.openxmlformats.org/officeDocument/2006/relationships/image" Target="media/image149.png"/><Relationship Id="rId249" Type="http://schemas.openxmlformats.org/officeDocument/2006/relationships/image" Target="media/image150.png"/><Relationship Id="rId250" Type="http://schemas.openxmlformats.org/officeDocument/2006/relationships/image" Target="media/image151.png"/><Relationship Id="rId251" Type="http://schemas.openxmlformats.org/officeDocument/2006/relationships/image" Target="media/image152.png"/><Relationship Id="rId252" Type="http://schemas.openxmlformats.org/officeDocument/2006/relationships/image" Target="media/image153.png"/><Relationship Id="rId253" Type="http://schemas.openxmlformats.org/officeDocument/2006/relationships/image" Target="media/image154.png"/><Relationship Id="rId254" Type="http://schemas.openxmlformats.org/officeDocument/2006/relationships/image" Target="media/image155.png"/><Relationship Id="rId255" Type="http://schemas.openxmlformats.org/officeDocument/2006/relationships/image" Target="media/image156.png"/><Relationship Id="rId256" Type="http://schemas.openxmlformats.org/officeDocument/2006/relationships/image" Target="media/image157.png"/><Relationship Id="rId257" Type="http://schemas.openxmlformats.org/officeDocument/2006/relationships/image" Target="media/image158.png"/><Relationship Id="rId258" Type="http://schemas.openxmlformats.org/officeDocument/2006/relationships/image" Target="media/image159.png"/><Relationship Id="rId259" Type="http://schemas.openxmlformats.org/officeDocument/2006/relationships/image" Target="media/image160.png"/><Relationship Id="rId260" Type="http://schemas.openxmlformats.org/officeDocument/2006/relationships/image" Target="media/image161.png"/><Relationship Id="rId261" Type="http://schemas.openxmlformats.org/officeDocument/2006/relationships/image" Target="media/image162.png"/><Relationship Id="rId262" Type="http://schemas.openxmlformats.org/officeDocument/2006/relationships/image" Target="media/image163.png"/><Relationship Id="rId263" Type="http://schemas.openxmlformats.org/officeDocument/2006/relationships/image" Target="media/image164.png"/><Relationship Id="rId153" Type="http://schemas.openxmlformats.org/officeDocument/2006/relationships/hyperlink" Target="https://www.sec.gov/Archives/edgar/data/899689/000089968907000020/exhibit375.htm" TargetMode="External"/><Relationship Id="rId154" Type="http://schemas.openxmlformats.org/officeDocument/2006/relationships/hyperlink" Target="https://www.sec.gov/Archives/edgar/data/899689/000089968922000038/ex32-63022q2.htm" TargetMode="External"/><Relationship Id="rId155" Type="http://schemas.openxmlformats.org/officeDocument/2006/relationships/hyperlink" Target="https://www.sec.gov/Archives/edgar/data/899689/000089968921000009/ex33.htm" TargetMode="External"/><Relationship Id="rId156" Type="http://schemas.openxmlformats.org/officeDocument/2006/relationships/hyperlink" Target="https://www.sec.gov/Archives/edgar/data/899689/000104746916012025/a2228065zdef14a.htm" TargetMode="External"/><Relationship Id="rId157" Type="http://schemas.openxmlformats.org/officeDocument/2006/relationships/hyperlink" Target="https://www.sec.gov/Archives/edgar/data/899689/000089968918000049/ex354-063018.htm" TargetMode="External"/><Relationship Id="rId158" Type="http://schemas.openxmlformats.org/officeDocument/2006/relationships/hyperlink" Target="https://www.sec.gov/Archives/edgar/data/899689/000089968919000060/exhibit31.htm" TargetMode="External"/><Relationship Id="rId159" Type="http://schemas.openxmlformats.org/officeDocument/2006/relationships/hyperlink" Target="https://www.sec.gov/Archives/edgar/data/899689/000110465913004808/a13-3025_5ex3d6.htm" TargetMode="External"/><Relationship Id="rId160" Type="http://schemas.openxmlformats.org/officeDocument/2006/relationships/hyperlink" Target="https://www.sec.gov/Archives/edgar/data/899689/000110465917073173/a17-27898_7ex3d7.htm" TargetMode="External"/><Relationship Id="rId161" Type="http://schemas.openxmlformats.org/officeDocument/2006/relationships/hyperlink" Target="https://www.sec.gov/Archives/edgar/data/899689/000110465920129044/tm2036325d3_ex3-1.htm" TargetMode="External"/><Relationship Id="rId162" Type="http://schemas.openxmlformats.org/officeDocument/2006/relationships/hyperlink" Target="https://www.sec.gov/Archives/edgar/data/899689/000110465921118342/tm2128021d1_ex3-1.htm" TargetMode="External"/><Relationship Id="rId163" Type="http://schemas.openxmlformats.org/officeDocument/2006/relationships/hyperlink" Target="https://www.sec.gov/Archives/edgar/data/899689/000110465903008526/j0390_ex3d26.htm" TargetMode="External"/><Relationship Id="rId164" Type="http://schemas.openxmlformats.org/officeDocument/2006/relationships/hyperlink" Target="https://www.sec.gov/Archives/edgar/data/899689/000110465903008526/j0390_ex3d27.htm" TargetMode="External"/><Relationship Id="rId165" Type="http://schemas.openxmlformats.org/officeDocument/2006/relationships/hyperlink" Target="https://www.sec.gov/Archives/edgar/data/899689/0000950123-98-003786.txt" TargetMode="External"/><Relationship Id="rId166" Type="http://schemas.openxmlformats.org/officeDocument/2006/relationships/hyperlink" Target="https://www.sec.gov/Archives/edgar/data/899689/0000950123-98-010357.txt" TargetMode="External"/><Relationship Id="rId167" Type="http://schemas.openxmlformats.org/officeDocument/2006/relationships/hyperlink" Target="https://www.sec.gov/Archives/edgar/data/899689/0000950123-99-000816.txt" TargetMode="External"/><Relationship Id="rId168" Type="http://schemas.openxmlformats.org/officeDocument/2006/relationships/hyperlink" Target="https://www.sec.gov/Archives/edgar/data/899689/0000950123-99-002200.txt" TargetMode="External"/><Relationship Id="rId169" Type="http://schemas.openxmlformats.org/officeDocument/2006/relationships/hyperlink" Target="https://www.sec.gov/Archives/edgar/data/899689/000095012399006293/0000950123-99-006293.txt" TargetMode="External"/><Relationship Id="rId170" Type="http://schemas.openxmlformats.org/officeDocument/2006/relationships/hyperlink" Target="https://www.sec.gov/Archives/edgar/data/899689/000095012399009496/0000950123-99-009496.txt" TargetMode="External"/><Relationship Id="rId171" Type="http://schemas.openxmlformats.org/officeDocument/2006/relationships/hyperlink" Target="https://www.sec.gov/Archives/edgar/data/899689/000095012399011146/0000950123-99-011146.txt" TargetMode="External"/><Relationship Id="rId173" Type="http://schemas.openxmlformats.org/officeDocument/2006/relationships/hyperlink" Target="https://www.sec.gov/Archives/edgar/data/899689/000095012300005290/0000950123-00-005290.txt" TargetMode="External"/><Relationship Id="rId174" Type="http://schemas.openxmlformats.org/officeDocument/2006/relationships/hyperlink" Target="https://www.sec.gov/Archives/edgar/data/899689/000095012300005846/0000950123-00-005846-0003.txt" TargetMode="External"/><Relationship Id="rId175" Type="http://schemas.openxmlformats.org/officeDocument/2006/relationships/hyperlink" Target="https://www.sec.gov/Archives/edgar/data/899689/000095012300011882/y43804ex3-2.txt" TargetMode="External"/><Relationship Id="rId176" Type="http://schemas.openxmlformats.org/officeDocument/2006/relationships/hyperlink" Target="https://www.sec.gov/Archives/edgar/data/899689/000095012301506008/y52869ex4-35.txt" TargetMode="External"/><Relationship Id="rId177" Type="http://schemas.openxmlformats.org/officeDocument/2006/relationships/hyperlink" Target="https://www.sec.gov/Archives/edgar/data/899689/000095012301507187/y53889ex3-3.txt" TargetMode="External"/><Relationship Id="rId178" Type="http://schemas.openxmlformats.org/officeDocument/2006/relationships/hyperlink" Target="https://www.sec.gov/Archives/edgar/data/899689/000095012301507187/y53889ex3-4.txt" TargetMode="External"/><Relationship Id="rId179" Type="http://schemas.openxmlformats.org/officeDocument/2006/relationships/hyperlink" Target="https://www.sec.gov/Archives/edgar/data/899689/000089183602000133/sc292916.txt" TargetMode="External"/><Relationship Id="rId180" Type="http://schemas.openxmlformats.org/officeDocument/2006/relationships/hyperlink" Target="https://www.sec.gov/Archives/edgar/data/899689/000091205702030320/a2085993zex-3_47.txt" TargetMode="External"/><Relationship Id="rId181" Type="http://schemas.openxmlformats.org/officeDocument/2006/relationships/hyperlink" Target="https://www.sec.gov/Archives/edgar/data/899689/000110465903008526/j0390_ex3d46.htm" TargetMode="External"/><Relationship Id="rId182" Type="http://schemas.openxmlformats.org/officeDocument/2006/relationships/hyperlink" Target="https://www.sec.gov/Archives/edgar/data/899689/000110465903025041/a03-4406_1ex3d47.htm" TargetMode="External"/><Relationship Id="rId183" Type="http://schemas.openxmlformats.org/officeDocument/2006/relationships/hyperlink" Target="https://www.sec.gov/Archives/edgar/data/899689/000110465904006309/a04-1866_1ex3d49.htm" TargetMode="External"/><Relationship Id="rId184" Type="http://schemas.openxmlformats.org/officeDocument/2006/relationships/hyperlink" Target="https://www.sec.gov/Archives/edgar/data/899689/000089183604000228/ex_99-2.htm" TargetMode="External"/><Relationship Id="rId185" Type="http://schemas.openxmlformats.org/officeDocument/2006/relationships/hyperlink" Target="https://www.sec.gov/Archives/edgar/data/899689/000104746905001600/a2150323zex-3_57.htm" TargetMode="External"/><Relationship Id="rId186" Type="http://schemas.openxmlformats.org/officeDocument/2006/relationships/hyperlink" Target="https://www.sec.gov/Archives/edgar/data/899689/000104746905001600/a2150323zex-3_58.htm" TargetMode="External"/><Relationship Id="rId187" Type="http://schemas.openxmlformats.org/officeDocument/2006/relationships/hyperlink" Target="https://www.sec.gov/Archives/edgar/data/1040765/000119312504217519/dex31.htm" TargetMode="External"/><Relationship Id="rId188" Type="http://schemas.openxmlformats.org/officeDocument/2006/relationships/hyperlink" Target="https://www.sec.gov/Archives/edgar/data/1040765/000119312504217519/dex32.htm" TargetMode="External"/><Relationship Id="rId189" Type="http://schemas.openxmlformats.org/officeDocument/2006/relationships/hyperlink" Target="https://www.sec.gov/Archives/edgar/data/1040765/000089183605000003/ex_3-1.txt" TargetMode="External"/><Relationship Id="rId190" Type="http://schemas.openxmlformats.org/officeDocument/2006/relationships/hyperlink" Target="https://www.sec.gov/Archives/edgar/data/1040765/000110465905029010/a05-11066_1ex3d1.htm" TargetMode="External"/><Relationship Id="rId191" Type="http://schemas.openxmlformats.org/officeDocument/2006/relationships/hyperlink" Target="https://www.sec.gov/Archives/edgar/data/1040765/000095012305010644/y12332exv3w1.txt" TargetMode="External"/><Relationship Id="rId192" Type="http://schemas.openxmlformats.org/officeDocument/2006/relationships/hyperlink" Target="https://www.sec.gov/Archives/edgar/data/1040765/000110465905044062/a05-16121_2ex3d1.htm" TargetMode="External"/><Relationship Id="rId193" Type="http://schemas.openxmlformats.org/officeDocument/2006/relationships/hyperlink" Target="https://www.sec.gov/Archives/edgar/data/1040765/000110465906032116/a06-9247_1ex3d59.htm" TargetMode="External"/><Relationship Id="rId194" Type="http://schemas.openxmlformats.org/officeDocument/2006/relationships/hyperlink" Target="https://www.sec.gov/Archives/edgar/data/899689/000110465906029859/a06-10648_1ex10d2.htm" TargetMode="External"/><Relationship Id="rId195" Type="http://schemas.openxmlformats.org/officeDocument/2006/relationships/hyperlink" Target="https://www.sec.gov/Archives/edgar/data/1040765/000110465906030653/a06-10951_1ex3d1.htm" TargetMode="External"/><Relationship Id="rId196" Type="http://schemas.openxmlformats.org/officeDocument/2006/relationships/hyperlink" Target="https://www.sec.gov/Archives/edgar/data/1040765/000110465906056753/a06-18576_1ex3d1.htm" TargetMode="External"/><Relationship Id="rId197" Type="http://schemas.openxmlformats.org/officeDocument/2006/relationships/hyperlink" Target="https://www.sec.gov/Archives/edgar/data/1040765/000104076507000003/vlp8k12207exhbit31.htm" TargetMode="External"/><Relationship Id="rId199" Type="http://schemas.openxmlformats.org/officeDocument/2006/relationships/hyperlink" Target="https://www.sec.gov/Archives/edgar/data/1040765/000104076507000013/exhibit31.htm" TargetMode="External"/><Relationship Id="rId200" Type="http://schemas.openxmlformats.org/officeDocument/2006/relationships/hyperlink" Target="https://www.sec.gov/Archives/edgar/data/1040765/000104076507000013/exhibit32.htm" TargetMode="External"/><Relationship Id="rId201" Type="http://schemas.openxmlformats.org/officeDocument/2006/relationships/hyperlink" Target="https://www.sec.gov/Archives/edgar/data/1040765/000104076507000013/exhibit33.htm" TargetMode="External"/><Relationship Id="rId202" Type="http://schemas.openxmlformats.org/officeDocument/2006/relationships/hyperlink" Target="https://www.sec.gov/Archives/edgar/data/1040765/000104076507000013/exhibit34.htm" TargetMode="External"/><Relationship Id="rId203" Type="http://schemas.openxmlformats.org/officeDocument/2006/relationships/hyperlink" Target="https://www.sec.gov/Archives/edgar/data/899689/000089968908000019/ex_3-44.htm" TargetMode="External"/><Relationship Id="rId204" Type="http://schemas.openxmlformats.org/officeDocument/2006/relationships/hyperlink" Target="https://www.sec.gov/Archives/edgar/data/1040765/000104076510000022/exhibit991.htm" TargetMode="External"/><Relationship Id="rId205" Type="http://schemas.openxmlformats.org/officeDocument/2006/relationships/hyperlink" Target="https://www.sec.gov/Archives/edgar/data/1040765/000110465911021464/a11-10513_1ex3d1.htm" TargetMode="External"/><Relationship Id="rId206" Type="http://schemas.openxmlformats.org/officeDocument/2006/relationships/hyperlink" Target="https://www.sec.gov/Archives/edgar/data/1040765/000110465912024117/a12-9178_1ex99d1.htm" TargetMode="External"/><Relationship Id="rId207" Type="http://schemas.openxmlformats.org/officeDocument/2006/relationships/hyperlink" Target="https://www.sec.gov/Archives/edgar/data/1040765/000110465912049617/a12-16585_3ex3d1.htm" TargetMode="External"/><Relationship Id="rId208" Type="http://schemas.openxmlformats.org/officeDocument/2006/relationships/hyperlink" Target="https://www.sec.gov/Archives/edgar/data/1040765/000110465913004810/a13-3744_1ex3d1.htm" TargetMode="External"/><Relationship Id="rId209" Type="http://schemas.openxmlformats.org/officeDocument/2006/relationships/hyperlink" Target="https://www.sec.gov/Archives/edgar/data/1040765/000110465915025517/a15-8472_1ex3d1.htm" TargetMode="External"/><Relationship Id="rId210" Type="http://schemas.openxmlformats.org/officeDocument/2006/relationships/hyperlink" Target="https://www.sec.gov/Archives/edgar/data/899689/000110465917073183/a17-27898_6ex3d2.htm" TargetMode="External"/><Relationship Id="rId211" Type="http://schemas.openxmlformats.org/officeDocument/2006/relationships/hyperlink" Target="https://www.sec.gov/Archives/edgar/data/899689/000089968918000009/ex353.htm" TargetMode="External"/><Relationship Id="rId212" Type="http://schemas.openxmlformats.org/officeDocument/2006/relationships/hyperlink" Target="https://www.sec.gov/Archives/edgar/data/899689/000089968919000060/exhibit32.htm" TargetMode="External"/><Relationship Id="rId213" Type="http://schemas.openxmlformats.org/officeDocument/2006/relationships/hyperlink" Target="https://www.sec.gov/Archives/edgar/data/899689/000110465920129044/tm2036325d3_ex3-2.htm" TargetMode="External"/><Relationship Id="rId214" Type="http://schemas.openxmlformats.org/officeDocument/2006/relationships/hyperlink" Target="https://www.sec.gov/Archives/edgar/data/899689/000110465921118342/tm2128021d1_ex3-2.htm" TargetMode="External"/><Relationship Id="rId215" Type="http://schemas.openxmlformats.org/officeDocument/2006/relationships/hyperlink" Target="https://www.sec.gov/Archives/edgar/data/899689/000110465905018616/a05-7107_1ex4d10.htm" TargetMode="External"/><Relationship Id="rId216" Type="http://schemas.openxmlformats.org/officeDocument/2006/relationships/hyperlink" Target="https://www.sec.gov/Archives/edgar/data/899689/000110465906077768/a06-24566_1ex4d1.htm" TargetMode="External"/><Relationship Id="rId218" Type="http://schemas.openxmlformats.org/officeDocument/2006/relationships/hyperlink" Target="https://www.sec.gov/Archives/edgar/data/3499/000095012302007503/y62648exv10wiwew3.txt" TargetMode="External"/><Relationship Id="rId219" Type="http://schemas.openxmlformats.org/officeDocument/2006/relationships/hyperlink" Target="https://www.sec.gov/Archives/edgar/data/3499/000095012302007503/y62648exv10wiwew4.txt" TargetMode="External"/><Relationship Id="rId220" Type="http://schemas.openxmlformats.org/officeDocument/2006/relationships/hyperlink" Target="https://www.sec.gov/Archives/edgar/data/3499/000095012302007503/y62648exv10wiwfw1.txt" TargetMode="External"/><Relationship Id="rId221" Type="http://schemas.openxmlformats.org/officeDocument/2006/relationships/hyperlink" Target="https://www.sec.gov/Archives/edgar/data/899689/000089968907000007/exhibit1055.htm" TargetMode="External"/><Relationship Id="rId222" Type="http://schemas.openxmlformats.org/officeDocument/2006/relationships/hyperlink" Target="https://www.sec.gov/Archives/edgar/data/899689/000089968907000007/exhibit1056.htm" TargetMode="External"/><Relationship Id="rId223" Type="http://schemas.openxmlformats.org/officeDocument/2006/relationships/hyperlink" Target="https://www.sec.gov/Archives/edgar/data/899689/000089968910000028/ex1041.htm" TargetMode="External"/><Relationship Id="rId224" Type="http://schemas.openxmlformats.org/officeDocument/2006/relationships/hyperlink" Target="https://www.sec.gov/Archives/edgar/data/899689/000110465912024120/a12-9179_1ex99d3.htm" TargetMode="External"/><Relationship Id="rId225" Type="http://schemas.openxmlformats.org/officeDocument/2006/relationships/hyperlink" Target="https://www.sec.gov/Archives/edgar/data/899689/000089968914000028/exhibit1052.htm" TargetMode="External"/><Relationship Id="rId226" Type="http://schemas.openxmlformats.org/officeDocument/2006/relationships/hyperlink" Target="https://www.sec.gov/Archives/edgar/data/899689/000089968918000009/ex1034.htm" TargetMode="External"/><Relationship Id="rId227" Type="http://schemas.openxmlformats.org/officeDocument/2006/relationships/hyperlink" Target="https://www.sec.gov/Archives/edgar/data/899689/000089968919000010/ex1037.htm" TargetMode="External"/><Relationship Id="rId228" Type="http://schemas.openxmlformats.org/officeDocument/2006/relationships/hyperlink" Target="https://www.sec.gov/Archives/edgar/data/899689/000089968919000010/ex1038.htm" TargetMode="External"/><Relationship Id="rId229" Type="http://schemas.openxmlformats.org/officeDocument/2006/relationships/hyperlink" Target="https://www.sec.gov/Archives/edgar/data/899689/000104746919002013/a2238204zdef14a.htm" TargetMode="External"/><Relationship Id="rId230" Type="http://schemas.openxmlformats.org/officeDocument/2006/relationships/hyperlink" Target="https://www.sec.gov/Archives/edgar/data/899689/000089968919000054/ex1042.htm" TargetMode="External"/><Relationship Id="rId231" Type="http://schemas.openxmlformats.org/officeDocument/2006/relationships/hyperlink" Target="https://www.sec.gov/Archives/edgar/data/899689/000089968920000007/ex1033.htm" TargetMode="External"/><Relationship Id="rId232" Type="http://schemas.openxmlformats.org/officeDocument/2006/relationships/hyperlink" Target="https://www.sec.gov/Archives/edgar/data/899689/000089968920000007/ex1034.htm" TargetMode="External"/><Relationship Id="rId233" Type="http://schemas.openxmlformats.org/officeDocument/2006/relationships/hyperlink" Target="https://www.sec.gov/Archives/edgar/data/899689/000089968920000025/ex1035-033120.htm" TargetMode="External"/><Relationship Id="rId234" Type="http://schemas.openxmlformats.org/officeDocument/2006/relationships/hyperlink" Target="https://www.sec.gov/Archives/edgar/data/899689/000089968920000025/ex1036-033120.htm" TargetMode="External"/><Relationship Id="rId235" Type="http://schemas.openxmlformats.org/officeDocument/2006/relationships/hyperlink" Target="https://www.sec.gov/Archives/edgar/data/899689/000089968922000006/ex1036123121.htm" TargetMode="External"/><Relationship Id="rId236" Type="http://schemas.openxmlformats.org/officeDocument/2006/relationships/hyperlink" Target="https://www.sec.gov/Archives/edgar/data/899689/000089968922000021/ex1037-033122q1.htm" TargetMode="External"/><Relationship Id="rId238" Type="http://schemas.openxmlformats.org/officeDocument/2006/relationships/hyperlink" Target="https://www.sec.gov/Archives/edgar/data/899689/000089968922000038/ex1038-63022q2.htm" TargetMode="External"/><Relationship Id="rId239" Type="http://schemas.openxmlformats.org/officeDocument/2006/relationships/hyperlink" Target="https://www.sec.gov/Archives/edgar/data/899689/000089968922000038/ex1040-63022q2.htm" TargetMode="External"/><Relationship Id="rId240" Type="http://schemas.openxmlformats.org/officeDocument/2006/relationships/hyperlink" Target="https://www.sec.gov/Archives/edgar/data/899689/000089968923000010/ex1036123122.htm" TargetMode="External"/><Relationship Id="rId241" Type="http://schemas.openxmlformats.org/officeDocument/2006/relationships/hyperlink" Target="https://www.sec.gov/Archives/edgar/data/899689/000089968923000010/ex1037123122.htm" TargetMode="External"/><Relationship Id="rId242" Type="http://schemas.openxmlformats.org/officeDocument/2006/relationships/hyperlink" Target="https://www.sec.gov/ix?doc=/Archives/edgar/data/899689/000110465923043150/tm231844d2_def14a.htm#tANA" TargetMode="External"/><Relationship Id="rId243" Type="http://schemas.openxmlformats.org/officeDocument/2006/relationships/hyperlink" Target="https://www.sec.gov/Archives/edgar/data/899689/000089968923000043/exhibit101vno-ltipagreemen.htm" TargetMode="External"/><Relationship Id="rId244" Type="http://schemas.openxmlformats.org/officeDocument/2006/relationships/hyperlink" Target="https://www.sec.gov/Archives/edgar/data/899689/000089968923000043/exhibit102vno-performancex.htm" TargetMode="External"/><Relationship Id="rId245" Type="http://schemas.openxmlformats.org/officeDocument/2006/relationships/hyperlink" Target="https://www.sec.gov/Archives/edgar/data/899689/000089968924000033/ex1034vornado-2024revolvin.htm" TargetMode="External"/><Relationship Id="rId246" Type="http://schemas.openxmlformats.org/officeDocument/2006/relationships/hyperlink" Target="https://www.sec.gov/Archives/edgar/data/899689/000089968924000033/ex1035vornado-amended2022c.htm" TargetMode="External"/><Relationship Id="rId247" Type="http://schemas.openxmlformats.org/officeDocument/2006/relationships/hyperlink" Target="https://www.sec.gov/Archives/edgar/data/899689/000089968924000033/ex1036vornado-amendedterml.htm" TargetMode="External"/><Relationship Id="rId248" Type="http://schemas.openxmlformats.org/officeDocument/2006/relationships/hyperlink" Target="https://www.sec.gov/Archives/edgar/data/899689/000089968924000005/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2025-02-10T15:46:23Z</dcterms:created>
  <dcterms:modified xsi:type="dcterms:W3CDTF">2025-02-10T15:46:23Z</dcterms:modified>
</cp:coreProperties>
</file>