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255905</wp:posOffset>
            </wp:positionH>
            <wp:positionV relativeFrom="page">
              <wp:posOffset>321310</wp:posOffset>
            </wp:positionV>
            <wp:extent cx="70370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070" cy="6985"/>
                    </a:xfrm>
                    <a:prstGeom prst="rect">
                      <a:avLst/>
                    </a:prstGeom>
                    <a:noFill/>
                  </pic:spPr>
                </pic:pic>
              </a:graphicData>
            </a:graphic>
          </wp:anchor>
        </w:drawing>
        <w:drawing>
          <wp:anchor simplePos="0" relativeHeight="251657728" behindDoc="1" locked="0" layoutInCell="0" allowOverlap="1">
            <wp:simplePos x="0" y="0"/>
            <wp:positionH relativeFrom="page">
              <wp:posOffset>255905</wp:posOffset>
            </wp:positionH>
            <wp:positionV relativeFrom="page">
              <wp:posOffset>341630</wp:posOffset>
            </wp:positionV>
            <wp:extent cx="70370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070" cy="6985"/>
                    </a:xfrm>
                    <a:prstGeom prst="rect">
                      <a:avLst/>
                    </a:prstGeom>
                    <a:noFill/>
                  </pic:spPr>
                </pic:pic>
              </a:graphicData>
            </a:graphic>
          </wp:anchor>
        </w:drawing>
        <w:t>UNITED STATES</w:t>
      </w:r>
    </w:p>
    <w:p>
      <w:pPr>
        <w:spacing w:after="0" w:line="3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2"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8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w:t>
      </w:r>
    </w:p>
    <w:p>
      <w:pPr>
        <w:spacing w:after="0" w:line="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November 2, 2026</w:t>
      </w:r>
    </w:p>
    <w:p>
      <w:pPr>
        <w:spacing w:after="0" w:line="6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Charter)</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80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No. 001-11954</w:t>
            </w:r>
          </w:p>
        </w:tc>
        <w:tc>
          <w:tcPr>
            <w:tcW w:w="33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No. 22-1657560</w:t>
            </w:r>
          </w:p>
        </w:tc>
      </w:tr>
      <w:tr>
        <w:trPr>
          <w:trHeight w:val="170"/>
        </w:trPr>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w:t>
            </w:r>
          </w:p>
        </w:tc>
        <w:tc>
          <w:tcPr>
            <w:tcW w:w="360" w:type="dxa"/>
            <w:vAlign w:val="bottom"/>
          </w:tcPr>
          <w:p>
            <w:pPr>
              <w:spacing w:after="0"/>
              <w:rPr>
                <w:sz w:val="14"/>
                <w:szCs w:val="14"/>
                <w:color w:val="auto"/>
              </w:rPr>
            </w:pPr>
          </w:p>
        </w:tc>
        <w:tc>
          <w:tcPr>
            <w:tcW w:w="344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4"/>
                <w:szCs w:val="14"/>
                <w:color w:val="auto"/>
              </w:rPr>
              <w:t>(Commission</w:t>
            </w:r>
          </w:p>
        </w:tc>
        <w:tc>
          <w:tcPr>
            <w:tcW w:w="360" w:type="dxa"/>
            <w:vAlign w:val="bottom"/>
          </w:tcPr>
          <w:p>
            <w:pPr>
              <w:spacing w:after="0"/>
              <w:rPr>
                <w:sz w:val="14"/>
                <w:szCs w:val="14"/>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r>
      <w:tr>
        <w:trPr>
          <w:trHeight w:val="186"/>
        </w:trPr>
        <w:tc>
          <w:tcPr>
            <w:tcW w:w="3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380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File Number)</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5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Charter)</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00" w:type="dxa"/>
            <w:vAlign w:val="bottom"/>
          </w:tcPr>
          <w:p>
            <w:pPr>
              <w:spacing w:after="0"/>
              <w:rPr>
                <w:sz w:val="16"/>
                <w:szCs w:val="16"/>
                <w:color w:val="auto"/>
              </w:rPr>
            </w:pPr>
          </w:p>
        </w:tc>
        <w:tc>
          <w:tcPr>
            <w:tcW w:w="22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No. 001-34482</w:t>
            </w:r>
          </w:p>
        </w:tc>
        <w:tc>
          <w:tcPr>
            <w:tcW w:w="440" w:type="dxa"/>
            <w:vAlign w:val="bottom"/>
          </w:tcPr>
          <w:p>
            <w:pPr>
              <w:spacing w:after="0"/>
              <w:rPr>
                <w:sz w:val="16"/>
                <w:szCs w:val="16"/>
                <w:color w:val="auto"/>
              </w:rPr>
            </w:pPr>
          </w:p>
        </w:tc>
        <w:tc>
          <w:tcPr>
            <w:tcW w:w="2880" w:type="dxa"/>
            <w:vAlign w:val="bottom"/>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No. 13-3925979</w:t>
            </w:r>
          </w:p>
        </w:tc>
        <w:tc>
          <w:tcPr>
            <w:tcW w:w="280" w:type="dxa"/>
            <w:vAlign w:val="bottom"/>
          </w:tcPr>
          <w:p>
            <w:pPr>
              <w:spacing w:after="0"/>
              <w:rPr>
                <w:sz w:val="16"/>
                <w:szCs w:val="16"/>
                <w:color w:val="auto"/>
              </w:rPr>
            </w:pPr>
          </w:p>
        </w:tc>
      </w:tr>
      <w:tr>
        <w:trPr>
          <w:trHeight w:val="170"/>
        </w:trPr>
        <w:tc>
          <w:tcPr>
            <w:tcW w:w="30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color w:val="auto"/>
              </w:rPr>
              <w:t>(State or Other</w:t>
            </w:r>
          </w:p>
        </w:tc>
        <w:tc>
          <w:tcPr>
            <w:tcW w:w="6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20" w:type="dxa"/>
            <w:vAlign w:val="bottom"/>
            <w:tcBorders>
              <w:top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color w:val="auto"/>
              </w:rPr>
              <w:t>(Commission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880" w:type="dxa"/>
            <w:vAlign w:val="bottom"/>
            <w:tcBorders>
              <w:top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(IRS Employer</w:t>
            </w:r>
          </w:p>
        </w:tc>
        <w:tc>
          <w:tcPr>
            <w:tcW w:w="280" w:type="dxa"/>
            <w:vAlign w:val="bottom"/>
          </w:tcPr>
          <w:p>
            <w:pPr>
              <w:spacing w:after="0"/>
              <w:rPr>
                <w:sz w:val="14"/>
                <w:szCs w:val="14"/>
                <w:color w:val="auto"/>
              </w:rPr>
            </w:pPr>
          </w:p>
        </w:tc>
      </w:tr>
      <w:tr>
        <w:trPr>
          <w:trHeight w:val="186"/>
        </w:trPr>
        <w:tc>
          <w:tcPr>
            <w:tcW w:w="300" w:type="dxa"/>
            <w:vAlign w:val="bottom"/>
          </w:tcPr>
          <w:p>
            <w:pPr>
              <w:spacing w:after="0"/>
              <w:rPr>
                <w:sz w:val="16"/>
                <w:szCs w:val="16"/>
                <w:color w:val="auto"/>
              </w:rPr>
            </w:pPr>
          </w:p>
        </w:tc>
        <w:tc>
          <w:tcPr>
            <w:tcW w:w="224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0" w:type="dxa"/>
            <w:vAlign w:val="bottom"/>
            <w:gridSpan w:val="3"/>
          </w:tcPr>
          <w:p>
            <w:pPr>
              <w:jc w:val="right"/>
              <w:ind w:right="1700"/>
              <w:spacing w:after="0"/>
              <w:rPr>
                <w:sz w:val="20"/>
                <w:szCs w:val="20"/>
                <w:color w:val="auto"/>
              </w:rPr>
            </w:pPr>
            <w:r>
              <w:rPr>
                <w:rFonts w:ascii="Times New Roman" w:cs="Times New Roman" w:eastAsia="Times New Roman" w:hAnsi="Times New Roman"/>
                <w:sz w:val="14"/>
                <w:szCs w:val="14"/>
                <w:color w:val="auto"/>
              </w:rPr>
              <w:t>File Number)</w:t>
            </w:r>
          </w:p>
        </w:tc>
        <w:tc>
          <w:tcPr>
            <w:tcW w:w="440" w:type="dxa"/>
            <w:vAlign w:val="bottom"/>
          </w:tcPr>
          <w:p>
            <w:pPr>
              <w:spacing w:after="0"/>
              <w:rPr>
                <w:sz w:val="16"/>
                <w:szCs w:val="16"/>
                <w:color w:val="auto"/>
              </w:rPr>
            </w:pPr>
          </w:p>
        </w:tc>
        <w:tc>
          <w:tcPr>
            <w:tcW w:w="28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Identification No.)</w:t>
            </w:r>
          </w:p>
        </w:tc>
        <w:tc>
          <w:tcPr>
            <w:tcW w:w="280" w:type="dxa"/>
            <w:vAlign w:val="bottom"/>
          </w:tcPr>
          <w:p>
            <w:pPr>
              <w:spacing w:after="0"/>
              <w:rPr>
                <w:sz w:val="16"/>
                <w:szCs w:val="16"/>
                <w:color w:val="auto"/>
              </w:rPr>
            </w:pPr>
          </w:p>
        </w:tc>
      </w:tr>
      <w:tr>
        <w:trPr>
          <w:trHeight w:val="436"/>
        </w:trPr>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60" w:type="dxa"/>
            <w:vAlign w:val="bottom"/>
            <w:gridSpan w:val="5"/>
          </w:tcPr>
          <w:p>
            <w:pPr>
              <w:jc w:val="right"/>
              <w:ind w:right="3000"/>
              <w:spacing w:after="0"/>
              <w:rPr>
                <w:sz w:val="20"/>
                <w:szCs w:val="20"/>
                <w:color w:val="auto"/>
              </w:rPr>
            </w:pPr>
            <w:r>
              <w:rPr>
                <w:rFonts w:ascii="Times New Roman" w:cs="Times New Roman" w:eastAsia="Times New Roman" w:hAnsi="Times New Roman"/>
                <w:sz w:val="14"/>
                <w:szCs w:val="14"/>
                <w:b w:val="1"/>
                <w:bCs w:val="1"/>
                <w:color w:val="auto"/>
              </w:rPr>
              <w:t>888 Seventh Avenue</w:t>
            </w: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60" w:type="dxa"/>
            <w:vAlign w:val="bottom"/>
            <w:gridSpan w:val="5"/>
          </w:tcPr>
          <w:p>
            <w:pPr>
              <w:jc w:val="right"/>
              <w:ind w:right="3000"/>
              <w:spacing w:after="0"/>
              <w:rPr>
                <w:sz w:val="20"/>
                <w:szCs w:val="20"/>
                <w:color w:val="auto"/>
              </w:rPr>
            </w:pPr>
            <w:r>
              <w:rPr>
                <w:rFonts w:ascii="Times New Roman" w:cs="Times New Roman" w:eastAsia="Times New Roman" w:hAnsi="Times New Roman"/>
                <w:sz w:val="14"/>
                <w:szCs w:val="14"/>
                <w:b w:val="1"/>
                <w:bCs w:val="1"/>
                <w:color w:val="auto"/>
              </w:rPr>
              <w:t>New York, New York</w:t>
            </w:r>
          </w:p>
        </w:tc>
        <w:tc>
          <w:tcPr>
            <w:tcW w:w="3320" w:type="dxa"/>
            <w:vAlign w:val="bottom"/>
            <w:gridSpan w:val="2"/>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10019</w:t>
            </w:r>
          </w:p>
        </w:tc>
        <w:tc>
          <w:tcPr>
            <w:tcW w:w="280" w:type="dxa"/>
            <w:vAlign w:val="bottom"/>
          </w:tcPr>
          <w:p>
            <w:pPr>
              <w:spacing w:after="0"/>
              <w:rPr>
                <w:sz w:val="16"/>
                <w:szCs w:val="16"/>
                <w:color w:val="auto"/>
              </w:rPr>
            </w:pPr>
          </w:p>
        </w:tc>
      </w:tr>
      <w:tr>
        <w:trPr>
          <w:trHeight w:val="177"/>
        </w:trPr>
        <w:tc>
          <w:tcPr>
            <w:tcW w:w="300" w:type="dxa"/>
            <w:vAlign w:val="bottom"/>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47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80" w:type="dxa"/>
            <w:vAlign w:val="bottom"/>
            <w:tcBorders>
              <w:top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color w:val="auto"/>
              </w:rPr>
              <w:t>(Zip Code)</w:t>
            </w:r>
          </w:p>
        </w:tc>
        <w:tc>
          <w:tcPr>
            <w:tcW w:w="280" w:type="dxa"/>
            <w:vAlign w:val="bottom"/>
            <w:tcBorders>
              <w:top w:val="single" w:sz="8" w:color="auto"/>
            </w:tcBorders>
          </w:tcPr>
          <w:p>
            <w:pPr>
              <w:spacing w:after="0"/>
              <w:rPr>
                <w:sz w:val="15"/>
                <w:szCs w:val="15"/>
                <w:color w:val="auto"/>
              </w:rPr>
            </w:pPr>
          </w:p>
        </w:tc>
      </w:tr>
    </w:tbl>
    <w:p>
      <w:pPr>
        <w:spacing w:after="0" w:line="17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894-7000</w:t>
      </w:r>
    </w:p>
    <w:p>
      <w:pPr>
        <w:spacing w:after="0" w:line="2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 N/A</w:t>
      </w:r>
    </w:p>
    <w:p>
      <w:pPr>
        <w:spacing w:after="0" w:line="84"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Instructions A.2.):</w:t>
      </w:r>
    </w:p>
    <w:p>
      <w:pPr>
        <w:spacing w:after="0" w:line="284" w:lineRule="exact"/>
        <w:rPr>
          <w:sz w:val="24"/>
          <w:szCs w:val="24"/>
          <w:color w:val="auto"/>
        </w:rPr>
      </w:pPr>
    </w:p>
    <w:p>
      <w:pPr>
        <w:ind w:left="780" w:hanging="333"/>
        <w:spacing w:after="0"/>
        <w:tabs>
          <w:tab w:leader="none" w:pos="7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7" w:lineRule="exact"/>
        <w:rPr>
          <w:rFonts w:ascii="MS PGothic" w:cs="MS PGothic" w:eastAsia="MS PGothic" w:hAnsi="MS PGothic"/>
          <w:sz w:val="14"/>
          <w:szCs w:val="14"/>
          <w:color w:val="auto"/>
        </w:rPr>
      </w:pPr>
    </w:p>
    <w:p>
      <w:pPr>
        <w:ind w:left="780" w:hanging="333"/>
        <w:spacing w:after="0"/>
        <w:tabs>
          <w:tab w:leader="none" w:pos="7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1" w:lineRule="exact"/>
        <w:rPr>
          <w:rFonts w:ascii="MS PGothic" w:cs="MS PGothic" w:eastAsia="MS PGothic" w:hAnsi="MS PGothic"/>
          <w:sz w:val="14"/>
          <w:szCs w:val="14"/>
          <w:color w:val="auto"/>
        </w:rPr>
      </w:pPr>
    </w:p>
    <w:p>
      <w:pPr>
        <w:ind w:left="780" w:hanging="333"/>
        <w:spacing w:after="0"/>
        <w:tabs>
          <w:tab w:leader="none" w:pos="7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1" w:lineRule="exact"/>
        <w:rPr>
          <w:rFonts w:ascii="MS PGothic" w:cs="MS PGothic" w:eastAsia="MS PGothic" w:hAnsi="MS PGothic"/>
          <w:sz w:val="14"/>
          <w:szCs w:val="14"/>
          <w:color w:val="auto"/>
        </w:rPr>
      </w:pPr>
    </w:p>
    <w:p>
      <w:pPr>
        <w:ind w:left="780" w:hanging="333"/>
        <w:spacing w:after="0"/>
        <w:tabs>
          <w:tab w:leader="none" w:pos="7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28"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78" w:lineRule="exact"/>
        <w:rPr>
          <w:sz w:val="24"/>
          <w:szCs w:val="24"/>
          <w:color w:val="auto"/>
        </w:rPr>
      </w:pPr>
    </w:p>
    <w:tbl>
      <w:tblPr>
        <w:tblLayout w:type="fixed"/>
        <w:tblInd w:w="260" w:type="dxa"/>
        <w:tblCellMar>
          <w:top w:w="0" w:type="dxa"/>
          <w:left w:w="0" w:type="dxa"/>
          <w:bottom w:w="0" w:type="dxa"/>
          <w:right w:w="0" w:type="dxa"/>
        </w:tblCellMar>
      </w:tblPr>
      <w:tr>
        <w:trPr>
          <w:trHeight w:val="221"/>
        </w:trPr>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80" w:type="dxa"/>
            <w:vAlign w:val="bottom"/>
          </w:tcPr>
          <w:p>
            <w:pPr>
              <w:spacing w:after="0"/>
              <w:rPr>
                <w:sz w:val="19"/>
                <w:szCs w:val="19"/>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20"/>
        </w:trPr>
        <w:tc>
          <w:tcPr>
            <w:tcW w:w="190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3"/>
                <w:szCs w:val="13"/>
                <w:color w:val="auto"/>
                <w:w w:val="96"/>
              </w:rPr>
              <w:t>Vornado Realty Trust</w:t>
            </w:r>
          </w:p>
        </w:tc>
        <w:tc>
          <w:tcPr>
            <w:tcW w:w="334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3"/>
                <w:szCs w:val="13"/>
                <w:color w:val="auto"/>
                <w:w w:val="99"/>
              </w:rPr>
              <w:t>Common Shares of beneficial interest, $.04 par value per</w:t>
            </w:r>
          </w:p>
        </w:tc>
        <w:tc>
          <w:tcPr>
            <w:tcW w:w="1860" w:type="dxa"/>
            <w:vAlign w:val="bottom"/>
            <w:gridSpan w:val="2"/>
          </w:tcPr>
          <w:p>
            <w:pPr>
              <w:jc w:val="center"/>
              <w:ind w:right="60"/>
              <w:spacing w:after="0" w:line="121" w:lineRule="exact"/>
              <w:rPr>
                <w:sz w:val="20"/>
                <w:szCs w:val="20"/>
                <w:color w:val="auto"/>
              </w:rPr>
            </w:pPr>
            <w:r>
              <w:rPr>
                <w:rFonts w:ascii="Times New Roman" w:cs="Times New Roman" w:eastAsia="Times New Roman" w:hAnsi="Times New Roman"/>
                <w:sz w:val="13"/>
                <w:szCs w:val="13"/>
                <w:color w:val="auto"/>
                <w:w w:val="99"/>
              </w:rPr>
              <w:t>VNO</w:t>
            </w:r>
          </w:p>
        </w:tc>
        <w:tc>
          <w:tcPr>
            <w:tcW w:w="39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color w:val="auto"/>
                <w:w w:val="98"/>
              </w:rPr>
              <w:t>New York Stock Exchange</w:t>
            </w:r>
          </w:p>
        </w:tc>
      </w:tr>
      <w:tr>
        <w:trPr>
          <w:trHeight w:val="167"/>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share</w:t>
            </w: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34"/>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color w:val="auto"/>
                <w:w w:val="99"/>
              </w:rPr>
              <w:t>Cumulative Redeemable Preferred Shares of beneficial</w:t>
            </w:r>
          </w:p>
        </w:tc>
        <w:tc>
          <w:tcPr>
            <w:tcW w:w="1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80" w:type="dxa"/>
            <w:vAlign w:val="bottom"/>
          </w:tcPr>
          <w:p>
            <w:pPr>
              <w:spacing w:after="0"/>
              <w:rPr>
                <w:sz w:val="11"/>
                <w:szCs w:val="11"/>
                <w:color w:val="auto"/>
              </w:rPr>
            </w:pPr>
          </w:p>
        </w:tc>
      </w:tr>
      <w:tr>
        <w:trPr>
          <w:trHeight w:val="167"/>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interest, liquidation preference $25.00 per share:</w:t>
            </w: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3"/>
        </w:trPr>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Vornado Realty Trust</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5.40% Series L</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VNO/PL</w:t>
            </w:r>
          </w:p>
        </w:tc>
        <w:tc>
          <w:tcPr>
            <w:tcW w:w="3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New York Stock Exchange</w:t>
            </w:r>
          </w:p>
        </w:tc>
      </w:tr>
      <w:tr>
        <w:trPr>
          <w:trHeight w:val="204"/>
        </w:trPr>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Vornado Realty Trust</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5.25% Series M</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VNO/PM</w:t>
            </w:r>
          </w:p>
        </w:tc>
        <w:tc>
          <w:tcPr>
            <w:tcW w:w="3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New York Stock Exchange</w:t>
            </w:r>
          </w:p>
        </w:tc>
      </w:tr>
      <w:tr>
        <w:trPr>
          <w:trHeight w:val="204"/>
        </w:trPr>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Vornado Realty Trust</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5.25% Series N</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9"/>
              </w:rPr>
              <w:t>VNO/PN</w:t>
            </w:r>
          </w:p>
        </w:tc>
        <w:tc>
          <w:tcPr>
            <w:tcW w:w="3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New York Stock Exchange</w:t>
            </w:r>
          </w:p>
        </w:tc>
      </w:tr>
      <w:tr>
        <w:trPr>
          <w:trHeight w:val="194"/>
        </w:trPr>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Vornado Realty Trust</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4.45% Series O</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9"/>
              </w:rPr>
              <w:t>VNO/PO</w:t>
            </w:r>
          </w:p>
        </w:tc>
        <w:tc>
          <w:tcPr>
            <w:tcW w:w="3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New York Stock Exchange</w:t>
            </w:r>
          </w:p>
        </w:tc>
      </w:tr>
    </w:tbl>
    <w:p>
      <w:pPr>
        <w:spacing w:after="0" w:line="134" w:lineRule="exact"/>
        <w:rPr>
          <w:sz w:val="24"/>
          <w:szCs w:val="24"/>
          <w:color w:val="auto"/>
        </w:rPr>
      </w:pPr>
    </w:p>
    <w:p>
      <w:pPr>
        <w:ind w:right="60" w:firstLine="258"/>
        <w:spacing w:after="0" w:line="282"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4"/>
          <w:szCs w:val="14"/>
          <w:color w:val="auto"/>
        </w:rPr>
        <w:t>☐</w:t>
      </w:r>
    </w:p>
    <w:p>
      <w:pPr>
        <w:spacing w:after="0" w:line="100" w:lineRule="exact"/>
        <w:rPr>
          <w:sz w:val="24"/>
          <w:szCs w:val="24"/>
          <w:color w:val="auto"/>
        </w:rPr>
      </w:pPr>
    </w:p>
    <w:p>
      <w:pPr>
        <w:ind w:right="60" w:firstLine="258"/>
        <w:spacing w:after="0" w:line="19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155575</wp:posOffset>
            </wp:positionV>
            <wp:extent cx="718566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45085</wp:posOffset>
            </wp:positionV>
            <wp:extent cx="70370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070" cy="698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66040</wp:posOffset>
            </wp:positionV>
            <wp:extent cx="70370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070" cy="6985"/>
                    </a:xfrm>
                    <a:prstGeom prst="rect">
                      <a:avLst/>
                    </a:prstGeom>
                    <a:noFill/>
                  </pic:spPr>
                </pic:pic>
              </a:graphicData>
            </a:graphic>
          </wp:anchor>
        </w:drawing>
      </w:r>
    </w:p>
    <w:p>
      <w:pPr>
        <w:sectPr>
          <w:pgSz w:w="11900" w:h="16838" w:orient="portrait"/>
          <w:cols w:equalWidth="0" w:num="1">
            <w:col w:w="11340"/>
          </w:cols>
          <w:pgMar w:left="300" w:top="63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98"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6"/>
          <w:szCs w:val="16"/>
          <w:color w:val="auto"/>
        </w:rPr>
        <w:t>On November 2, 2026, Vornado Realty Trust (the “Company”), the general partner of Vornado Realty L.P., issued a press release announcing its financial results for the third quarter of 2026. That press release referred to supplemental data that is available on the Company’s website. That press release and the supplemental data are attached to this Current Report on Form 8-K as Exhibits 99.1 and 99.2, respectively, and are incorporated by reference herein.</w:t>
      </w:r>
    </w:p>
    <w:p>
      <w:pPr>
        <w:spacing w:after="0" w:line="48"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6"/>
          <w:szCs w:val="16"/>
          <w:color w:val="auto"/>
        </w:rPr>
        <w:t>Exhibits 99.1 and 99.2 hereto shall not be deemed “filed” for purposes of Section 18 of the Securities Exchange Act of 1934, as amended (the "Exchange Act"), or otherwise subject to the liabilities under that Section and shall not be deemed to be incorporated by reference into any filing of the Company or Vornado Realty L.P. under the Securities Act of 1933, as amended, or the Exchange 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87" w:lineRule="exact"/>
        <w:rPr>
          <w:sz w:val="20"/>
          <w:szCs w:val="20"/>
          <w:color w:val="auto"/>
        </w:rPr>
      </w:pPr>
    </w:p>
    <w:p>
      <w:pPr>
        <w:ind w:left="500" w:hanging="349"/>
        <w:spacing w:after="0"/>
        <w:tabs>
          <w:tab w:leader="none" w:pos="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06"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exhibits are being furnished as part of this Current Report on Form 8-K:</w:t>
      </w:r>
    </w:p>
    <w:p>
      <w:pPr>
        <w:spacing w:after="0" w:line="106"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0000FF"/>
        </w:rPr>
        <w:t>99.1</w:t>
      </w:r>
      <w:r>
        <w:rPr>
          <w:rFonts w:ascii="Times New Roman" w:cs="Times New Roman" w:eastAsia="Times New Roman" w:hAnsi="Times New Roman"/>
          <w:sz w:val="14"/>
          <w:szCs w:val="14"/>
          <w:color w:val="auto"/>
        </w:rPr>
        <w:t>Vornado Realty Trust press release dated November 2, 2026</w:t>
      </w:r>
    </w:p>
    <w:p>
      <w:pPr>
        <w:spacing w:after="0" w:line="27"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0000FF"/>
        </w:rPr>
        <w:t>99.2</w:t>
      </w:r>
      <w:r>
        <w:rPr>
          <w:rFonts w:ascii="Times New Roman" w:cs="Times New Roman" w:eastAsia="Times New Roman" w:hAnsi="Times New Roman"/>
          <w:sz w:val="14"/>
          <w:szCs w:val="14"/>
          <w:color w:val="auto"/>
        </w:rPr>
        <w:t>Vornado Realty Trust supplemental operating and financial data for the quarter ended September 30, 2026</w:t>
      </w:r>
    </w:p>
    <w:p>
      <w:pPr>
        <w:spacing w:after="0" w:line="20"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104</w:t>
      </w: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8566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721"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70" w:lineRule="exact"/>
        <w:rPr>
          <w:sz w:val="20"/>
          <w:szCs w:val="20"/>
          <w:color w:val="auto"/>
        </w:rPr>
      </w:pPr>
    </w:p>
    <w:p>
      <w:pPr>
        <w:ind w:firstLine="206"/>
        <w:spacing w:after="0" w:line="26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VORNADO REALTY TRUST</w:t>
      </w:r>
    </w:p>
    <w:p>
      <w:pPr>
        <w:spacing w:after="0" w:line="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(Registrant)</w:t>
      </w:r>
    </w:p>
    <w:p>
      <w:pPr>
        <w:spacing w:after="0" w:line="147" w:lineRule="exact"/>
        <w:rPr>
          <w:sz w:val="20"/>
          <w:szCs w:val="20"/>
          <w:color w:val="auto"/>
        </w:rPr>
      </w:pPr>
    </w:p>
    <w:tbl>
      <w:tblPr>
        <w:tblLayout w:type="fixed"/>
        <w:tblInd w:w="488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 Deirdre Maddock</w:t>
            </w:r>
          </w:p>
        </w:tc>
      </w:tr>
      <w:tr>
        <w:trPr>
          <w:trHeight w:val="193"/>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Deirdre Maddock</w:t>
            </w:r>
          </w:p>
        </w:tc>
      </w:tr>
      <w:tr>
        <w:trPr>
          <w:trHeight w:val="159"/>
        </w:trPr>
        <w:tc>
          <w:tcPr>
            <w:tcW w:w="7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Title:</w:t>
            </w:r>
          </w:p>
        </w:tc>
        <w:tc>
          <w:tcPr>
            <w:tcW w:w="51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Chief Accounting Officer (duly authorized officer and principal accounting</w:t>
            </w:r>
          </w:p>
        </w:tc>
      </w:tr>
      <w:tr>
        <w:trPr>
          <w:trHeight w:val="207"/>
        </w:trPr>
        <w:tc>
          <w:tcPr>
            <w:tcW w:w="74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officer)</w:t>
            </w: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4"/>
          <w:szCs w:val="14"/>
          <w:color w:val="auto"/>
        </w:rPr>
        <w:t>November 2, 2026</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356" w:lineRule="exact"/>
        <w:rPr>
          <w:sz w:val="20"/>
          <w:szCs w:val="20"/>
          <w:color w:val="auto"/>
        </w:rPr>
      </w:pPr>
    </w:p>
    <w:p>
      <w:pPr>
        <w:ind w:firstLine="206"/>
        <w:spacing w:after="0" w:line="26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VORNADO REALTY L.P.</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40" w:type="dxa"/>
            <w:vAlign w:val="bottom"/>
          </w:tcPr>
          <w:p>
            <w:pPr>
              <w:ind w:left="4880"/>
              <w:spacing w:after="0"/>
              <w:rPr>
                <w:sz w:val="20"/>
                <w:szCs w:val="20"/>
                <w:color w:val="auto"/>
              </w:rPr>
            </w:pPr>
            <w:r>
              <w:rPr>
                <w:rFonts w:ascii="Times New Roman" w:cs="Times New Roman" w:eastAsia="Times New Roman" w:hAnsi="Times New Roman"/>
                <w:sz w:val="16"/>
                <w:szCs w:val="16"/>
                <w:color w:val="auto"/>
                <w:w w:val="96"/>
              </w:rPr>
              <w:t>(Registrant)</w:t>
            </w:r>
          </w:p>
        </w:tc>
        <w:tc>
          <w:tcPr>
            <w:tcW w:w="5120" w:type="dxa"/>
            <w:vAlign w:val="bottom"/>
          </w:tcPr>
          <w:p>
            <w:pPr>
              <w:spacing w:after="0"/>
              <w:rPr>
                <w:sz w:val="17"/>
                <w:szCs w:val="17"/>
                <w:color w:val="auto"/>
              </w:rPr>
            </w:pPr>
          </w:p>
        </w:tc>
      </w:tr>
      <w:tr>
        <w:trPr>
          <w:trHeight w:val="204"/>
        </w:trPr>
        <w:tc>
          <w:tcPr>
            <w:tcW w:w="5640" w:type="dxa"/>
            <w:vAlign w:val="bottom"/>
          </w:tcPr>
          <w:p>
            <w:pPr>
              <w:ind w:left="488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VORNADO REALTY TRUST,</w:t>
            </w:r>
          </w:p>
        </w:tc>
      </w:tr>
      <w:tr>
        <w:trPr>
          <w:trHeight w:val="207"/>
        </w:trPr>
        <w:tc>
          <w:tcPr>
            <w:tcW w:w="564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Sole General Partner</w:t>
            </w:r>
          </w:p>
        </w:tc>
      </w:tr>
      <w:tr>
        <w:trPr>
          <w:trHeight w:val="334"/>
        </w:trPr>
        <w:tc>
          <w:tcPr>
            <w:tcW w:w="5640" w:type="dxa"/>
            <w:vAlign w:val="bottom"/>
          </w:tcPr>
          <w:p>
            <w:pPr>
              <w:ind w:left="488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 Deirdre Maddock</w:t>
            </w:r>
          </w:p>
        </w:tc>
      </w:tr>
      <w:tr>
        <w:trPr>
          <w:trHeight w:val="193"/>
        </w:trPr>
        <w:tc>
          <w:tcPr>
            <w:tcW w:w="5640" w:type="dxa"/>
            <w:vAlign w:val="bottom"/>
          </w:tcPr>
          <w:p>
            <w:pPr>
              <w:ind w:left="4880"/>
              <w:spacing w:after="0"/>
              <w:rPr>
                <w:sz w:val="20"/>
                <w:szCs w:val="20"/>
                <w:color w:val="auto"/>
              </w:rPr>
            </w:pPr>
            <w:r>
              <w:rPr>
                <w:rFonts w:ascii="Times New Roman" w:cs="Times New Roman" w:eastAsia="Times New Roman" w:hAnsi="Times New Roman"/>
                <w:sz w:val="16"/>
                <w:szCs w:val="16"/>
                <w:color w:val="auto"/>
              </w:rPr>
              <w:t>Name:</w:t>
            </w: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Deirdre Maddock</w:t>
            </w:r>
          </w:p>
        </w:tc>
      </w:tr>
      <w:tr>
        <w:trPr>
          <w:trHeight w:val="159"/>
        </w:trPr>
        <w:tc>
          <w:tcPr>
            <w:tcW w:w="5640" w:type="dxa"/>
            <w:vAlign w:val="bottom"/>
          </w:tcPr>
          <w:p>
            <w:pPr>
              <w:ind w:left="4880"/>
              <w:spacing w:after="0" w:line="158" w:lineRule="exact"/>
              <w:rPr>
                <w:sz w:val="20"/>
                <w:szCs w:val="20"/>
                <w:color w:val="auto"/>
              </w:rPr>
            </w:pPr>
            <w:r>
              <w:rPr>
                <w:rFonts w:ascii="Times New Roman" w:cs="Times New Roman" w:eastAsia="Times New Roman" w:hAnsi="Times New Roman"/>
                <w:sz w:val="16"/>
                <w:szCs w:val="16"/>
                <w:color w:val="auto"/>
              </w:rPr>
              <w:t>Title:</w:t>
            </w:r>
          </w:p>
        </w:tc>
        <w:tc>
          <w:tcPr>
            <w:tcW w:w="51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Chief Accounting Officer of Vornado Realty Trust, sole General Partner of</w:t>
            </w:r>
          </w:p>
        </w:tc>
      </w:tr>
      <w:tr>
        <w:trPr>
          <w:trHeight w:val="207"/>
        </w:trPr>
        <w:tc>
          <w:tcPr>
            <w:tcW w:w="564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Vornado Realty L.P. (duly authorized officer and principal accounting officer)</w:t>
            </w:r>
          </w:p>
        </w:tc>
      </w:tr>
      <w:tr>
        <w:trPr>
          <w:trHeight w:val="25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4"/>
                <w:szCs w:val="14"/>
                <w:color w:val="auto"/>
              </w:rPr>
              <w:t>November 2, 2026</w:t>
            </w:r>
          </w:p>
        </w:tc>
        <w:tc>
          <w:tcPr>
            <w:tcW w:w="5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678" w:right="319" w:bottom="1440" w:gutter="0" w:footer="0" w:header="0"/>
        </w:sectPr>
      </w:pPr>
    </w:p>
    <w:bookmarkStart w:id="3" w:name="page4"/>
    <w:bookmarkEnd w:id="3"/>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5629910" cy="737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629910" cy="737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2F7DC1"/>
        </w:rPr>
        <w:t>P R E S S R E L E A S 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Vornado Announces Third Quarter 2026 Financial Results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City | November 2, 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Vornado Realty Trust (NYSE: VNO) reported today: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Quarter Ended September 30, 2026 Financial Results</w:t>
      </w:r>
    </w:p>
    <w:p>
      <w:pPr>
        <w:spacing w:after="0" w:line="58" w:lineRule="exact"/>
        <w:rPr>
          <w:sz w:val="20"/>
          <w:szCs w:val="20"/>
          <w:color w:val="auto"/>
        </w:rPr>
      </w:pPr>
    </w:p>
    <w:p>
      <w:pPr>
        <w:jc w:val="both"/>
        <w:ind w:firstLine="258"/>
        <w:spacing w:after="0" w:line="288" w:lineRule="auto"/>
        <w:rPr>
          <w:sz w:val="20"/>
          <w:szCs w:val="20"/>
          <w:color w:val="auto"/>
        </w:rPr>
      </w:pPr>
      <w:r>
        <w:rPr>
          <w:rFonts w:ascii="Times New Roman" w:cs="Times New Roman" w:eastAsia="Times New Roman" w:hAnsi="Times New Roman"/>
          <w:sz w:val="14"/>
          <w:szCs w:val="14"/>
          <w:color w:val="auto"/>
        </w:rPr>
        <w:t>NET LOSS attributable to common shareholders for the quarter ended September 30, 2026 was $47,138,000, or $0.25 per diluted share, compared to net income attributable to common shareholders of $11,589,000, or $0.06 per diluted share, for the prior year's quarter.</w:t>
      </w:r>
    </w:p>
    <w:p>
      <w:pPr>
        <w:spacing w:after="0" w:line="1"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FUNDS FROM OPERATIONS ("FFO") attributable to common shareholders plus assumed conversions (non-GAAP) for the quarter ended September 30, 2026 was $122,646,000, or $0.62 per diluted share, compared to $117,372,000, or $0.58 per diluted share, for the prior year's quarter. Adjusting for the items that impact period-to-period comparability listed in the table on the following page, FFO attributable to common shareholders plus assumed conversions, as adjusted (non-GAAP) for the quarter ended September 30, 2026 was $126,656,000, or $0.65 per diluted share, and $114,535,000, or $0.57 per diluted share, for the prior year's quarter.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Nine Months Ended September 30, 2026 Financial Results</w:t>
      </w:r>
    </w:p>
    <w:p>
      <w:pPr>
        <w:spacing w:after="0" w:line="58"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NET LOSS attributable to common shareholders for the nine months ended September 30, 2026 was $53,546,000, or $0.28 per diluted share, compared to net income attributable to common shareholders of $842,250,000, or $4.19 per diluted share, for the nine months ended September 30, 2025. The decrease is primarily due to the $803,248,000 gain related to the 770 Broadway master lease with NYU during the nine months ended September 30, 2025.</w:t>
      </w:r>
    </w:p>
    <w:p>
      <w:pPr>
        <w:spacing w:after="0" w:line="6"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FFO attributable to common shareholders plus assumed conversions (non-GAAP) for the nine months ended September 30, 2026 was $363,086,000, or $1.85 per diluted share, compared to $373,482,000, or $1.86 per diluted share, for the nine months ended September 30, 2025. Adjusting for the items that impact period-to-period comparability listed in the table on the following page, FFO attributable to common shareholders plus assumed conversions, as adjusted (non-GAAP) for the nine months ended September 30, 2026 was $360,941,000, or $1.84 per diluted share, and $354,239,000, or $1.76 per diluted share, for the nine months ended September 30, 2025.</w:t>
      </w:r>
    </w:p>
    <w:p>
      <w:pPr>
        <w:spacing w:after="0" w:line="292" w:lineRule="exact"/>
        <w:rPr>
          <w:sz w:val="20"/>
          <w:szCs w:val="20"/>
          <w:color w:val="auto"/>
        </w:rPr>
      </w:pPr>
    </w:p>
    <w:p>
      <w:pPr>
        <w:ind w:left="20"/>
        <w:spacing w:after="0"/>
        <w:tabs>
          <w:tab w:leader="none" w:pos="1062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1 OF 18</w:t>
      </w:r>
    </w:p>
    <w:p>
      <w:pPr>
        <w:sectPr>
          <w:pgSz w:w="11900" w:h="16838" w:orient="portrait"/>
          <w:cols w:equalWidth="0" w:num="1">
            <w:col w:w="11280"/>
          </w:cols>
          <w:pgMar w:left="300" w:top="1440" w:right="319" w:bottom="1440" w:gutter="0" w:footer="0" w:header="0"/>
        </w:sectPr>
      </w:pPr>
    </w:p>
    <w:bookmarkStart w:id="4" w:name="page5"/>
    <w:bookmarkEnd w:id="4"/>
    <w:p>
      <w:pPr>
        <w:ind w:firstLine="258"/>
        <w:spacing w:after="0" w:line="293" w:lineRule="auto"/>
        <w:rPr>
          <w:sz w:val="20"/>
          <w:szCs w:val="20"/>
          <w:color w:val="auto"/>
        </w:rPr>
      </w:pPr>
      <w:r>
        <w:rPr>
          <w:rFonts w:ascii="Times New Roman" w:cs="Times New Roman" w:eastAsia="Times New Roman" w:hAnsi="Times New Roman"/>
          <w:sz w:val="14"/>
          <w:szCs w:val="14"/>
          <w:color w:val="auto"/>
        </w:rPr>
        <w:t>The following table details the income and expense items affecting the comparability of FFO attributable to common shareholders plus assumed conversions (non-GAAP) to FFO attributable to common shareholders plus assumed conversions, as adjusted (non-GAAP):</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 except per share amounts)</w:t>
            </w:r>
          </w:p>
        </w:tc>
        <w:tc>
          <w:tcPr>
            <w:tcW w:w="320" w:type="dxa"/>
            <w:vAlign w:val="bottom"/>
          </w:tcPr>
          <w:p>
            <w:pPr>
              <w:spacing w:after="0"/>
              <w:rPr>
                <w:sz w:val="12"/>
                <w:szCs w:val="12"/>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300" w:type="dxa"/>
            <w:vAlign w:val="bottom"/>
          </w:tcPr>
          <w:p>
            <w:pPr>
              <w:spacing w:after="0"/>
              <w:rPr>
                <w:sz w:val="12"/>
                <w:szCs w:val="12"/>
                <w:color w:val="auto"/>
              </w:rPr>
            </w:pPr>
          </w:p>
        </w:tc>
        <w:tc>
          <w:tcPr>
            <w:tcW w:w="2540" w:type="dxa"/>
            <w:vAlign w:val="bottom"/>
            <w:gridSpan w:val="4"/>
          </w:tcPr>
          <w:p>
            <w:pPr>
              <w:jc w:val="right"/>
              <w:ind w:right="595"/>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9"/>
        </w:trPr>
        <w:tc>
          <w:tcPr>
            <w:tcW w:w="5480" w:type="dxa"/>
            <w:vAlign w:val="bottom"/>
            <w:tcBorders>
              <w:bottom w:val="single" w:sz="8" w:color="CCEEFF"/>
            </w:tcBorders>
            <w:shd w:val="clear" w:color="auto" w:fill="CCEEFF"/>
          </w:tcPr>
          <w:p>
            <w:pPr>
              <w:ind w:left="60"/>
              <w:spacing w:after="0" w:line="165" w:lineRule="exact"/>
              <w:rPr>
                <w:sz w:val="20"/>
                <w:szCs w:val="20"/>
                <w:color w:val="auto"/>
              </w:rPr>
            </w:pPr>
            <w:r>
              <w:rPr>
                <w:rFonts w:ascii="Times New Roman" w:cs="Times New Roman" w:eastAsia="Times New Roman" w:hAnsi="Times New Roman"/>
                <w:sz w:val="13"/>
                <w:szCs w:val="13"/>
                <w:color w:val="auto"/>
              </w:rPr>
              <w:t>FFO attributable to common shareholders plus assumed conversions (non-GAAP)</w:t>
            </w:r>
            <w:r>
              <w:rPr>
                <w:rFonts w:ascii="Times New Roman" w:cs="Times New Roman" w:eastAsia="Times New Roman" w:hAnsi="Times New Roman"/>
                <w:sz w:val="16"/>
                <w:szCs w:val="16"/>
                <w:b w:val="1"/>
                <w:bCs w:val="1"/>
                <w:color w:val="auto"/>
                <w:vertAlign w:val="superscript"/>
              </w:rPr>
              <w:t>(1)</w:t>
            </w: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122,646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363,086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373,482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4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Per diluted share (non-GAAP)</w:t>
            </w:r>
          </w:p>
        </w:tc>
        <w:tc>
          <w:tcPr>
            <w:tcW w:w="320" w:type="dxa"/>
            <w:vAlign w:val="bottom"/>
            <w:tcBorders>
              <w:bottom w:val="single" w:sz="8" w:color="auto"/>
            </w:tcBorders>
          </w:tcPr>
          <w:p>
            <w:pPr>
              <w:jc w:val="right"/>
              <w:ind w:right="17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0.62</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9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0.58</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1"/>
                <w:szCs w:val="11"/>
                <w:color w:val="auto"/>
              </w:rPr>
            </w:pPr>
          </w:p>
        </w:tc>
        <w:tc>
          <w:tcPr>
            <w:tcW w:w="460" w:type="dxa"/>
            <w:vAlign w:val="bottom"/>
            <w:tcBorders>
              <w:bottom w:val="single" w:sz="8" w:color="auto"/>
            </w:tcBorders>
          </w:tcPr>
          <w:p>
            <w:pPr>
              <w:jc w:val="right"/>
              <w:ind w:right="31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Certain expense (income) items that impact FFO attributable to common shareholders plus assumed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conversions: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480" w:type="dxa"/>
            <w:vAlign w:val="bottom"/>
            <w:shd w:val="clear" w:color="auto" w:fill="CCEEFF"/>
          </w:tcPr>
          <w:p>
            <w:pPr>
              <w:ind w:left="140"/>
              <w:spacing w:after="0" w:line="132" w:lineRule="exact"/>
              <w:rPr>
                <w:sz w:val="20"/>
                <w:szCs w:val="20"/>
                <w:color w:val="auto"/>
              </w:rPr>
            </w:pPr>
            <w:r>
              <w:rPr>
                <w:rFonts w:ascii="Times New Roman" w:cs="Times New Roman" w:eastAsia="Times New Roman" w:hAnsi="Times New Roman"/>
                <w:sz w:val="13"/>
                <w:szCs w:val="13"/>
                <w:color w:val="auto"/>
              </w:rPr>
              <w:t>Deferred tax liability on our investment in the Farley Building (held through a taxable REIT</w:t>
            </w:r>
          </w:p>
        </w:tc>
        <w:tc>
          <w:tcPr>
            <w:tcW w:w="320" w:type="dxa"/>
            <w:vAlign w:val="bottom"/>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7,729</w:t>
            </w: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10,128</w:t>
            </w: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subsidiary)</w:t>
            </w:r>
          </w:p>
        </w:tc>
        <w:tc>
          <w:tcPr>
            <w:tcW w:w="32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606 Broadway debt extinguishment gain, net of noncontrolling interests</w:t>
            </w:r>
          </w:p>
        </w:tc>
        <w:tc>
          <w:tcPr>
            <w:tcW w:w="3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After-tax net gain on sale of 220 Central Park South condominium units and ancillary amenities</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(11,110)</w:t>
            </w:r>
          </w:p>
        </w:tc>
        <w:tc>
          <w:tcPr>
            <w:tcW w:w="0" w:type="dxa"/>
            <w:vAlign w:val="bottom"/>
          </w:tcPr>
          <w:p>
            <w:pPr>
              <w:spacing w:after="0"/>
              <w:rPr>
                <w:sz w:val="1"/>
                <w:szCs w:val="1"/>
                <w:color w:val="auto"/>
              </w:rPr>
            </w:pPr>
          </w:p>
        </w:tc>
      </w:tr>
      <w:tr>
        <w:trPr>
          <w:trHeight w:val="170"/>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sale of Canal Street residential condominium units</w:t>
            </w:r>
          </w:p>
        </w:tc>
        <w:tc>
          <w:tcPr>
            <w:tcW w:w="3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(10,337)</w:t>
            </w:r>
          </w:p>
        </w:tc>
        <w:tc>
          <w:tcPr>
            <w:tcW w:w="0" w:type="dxa"/>
            <w:vAlign w:val="bottom"/>
          </w:tcPr>
          <w:p>
            <w:pPr>
              <w:spacing w:after="0"/>
              <w:rPr>
                <w:sz w:val="1"/>
                <w:szCs w:val="1"/>
                <w:color w:val="auto"/>
              </w:rPr>
            </w:pPr>
          </w:p>
        </w:tc>
      </w:tr>
      <w:tr>
        <w:trPr>
          <w:trHeight w:val="172"/>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(9,556)</w:t>
            </w:r>
          </w:p>
        </w:tc>
        <w:tc>
          <w:tcPr>
            <w:tcW w:w="0" w:type="dxa"/>
            <w:vAlign w:val="bottom"/>
          </w:tcPr>
          <w:p>
            <w:pPr>
              <w:spacing w:after="0"/>
              <w:rPr>
                <w:sz w:val="1"/>
                <w:szCs w:val="1"/>
                <w:color w:val="auto"/>
              </w:rPr>
            </w:pPr>
          </w:p>
        </w:tc>
      </w:tr>
      <w:tr>
        <w:trPr>
          <w:trHeight w:val="163"/>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(20,875)</w:t>
            </w: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Noncontrolling interests' share of above adjustments on a dilutive basis</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1,632</w:t>
            </w:r>
          </w:p>
        </w:tc>
        <w:tc>
          <w:tcPr>
            <w:tcW w:w="0" w:type="dxa"/>
            <w:vAlign w:val="bottom"/>
          </w:tcPr>
          <w:p>
            <w:pPr>
              <w:spacing w:after="0"/>
              <w:rPr>
                <w:sz w:val="1"/>
                <w:szCs w:val="1"/>
                <w:color w:val="auto"/>
              </w:rPr>
            </w:pPr>
          </w:p>
        </w:tc>
      </w:tr>
      <w:tr>
        <w:trPr>
          <w:trHeight w:val="109"/>
        </w:trPr>
        <w:tc>
          <w:tcPr>
            <w:tcW w:w="548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auto"/>
              </w:rPr>
              <w:t>Total of certain expense (income) items that impact FFO attributable to common shareholders plus</w:t>
            </w:r>
          </w:p>
        </w:tc>
        <w:tc>
          <w:tcPr>
            <w:tcW w:w="32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4,010</w:t>
            </w:r>
          </w:p>
        </w:tc>
        <w:tc>
          <w:tcPr>
            <w:tcW w:w="100" w:type="dxa"/>
            <w:vAlign w:val="bottom"/>
          </w:tcPr>
          <w:p>
            <w:pPr>
              <w:spacing w:after="0"/>
              <w:rPr>
                <w:sz w:val="9"/>
                <w:szCs w:val="9"/>
                <w:color w:val="auto"/>
              </w:rPr>
            </w:pPr>
          </w:p>
        </w:tc>
        <w:tc>
          <w:tcPr>
            <w:tcW w:w="440" w:type="dxa"/>
            <w:vAlign w:val="bottom"/>
            <w:vMerge w:val="restart"/>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(2,837)</w:t>
            </w:r>
          </w:p>
        </w:tc>
        <w:tc>
          <w:tcPr>
            <w:tcW w:w="100" w:type="dxa"/>
            <w:vAlign w:val="bottom"/>
          </w:tcPr>
          <w:p>
            <w:pPr>
              <w:spacing w:after="0"/>
              <w:rPr>
                <w:sz w:val="9"/>
                <w:szCs w:val="9"/>
                <w:color w:val="auto"/>
              </w:rPr>
            </w:pPr>
          </w:p>
        </w:tc>
        <w:tc>
          <w:tcPr>
            <w:tcW w:w="30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100" w:type="dxa"/>
            <w:vAlign w:val="bottom"/>
          </w:tcPr>
          <w:p>
            <w:pPr>
              <w:spacing w:after="0"/>
              <w:rPr>
                <w:sz w:val="9"/>
                <w:szCs w:val="9"/>
                <w:color w:val="auto"/>
              </w:rPr>
            </w:pPr>
          </w:p>
        </w:tc>
        <w:tc>
          <w:tcPr>
            <w:tcW w:w="46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(19,243)</w:t>
            </w:r>
          </w:p>
        </w:tc>
        <w:tc>
          <w:tcPr>
            <w:tcW w:w="0" w:type="dxa"/>
            <w:vAlign w:val="bottom"/>
          </w:tcPr>
          <w:p>
            <w:pPr>
              <w:spacing w:after="0"/>
              <w:rPr>
                <w:sz w:val="1"/>
                <w:szCs w:val="1"/>
                <w:color w:val="auto"/>
              </w:rPr>
            </w:pPr>
          </w:p>
        </w:tc>
      </w:tr>
      <w:tr>
        <w:trPr>
          <w:trHeight w:val="156"/>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assumed conversions, net</w:t>
            </w:r>
          </w:p>
        </w:tc>
        <w:tc>
          <w:tcPr>
            <w:tcW w:w="32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Per diluted share (non-GAAP)</w:t>
            </w: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FFO attributable to common shareholders plus assumed conversions, as adjusted (non-GAAP)</w:t>
            </w: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126,656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114,535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360,941</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354,239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4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Per diluted share (non-GAAP)</w:t>
            </w:r>
          </w:p>
        </w:tc>
        <w:tc>
          <w:tcPr>
            <w:tcW w:w="320" w:type="dxa"/>
            <w:vAlign w:val="bottom"/>
            <w:tcBorders>
              <w:bottom w:val="single" w:sz="8" w:color="auto"/>
            </w:tcBorders>
          </w:tcPr>
          <w:p>
            <w:pPr>
              <w:jc w:val="right"/>
              <w:ind w:right="17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0.65</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9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0.57</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1"/>
                <w:szCs w:val="11"/>
                <w:color w:val="auto"/>
              </w:rPr>
            </w:pPr>
          </w:p>
        </w:tc>
        <w:tc>
          <w:tcPr>
            <w:tcW w:w="460" w:type="dxa"/>
            <w:vAlign w:val="bottom"/>
            <w:tcBorders>
              <w:bottom w:val="single" w:sz="8" w:color="auto"/>
            </w:tcBorders>
          </w:tcPr>
          <w:p>
            <w:pPr>
              <w:jc w:val="right"/>
              <w:ind w:right="31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5" w:lineRule="exact"/>
        <w:rPr>
          <w:sz w:val="20"/>
          <w:szCs w:val="20"/>
          <w:color w:val="auto"/>
        </w:rPr>
      </w:pPr>
    </w:p>
    <w:p>
      <w:pPr>
        <w:ind w:left="260" w:hanging="254"/>
        <w:spacing w:after="0" w:line="261" w:lineRule="auto"/>
        <w:tabs>
          <w:tab w:leader="none" w:pos="254" w:val="left"/>
        </w:tabs>
        <w:numPr>
          <w:ilvl w:val="0"/>
          <w:numId w:val="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See page 11 for a reconciliation of net (loss) income attributable to common shareholders to FFO attributable to common shareholders plus assumed conversions (non-GAAP) for the three and nine months ended September 30, 2026 and 2025.</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1062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2 OF 18</w:t>
      </w:r>
    </w:p>
    <w:p>
      <w:pPr>
        <w:sectPr>
          <w:pgSz w:w="11900" w:h="16838" w:orient="portrait"/>
          <w:cols w:equalWidth="0" w:num="1">
            <w:col w:w="11280"/>
          </w:cols>
          <w:pgMar w:left="300" w:top="68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FFO, as Adjusted Bridge - Q3 2026 vs. Q3 2025</w:t>
      </w:r>
    </w:p>
    <w:p>
      <w:pPr>
        <w:spacing w:after="0" w:line="58"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The following table bridges our FFO attributable to common shareholders plus assumed conversions, as adjusted (non-GAAP) for the three months ended September 30, 2025 to FFO attributable to common shareholders plus assumed conversions, as adjusted (non-GAAP) for the three months ended September 30, 2026:</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millions, except per share amounts)</w:t>
            </w: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FFO, as Adjusted</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3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w w:val="94"/>
              </w:rPr>
              <w:t>Per Share</w:t>
            </w: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FFO attributable to common shareholders plus assumed conversions, as adjusted (non-GAAP) for the three months ended September 30, 2025</w:t>
            </w:r>
          </w:p>
        </w:tc>
        <w:tc>
          <w:tcPr>
            <w:tcW w:w="96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114.5</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Increase / (decrease) in FFO, as adjusted due to:</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Rent commencements, net of lease expirations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Lower interest and other investment income</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Park Avenue Plaza</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 (primarily the 2033 senior unsecured notes)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Variable businesses (primarily signage)</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net</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Noncontrolling interests' share of above items, impact of assumed conversions of convertible securities, and impact of share buyback</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12.2</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0.08</w:t>
            </w:r>
          </w:p>
        </w:tc>
        <w:tc>
          <w:tcPr>
            <w:tcW w:w="0" w:type="dxa"/>
            <w:vAlign w:val="bottom"/>
          </w:tcPr>
          <w:p>
            <w:pPr>
              <w:spacing w:after="0"/>
              <w:rPr>
                <w:sz w:val="1"/>
                <w:szCs w:val="1"/>
                <w:color w:val="auto"/>
              </w:rPr>
            </w:pPr>
          </w:p>
        </w:tc>
      </w:tr>
      <w:tr>
        <w:trPr>
          <w:trHeight w:val="111"/>
        </w:trPr>
        <w:tc>
          <w:tcPr>
            <w:tcW w:w="8320" w:type="dxa"/>
            <w:vAlign w:val="bottom"/>
            <w:tcBorders>
              <w:bottom w:val="single" w:sz="8" w:color="CCEEFF"/>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FFO attributable to common shareholders plus assumed conversions, as adjusted (non-GAAP) for the three months ended September 30, 2026</w:t>
            </w:r>
          </w:p>
        </w:tc>
        <w:tc>
          <w:tcPr>
            <w:tcW w:w="96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126.7</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0.65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See page 11 for a reconciliation of net (loss) income attributable to common shareholders to FFO attributable to common shareholders plus assumed conversions (non-GAAP) for the three and nine months ended September 30, 2026 and 2025. Reconciliations of FFO attributable to common shareholders plus assumed conversions to FFO attributable to common shareholders plus assumed conversions, as adjusted are provided on page 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350 Park Avenue</w:t>
      </w:r>
    </w:p>
    <w:p>
      <w:pPr>
        <w:spacing w:after="0" w:line="45" w:lineRule="exact"/>
        <w:rPr>
          <w:sz w:val="20"/>
          <w:szCs w:val="20"/>
          <w:color w:val="auto"/>
        </w:rPr>
      </w:pPr>
    </w:p>
    <w:p>
      <w:pPr>
        <w:jc w:val="both"/>
        <w:ind w:firstLine="258"/>
        <w:spacing w:after="0" w:line="244" w:lineRule="auto"/>
        <w:rPr>
          <w:sz w:val="20"/>
          <w:szCs w:val="20"/>
          <w:color w:val="auto"/>
        </w:rPr>
      </w:pPr>
      <w:r>
        <w:rPr>
          <w:rFonts w:ascii="Times New Roman" w:cs="Times New Roman" w:eastAsia="Times New Roman" w:hAnsi="Times New Roman"/>
          <w:sz w:val="14"/>
          <w:szCs w:val="14"/>
          <w:color w:val="auto"/>
        </w:rPr>
        <w:t>On October 20, 2026, the existing joint venture between Vornado and Rudin (the “Vornado/Rudin JV”) and an affiliate of Kenneth C. Griffin (“KG”), the founder and CEO of Citadel, formed a new joint venture (the “350 Park JV”) to develop an approximately 1,900,000 square foot office tower on the combined sites of 350 Park Avenue, 39 East 51st Street and 40 East 52nd Street, with Citadel Enterprise Americas LLC (“CEAMER”) as the anchor tenant. We consolidate the Vornado/Rudin JV. We contributed our wholly owned 350 Park Avenue property to the 350 Park JV, the Vornado/Rudin JV contributed 39 East 51st Street and Rudin contributed 40 East 52nd Street. In exchange for these contributions, the Vornado/Rudin JV received a 40% ownership interest in the 350 Park JV, and KG owns the remaining 60% interest. Through the Vornado/Rudin JV, we hold a 36.1% effective interest and Rudin holds a 3.9% effective interest. Rudin also holds $150,000,000 of preferred equity in the Vornado/Rudin JV. Our contribution of 350 Park Avenue was valued at $900,000,000, or $500,000,000 net of the $400,000,000 mortgage loan on the property which was satisfied at closing.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Concurrently with the closing, the 350 Park JV:</w:t>
      </w:r>
    </w:p>
    <w:p>
      <w:pPr>
        <w:spacing w:after="0" w:line="25" w:lineRule="exact"/>
        <w:rPr>
          <w:sz w:val="20"/>
          <w:szCs w:val="20"/>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executed a 1,050,000 square foot anchor lease with CEAMER; and</w:t>
      </w:r>
    </w:p>
    <w:p>
      <w:pPr>
        <w:spacing w:after="0" w:line="11" w:lineRule="exact"/>
        <w:rPr>
          <w:rFonts w:ascii="Times New Roman" w:cs="Times New Roman" w:eastAsia="Times New Roman" w:hAnsi="Times New Roman"/>
          <w:sz w:val="14"/>
          <w:szCs w:val="14"/>
          <w:color w:val="auto"/>
        </w:rPr>
      </w:pPr>
    </w:p>
    <w:p>
      <w:pPr>
        <w:ind w:left="520" w:hanging="256"/>
        <w:spacing w:after="0" w:line="27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closed a $3.3 billion construction loan. The loan bears interest at SOFR plus 3.00%, which may be reduced to SOFR plus 2.50% upon substantial completion and achieving a minimum debt service coverage ratio, and matures in October 2032 with a one-year extension option subject to certain conditions.</w:t>
      </w:r>
    </w:p>
    <w:p>
      <w:pPr>
        <w:spacing w:after="0" w:line="7"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Vornado shares control with KG over major decisions of the 350 Park JV, including decisions about leasing, operating and capital budgets and refinancings. Accordingly, we no longer hold a controlling financial interest in 350 Park Avenue and 39 East 51st Street. Beginning October 20, 2026, we deconsolidated the properties and account for our investment in the 350 Park JV under the equity method. We will recognize an estimated net gain of approximately $485,000,000 in the fourth quarter of 2026.</w:t>
      </w: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1062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3 OF 18</w:t>
      </w:r>
    </w:p>
    <w:p>
      <w:pPr>
        <w:sectPr>
          <w:pgSz w:w="11900" w:h="16838" w:orient="portrait"/>
          <w:cols w:equalWidth="0" w:num="1">
            <w:col w:w="11280"/>
          </w:cols>
          <w:pgMar w:left="300" w:top="75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Acquisitions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Park Avenue Plaza</w:t>
      </w:r>
    </w:p>
    <w:p>
      <w:pPr>
        <w:spacing w:after="0" w:line="56" w:lineRule="exact"/>
        <w:rPr>
          <w:sz w:val="20"/>
          <w:szCs w:val="20"/>
          <w:color w:val="auto"/>
        </w:rPr>
      </w:pPr>
    </w:p>
    <w:p>
      <w:pPr>
        <w:jc w:val="both"/>
        <w:ind w:firstLine="258"/>
        <w:spacing w:after="0" w:line="288" w:lineRule="auto"/>
        <w:rPr>
          <w:sz w:val="20"/>
          <w:szCs w:val="20"/>
          <w:color w:val="auto"/>
        </w:rPr>
      </w:pPr>
      <w:r>
        <w:rPr>
          <w:rFonts w:ascii="Times New Roman" w:cs="Times New Roman" w:eastAsia="Times New Roman" w:hAnsi="Times New Roman"/>
          <w:sz w:val="14"/>
          <w:szCs w:val="14"/>
          <w:color w:val="auto"/>
        </w:rPr>
        <w:t>On June 11, 2026, we completed the purchase of a 49.0% interest in Park Avenue Plaza at a gross asset valuation of $1.1 billion ($950 per square foot). We acquired our interest subject to our share of the $575,000,000 loan encumbering the property. The loan bears interest at a fixed rate of 2.99% and matures in November 2031.</w:t>
      </w:r>
    </w:p>
    <w:p>
      <w:pPr>
        <w:spacing w:after="0" w:line="1" w:lineRule="exact"/>
        <w:rPr>
          <w:sz w:val="20"/>
          <w:szCs w:val="20"/>
          <w:color w:val="auto"/>
        </w:rPr>
      </w:pPr>
    </w:p>
    <w:p>
      <w:pPr>
        <w:jc w:val="both"/>
        <w:ind w:firstLine="258"/>
        <w:spacing w:after="0" w:line="288" w:lineRule="auto"/>
        <w:rPr>
          <w:sz w:val="20"/>
          <w:szCs w:val="20"/>
          <w:color w:val="auto"/>
        </w:rPr>
      </w:pPr>
      <w:r>
        <w:rPr>
          <w:rFonts w:ascii="Times New Roman" w:cs="Times New Roman" w:eastAsia="Times New Roman" w:hAnsi="Times New Roman"/>
          <w:sz w:val="14"/>
          <w:szCs w:val="14"/>
          <w:color w:val="auto"/>
        </w:rPr>
        <w:t>Park Avenue Plaza is a 45-story, 1,200,000 rentable square foot building located at 55 East 52nd Street. The office building, co-owned by Fisher Brothers, has protected Park Avenue views and occupies the full through-block between East 52nd and East 53rd Street.</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Fisher Brothers retains its current 51.0% ownership interest and continues to manage and lease the property. Vornado and Fisher Brothers have joint control over major decisions.</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3 East 54th Street</w:t>
      </w:r>
    </w:p>
    <w:p>
      <w:pPr>
        <w:spacing w:after="0" w:line="56"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January 7, 2026, we acquired 3 East 54th Street, an asset situated on 18,400 square feet of land, for $141,000,000. Previously, in July 2025, we purchased the $35,000,000 A-Note secured by the property at par plus accrued interest, and in August 2024, we purchased the $50,000,000 B-Note secured by the property. The A-Note and B-Note were in default. The $107,000,000 loan balance, including default interest and advances, was credited towards the purchase price.</w:t>
      </w:r>
    </w:p>
    <w:p>
      <w:pPr>
        <w:spacing w:after="0" w:line="6"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3 East 54th Street is located between Fifth Avenue and Madison Avenue on 54th Street, adjacent to the St. Regis Hotel and our Upper Fifth Avenue retail properties. The land is zoned for approximately 232,500 buildable square feet as-of-right, and we are in the process of demolishing the existing buildings on the site.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Dispositions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Alexander’s, Inc. (“Alexander’s”)</w:t>
      </w:r>
    </w:p>
    <w:p>
      <w:pPr>
        <w:spacing w:after="0" w:line="56"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On May 28, 2026, Alexander’s, in which we own a 32.4% interest, completed the sale of its Rego Park I property for $235,500,000. As a result of the sale, we recognized our $44,329,000 share of the net gain and received a $2,355,000 sales commission paid by Alexander’s, of which $500,000 was paid to a third-party broker.</w:t>
      </w:r>
    </w:p>
    <w:p>
      <w:pPr>
        <w:ind w:left="260"/>
        <w:spacing w:after="0"/>
        <w:rPr>
          <w:sz w:val="20"/>
          <w:szCs w:val="20"/>
          <w:color w:val="auto"/>
        </w:rPr>
      </w:pPr>
      <w:r>
        <w:rPr>
          <w:rFonts w:ascii="Times New Roman" w:cs="Times New Roman" w:eastAsia="Times New Roman" w:hAnsi="Times New Roman"/>
          <w:sz w:val="14"/>
          <w:szCs w:val="14"/>
          <w:i w:val="1"/>
          <w:iCs w:val="1"/>
          <w:color w:val="auto"/>
        </w:rPr>
        <w:t>606 Broadway</w:t>
      </w:r>
    </w:p>
    <w:p>
      <w:pPr>
        <w:spacing w:after="0" w:line="56"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May 14, 2026, a 50.0% owned consolidated joint venture completed the sale of 606 Broadway. The purchaser acquired the non-recourse mortgage loan, which was in maturity default, at a discount and paid the joint venture $3,000,000 in cash ($2,400,000 to Vornado). The transaction resulted in a $32,073,000 gain on debt extinguishment, of which $15,932,000 is attributable to noncontrolling interests. The property was previously impaired in the fourth quarter of 2023, and had a carrying value of $52,073,000 as of the sale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Senior Unsecured Notes Due </w:t>
      </w:r>
      <w:r>
        <w:rPr>
          <w:rFonts w:ascii="Times New Roman" w:cs="Times New Roman" w:eastAsia="Times New Roman" w:hAnsi="Times New Roman"/>
          <w:sz w:val="14"/>
          <w:szCs w:val="14"/>
          <w:color w:val="auto"/>
        </w:rPr>
        <w:t>2026</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repaid our $400,000,000 2.15% senior unsecured notes on their June 1, 2026 maturity date.</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61 Ninth Avenue</w:t>
      </w:r>
    </w:p>
    <w:p>
      <w:pPr>
        <w:spacing w:after="0" w:line="56"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May 8, 2026, a joint venture, in which we have a 45.1% interest, completed a $161,000,000 refinancing of 61 Ninth Avenue. The interest-only mortgage loan matures in June 2028, with a nine-month extension option subject to certain conditions, and bears interest at SOFR plus 3.00% in year one, SOFR plus 3.35% for year two, and SOFR plus 3.85% during the extension period. The refinancing replaced the joint venture’s prior $167,500,000 mortgage loan on the property. On February 2, 2026, the joint venture had extended that prior loan’s maturity by seven months and simultaneously paid down the principal balance by $12,500,000 to $155,000,000.</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350 Park Avenue</w:t>
      </w:r>
    </w:p>
    <w:p>
      <w:pPr>
        <w:spacing w:after="0" w:line="56" w:lineRule="exact"/>
        <w:rPr>
          <w:sz w:val="20"/>
          <w:szCs w:val="20"/>
          <w:color w:val="auto"/>
        </w:rPr>
      </w:pPr>
    </w:p>
    <w:p>
      <w:pPr>
        <w:jc w:val="both"/>
        <w:ind w:firstLine="258"/>
        <w:spacing w:after="0" w:line="265" w:lineRule="auto"/>
        <w:rPr>
          <w:sz w:val="20"/>
          <w:szCs w:val="20"/>
          <w:color w:val="auto"/>
        </w:rPr>
      </w:pPr>
      <w:r>
        <w:rPr>
          <w:rFonts w:ascii="Times New Roman" w:cs="Times New Roman" w:eastAsia="Times New Roman" w:hAnsi="Times New Roman"/>
          <w:sz w:val="14"/>
          <w:szCs w:val="14"/>
          <w:color w:val="auto"/>
        </w:rPr>
        <w:t>On March 10, 2026, an affiliate of KG provided a $400,000,000 mortgage loan secured by 350 Park Avenue, the proceeds of which were used to defease the existing $400,000,000 mortgage loan in connection with the site’s development. The new interest-only loan bears interest at a fixed rate of 4.00% and matures in January 2027. Concurrently, and in connection with the planned development, Citadel Enterprise Americas LLC vacated the building and assigned its existing master lease to an affiliate of KG as tenant, and the lease was amended to provide for net rent of $16,000,000 per annum, equal to the interest payments under the new mortgage loan. On October 20, 2026, the $400,000,000 mortgage loan was satisfied at the closing of the 350 Park Avenue joint venture. See page 3 for further details.</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One Park Avenue</w:t>
      </w:r>
    </w:p>
    <w:p>
      <w:pPr>
        <w:spacing w:after="0" w:line="56"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1062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4 OF 18</w:t>
      </w:r>
    </w:p>
    <w:p>
      <w:pPr>
        <w:sectPr>
          <w:pgSz w:w="11900" w:h="16838" w:orient="portrait"/>
          <w:cols w:equalWidth="0" w:num="1">
            <w:col w:w="11280"/>
          </w:cols>
          <w:pgMar w:left="300" w:top="7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Financing Activity - continued</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825 Seventh Avenue Office Condominium</w:t>
      </w:r>
    </w:p>
    <w:p>
      <w:pPr>
        <w:spacing w:after="0" w:line="56"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On October 26, 2026, the $48,000,000 non-recourse mortgage loan matured and was not repaid, resulting in a maturity default. The interest-only loan bears interest at a rate of SOFR plus 2.75% and provides for additional default interest of 5.00%.</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7 West 34th Street</w:t>
      </w:r>
    </w:p>
    <w:p>
      <w:pPr>
        <w:spacing w:after="0" w:line="56"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January 23, 2026, a joint venture, in which we have a 53.0% interest, completed a $250,000,000 refinancing of 7 West 34th Street, a 477,000 square foot Manhattan office and retail building. The non-recourse, five-year interest-only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distributions.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Senior Unsecured Notes Due </w:t>
      </w:r>
      <w:r>
        <w:rPr>
          <w:rFonts w:ascii="Times New Roman" w:cs="Times New Roman" w:eastAsia="Times New Roman" w:hAnsi="Times New Roman"/>
          <w:sz w:val="14"/>
          <w:szCs w:val="14"/>
          <w:color w:val="auto"/>
        </w:rPr>
        <w:t>2033</w:t>
      </w:r>
    </w:p>
    <w:p>
      <w:pPr>
        <w:spacing w:after="0" w:line="56"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January 14, 2026, we completed a public offering of $500,000,000 5.75% senior unsecured notes due February 1, 2033 (“2033 Notes”). Interest on the senior unsecured notes is payable semi-annually on February 1 and August 1, commencing August 1, 2026. The 2033 Notes were sold at 99.824% of their face amount to yield 5.78%. A portion of the $494,000,000 net proceeds from the 2033 Notes was used to repay our $400,000,000 senior unsecured notes at their June 2026 maturity.</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2031 Revolving Credit Facility</w:t>
      </w:r>
    </w:p>
    <w:p>
      <w:pPr>
        <w:spacing w:after="0" w:line="56"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January 7, 2026, we completed a $1.105 billion refinancing of one of our two revolving credit facilities. On February 4, 2026, the facility was upsized to $1.130 billion. The $1.130 billion amended facility currently bears interest at a rate of SOFR plus 1.01% and is scheduled to mature in February 2031 (as fully extended). The facility fee is 24 basis points. The facility replaced the previous $1.25 billion revolving credit facility which was scheduled to mature in December 2027.</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2029 Revolving Credit Facility</w:t>
      </w:r>
    </w:p>
    <w:p>
      <w:pPr>
        <w:spacing w:after="0" w:line="56"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On January 7, 2026, we upsized our $915,000,000 revolving credit facility that matures in April 2029 (as fully extended) to $1.0 billion. The credit facility currently bears interest at a rate of SOFR plus 1.16% and has a facility fee of 24 basis points.</w:t>
      </w:r>
    </w:p>
    <w:p>
      <w:pPr>
        <w:ind w:left="260"/>
        <w:spacing w:after="0"/>
        <w:rPr>
          <w:sz w:val="20"/>
          <w:szCs w:val="20"/>
          <w:color w:val="auto"/>
        </w:rPr>
      </w:pPr>
      <w:r>
        <w:rPr>
          <w:rFonts w:ascii="Times New Roman" w:cs="Times New Roman" w:eastAsia="Times New Roman" w:hAnsi="Times New Roman"/>
          <w:sz w:val="14"/>
          <w:szCs w:val="14"/>
          <w:i w:val="1"/>
          <w:iCs w:val="1"/>
          <w:color w:val="auto"/>
        </w:rPr>
        <w:t>Unsecured Term Loan</w:t>
      </w:r>
    </w:p>
    <w:p>
      <w:pPr>
        <w:spacing w:after="0" w:line="56"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On January 7, 2026, we completed a refinancing of our unsecured term loan and upsized the loan amount to $850,000,000. The loan bears interest at SOFR plus 1.15% and matures in February 2031 (as fully extended). The loan replaced the previous $800,000,000 term loan which bore interest at SOFR plus 1.25% and was scheduled to mature in December 2027.</w:t>
      </w:r>
    </w:p>
    <w:p>
      <w:pPr>
        <w:ind w:left="260"/>
        <w:spacing w:after="0"/>
        <w:rPr>
          <w:sz w:val="20"/>
          <w:szCs w:val="20"/>
          <w:color w:val="auto"/>
        </w:rPr>
      </w:pPr>
      <w:r>
        <w:rPr>
          <w:rFonts w:ascii="Times New Roman" w:cs="Times New Roman" w:eastAsia="Times New Roman" w:hAnsi="Times New Roman"/>
          <w:sz w:val="14"/>
          <w:szCs w:val="14"/>
          <w:i w:val="1"/>
          <w:iCs w:val="1"/>
          <w:color w:val="auto"/>
        </w:rPr>
        <w:t>888 Seventh Avenue</w:t>
      </w:r>
    </w:p>
    <w:p>
      <w:pPr>
        <w:spacing w:after="0" w:line="56"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December 10, 2025, the $244,543,000 non-recourse mortgage loan on 888 Seventh Avenue matured and was not repaid, at which time the lenders declared an event of default. On March 9, 2026, we entered into a forbearance agreement pursuant to which the lenders agreed to forbear from exercising their remedies and waived default interest through March 2027. During the forbearance period, regularly scheduled interest and required monthly amortization payments continue to accrue, but payment is deferred until the expiration or earlier termination of the forbearance period, at which time such amounts become due and payable.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 Program</w:t>
      </w:r>
    </w:p>
    <w:p>
      <w:pPr>
        <w:spacing w:after="0" w:line="56" w:lineRule="exact"/>
        <w:rPr>
          <w:sz w:val="20"/>
          <w:szCs w:val="20"/>
          <w:color w:val="auto"/>
        </w:rPr>
      </w:pPr>
    </w:p>
    <w:p>
      <w:pPr>
        <w:jc w:val="both"/>
        <w:ind w:firstLine="258"/>
        <w:spacing w:after="0" w:line="288" w:lineRule="auto"/>
        <w:rPr>
          <w:sz w:val="20"/>
          <w:szCs w:val="20"/>
          <w:color w:val="auto"/>
        </w:rPr>
      </w:pPr>
      <w:r>
        <w:rPr>
          <w:rFonts w:ascii="Times New Roman" w:cs="Times New Roman" w:eastAsia="Times New Roman" w:hAnsi="Times New Roman"/>
          <w:sz w:val="14"/>
          <w:szCs w:val="14"/>
          <w:color w:val="auto"/>
        </w:rPr>
        <w:t>In April 2026, our Board of Trustees authorized an additional $300,000,000 repurchase of our outstanding common shares under the share repurchase plan. As of September 30, 2026, $286,590,000 remained available and authorized for repurchases under the plan.</w:t>
      </w:r>
    </w:p>
    <w:p>
      <w:pPr>
        <w:spacing w:after="0" w:line="1"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During the three months ended September 30, 2026, no shares were repurchased. During the nine months ended September 30, 2026, we repurchased 4,532,803 common shares for $133,305,000 at an average price of $29.41.</w:t>
      </w:r>
    </w:p>
    <w:p>
      <w:pPr>
        <w:spacing w:after="0" w:line="263" w:lineRule="exact"/>
        <w:rPr>
          <w:sz w:val="20"/>
          <w:szCs w:val="20"/>
          <w:color w:val="auto"/>
        </w:rPr>
      </w:pPr>
    </w:p>
    <w:p>
      <w:pPr>
        <w:ind w:left="20"/>
        <w:spacing w:after="0"/>
        <w:tabs>
          <w:tab w:leader="none" w:pos="1062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5 OF 18</w:t>
      </w:r>
    </w:p>
    <w:p>
      <w:pPr>
        <w:sectPr>
          <w:pgSz w:w="11900" w:h="16838" w:orient="portrait"/>
          <w:cols w:equalWidth="0" w:num="1">
            <w:col w:w="11280"/>
          </w:cols>
          <w:pgMar w:left="300" w:top="682"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Leasing Activity</w:t>
      </w:r>
    </w:p>
    <w:p>
      <w:pPr>
        <w:spacing w:after="0" w:line="56"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The leasing activity and related statistics in the tables below are based on leases signed during the period and are not intended to coincide with the commencement of rental revenue in accordance with accounting principles generally accepted in the United States of America (“GAAP”). Second generation relet space represents square footage that has not been vacant for more than nine months and tenant improvements and leasing commissions are based on our share of square feet leased during the period.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(Square feet in thousands)</w:t>
            </w:r>
          </w:p>
        </w:tc>
        <w:tc>
          <w:tcPr>
            <w:tcW w:w="1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5"/>
        </w:trPr>
        <w:tc>
          <w:tcPr>
            <w:tcW w:w="4200" w:type="dxa"/>
            <w:vAlign w:val="bottom"/>
          </w:tcPr>
          <w:p>
            <w:pPr>
              <w:spacing w:after="0"/>
              <w:rPr>
                <w:sz w:val="14"/>
                <w:szCs w:val="14"/>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Office</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THE MART</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r>
      <w:tr>
        <w:trPr>
          <w:trHeight w:val="153"/>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2026</w:t>
            </w: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5"/>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square feet leased</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489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55</w:t>
            </w:r>
          </w:p>
        </w:tc>
      </w:tr>
      <w:tr>
        <w:trPr>
          <w:trHeight w:val="170"/>
        </w:trPr>
        <w:tc>
          <w:tcPr>
            <w:tcW w:w="4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Our share of square feet leased:</w:t>
            </w:r>
          </w:p>
        </w:tc>
        <w:tc>
          <w:tcPr>
            <w:tcW w:w="1100" w:type="dxa"/>
            <w:vAlign w:val="bottom"/>
          </w:tcPr>
          <w:p>
            <w:pPr>
              <w:spacing w:after="0"/>
              <w:rPr>
                <w:sz w:val="14"/>
                <w:szCs w:val="14"/>
                <w:color w:val="auto"/>
              </w:rPr>
            </w:pP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38</w:t>
            </w:r>
          </w:p>
        </w:tc>
      </w:tr>
      <w:tr>
        <w:trPr>
          <w:trHeight w:val="175"/>
        </w:trPr>
        <w:tc>
          <w:tcPr>
            <w:tcW w:w="420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3"/>
                <w:szCs w:val="13"/>
                <w:color w:val="auto"/>
              </w:rPr>
              <w:t>Initial rent</w:t>
            </w:r>
            <w:r>
              <w:rPr>
                <w:rFonts w:ascii="Times New Roman" w:cs="Times New Roman" w:eastAsia="Times New Roman" w:hAnsi="Times New Roman"/>
                <w:sz w:val="16"/>
                <w:szCs w:val="16"/>
                <w:b w:val="1"/>
                <w:bCs w:val="1"/>
                <w:color w:val="auto"/>
                <w:vertAlign w:val="superscript"/>
              </w:rPr>
              <w:t>(1)</w:t>
            </w:r>
          </w:p>
        </w:tc>
        <w:tc>
          <w:tcPr>
            <w:tcW w:w="110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122.96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496.83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63.50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163.18</w:t>
            </w:r>
          </w:p>
        </w:tc>
      </w:tr>
      <w:tr>
        <w:trPr>
          <w:trHeight w:val="170"/>
        </w:trPr>
        <w:tc>
          <w:tcPr>
            <w:tcW w:w="42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Weighted average lease term (years)</w:t>
            </w:r>
          </w:p>
        </w:tc>
        <w:tc>
          <w:tcPr>
            <w:tcW w:w="1100" w:type="dxa"/>
            <w:vAlign w:val="bottom"/>
          </w:tcPr>
          <w:p>
            <w:pPr>
              <w:spacing w:after="0"/>
              <w:rPr>
                <w:sz w:val="14"/>
                <w:szCs w:val="14"/>
                <w:color w:val="auto"/>
              </w:rPr>
            </w:pP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10.8</w:t>
            </w:r>
          </w:p>
        </w:tc>
      </w:tr>
      <w:tr>
        <w:trPr>
          <w:trHeight w:val="175"/>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Second generation relet space:</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0"/>
        </w:trPr>
        <w:tc>
          <w:tcPr>
            <w:tcW w:w="42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Square feet</w:t>
            </w:r>
          </w:p>
        </w:tc>
        <w:tc>
          <w:tcPr>
            <w:tcW w:w="1100" w:type="dxa"/>
            <w:vAlign w:val="bottom"/>
          </w:tcPr>
          <w:p>
            <w:pPr>
              <w:spacing w:after="0"/>
              <w:rPr>
                <w:sz w:val="14"/>
                <w:szCs w:val="14"/>
                <w:color w:val="auto"/>
              </w:rPr>
            </w:pP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38</w:t>
            </w:r>
          </w:p>
        </w:tc>
      </w:tr>
      <w:tr>
        <w:trPr>
          <w:trHeight w:val="175"/>
        </w:trPr>
        <w:tc>
          <w:tcPr>
            <w:tcW w:w="4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GAAP basis:</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2"/>
        </w:trPr>
        <w:tc>
          <w:tcPr>
            <w:tcW w:w="4200" w:type="dxa"/>
            <w:vAlign w:val="bottom"/>
          </w:tcPr>
          <w:p>
            <w:pPr>
              <w:ind w:left="740"/>
              <w:spacing w:after="0" w:line="172" w:lineRule="exact"/>
              <w:rPr>
                <w:sz w:val="20"/>
                <w:szCs w:val="20"/>
                <w:color w:val="auto"/>
              </w:rPr>
            </w:pPr>
            <w:r>
              <w:rPr>
                <w:rFonts w:ascii="Times New Roman" w:cs="Times New Roman" w:eastAsia="Times New Roman" w:hAnsi="Times New Roman"/>
                <w:sz w:val="13"/>
                <w:szCs w:val="13"/>
                <w:color w:val="auto"/>
              </w:rPr>
              <w:t>Straight-line rent</w:t>
            </w:r>
            <w:r>
              <w:rPr>
                <w:rFonts w:ascii="Times New Roman" w:cs="Times New Roman" w:eastAsia="Times New Roman" w:hAnsi="Times New Roman"/>
                <w:sz w:val="16"/>
                <w:szCs w:val="16"/>
                <w:b w:val="1"/>
                <w:bCs w:val="1"/>
                <w:color w:val="auto"/>
                <w:vertAlign w:val="superscript"/>
              </w:rPr>
              <w:t>(2)</w:t>
            </w:r>
          </w:p>
        </w:tc>
        <w:tc>
          <w:tcPr>
            <w:tcW w:w="1100" w:type="dxa"/>
            <w:vAlign w:val="bottom"/>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116.95</w:t>
            </w:r>
          </w:p>
        </w:tc>
        <w:tc>
          <w:tcPr>
            <w:tcW w:w="100" w:type="dxa"/>
            <w:vAlign w:val="bottom"/>
          </w:tcPr>
          <w:p>
            <w:pPr>
              <w:spacing w:after="0"/>
              <w:rPr>
                <w:sz w:val="14"/>
                <w:szCs w:val="14"/>
                <w:color w:val="auto"/>
              </w:rPr>
            </w:pPr>
          </w:p>
        </w:tc>
        <w:tc>
          <w:tcPr>
            <w:tcW w:w="4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644.96</w:t>
            </w:r>
          </w:p>
        </w:tc>
        <w:tc>
          <w:tcPr>
            <w:tcW w:w="80" w:type="dxa"/>
            <w:vAlign w:val="bottom"/>
          </w:tcPr>
          <w:p>
            <w:pPr>
              <w:spacing w:after="0"/>
              <w:rPr>
                <w:sz w:val="14"/>
                <w:szCs w:val="14"/>
                <w:color w:val="auto"/>
              </w:rPr>
            </w:pPr>
          </w:p>
        </w:tc>
        <w:tc>
          <w:tcPr>
            <w:tcW w:w="3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61.53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179.47</w:t>
            </w:r>
          </w:p>
        </w:tc>
      </w:tr>
      <w:tr>
        <w:trPr>
          <w:trHeight w:val="172"/>
        </w:trPr>
        <w:tc>
          <w:tcPr>
            <w:tcW w:w="4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Prior straight-line rent</w:t>
            </w:r>
          </w:p>
        </w:tc>
        <w:tc>
          <w:tcPr>
            <w:tcW w:w="110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85.25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617.21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54.63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112.91</w:t>
            </w:r>
          </w:p>
        </w:tc>
      </w:tr>
      <w:tr>
        <w:trPr>
          <w:trHeight w:val="170"/>
        </w:trPr>
        <w:tc>
          <w:tcPr>
            <w:tcW w:w="42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Percentage increase</w:t>
            </w: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37.2 %</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59.0 %</w:t>
            </w:r>
          </w:p>
        </w:tc>
      </w:tr>
      <w:tr>
        <w:trPr>
          <w:trHeight w:val="175"/>
        </w:trPr>
        <w:tc>
          <w:tcPr>
            <w:tcW w:w="4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Cash basis (non-GAAP):</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2"/>
        </w:trPr>
        <w:tc>
          <w:tcPr>
            <w:tcW w:w="4200" w:type="dxa"/>
            <w:vAlign w:val="bottom"/>
          </w:tcPr>
          <w:p>
            <w:pPr>
              <w:ind w:left="740"/>
              <w:spacing w:after="0" w:line="172" w:lineRule="exact"/>
              <w:rPr>
                <w:sz w:val="20"/>
                <w:szCs w:val="20"/>
                <w:color w:val="auto"/>
              </w:rPr>
            </w:pPr>
            <w:r>
              <w:rPr>
                <w:rFonts w:ascii="Times New Roman" w:cs="Times New Roman" w:eastAsia="Times New Roman" w:hAnsi="Times New Roman"/>
                <w:sz w:val="13"/>
                <w:szCs w:val="13"/>
                <w:color w:val="auto"/>
              </w:rPr>
              <w:t>Initial rent</w:t>
            </w:r>
            <w:r>
              <w:rPr>
                <w:rFonts w:ascii="Times New Roman" w:cs="Times New Roman" w:eastAsia="Times New Roman" w:hAnsi="Times New Roman"/>
                <w:sz w:val="16"/>
                <w:szCs w:val="16"/>
                <w:b w:val="1"/>
                <w:bCs w:val="1"/>
                <w:color w:val="auto"/>
                <w:vertAlign w:val="superscript"/>
              </w:rPr>
              <w:t>(1)</w:t>
            </w:r>
          </w:p>
        </w:tc>
        <w:tc>
          <w:tcPr>
            <w:tcW w:w="1100" w:type="dxa"/>
            <w:vAlign w:val="bottom"/>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119.90</w:t>
            </w:r>
          </w:p>
        </w:tc>
        <w:tc>
          <w:tcPr>
            <w:tcW w:w="100" w:type="dxa"/>
            <w:vAlign w:val="bottom"/>
          </w:tcPr>
          <w:p>
            <w:pPr>
              <w:spacing w:after="0"/>
              <w:rPr>
                <w:sz w:val="14"/>
                <w:szCs w:val="14"/>
                <w:color w:val="auto"/>
              </w:rPr>
            </w:pPr>
          </w:p>
        </w:tc>
        <w:tc>
          <w:tcPr>
            <w:tcW w:w="4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641.47</w:t>
            </w:r>
          </w:p>
        </w:tc>
        <w:tc>
          <w:tcPr>
            <w:tcW w:w="80" w:type="dxa"/>
            <w:vAlign w:val="bottom"/>
          </w:tcPr>
          <w:p>
            <w:pPr>
              <w:spacing w:after="0"/>
              <w:rPr>
                <w:sz w:val="14"/>
                <w:szCs w:val="14"/>
                <w:color w:val="auto"/>
              </w:rPr>
            </w:pPr>
          </w:p>
        </w:tc>
        <w:tc>
          <w:tcPr>
            <w:tcW w:w="3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62.94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163.18</w:t>
            </w:r>
          </w:p>
        </w:tc>
      </w:tr>
      <w:tr>
        <w:trPr>
          <w:trHeight w:val="172"/>
        </w:trPr>
        <w:tc>
          <w:tcPr>
            <w:tcW w:w="4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Prior escalated rent</w:t>
            </w:r>
          </w:p>
        </w:tc>
        <w:tc>
          <w:tcPr>
            <w:tcW w:w="110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95.25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760.91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58.45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118.21</w:t>
            </w:r>
          </w:p>
        </w:tc>
      </w:tr>
      <w:tr>
        <w:trPr>
          <w:trHeight w:val="170"/>
        </w:trPr>
        <w:tc>
          <w:tcPr>
            <w:tcW w:w="42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Percentage increase (decrease)</w:t>
            </w: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25.9 %</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38.0 %</w:t>
            </w:r>
          </w:p>
        </w:tc>
      </w:tr>
      <w:tr>
        <w:trPr>
          <w:trHeight w:val="175"/>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Tenant improvements and leasing commissions:</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0"/>
        </w:trPr>
        <w:tc>
          <w:tcPr>
            <w:tcW w:w="42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Per square foot</w:t>
            </w:r>
          </w:p>
        </w:tc>
        <w:tc>
          <w:tcPr>
            <w:tcW w:w="1100" w:type="dxa"/>
            <w:vAlign w:val="bottom"/>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139.83</w:t>
            </w:r>
          </w:p>
        </w:tc>
        <w:tc>
          <w:tcPr>
            <w:tcW w:w="100" w:type="dxa"/>
            <w:vAlign w:val="bottom"/>
          </w:tcPr>
          <w:p>
            <w:pPr>
              <w:spacing w:after="0"/>
              <w:rPr>
                <w:sz w:val="14"/>
                <w:szCs w:val="14"/>
                <w:color w:val="auto"/>
              </w:rPr>
            </w:pPr>
          </w:p>
        </w:tc>
        <w:tc>
          <w:tcPr>
            <w:tcW w:w="4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191.23</w:t>
            </w:r>
          </w:p>
        </w:tc>
        <w:tc>
          <w:tcPr>
            <w:tcW w:w="80" w:type="dxa"/>
            <w:vAlign w:val="bottom"/>
          </w:tcPr>
          <w:p>
            <w:pPr>
              <w:spacing w:after="0"/>
              <w:rPr>
                <w:sz w:val="14"/>
                <w:szCs w:val="14"/>
                <w:color w:val="auto"/>
              </w:rPr>
            </w:pPr>
          </w:p>
        </w:tc>
        <w:tc>
          <w:tcPr>
            <w:tcW w:w="3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51.69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182.00</w:t>
            </w:r>
          </w:p>
        </w:tc>
      </w:tr>
      <w:tr>
        <w:trPr>
          <w:trHeight w:val="175"/>
        </w:trPr>
        <w:tc>
          <w:tcPr>
            <w:tcW w:w="4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Per square foot per annum</w:t>
            </w:r>
          </w:p>
        </w:tc>
        <w:tc>
          <w:tcPr>
            <w:tcW w:w="110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14.72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26.93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9.23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16.85</w:t>
            </w:r>
          </w:p>
        </w:tc>
      </w:tr>
      <w:tr>
        <w:trPr>
          <w:trHeight w:val="167"/>
        </w:trPr>
        <w:tc>
          <w:tcPr>
            <w:tcW w:w="42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Percentage of initial rent</w:t>
            </w: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12.0 %</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10.3 %</w:t>
            </w: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(Square feet in thousands)</w:t>
            </w:r>
          </w:p>
        </w:tc>
        <w:tc>
          <w:tcPr>
            <w:tcW w:w="1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5"/>
        </w:trPr>
        <w:tc>
          <w:tcPr>
            <w:tcW w:w="4000" w:type="dxa"/>
            <w:vAlign w:val="bottom"/>
          </w:tcPr>
          <w:p>
            <w:pPr>
              <w:spacing w:after="0"/>
              <w:rPr>
                <w:sz w:val="14"/>
                <w:szCs w:val="14"/>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Office</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THE MART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r>
      <w:tr>
        <w:trPr>
          <w:trHeight w:val="153"/>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2026</w:t>
            </w: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5"/>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square feet leased</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1,148</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166</w:t>
            </w:r>
          </w:p>
        </w:tc>
      </w:tr>
      <w:tr>
        <w:trPr>
          <w:trHeight w:val="170"/>
        </w:trPr>
        <w:tc>
          <w:tcPr>
            <w:tcW w:w="4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Our share of square feet leased:</w:t>
            </w:r>
          </w:p>
        </w:tc>
        <w:tc>
          <w:tcPr>
            <w:tcW w:w="106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993</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115</w:t>
            </w:r>
          </w:p>
        </w:tc>
      </w:tr>
      <w:tr>
        <w:trPr>
          <w:trHeight w:val="175"/>
        </w:trPr>
        <w:tc>
          <w:tcPr>
            <w:tcW w:w="400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3"/>
                <w:szCs w:val="13"/>
                <w:color w:val="auto"/>
              </w:rPr>
              <w:t>Initial rent</w:t>
            </w:r>
            <w:r>
              <w:rPr>
                <w:rFonts w:ascii="Times New Roman" w:cs="Times New Roman" w:eastAsia="Times New Roman" w:hAnsi="Times New Roman"/>
                <w:sz w:val="16"/>
                <w:szCs w:val="16"/>
                <w:b w:val="1"/>
                <w:bCs w:val="1"/>
                <w:color w:val="auto"/>
                <w:vertAlign w:val="superscript"/>
              </w:rPr>
              <w:t>(1)</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113.09</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402.59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58.08</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148.50</w:t>
            </w:r>
          </w:p>
        </w:tc>
      </w:tr>
      <w:tr>
        <w:trPr>
          <w:trHeight w:val="170"/>
        </w:trPr>
        <w:tc>
          <w:tcPr>
            <w:tcW w:w="40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Weighted average lease term (years)</w:t>
            </w:r>
          </w:p>
        </w:tc>
        <w:tc>
          <w:tcPr>
            <w:tcW w:w="106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8.9</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9.3</w:t>
            </w:r>
          </w:p>
        </w:tc>
      </w:tr>
      <w:tr>
        <w:trPr>
          <w:trHeight w:val="175"/>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Second generation relet space:</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0"/>
        </w:trPr>
        <w:tc>
          <w:tcPr>
            <w:tcW w:w="40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Square feet</w:t>
            </w:r>
          </w:p>
        </w:tc>
        <w:tc>
          <w:tcPr>
            <w:tcW w:w="106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547</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96</w:t>
            </w:r>
          </w:p>
        </w:tc>
      </w:tr>
      <w:tr>
        <w:trPr>
          <w:trHeight w:val="175"/>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GAAP basis: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2"/>
        </w:trPr>
        <w:tc>
          <w:tcPr>
            <w:tcW w:w="4000" w:type="dxa"/>
            <w:vAlign w:val="bottom"/>
          </w:tcPr>
          <w:p>
            <w:pPr>
              <w:ind w:left="740"/>
              <w:spacing w:after="0" w:line="172" w:lineRule="exact"/>
              <w:rPr>
                <w:sz w:val="20"/>
                <w:szCs w:val="20"/>
                <w:color w:val="auto"/>
              </w:rPr>
            </w:pPr>
            <w:r>
              <w:rPr>
                <w:rFonts w:ascii="Times New Roman" w:cs="Times New Roman" w:eastAsia="Times New Roman" w:hAnsi="Times New Roman"/>
                <w:sz w:val="13"/>
                <w:szCs w:val="13"/>
                <w:color w:val="auto"/>
              </w:rPr>
              <w:t>Straight-line rent</w:t>
            </w:r>
            <w:r>
              <w:rPr>
                <w:rFonts w:ascii="Times New Roman" w:cs="Times New Roman" w:eastAsia="Times New Roman" w:hAnsi="Times New Roman"/>
                <w:sz w:val="16"/>
                <w:szCs w:val="16"/>
                <w:b w:val="1"/>
                <w:bCs w:val="1"/>
                <w:color w:val="auto"/>
                <w:vertAlign w:val="superscript"/>
              </w:rPr>
              <w:t>(2)</w:t>
            </w:r>
          </w:p>
        </w:tc>
        <w:tc>
          <w:tcPr>
            <w:tcW w:w="1060" w:type="dxa"/>
            <w:vAlign w:val="bottom"/>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107.36</w:t>
            </w:r>
          </w:p>
        </w:tc>
        <w:tc>
          <w:tcPr>
            <w:tcW w:w="60" w:type="dxa"/>
            <w:vAlign w:val="bottom"/>
          </w:tcPr>
          <w:p>
            <w:pPr>
              <w:spacing w:after="0"/>
              <w:rPr>
                <w:sz w:val="14"/>
                <w:szCs w:val="14"/>
                <w:color w:val="auto"/>
              </w:rPr>
            </w:pPr>
          </w:p>
        </w:tc>
        <w:tc>
          <w:tcPr>
            <w:tcW w:w="4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419.40</w:t>
            </w:r>
          </w:p>
        </w:tc>
        <w:tc>
          <w:tcPr>
            <w:tcW w:w="80" w:type="dxa"/>
            <w:vAlign w:val="bottom"/>
          </w:tcPr>
          <w:p>
            <w:pPr>
              <w:spacing w:after="0"/>
              <w:rPr>
                <w:sz w:val="14"/>
                <w:szCs w:val="14"/>
                <w:color w:val="auto"/>
              </w:rPr>
            </w:pP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62.44</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165.04</w:t>
            </w:r>
          </w:p>
        </w:tc>
      </w:tr>
      <w:tr>
        <w:trPr>
          <w:trHeight w:val="172"/>
        </w:trPr>
        <w:tc>
          <w:tcPr>
            <w:tcW w:w="4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Prior straight-line rent</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86.90</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384.23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56.06</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119.06</w:t>
            </w:r>
          </w:p>
        </w:tc>
      </w:tr>
      <w:tr>
        <w:trPr>
          <w:trHeight w:val="170"/>
        </w:trPr>
        <w:tc>
          <w:tcPr>
            <w:tcW w:w="40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Percentage increase</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23.5 %</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38.6 %</w:t>
            </w:r>
          </w:p>
        </w:tc>
      </w:tr>
      <w:tr>
        <w:trPr>
          <w:trHeight w:val="175"/>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Cash basis (non-GAAP):</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2"/>
        </w:trPr>
        <w:tc>
          <w:tcPr>
            <w:tcW w:w="4000" w:type="dxa"/>
            <w:vAlign w:val="bottom"/>
          </w:tcPr>
          <w:p>
            <w:pPr>
              <w:ind w:left="740"/>
              <w:spacing w:after="0" w:line="172" w:lineRule="exact"/>
              <w:rPr>
                <w:sz w:val="20"/>
                <w:szCs w:val="20"/>
                <w:color w:val="auto"/>
              </w:rPr>
            </w:pPr>
            <w:r>
              <w:rPr>
                <w:rFonts w:ascii="Times New Roman" w:cs="Times New Roman" w:eastAsia="Times New Roman" w:hAnsi="Times New Roman"/>
                <w:sz w:val="13"/>
                <w:szCs w:val="13"/>
                <w:color w:val="auto"/>
              </w:rPr>
              <w:t>Initial rent</w:t>
            </w:r>
            <w:r>
              <w:rPr>
                <w:rFonts w:ascii="Times New Roman" w:cs="Times New Roman" w:eastAsia="Times New Roman" w:hAnsi="Times New Roman"/>
                <w:sz w:val="16"/>
                <w:szCs w:val="16"/>
                <w:b w:val="1"/>
                <w:bCs w:val="1"/>
                <w:color w:val="auto"/>
                <w:vertAlign w:val="superscript"/>
              </w:rPr>
              <w:t>(1)</w:t>
            </w:r>
          </w:p>
        </w:tc>
        <w:tc>
          <w:tcPr>
            <w:tcW w:w="1060" w:type="dxa"/>
            <w:vAlign w:val="bottom"/>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111.15</w:t>
            </w:r>
          </w:p>
        </w:tc>
        <w:tc>
          <w:tcPr>
            <w:tcW w:w="60" w:type="dxa"/>
            <w:vAlign w:val="bottom"/>
          </w:tcPr>
          <w:p>
            <w:pPr>
              <w:spacing w:after="0"/>
              <w:rPr>
                <w:sz w:val="14"/>
                <w:szCs w:val="14"/>
                <w:color w:val="auto"/>
              </w:rPr>
            </w:pPr>
          </w:p>
        </w:tc>
        <w:tc>
          <w:tcPr>
            <w:tcW w:w="4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416.86</w:t>
            </w:r>
          </w:p>
        </w:tc>
        <w:tc>
          <w:tcPr>
            <w:tcW w:w="80" w:type="dxa"/>
            <w:vAlign w:val="bottom"/>
          </w:tcPr>
          <w:p>
            <w:pPr>
              <w:spacing w:after="0"/>
              <w:rPr>
                <w:sz w:val="14"/>
                <w:szCs w:val="14"/>
                <w:color w:val="auto"/>
              </w:rPr>
            </w:pP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63.44</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162.98</w:t>
            </w:r>
          </w:p>
        </w:tc>
      </w:tr>
      <w:tr>
        <w:trPr>
          <w:trHeight w:val="172"/>
        </w:trPr>
        <w:tc>
          <w:tcPr>
            <w:tcW w:w="4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Prior escalated rent</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95.14</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448.73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60.94</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128.30</w:t>
            </w:r>
          </w:p>
        </w:tc>
      </w:tr>
      <w:tr>
        <w:trPr>
          <w:trHeight w:val="170"/>
        </w:trPr>
        <w:tc>
          <w:tcPr>
            <w:tcW w:w="40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Percentage increase (decrease)</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16.8 %</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27.0 %</w:t>
            </w:r>
          </w:p>
        </w:tc>
      </w:tr>
      <w:tr>
        <w:trPr>
          <w:trHeight w:val="175"/>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Tenant improvements and leasing commissions: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0"/>
        </w:trPr>
        <w:tc>
          <w:tcPr>
            <w:tcW w:w="40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Per square foot</w:t>
            </w:r>
          </w:p>
        </w:tc>
        <w:tc>
          <w:tcPr>
            <w:tcW w:w="1060" w:type="dxa"/>
            <w:vAlign w:val="bottom"/>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132.02</w:t>
            </w:r>
          </w:p>
        </w:tc>
        <w:tc>
          <w:tcPr>
            <w:tcW w:w="60" w:type="dxa"/>
            <w:vAlign w:val="bottom"/>
          </w:tcPr>
          <w:p>
            <w:pPr>
              <w:spacing w:after="0"/>
              <w:rPr>
                <w:sz w:val="14"/>
                <w:szCs w:val="14"/>
                <w:color w:val="auto"/>
              </w:rPr>
            </w:pPr>
          </w:p>
        </w:tc>
        <w:tc>
          <w:tcPr>
            <w:tcW w:w="46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109.17</w:t>
            </w:r>
          </w:p>
        </w:tc>
        <w:tc>
          <w:tcPr>
            <w:tcW w:w="80" w:type="dxa"/>
            <w:vAlign w:val="bottom"/>
          </w:tcPr>
          <w:p>
            <w:pPr>
              <w:spacing w:after="0"/>
              <w:rPr>
                <w:sz w:val="14"/>
                <w:szCs w:val="14"/>
                <w:color w:val="auto"/>
              </w:rPr>
            </w:pP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78.54</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166.95</w:t>
            </w:r>
          </w:p>
        </w:tc>
      </w:tr>
      <w:tr>
        <w:trPr>
          <w:trHeight w:val="175"/>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Per square foot per annum</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14.83</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19.49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12.08</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17.95</w:t>
            </w:r>
          </w:p>
        </w:tc>
      </w:tr>
      <w:tr>
        <w:trPr>
          <w:trHeight w:val="167"/>
        </w:trPr>
        <w:tc>
          <w:tcPr>
            <w:tcW w:w="40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Percentage of initial rent</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13.1 %</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12.1 %</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w:t>
      </w:r>
    </w:p>
    <w:p>
      <w:pPr>
        <w:spacing w:after="0" w:line="17" w:lineRule="exact"/>
        <w:rPr>
          <w:sz w:val="20"/>
          <w:szCs w:val="20"/>
          <w:color w:val="auto"/>
        </w:rPr>
      </w:pPr>
    </w:p>
    <w:p>
      <w:pPr>
        <w:ind w:left="260" w:hanging="254"/>
        <w:spacing w:after="0" w:line="273" w:lineRule="auto"/>
        <w:tabs>
          <w:tab w:leader="none" w:pos="254" w:val="left"/>
        </w:tabs>
        <w:numPr>
          <w:ilvl w:val="0"/>
          <w:numId w:val="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Represents the cash basis weighted average starting rent per square foot, which is generally indicative of market rents. Most leases include free rent and periodic step-ups in rent which are not included in the initial cash basis rent per square foot but are included in the GAAP basis straight-line rent per square foot.</w:t>
      </w:r>
    </w:p>
    <w:p>
      <w:pPr>
        <w:ind w:left="260" w:hanging="254"/>
        <w:spacing w:after="0"/>
        <w:tabs>
          <w:tab w:leader="none" w:pos="260" w:val="left"/>
        </w:tabs>
        <w:numPr>
          <w:ilvl w:val="0"/>
          <w:numId w:val="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Represents the GAAP basis weighted average rent per square foot that is recognized over the term of the respective leases and includes the effect of free rent and periodic step-ups in rent.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Occupancy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(At Vornado's share)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New York</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1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ind w:left="480"/>
              <w:spacing w:after="0" w:line="168" w:lineRule="exact"/>
              <w:rPr>
                <w:sz w:val="20"/>
                <w:szCs w:val="20"/>
                <w:color w:val="auto"/>
              </w:rPr>
            </w:pPr>
            <w:r>
              <w:rPr>
                <w:rFonts w:ascii="Times New Roman" w:cs="Times New Roman" w:eastAsia="Times New Roman" w:hAnsi="Times New Roman"/>
                <w:sz w:val="13"/>
                <w:szCs w:val="13"/>
                <w:b w:val="1"/>
                <w:bCs w:val="1"/>
                <w:color w:val="auto"/>
                <w:w w:val="99"/>
              </w:rPr>
              <w:t>Total</w:t>
            </w:r>
            <w:r>
              <w:rPr>
                <w:rFonts w:ascii="Times New Roman" w:cs="Times New Roman" w:eastAsia="Times New Roman" w:hAnsi="Times New Roman"/>
                <w:sz w:val="16"/>
                <w:szCs w:val="16"/>
                <w:b w:val="1"/>
                <w:bCs w:val="1"/>
                <w:color w:val="auto"/>
                <w:w w:val="99"/>
                <w:vertAlign w:val="superscript"/>
              </w:rPr>
              <w:t>(1)</w:t>
            </w:r>
          </w:p>
        </w:tc>
        <w:tc>
          <w:tcPr>
            <w:tcW w:w="4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Office</w:t>
            </w:r>
          </w:p>
        </w:tc>
        <w:tc>
          <w:tcPr>
            <w:tcW w:w="80" w:type="dxa"/>
            <w:vAlign w:val="bottom"/>
            <w:tcBorders>
              <w:top w:val="single" w:sz="8" w:color="auto"/>
              <w:bottom w:val="single" w:sz="8" w:color="CCEEFF"/>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THE MART</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r>
      <w:tr>
        <w:trPr>
          <w:trHeight w:val="16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Occupancy as of September 30, 2026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91.5 %</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93.0 %</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79.5 %</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87.5 %</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w:t>
      </w:r>
    </w:p>
    <w:p>
      <w:pPr>
        <w:spacing w:after="0" w:line="39"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Total includes office, retail and residential.</w:t>
      </w:r>
    </w:p>
    <w:p>
      <w:pPr>
        <w:spacing w:after="0" w:line="370" w:lineRule="exact"/>
        <w:rPr>
          <w:sz w:val="20"/>
          <w:szCs w:val="20"/>
          <w:color w:val="auto"/>
        </w:rPr>
      </w:pPr>
    </w:p>
    <w:p>
      <w:pPr>
        <w:ind w:left="20"/>
        <w:spacing w:after="0"/>
        <w:tabs>
          <w:tab w:leader="none" w:pos="1062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6 OF 18</w:t>
      </w:r>
    </w:p>
    <w:p>
      <w:pPr>
        <w:sectPr>
          <w:pgSz w:w="11900" w:h="16838" w:orient="portrait"/>
          <w:cols w:equalWidth="0" w:num="1">
            <w:col w:w="11280"/>
          </w:cols>
          <w:pgMar w:left="300" w:top="682" w:right="31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4"/>
          <w:szCs w:val="14"/>
          <w:b w:val="1"/>
          <w:bCs w:val="1"/>
          <w:color w:val="auto"/>
        </w:rPr>
        <w:t>Same Store Net Operating Income ("NOI") (non-GAAP) At Share: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Same store NOI at share % increase (decrease)</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New York</w:t>
            </w:r>
            <w:r>
              <w:rPr>
                <w:rFonts w:ascii="Times New Roman" w:cs="Times New Roman" w:eastAsia="Times New Roman" w:hAnsi="Times New Roman"/>
                <w:sz w:val="16"/>
                <w:szCs w:val="16"/>
                <w:b w:val="1"/>
                <w:bCs w:val="1"/>
                <w:color w:val="auto"/>
                <w:vertAlign w:val="superscript"/>
              </w:rPr>
              <w:t>(2)</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THE MART</w:t>
            </w:r>
            <w:r>
              <w:rPr>
                <w:rFonts w:ascii="Times New Roman" w:cs="Times New Roman" w:eastAsia="Times New Roman" w:hAnsi="Times New Roman"/>
                <w:sz w:val="16"/>
                <w:szCs w:val="16"/>
                <w:b w:val="1"/>
                <w:bCs w:val="1"/>
                <w:color w:val="auto"/>
                <w:vertAlign w:val="superscript"/>
              </w:rPr>
              <w:t>(3)</w:t>
            </w:r>
          </w:p>
        </w:tc>
        <w:tc>
          <w:tcPr>
            <w:tcW w:w="15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r>
      <w:tr>
        <w:trPr>
          <w:trHeight w:val="163"/>
        </w:trPr>
        <w:tc>
          <w:tcPr>
            <w:tcW w:w="5920" w:type="dxa"/>
            <w:vAlign w:val="bottom"/>
            <w:tcBorders>
              <w:top w:val="single" w:sz="8" w:color="CCEEFF"/>
            </w:tcBorders>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Three months ended September 30, 2026 compared to September 30, 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10.2 %</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80" w:type="dxa"/>
            <w:vAlign w:val="bottom"/>
            <w:tcBorders>
              <w:top w:val="single" w:sz="8" w:color="auto"/>
            </w:tcBorders>
            <w:shd w:val="clear" w:color="auto" w:fill="CCEEFF"/>
          </w:tcPr>
          <w:p>
            <w:pPr>
              <w:spacing w:after="0"/>
              <w:rPr>
                <w:sz w:val="14"/>
                <w:szCs w:val="14"/>
                <w:color w:val="auto"/>
              </w:rPr>
            </w:pPr>
          </w:p>
        </w:tc>
      </w:tr>
      <w:tr>
        <w:trPr>
          <w:trHeight w:val="170"/>
        </w:trPr>
        <w:tc>
          <w:tcPr>
            <w:tcW w:w="5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Nine months ended September 30, 2026 compared to September 30,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80" w:type="dxa"/>
            <w:vAlign w:val="bottom"/>
          </w:tcPr>
          <w:p>
            <w:pPr>
              <w:spacing w:after="0"/>
              <w:rPr>
                <w:sz w:val="14"/>
                <w:szCs w:val="14"/>
                <w:color w:val="auto"/>
              </w:rPr>
            </w:pPr>
          </w:p>
        </w:tc>
      </w:tr>
      <w:tr>
        <w:trPr>
          <w:trHeight w:val="175"/>
        </w:trPr>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Three months ended September 30, 2026 compared to June 30, 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280" w:type="dxa"/>
            <w:vAlign w:val="bottom"/>
            <w:shd w:val="clear" w:color="auto" w:fill="CCEEFF"/>
          </w:tcPr>
          <w:p>
            <w:pPr>
              <w:spacing w:after="0"/>
              <w:rPr>
                <w:sz w:val="15"/>
                <w:szCs w:val="15"/>
                <w:color w:val="auto"/>
              </w:rPr>
            </w:pPr>
          </w:p>
        </w:tc>
      </w:tr>
      <w:tr>
        <w:trPr>
          <w:trHeight w:val="215"/>
        </w:trPr>
        <w:tc>
          <w:tcPr>
            <w:tcW w:w="5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Same store NOI at share - cash basis % increase (decrease)</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color w:val="auto"/>
              </w:rPr>
              <w: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72"/>
        </w:trPr>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Three months ended September 30, 2026 compared to September 30,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16.3 %</w:t>
            </w:r>
          </w:p>
        </w:tc>
        <w:tc>
          <w:tcPr>
            <w:tcW w:w="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9"/>
                <w:szCs w:val="9"/>
                <w:b w:val="1"/>
                <w:bCs w:val="1"/>
                <w:color w:val="auto"/>
                <w:w w:val="94"/>
              </w:rPr>
              <w:t>(4)</w:t>
            </w:r>
          </w:p>
        </w:tc>
      </w:tr>
      <w:tr>
        <w:trPr>
          <w:trHeight w:val="170"/>
        </w:trPr>
        <w:tc>
          <w:tcPr>
            <w:tcW w:w="5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Nine months ended September 30, 2026 compared to September 30,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9"/>
                <w:szCs w:val="9"/>
                <w:b w:val="1"/>
                <w:bCs w:val="1"/>
                <w:color w:val="auto"/>
                <w:w w:val="94"/>
              </w:rPr>
              <w:t>(4)</w:t>
            </w:r>
          </w:p>
        </w:tc>
      </w:tr>
      <w:tr>
        <w:trPr>
          <w:trHeight w:val="175"/>
        </w:trPr>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Three months ended September 30, 2026 compared to June 30, 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35.1 %</w:t>
            </w:r>
          </w:p>
        </w:tc>
        <w:tc>
          <w:tcPr>
            <w:tcW w:w="280" w:type="dxa"/>
            <w:vAlign w:val="bottom"/>
            <w:shd w:val="clear" w:color="auto" w:fill="CCEEFF"/>
          </w:tcPr>
          <w:p>
            <w:pPr>
              <w:spacing w:after="0"/>
              <w:rPr>
                <w:sz w:val="15"/>
                <w:szCs w:val="15"/>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b w:val="1"/>
          <w:bCs w:val="1"/>
          <w:color w:val="auto"/>
        </w:rPr>
        <w:t>________________________________________</w:t>
      </w:r>
    </w:p>
    <w:p>
      <w:pPr>
        <w:spacing w:after="0" w:line="8"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See pages 13 through 18 for same store NOI at share and same store NOI at share - cash basis reconciliations.</w:t>
      </w:r>
    </w:p>
    <w:p>
      <w:pPr>
        <w:spacing w:after="0" w:line="13" w:lineRule="exact"/>
        <w:rPr>
          <w:rFonts w:ascii="Times New Roman" w:cs="Times New Roman" w:eastAsia="Times New Roman" w:hAnsi="Times New Roman"/>
          <w:sz w:val="11"/>
          <w:szCs w:val="11"/>
          <w:b w:val="1"/>
          <w:bCs w:val="1"/>
          <w:color w:val="auto"/>
        </w:rPr>
      </w:pPr>
    </w:p>
    <w:p>
      <w:pPr>
        <w:ind w:left="260" w:hanging="254"/>
        <w:spacing w:after="0" w:line="265" w:lineRule="auto"/>
        <w:tabs>
          <w:tab w:leader="none" w:pos="254" w:val="left"/>
        </w:tabs>
        <w:numPr>
          <w:ilvl w:val="0"/>
          <w:numId w:val="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Excluding the impact of the rent abatement provided to Bloomberg, which was offset by a corresponding reduction to Bloomberg’s tenant fund, New York same store NOI at share - cash basis increased by 8.4% and 7.1% for the three and nine months ended September 30, 2026, respectively, compared to the same periods in 2025.</w:t>
      </w:r>
    </w:p>
    <w:p>
      <w:pPr>
        <w:ind w:left="260" w:hanging="254"/>
        <w:spacing w:after="0"/>
        <w:tabs>
          <w:tab w:leader="none" w:pos="260" w:val="left"/>
        </w:tabs>
        <w:numPr>
          <w:ilvl w:val="0"/>
          <w:numId w:val="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The three months ended June 30, 2026 includes the impact of a reversal of a prior period tax accrual resulting from a property tax reassessment.</w:t>
      </w:r>
    </w:p>
    <w:p>
      <w:pPr>
        <w:spacing w:after="0" w:line="6" w:lineRule="exact"/>
        <w:rPr>
          <w:rFonts w:ascii="Times New Roman" w:cs="Times New Roman" w:eastAsia="Times New Roman" w:hAnsi="Times New Roman"/>
          <w:sz w:val="11"/>
          <w:szCs w:val="11"/>
          <w:b w:val="1"/>
          <w:bCs w:val="1"/>
          <w:color w:val="auto"/>
        </w:rPr>
      </w:pPr>
    </w:p>
    <w:p>
      <w:pPr>
        <w:ind w:left="260" w:hanging="254"/>
        <w:spacing w:after="0"/>
        <w:tabs>
          <w:tab w:leader="none" w:pos="260" w:val="left"/>
        </w:tabs>
        <w:numPr>
          <w:ilvl w:val="0"/>
          <w:numId w:val="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Variance in same store NOI at share vs. same store NOI at share - cash basis is primarily due to GAAP rent commencing on new leases with free rent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NOI At Share and NOI At Share - Cash Basis:</w:t>
      </w:r>
    </w:p>
    <w:p>
      <w:pPr>
        <w:spacing w:after="0" w:line="56" w:lineRule="exact"/>
        <w:rPr>
          <w:sz w:val="20"/>
          <w:szCs w:val="20"/>
          <w:color w:val="auto"/>
        </w:rPr>
      </w:pPr>
    </w:p>
    <w:p>
      <w:pPr>
        <w:ind w:firstLine="258"/>
        <w:spacing w:after="0" w:line="293" w:lineRule="auto"/>
        <w:rPr>
          <w:sz w:val="20"/>
          <w:szCs w:val="20"/>
          <w:color w:val="auto"/>
        </w:rPr>
      </w:pPr>
      <w:r>
        <w:rPr>
          <w:rFonts w:ascii="Times New Roman" w:cs="Times New Roman" w:eastAsia="Times New Roman" w:hAnsi="Times New Roman"/>
          <w:sz w:val="14"/>
          <w:szCs w:val="14"/>
          <w:color w:val="auto"/>
        </w:rPr>
        <w:t>The elements of our New York and Other NOI at share and NOI at share - cash basis for the three and nine months ended September 30, 2026 and 2025 and the three months ended June 30, 2026 are summarized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4"/>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NOI at share:</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30, 2026</w:t>
            </w:r>
          </w:p>
        </w:tc>
        <w:tc>
          <w:tcPr>
            <w:tcW w:w="320" w:type="dxa"/>
            <w:vAlign w:val="bottom"/>
          </w:tcPr>
          <w:p>
            <w:pPr>
              <w:spacing w:after="0"/>
              <w:rPr>
                <w:sz w:val="14"/>
                <w:szCs w:val="14"/>
                <w:color w:val="auto"/>
              </w:rPr>
            </w:pPr>
          </w:p>
        </w:tc>
        <w:tc>
          <w:tcPr>
            <w:tcW w:w="1040" w:type="dxa"/>
            <w:vAlign w:val="bottom"/>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York:</w:t>
            </w:r>
          </w:p>
        </w:tc>
        <w:tc>
          <w:tcPr>
            <w:tcW w:w="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3"/>
                <w:szCs w:val="13"/>
                <w:color w:val="auto"/>
              </w:rPr>
              <w:t>Office (includes base retail)</w:t>
            </w:r>
            <w:r>
              <w:rPr>
                <w:rFonts w:ascii="Times New Roman" w:cs="Times New Roman" w:eastAsia="Times New Roman" w:hAnsi="Times New Roman"/>
                <w:sz w:val="16"/>
                <w:szCs w:val="16"/>
                <w:b w:val="1"/>
                <w:bCs w:val="1"/>
                <w:color w:val="auto"/>
                <w:vertAlign w:val="superscript"/>
              </w:rPr>
              <w:t>(1)(2)</w:t>
            </w:r>
          </w:p>
        </w:tc>
        <w:tc>
          <w:tcPr>
            <w:tcW w:w="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189,099</w:t>
            </w:r>
          </w:p>
        </w:tc>
        <w:tc>
          <w:tcPr>
            <w:tcW w:w="5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169,140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547,466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533,625</w:t>
            </w:r>
          </w:p>
        </w:tc>
        <w:tc>
          <w:tcPr>
            <w:tcW w:w="0" w:type="dxa"/>
            <w:vAlign w:val="bottom"/>
          </w:tcPr>
          <w:p>
            <w:pPr>
              <w:spacing w:after="0"/>
              <w:rPr>
                <w:sz w:val="1"/>
                <w:szCs w:val="1"/>
                <w:color w:val="auto"/>
              </w:rPr>
            </w:pPr>
          </w:p>
        </w:tc>
      </w:tr>
      <w:tr>
        <w:trPr>
          <w:trHeight w:val="172"/>
        </w:trPr>
        <w:tc>
          <w:tcPr>
            <w:tcW w:w="4040" w:type="dxa"/>
            <w:vAlign w:val="bottom"/>
          </w:tcPr>
          <w:p>
            <w:pPr>
              <w:ind w:left="120"/>
              <w:spacing w:after="0" w:line="172" w:lineRule="exact"/>
              <w:rPr>
                <w:sz w:val="20"/>
                <w:szCs w:val="20"/>
                <w:color w:val="auto"/>
              </w:rPr>
            </w:pPr>
            <w:r>
              <w:rPr>
                <w:rFonts w:ascii="Times New Roman" w:cs="Times New Roman" w:eastAsia="Times New Roman" w:hAnsi="Times New Roman"/>
                <w:sz w:val="13"/>
                <w:szCs w:val="13"/>
                <w:color w:val="auto"/>
              </w:rPr>
              <w:t>Street Retail</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43,775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52,533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131,837</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Residential</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19,011</w:t>
            </w:r>
          </w:p>
        </w:tc>
        <w:tc>
          <w:tcPr>
            <w:tcW w:w="0" w:type="dxa"/>
            <w:vAlign w:val="bottom"/>
          </w:tcPr>
          <w:p>
            <w:pPr>
              <w:spacing w:after="0"/>
              <w:rPr>
                <w:sz w:val="1"/>
                <w:szCs w:val="1"/>
                <w:color w:val="auto"/>
              </w:rPr>
            </w:pPr>
          </w:p>
        </w:tc>
      </w:tr>
      <w:tr>
        <w:trPr>
          <w:trHeight w:val="172"/>
        </w:trPr>
        <w:tc>
          <w:tcPr>
            <w:tcW w:w="4040" w:type="dxa"/>
            <w:vAlign w:val="bottom"/>
            <w:tcBorders>
              <w:bottom w:val="single" w:sz="8" w:color="CCEEFF"/>
            </w:tcBorders>
          </w:tcPr>
          <w:p>
            <w:pPr>
              <w:ind w:left="120"/>
              <w:spacing w:after="0" w:line="172" w:lineRule="exact"/>
              <w:rPr>
                <w:sz w:val="20"/>
                <w:szCs w:val="20"/>
                <w:color w:val="auto"/>
              </w:rPr>
            </w:pPr>
            <w:r>
              <w:rPr>
                <w:rFonts w:ascii="Times New Roman" w:cs="Times New Roman" w:eastAsia="Times New Roman" w:hAnsi="Times New Roman"/>
                <w:sz w:val="13"/>
                <w:szCs w:val="13"/>
                <w:color w:val="auto"/>
              </w:rPr>
              <w:t>Alexander's</w:t>
            </w:r>
            <w:r>
              <w:rPr>
                <w:rFonts w:ascii="Times New Roman" w:cs="Times New Roman" w:eastAsia="Times New Roman" w:hAnsi="Times New Roman"/>
                <w:sz w:val="16"/>
                <w:szCs w:val="16"/>
                <w:b w:val="1"/>
                <w:bCs w:val="1"/>
                <w:color w:val="auto"/>
                <w:vertAlign w:val="superscript"/>
              </w:rPr>
              <w:t>(3)</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14,970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8,770</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31,940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26,594</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New York</w:t>
            </w:r>
          </w:p>
        </w:tc>
        <w:tc>
          <w:tcPr>
            <w:tcW w:w="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228,142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251,698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748,867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711,067</w:t>
            </w:r>
          </w:p>
        </w:tc>
        <w:tc>
          <w:tcPr>
            <w:tcW w:w="0" w:type="dxa"/>
            <w:vAlign w:val="bottom"/>
          </w:tcPr>
          <w:p>
            <w:pPr>
              <w:spacing w:after="0"/>
              <w:rPr>
                <w:sz w:val="1"/>
                <w:szCs w:val="1"/>
                <w:color w:val="auto"/>
              </w:rPr>
            </w:pPr>
          </w:p>
        </w:tc>
      </w:tr>
      <w:tr>
        <w:trPr>
          <w:trHeight w:val="150"/>
        </w:trPr>
        <w:tc>
          <w:tcPr>
            <w:tcW w:w="40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3"/>
                <w:szCs w:val="13"/>
                <w:color w:val="auto"/>
              </w:rPr>
              <w:t>THE MART</w:t>
            </w:r>
            <w:r>
              <w:rPr>
                <w:rFonts w:ascii="Times New Roman" w:cs="Times New Roman" w:eastAsia="Times New Roman" w:hAnsi="Times New Roman"/>
                <w:sz w:val="16"/>
                <w:szCs w:val="16"/>
                <w:b w:val="1"/>
                <w:bCs w:val="1"/>
                <w:color w:val="auto"/>
                <w:vertAlign w:val="superscript"/>
              </w:rPr>
              <w:t>(4)</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57,137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54,388</w:t>
            </w:r>
          </w:p>
        </w:tc>
        <w:tc>
          <w:tcPr>
            <w:tcW w:w="0" w:type="dxa"/>
            <w:vAlign w:val="bottom"/>
          </w:tcPr>
          <w:p>
            <w:pPr>
              <w:spacing w:after="0"/>
              <w:rPr>
                <w:sz w:val="1"/>
                <w:szCs w:val="1"/>
                <w:color w:val="auto"/>
              </w:rPr>
            </w:pPr>
          </w:p>
        </w:tc>
      </w:tr>
      <w:tr>
        <w:trPr>
          <w:trHeight w:val="170"/>
        </w:trPr>
        <w:tc>
          <w:tcPr>
            <w:tcW w:w="4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555 California Street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44,332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53,822</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investments</w:t>
            </w:r>
          </w:p>
        </w:tc>
        <w:tc>
          <w:tcPr>
            <w:tcW w:w="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25,905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18,362</w:t>
            </w:r>
          </w:p>
        </w:tc>
        <w:tc>
          <w:tcPr>
            <w:tcW w:w="0" w:type="dxa"/>
            <w:vAlign w:val="bottom"/>
          </w:tcPr>
          <w:p>
            <w:pPr>
              <w:spacing w:after="0"/>
              <w:rPr>
                <w:sz w:val="1"/>
                <w:szCs w:val="1"/>
                <w:color w:val="auto"/>
              </w:rPr>
            </w:pPr>
          </w:p>
        </w:tc>
      </w:tr>
      <w:tr>
        <w:trPr>
          <w:trHeight w:val="160"/>
        </w:trPr>
        <w:tc>
          <w:tcPr>
            <w:tcW w:w="4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Other</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39,434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38,534</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52,366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127,374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126,572</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w:t>
            </w:r>
          </w:p>
        </w:tc>
        <w:tc>
          <w:tcPr>
            <w:tcW w:w="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300,054</w:t>
            </w:r>
          </w:p>
        </w:tc>
        <w:tc>
          <w:tcPr>
            <w:tcW w:w="5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266,676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304,064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876,241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837,639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NOI at share - cash basis: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York:</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3"/>
                <w:szCs w:val="13"/>
                <w:color w:val="auto"/>
              </w:rPr>
              <w:t>Office (includes base retail)</w:t>
            </w:r>
            <w:r>
              <w:rPr>
                <w:rFonts w:ascii="Times New Roman" w:cs="Times New Roman" w:eastAsia="Times New Roman" w:hAnsi="Times New Roman"/>
                <w:sz w:val="16"/>
                <w:szCs w:val="16"/>
                <w:b w:val="1"/>
                <w:bCs w:val="1"/>
                <w:color w:val="auto"/>
                <w:vertAlign w:val="superscript"/>
              </w:rPr>
              <w:t>(1)(2)(5)</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155,305</w:t>
            </w:r>
          </w:p>
        </w:tc>
        <w:tc>
          <w:tcPr>
            <w:tcW w:w="5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142,751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155,899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463,167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436,265</w:t>
            </w:r>
          </w:p>
        </w:tc>
        <w:tc>
          <w:tcPr>
            <w:tcW w:w="0" w:type="dxa"/>
            <w:vAlign w:val="bottom"/>
          </w:tcPr>
          <w:p>
            <w:pPr>
              <w:spacing w:after="0"/>
              <w:rPr>
                <w:sz w:val="1"/>
                <w:szCs w:val="1"/>
                <w:color w:val="auto"/>
              </w:rPr>
            </w:pPr>
          </w:p>
        </w:tc>
      </w:tr>
      <w:tr>
        <w:trPr>
          <w:trHeight w:val="172"/>
        </w:trPr>
        <w:tc>
          <w:tcPr>
            <w:tcW w:w="4040" w:type="dxa"/>
            <w:vAlign w:val="bottom"/>
          </w:tcPr>
          <w:p>
            <w:pPr>
              <w:ind w:left="120"/>
              <w:spacing w:after="0" w:line="172" w:lineRule="exact"/>
              <w:rPr>
                <w:sz w:val="20"/>
                <w:szCs w:val="20"/>
                <w:color w:val="auto"/>
              </w:rPr>
            </w:pPr>
            <w:r>
              <w:rPr>
                <w:rFonts w:ascii="Times New Roman" w:cs="Times New Roman" w:eastAsia="Times New Roman" w:hAnsi="Times New Roman"/>
                <w:sz w:val="13"/>
                <w:szCs w:val="13"/>
                <w:color w:val="auto"/>
              </w:rPr>
              <w:t>Street Retail</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40,169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135,391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124,622</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Residential</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17,827</w:t>
            </w:r>
          </w:p>
        </w:tc>
        <w:tc>
          <w:tcPr>
            <w:tcW w:w="0" w:type="dxa"/>
            <w:vAlign w:val="bottom"/>
          </w:tcPr>
          <w:p>
            <w:pPr>
              <w:spacing w:after="0"/>
              <w:rPr>
                <w:sz w:val="1"/>
                <w:szCs w:val="1"/>
                <w:color w:val="auto"/>
              </w:rPr>
            </w:pPr>
          </w:p>
        </w:tc>
      </w:tr>
      <w:tr>
        <w:trPr>
          <w:trHeight w:val="172"/>
        </w:trPr>
        <w:tc>
          <w:tcPr>
            <w:tcW w:w="4040" w:type="dxa"/>
            <w:vAlign w:val="bottom"/>
            <w:tcBorders>
              <w:bottom w:val="single" w:sz="8" w:color="CCEEFF"/>
            </w:tcBorders>
          </w:tcPr>
          <w:p>
            <w:pPr>
              <w:ind w:left="120"/>
              <w:spacing w:after="0" w:line="172" w:lineRule="exact"/>
              <w:rPr>
                <w:sz w:val="20"/>
                <w:szCs w:val="20"/>
                <w:color w:val="auto"/>
              </w:rPr>
            </w:pPr>
            <w:r>
              <w:rPr>
                <w:rFonts w:ascii="Times New Roman" w:cs="Times New Roman" w:eastAsia="Times New Roman" w:hAnsi="Times New Roman"/>
                <w:sz w:val="13"/>
                <w:szCs w:val="13"/>
                <w:color w:val="auto"/>
              </w:rPr>
              <w:t>Alexander's</w:t>
            </w:r>
            <w:r>
              <w:rPr>
                <w:rFonts w:ascii="Times New Roman" w:cs="Times New Roman" w:eastAsia="Times New Roman" w:hAnsi="Times New Roman"/>
                <w:sz w:val="16"/>
                <w:szCs w:val="16"/>
                <w:b w:val="1"/>
                <w:bCs w:val="1"/>
                <w:color w:val="auto"/>
                <w:vertAlign w:val="superscript"/>
              </w:rPr>
              <w:t>(3)(6)</w:t>
            </w: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22,933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29,391</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New York</w:t>
            </w:r>
          </w:p>
        </w:tc>
        <w:tc>
          <w:tcPr>
            <w:tcW w:w="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217,998</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198,418</w:t>
            </w: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214,957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641,484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608,105</w:t>
            </w:r>
          </w:p>
        </w:tc>
        <w:tc>
          <w:tcPr>
            <w:tcW w:w="0" w:type="dxa"/>
            <w:vAlign w:val="bottom"/>
          </w:tcPr>
          <w:p>
            <w:pPr>
              <w:spacing w:after="0"/>
              <w:rPr>
                <w:sz w:val="1"/>
                <w:szCs w:val="1"/>
                <w:color w:val="auto"/>
              </w:rPr>
            </w:pPr>
          </w:p>
        </w:tc>
      </w:tr>
      <w:tr>
        <w:trPr>
          <w:trHeight w:val="150"/>
        </w:trPr>
        <w:tc>
          <w:tcPr>
            <w:tcW w:w="40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3"/>
                <w:szCs w:val="13"/>
                <w:color w:val="auto"/>
              </w:rPr>
              <w:t>THE MART</w:t>
            </w:r>
            <w:r>
              <w:rPr>
                <w:rFonts w:ascii="Times New Roman" w:cs="Times New Roman" w:eastAsia="Times New Roman" w:hAnsi="Times New Roman"/>
                <w:sz w:val="16"/>
                <w:szCs w:val="16"/>
                <w:b w:val="1"/>
                <w:bCs w:val="1"/>
                <w:color w:val="auto"/>
                <w:vertAlign w:val="superscript"/>
              </w:rPr>
              <w:t>(4)</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13,267</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62,069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56,042</w:t>
            </w:r>
          </w:p>
        </w:tc>
        <w:tc>
          <w:tcPr>
            <w:tcW w:w="0" w:type="dxa"/>
            <w:vAlign w:val="bottom"/>
          </w:tcPr>
          <w:p>
            <w:pPr>
              <w:spacing w:after="0"/>
              <w:rPr>
                <w:sz w:val="1"/>
                <w:szCs w:val="1"/>
                <w:color w:val="auto"/>
              </w:rPr>
            </w:pPr>
          </w:p>
        </w:tc>
      </w:tr>
      <w:tr>
        <w:trPr>
          <w:trHeight w:val="170"/>
        </w:trPr>
        <w:tc>
          <w:tcPr>
            <w:tcW w:w="4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555 California Street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16,455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55,276</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investments</w:t>
            </w: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7,790</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17,597</w:t>
            </w:r>
          </w:p>
        </w:tc>
        <w:tc>
          <w:tcPr>
            <w:tcW w:w="0" w:type="dxa"/>
            <w:vAlign w:val="bottom"/>
          </w:tcPr>
          <w:p>
            <w:pPr>
              <w:spacing w:after="0"/>
              <w:rPr>
                <w:sz w:val="1"/>
                <w:szCs w:val="1"/>
                <w:color w:val="auto"/>
              </w:rPr>
            </w:pPr>
          </w:p>
        </w:tc>
      </w:tr>
      <w:tr>
        <w:trPr>
          <w:trHeight w:val="160"/>
        </w:trPr>
        <w:tc>
          <w:tcPr>
            <w:tcW w:w="4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Other</w:t>
            </w: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37,661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37,512</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48,226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118,415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128,915</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 cash basis</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255,659</w:t>
            </w:r>
          </w:p>
        </w:tc>
        <w:tc>
          <w:tcPr>
            <w:tcW w:w="5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235,930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759,899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737,020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_____________________________________</w:t>
      </w:r>
    </w:p>
    <w:p>
      <w:pPr>
        <w:spacing w:after="0" w:line="11" w:lineRule="exact"/>
        <w:rPr>
          <w:sz w:val="20"/>
          <w:szCs w:val="20"/>
          <w:color w:val="auto"/>
        </w:rPr>
      </w:pPr>
    </w:p>
    <w:p>
      <w:pPr>
        <w:jc w:val="both"/>
        <w:ind w:left="260" w:hanging="254"/>
        <w:spacing w:after="0" w:line="263" w:lineRule="auto"/>
        <w:tabs>
          <w:tab w:leader="none" w:pos="254" w:val="left"/>
        </w:tabs>
        <w:numPr>
          <w:ilvl w:val="0"/>
          <w:numId w:val="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During the first quarter of 2026, we reclassified retail assets located at the base of our office buildings from the retail subsegment to the office subsegment. The retail subsegment was renamed “Street Retail” and now comprises standalone retail properties and mixed-use assets with prominent retail components, including related signage, with a concentration on High Streets such as Fifth Avenue, Madison Avenue and Times Square. Prior period balances have been reclassified to conform to current period presentation. This change applies only to net operating income; all other operating metrics, including occupancy, leasing activity, and lease expirations continue to be presented based on space type.</w:t>
      </w:r>
    </w:p>
    <w:p>
      <w:pPr>
        <w:spacing w:after="0" w:line="1" w:lineRule="exact"/>
        <w:rPr>
          <w:rFonts w:ascii="Times New Roman" w:cs="Times New Roman" w:eastAsia="Times New Roman" w:hAnsi="Times New Roman"/>
          <w:sz w:val="11"/>
          <w:szCs w:val="11"/>
          <w:b w:val="1"/>
          <w:bCs w:val="1"/>
          <w:color w:val="auto"/>
        </w:rPr>
      </w:pPr>
    </w:p>
    <w:p>
      <w:pPr>
        <w:ind w:left="260" w:hanging="254"/>
        <w:spacing w:after="0" w:line="265" w:lineRule="auto"/>
        <w:tabs>
          <w:tab w:leader="none" w:pos="254" w:val="left"/>
        </w:tabs>
        <w:numPr>
          <w:ilvl w:val="0"/>
          <w:numId w:val="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Includes Building Maintenance Services NOI of $4,931, $6,985, $7,306, $22,407 and $21,505 for the three months ended September 30, 2026 and 2025 and June 30, 2026 and the nine months ended September 30, 2026 and 2025, respectively.</w:t>
      </w:r>
    </w:p>
    <w:p>
      <w:pPr>
        <w:spacing w:after="0" w:line="140" w:lineRule="exact"/>
        <w:rPr>
          <w:rFonts w:ascii="Times New Roman" w:cs="Times New Roman" w:eastAsia="Times New Roman" w:hAnsi="Times New Roman"/>
          <w:sz w:val="11"/>
          <w:szCs w:val="11"/>
          <w:b w:val="1"/>
          <w:bCs w:val="1"/>
          <w:color w:val="auto"/>
        </w:rPr>
      </w:pPr>
    </w:p>
    <w:p>
      <w:pPr>
        <w:ind w:left="260" w:hanging="254"/>
        <w:spacing w:after="0"/>
        <w:tabs>
          <w:tab w:leader="none" w:pos="260" w:val="left"/>
        </w:tabs>
        <w:numPr>
          <w:ilvl w:val="0"/>
          <w:numId w:val="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The three and nine months ended September 30, 2026 include termination income at Rego Park shopping center.</w:t>
      </w:r>
    </w:p>
    <w:p>
      <w:pPr>
        <w:spacing w:after="0" w:line="6" w:lineRule="exact"/>
        <w:rPr>
          <w:rFonts w:ascii="Times New Roman" w:cs="Times New Roman" w:eastAsia="Times New Roman" w:hAnsi="Times New Roman"/>
          <w:sz w:val="11"/>
          <w:szCs w:val="11"/>
          <w:b w:val="1"/>
          <w:bCs w:val="1"/>
          <w:color w:val="auto"/>
        </w:rPr>
      </w:pPr>
    </w:p>
    <w:p>
      <w:pPr>
        <w:ind w:left="260" w:hanging="254"/>
        <w:spacing w:after="0"/>
        <w:tabs>
          <w:tab w:leader="none" w:pos="260" w:val="left"/>
        </w:tabs>
        <w:numPr>
          <w:ilvl w:val="0"/>
          <w:numId w:val="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The three months ended June 30, 2026 includes the impact of a reversal of a prior period tax accrual resulting from a property tax reassessment.</w:t>
      </w:r>
    </w:p>
    <w:p>
      <w:pPr>
        <w:spacing w:after="0" w:line="9" w:lineRule="exact"/>
        <w:rPr>
          <w:rFonts w:ascii="Times New Roman" w:cs="Times New Roman" w:eastAsia="Times New Roman" w:hAnsi="Times New Roman"/>
          <w:sz w:val="11"/>
          <w:szCs w:val="11"/>
          <w:b w:val="1"/>
          <w:bCs w:val="1"/>
          <w:color w:val="auto"/>
        </w:rPr>
      </w:pPr>
    </w:p>
    <w:p>
      <w:pPr>
        <w:ind w:left="260" w:hanging="254"/>
        <w:spacing w:after="0"/>
        <w:tabs>
          <w:tab w:leader="none" w:pos="260" w:val="left"/>
        </w:tabs>
        <w:numPr>
          <w:ilvl w:val="0"/>
          <w:numId w:val="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The nine months ended September 30, 2025 includes the impact of the payment of $22,361 for prior period PENN 1 ground rent owed based on the rent reset determination.</w:t>
      </w:r>
    </w:p>
    <w:p>
      <w:pPr>
        <w:spacing w:after="0" w:line="13" w:lineRule="exact"/>
        <w:rPr>
          <w:rFonts w:ascii="Times New Roman" w:cs="Times New Roman" w:eastAsia="Times New Roman" w:hAnsi="Times New Roman"/>
          <w:sz w:val="11"/>
          <w:szCs w:val="11"/>
          <w:b w:val="1"/>
          <w:bCs w:val="1"/>
          <w:color w:val="auto"/>
        </w:rPr>
      </w:pPr>
    </w:p>
    <w:p>
      <w:pPr>
        <w:ind w:left="260" w:hanging="254"/>
        <w:spacing w:after="0" w:line="290" w:lineRule="auto"/>
        <w:tabs>
          <w:tab w:leader="none" w:pos="254" w:val="left"/>
        </w:tabs>
        <w:numPr>
          <w:ilvl w:val="0"/>
          <w:numId w:val="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2026 includes the impact of the lease amendment entered into between Alexander’s and Bloomberg L.P. (“Bloomberg”), which provided Bloomberg with a rent abatement for the period of April 1, 2026 to December 1, 2026 with a corresponding reduction to Bloomberg’s tenant fund.</w:t>
      </w:r>
    </w:p>
    <w:p>
      <w:pPr>
        <w:spacing w:after="0" w:line="280" w:lineRule="exact"/>
        <w:rPr>
          <w:sz w:val="20"/>
          <w:szCs w:val="20"/>
          <w:color w:val="auto"/>
        </w:rPr>
      </w:pPr>
    </w:p>
    <w:p>
      <w:pPr>
        <w:ind w:left="20"/>
        <w:spacing w:after="0"/>
        <w:tabs>
          <w:tab w:leader="none" w:pos="1062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7 OF 18</w:t>
      </w:r>
    </w:p>
    <w:p>
      <w:pPr>
        <w:sectPr>
          <w:pgSz w:w="11900" w:h="16838" w:orient="portrait"/>
          <w:cols w:equalWidth="0" w:num="1">
            <w:col w:w="11280"/>
          </w:cols>
          <w:pgMar w:left="300" w:top="75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Active Development/Redevelopment Summary as of September 30, 2026: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(Amounts in thousands, except square feet)</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center"/>
              <w:ind w:right="483"/>
              <w:spacing w:after="0"/>
              <w:rPr>
                <w:sz w:val="20"/>
                <w:szCs w:val="20"/>
                <w:color w:val="auto"/>
              </w:rPr>
            </w:pPr>
            <w:r>
              <w:rPr>
                <w:rFonts w:ascii="Times New Roman" w:cs="Times New Roman" w:eastAsia="Times New Roman" w:hAnsi="Times New Roman"/>
                <w:sz w:val="11"/>
                <w:szCs w:val="11"/>
                <w:b w:val="1"/>
                <w:bCs w:val="1"/>
                <w:color w:val="auto"/>
              </w:rPr>
              <w:t>(at Vornado’s share)</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3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96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Property</w:t>
            </w:r>
          </w:p>
        </w:tc>
        <w:tc>
          <w:tcPr>
            <w:tcW w:w="120" w:type="dxa"/>
            <w:vAlign w:val="bottom"/>
          </w:tcPr>
          <w:p>
            <w:pPr>
              <w:spacing w:after="0"/>
              <w:rPr>
                <w:sz w:val="8"/>
                <w:szCs w:val="8"/>
                <w:color w:val="auto"/>
              </w:rPr>
            </w:pPr>
          </w:p>
        </w:tc>
        <w:tc>
          <w:tcPr>
            <w:tcW w:w="8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 Project</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Cash Equity</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3"/>
            <w:vMerge w:val="restart"/>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rPr>
              <w:t>Cash Equity</w:t>
            </w:r>
          </w:p>
        </w:tc>
        <w:tc>
          <w:tcPr>
            <w:tcW w:w="86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Cash Equity</w:t>
            </w:r>
          </w:p>
        </w:tc>
        <w:tc>
          <w:tcPr>
            <w:tcW w:w="100" w:type="dxa"/>
            <w:vAlign w:val="bottom"/>
          </w:tcPr>
          <w:p>
            <w:pPr>
              <w:spacing w:after="0"/>
              <w:rPr>
                <w:sz w:val="8"/>
                <w:szCs w:val="8"/>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Projected Leasing</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Projected Unlevered</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Active Development Projects:</w:t>
            </w:r>
          </w:p>
        </w:tc>
        <w:tc>
          <w:tcPr>
            <w:tcW w:w="96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Rentable</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00" w:type="dxa"/>
            <w:vAlign w:val="bottom"/>
            <w:gridSpan w:val="2"/>
            <w:vMerge w:val="continue"/>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Sq. Ft.</w:t>
            </w:r>
          </w:p>
        </w:tc>
        <w:tc>
          <w:tcPr>
            <w:tcW w:w="120" w:type="dxa"/>
            <w:vAlign w:val="bottom"/>
          </w:tcPr>
          <w:p>
            <w:pPr>
              <w:spacing w:after="0"/>
              <w:rPr>
                <w:sz w:val="13"/>
                <w:szCs w:val="13"/>
                <w:color w:val="auto"/>
              </w:rPr>
            </w:pPr>
          </w:p>
        </w:tc>
        <w:tc>
          <w:tcPr>
            <w:tcW w:w="8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Budget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Obligation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rPr>
              <w:t>Funded to Date</w:t>
            </w:r>
          </w:p>
        </w:tc>
        <w:tc>
          <w:tcPr>
            <w:tcW w:w="86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Stabilization Year</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Cash Yield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Park Avenue (36.1% interest)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1,900,000</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2,134,000</w:t>
            </w:r>
          </w:p>
        </w:tc>
        <w:tc>
          <w:tcPr>
            <w:tcW w:w="260" w:type="dxa"/>
            <w:vAlign w:val="bottom"/>
            <w:tcBorders>
              <w:top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97"/>
              </w:rPr>
              <w:t>(1)</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290,000</w:t>
            </w:r>
          </w:p>
        </w:tc>
        <w:tc>
          <w:tcPr>
            <w:tcW w:w="260" w:type="dxa"/>
            <w:vAlign w:val="bottom"/>
            <w:tcBorders>
              <w:top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97"/>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290,000</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2030</w:t>
            </w:r>
          </w:p>
        </w:tc>
        <w:tc>
          <w:tcPr>
            <w:tcW w:w="1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9.2%</w:t>
            </w:r>
          </w:p>
        </w:tc>
        <w:tc>
          <w:tcPr>
            <w:tcW w:w="260" w:type="dxa"/>
            <w:vAlign w:val="bottom"/>
            <w:tcBorders>
              <w:top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97"/>
              </w:rPr>
              <w:t>(3)</w:t>
            </w:r>
          </w:p>
        </w:tc>
        <w:tc>
          <w:tcPr>
            <w:tcW w:w="0" w:type="dxa"/>
            <w:vAlign w:val="bottom"/>
          </w:tcPr>
          <w:p>
            <w:pPr>
              <w:spacing w:after="0"/>
              <w:rPr>
                <w:sz w:val="1"/>
                <w:szCs w:val="1"/>
                <w:color w:val="auto"/>
              </w:rPr>
            </w:pPr>
          </w:p>
        </w:tc>
      </w:tr>
      <w:tr>
        <w:trPr>
          <w:trHeight w:val="148"/>
        </w:trPr>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Fifth Avenue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450,000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254,269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195,731</w:t>
            </w:r>
          </w:p>
        </w:tc>
        <w:tc>
          <w:tcPr>
            <w:tcW w:w="11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2028</w:t>
            </w:r>
          </w:p>
        </w:tc>
        <w:tc>
          <w:tcPr>
            <w:tcW w:w="140" w:type="dxa"/>
            <w:vAlign w:val="bottom"/>
          </w:tcPr>
          <w:p>
            <w:pPr>
              <w:spacing w:after="0"/>
              <w:rPr>
                <w:sz w:val="12"/>
                <w:szCs w:val="12"/>
                <w:color w:val="auto"/>
              </w:rPr>
            </w:pPr>
          </w:p>
        </w:tc>
        <w:tc>
          <w:tcPr>
            <w:tcW w:w="106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rPr>
              <w:t>10.1%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w:t>
      </w:r>
    </w:p>
    <w:p>
      <w:pPr>
        <w:spacing w:after="0" w:line="11"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Includes our land contribution and is net of development fees and reimbursements paid to Vornado.</w:t>
      </w:r>
    </w:p>
    <w:p>
      <w:pPr>
        <w:spacing w:after="0" w:line="16" w:lineRule="exact"/>
        <w:rPr>
          <w:rFonts w:ascii="Times New Roman" w:cs="Times New Roman" w:eastAsia="Times New Roman" w:hAnsi="Times New Roman"/>
          <w:sz w:val="11"/>
          <w:szCs w:val="11"/>
          <w:b w:val="1"/>
          <w:bCs w:val="1"/>
          <w:color w:val="auto"/>
        </w:rPr>
      </w:pPr>
    </w:p>
    <w:p>
      <w:pPr>
        <w:ind w:left="260" w:hanging="254"/>
        <w:spacing w:after="0"/>
        <w:tabs>
          <w:tab w:leader="none" w:pos="260" w:val="left"/>
        </w:tabs>
        <w:numPr>
          <w:ilvl w:val="0"/>
          <w:numId w:val="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Calculated as our $2.134 billion share of the projected budget less our share of (i) construction financing, (ii) preferred equity and (iii) our net land contribution.</w:t>
      </w:r>
    </w:p>
    <w:p>
      <w:pPr>
        <w:spacing w:after="0" w:line="6" w:lineRule="exact"/>
        <w:rPr>
          <w:rFonts w:ascii="Times New Roman" w:cs="Times New Roman" w:eastAsia="Times New Roman" w:hAnsi="Times New Roman"/>
          <w:sz w:val="11"/>
          <w:szCs w:val="11"/>
          <w:b w:val="1"/>
          <w:bCs w:val="1"/>
          <w:color w:val="auto"/>
        </w:rPr>
      </w:pPr>
    </w:p>
    <w:p>
      <w:pPr>
        <w:ind w:left="260" w:hanging="254"/>
        <w:spacing w:after="0"/>
        <w:tabs>
          <w:tab w:leader="none" w:pos="260" w:val="left"/>
        </w:tabs>
        <w:numPr>
          <w:ilvl w:val="0"/>
          <w:numId w:val="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Includes management fee income paid to Vornado.</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1"/>
          <w:szCs w:val="11"/>
          <w:color w:val="auto"/>
        </w:rPr>
        <w:t>There can be no assurance that the above projects will be completed, completed on schedule or within budget. In addition, there can be no assurance that the Company will be successful in leasing the properties on the expected schedule or at the assumed rental rates.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Conference Call and Audio Webcast</w:t>
      </w:r>
    </w:p>
    <w:p>
      <w:pPr>
        <w:spacing w:after="0" w:line="29" w:lineRule="exact"/>
        <w:rPr>
          <w:sz w:val="20"/>
          <w:szCs w:val="20"/>
          <w:color w:val="auto"/>
        </w:rPr>
      </w:pPr>
    </w:p>
    <w:p>
      <w:pPr>
        <w:jc w:val="both"/>
        <w:ind w:firstLine="258"/>
        <w:spacing w:after="0" w:line="264" w:lineRule="auto"/>
        <w:rPr>
          <w:sz w:val="20"/>
          <w:szCs w:val="20"/>
          <w:color w:val="auto"/>
        </w:rPr>
      </w:pPr>
      <w:r>
        <w:rPr>
          <w:rFonts w:ascii="Times New Roman" w:cs="Times New Roman" w:eastAsia="Times New Roman" w:hAnsi="Times New Roman"/>
          <w:sz w:val="14"/>
          <w:szCs w:val="14"/>
          <w:color w:val="auto"/>
        </w:rPr>
        <w:t xml:space="preserve">As previously announced, the Company will host a quarterly earnings conference call and an audio webcast on Tuesday, November 3, 2026 at 10:00 a.m. Eastern Time (ET). The conference call can be accessed by dialing 888-317-6003 (domestic) or 412-317-6061 (international) and entering the passcode 1575596. A live webcast of the conference call will be available on Vornado’s website at </w:t>
      </w:r>
      <w:r>
        <w:rPr>
          <w:rFonts w:ascii="Times New Roman" w:cs="Times New Roman" w:eastAsia="Times New Roman" w:hAnsi="Times New Roman"/>
          <w:sz w:val="14"/>
          <w:szCs w:val="14"/>
          <w:u w:val="single" w:color="auto"/>
          <w:color w:val="auto"/>
        </w:rPr>
        <w:t>www.vno.com</w:t>
      </w:r>
      <w:r>
        <w:rPr>
          <w:rFonts w:ascii="Times New Roman" w:cs="Times New Roman" w:eastAsia="Times New Roman" w:hAnsi="Times New Roman"/>
          <w:sz w:val="14"/>
          <w:szCs w:val="14"/>
          <w:color w:val="auto"/>
        </w:rPr>
        <w:t xml:space="preserve"> in the Investor Relations section and an online playback of the webcast will be available on the website following the conference call.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Contact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Thomas J. Sanelli</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(212) 894-7000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Supplemental Data</w:t>
      </w:r>
    </w:p>
    <w:p>
      <w:pPr>
        <w:spacing w:after="0" w:line="58"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 xml:space="preserve">Further details regarding results of operations, properties and tenants can be accessed at the Company’s website </w:t>
      </w:r>
      <w:r>
        <w:rPr>
          <w:rFonts w:ascii="Times New Roman" w:cs="Times New Roman" w:eastAsia="Times New Roman" w:hAnsi="Times New Roman"/>
          <w:sz w:val="14"/>
          <w:szCs w:val="14"/>
          <w:u w:val="single" w:color="auto"/>
          <w:color w:val="0000FF"/>
        </w:rPr>
        <w:t>www.vno.com</w:t>
      </w:r>
      <w:r>
        <w:rPr>
          <w:rFonts w:ascii="Times New Roman" w:cs="Times New Roman" w:eastAsia="Times New Roman" w:hAnsi="Times New Roman"/>
          <w:sz w:val="14"/>
          <w:szCs w:val="14"/>
          <w:color w:val="auto"/>
        </w:rPr>
        <w:t>. Vornado Realty Trust is a fully-integrated equity real estate investment trust.</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0"/>
          <w:szCs w:val="10"/>
          <w:color w:val="auto"/>
        </w:rPr>
        <w:t>Certain statements contained herein may constitute “forward-looking statements” within the meaning of the Private Securities Litigation Reform Act of 1995. Forward-looking statements are not guarantees of future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press release. We also note the following forward-looking statements: in the case of our development and redevelopment projects, the estimated completion date, estimated project cost, projected unlevered cash yield, stabilization date and cost to complete; estimates of future rents, estimates of future capital expenditures, dividends to common and preferred shareholders and operating partnership distributions. Many of the factors that will determine the outcome of these and our other forward-looking statements are beyond our ability to control or predict. For a discussion of factors that could materially affect the outcome of our forward-looking statements and our future results and financial condition, see “Risk Factors” in Part I, Item 1A, of our Annual Report on Form 10-K for the year ended December 31, 2025.</w:t>
      </w:r>
    </w:p>
    <w:p>
      <w:pPr>
        <w:spacing w:after="0" w:line="292" w:lineRule="exact"/>
        <w:rPr>
          <w:sz w:val="20"/>
          <w:szCs w:val="20"/>
          <w:color w:val="auto"/>
        </w:rPr>
      </w:pPr>
    </w:p>
    <w:p>
      <w:pPr>
        <w:ind w:left="20"/>
        <w:spacing w:after="0"/>
        <w:tabs>
          <w:tab w:leader="none" w:pos="1062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8 OF 18</w:t>
      </w:r>
    </w:p>
    <w:p>
      <w:pPr>
        <w:sectPr>
          <w:pgSz w:w="11900" w:h="16838" w:orient="portrait"/>
          <w:cols w:equalWidth="0" w:num="1">
            <w:col w:w="11280"/>
          </w:cols>
          <w:pgMar w:left="300" w:top="682"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22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00" w:type="dxa"/>
            <w:vAlign w:val="bottom"/>
          </w:tcPr>
          <w:p>
            <w:pPr>
              <w:spacing w:after="0"/>
              <w:rPr>
                <w:sz w:val="15"/>
                <w:szCs w:val="15"/>
                <w:color w:val="auto"/>
              </w:rPr>
            </w:pPr>
          </w:p>
        </w:tc>
        <w:tc>
          <w:tcPr>
            <w:tcW w:w="1380" w:type="dxa"/>
            <w:vAlign w:val="bottom"/>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(Decrease)</w:t>
            </w:r>
          </w:p>
        </w:tc>
        <w:tc>
          <w:tcPr>
            <w:tcW w:w="0" w:type="dxa"/>
            <w:vAlign w:val="bottom"/>
          </w:tcPr>
          <w:p>
            <w:pPr>
              <w:spacing w:after="0"/>
              <w:rPr>
                <w:sz w:val="1"/>
                <w:szCs w:val="1"/>
                <w:color w:val="auto"/>
              </w:rPr>
            </w:pPr>
          </w:p>
        </w:tc>
      </w:tr>
      <w:tr>
        <w:trPr>
          <w:trHeight w:val="150"/>
        </w:trPr>
        <w:tc>
          <w:tcPr>
            <w:tcW w:w="5980" w:type="dxa"/>
            <w:vAlign w:val="bottom"/>
          </w:tcPr>
          <w:p>
            <w:pPr>
              <w:ind w:left="27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 at cost:</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Land</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2,357,135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2,408,914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(51,779)</w:t>
            </w:r>
          </w:p>
        </w:tc>
        <w:tc>
          <w:tcPr>
            <w:tcW w:w="0" w:type="dxa"/>
            <w:vAlign w:val="bottom"/>
          </w:tcPr>
          <w:p>
            <w:pPr>
              <w:spacing w:after="0"/>
              <w:rPr>
                <w:sz w:val="1"/>
                <w:szCs w:val="1"/>
                <w:color w:val="auto"/>
              </w:rPr>
            </w:pPr>
          </w:p>
        </w:tc>
      </w:tr>
      <w:tr>
        <w:trPr>
          <w:trHeight w:val="170"/>
        </w:trPr>
        <w:tc>
          <w:tcPr>
            <w:tcW w:w="5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Buildings and improvements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11,138,348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10,942,418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195,930</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Development costs and construction in progress</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1,037,845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890,143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147,702</w:t>
            </w:r>
          </w:p>
        </w:tc>
        <w:tc>
          <w:tcPr>
            <w:tcW w:w="0" w:type="dxa"/>
            <w:vAlign w:val="bottom"/>
          </w:tcPr>
          <w:p>
            <w:pPr>
              <w:spacing w:after="0"/>
              <w:rPr>
                <w:sz w:val="1"/>
                <w:szCs w:val="1"/>
                <w:color w:val="auto"/>
              </w:rPr>
            </w:pPr>
          </w:p>
        </w:tc>
      </w:tr>
      <w:tr>
        <w:trPr>
          <w:trHeight w:val="170"/>
        </w:trPr>
        <w:tc>
          <w:tcPr>
            <w:tcW w:w="5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Leasehold improvements and equipment</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110,729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105,080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0" w:type="dxa"/>
            <w:vAlign w:val="bottom"/>
          </w:tcPr>
          <w:p>
            <w:pPr>
              <w:spacing w:after="0"/>
              <w:rPr>
                <w:sz w:val="1"/>
                <w:szCs w:val="1"/>
                <w:color w:val="auto"/>
              </w:rPr>
            </w:pPr>
          </w:p>
        </w:tc>
      </w:tr>
      <w:tr>
        <w:trPr>
          <w:trHeight w:val="165"/>
        </w:trPr>
        <w:tc>
          <w:tcPr>
            <w:tcW w:w="5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14,644,057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14,346,555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297,502</w:t>
            </w:r>
          </w:p>
        </w:tc>
        <w:tc>
          <w:tcPr>
            <w:tcW w:w="0" w:type="dxa"/>
            <w:vAlign w:val="bottom"/>
          </w:tcPr>
          <w:p>
            <w:pPr>
              <w:spacing w:after="0"/>
              <w:rPr>
                <w:sz w:val="1"/>
                <w:szCs w:val="1"/>
                <w:color w:val="auto"/>
              </w:rPr>
            </w:pPr>
          </w:p>
        </w:tc>
      </w:tr>
      <w:tr>
        <w:trPr>
          <w:trHeight w:val="170"/>
        </w:trPr>
        <w:tc>
          <w:tcPr>
            <w:tcW w:w="5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(4,534,751)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(4,191,075)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(343,676)</w:t>
            </w:r>
          </w:p>
        </w:tc>
        <w:tc>
          <w:tcPr>
            <w:tcW w:w="0" w:type="dxa"/>
            <w:vAlign w:val="bottom"/>
          </w:tcPr>
          <w:p>
            <w:pPr>
              <w:spacing w:after="0"/>
              <w:rPr>
                <w:sz w:val="1"/>
                <w:szCs w:val="1"/>
                <w:color w:val="auto"/>
              </w:rPr>
            </w:pPr>
          </w:p>
        </w:tc>
      </w:tr>
      <w:tr>
        <w:trPr>
          <w:trHeight w:val="16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net</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10,109,306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10,155,480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(46,174)</w:t>
            </w:r>
          </w:p>
        </w:tc>
        <w:tc>
          <w:tcPr>
            <w:tcW w:w="0" w:type="dxa"/>
            <w:vAlign w:val="bottom"/>
          </w:tcPr>
          <w:p>
            <w:pPr>
              <w:spacing w:after="0"/>
              <w:rPr>
                <w:sz w:val="1"/>
                <w:szCs w:val="1"/>
                <w:color w:val="auto"/>
              </w:rPr>
            </w:pPr>
          </w:p>
        </w:tc>
      </w:tr>
      <w:tr>
        <w:trPr>
          <w:trHeight w:val="170"/>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667,270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671,308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(4,038)</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investment in lease</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166,672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0" w:type="dxa"/>
            <w:vAlign w:val="bottom"/>
          </w:tcPr>
          <w:p>
            <w:pPr>
              <w:spacing w:after="0"/>
              <w:rPr>
                <w:sz w:val="1"/>
                <w:szCs w:val="1"/>
                <w:color w:val="auto"/>
              </w:rPr>
            </w:pPr>
          </w:p>
        </w:tc>
      </w:tr>
      <w:tr>
        <w:trPr>
          <w:trHeight w:val="170"/>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580,496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840,850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(260,354)</w:t>
            </w:r>
          </w:p>
        </w:tc>
        <w:tc>
          <w:tcPr>
            <w:tcW w:w="0" w:type="dxa"/>
            <w:vAlign w:val="bottom"/>
          </w:tcPr>
          <w:p>
            <w:pPr>
              <w:spacing w:after="0"/>
              <w:rPr>
                <w:sz w:val="1"/>
                <w:szCs w:val="1"/>
                <w:color w:val="auto"/>
              </w:rPr>
            </w:pPr>
          </w:p>
        </w:tc>
      </w:tr>
      <w:tr>
        <w:trPr>
          <w:trHeight w:val="170"/>
        </w:trPr>
        <w:tc>
          <w:tcPr>
            <w:tcW w:w="5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Restricted cash</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143,339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136,696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6,643</w:t>
            </w:r>
          </w:p>
        </w:tc>
        <w:tc>
          <w:tcPr>
            <w:tcW w:w="0" w:type="dxa"/>
            <w:vAlign w:val="bottom"/>
          </w:tcPr>
          <w:p>
            <w:pPr>
              <w:spacing w:after="0"/>
              <w:rPr>
                <w:sz w:val="1"/>
                <w:szCs w:val="1"/>
                <w:color w:val="auto"/>
              </w:rPr>
            </w:pPr>
          </w:p>
        </w:tc>
      </w:tr>
      <w:tr>
        <w:trPr>
          <w:trHeight w:val="165"/>
        </w:trPr>
        <w:tc>
          <w:tcPr>
            <w:tcW w:w="5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723,835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977,546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(253,711)</w:t>
            </w:r>
          </w:p>
        </w:tc>
        <w:tc>
          <w:tcPr>
            <w:tcW w:w="0" w:type="dxa"/>
            <w:vAlign w:val="bottom"/>
          </w:tcPr>
          <w:p>
            <w:pPr>
              <w:spacing w:after="0"/>
              <w:rPr>
                <w:sz w:val="1"/>
                <w:szCs w:val="1"/>
                <w:color w:val="auto"/>
              </w:rPr>
            </w:pPr>
          </w:p>
        </w:tc>
      </w:tr>
      <w:tr>
        <w:trPr>
          <w:trHeight w:val="170"/>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Tenant and other receivables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33,132</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in partially owned entities</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2,244,170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1,941,278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302,892</w:t>
            </w:r>
          </w:p>
        </w:tc>
        <w:tc>
          <w:tcPr>
            <w:tcW w:w="0" w:type="dxa"/>
            <w:vAlign w:val="bottom"/>
          </w:tcPr>
          <w:p>
            <w:pPr>
              <w:spacing w:after="0"/>
              <w:rPr>
                <w:sz w:val="1"/>
                <w:szCs w:val="1"/>
                <w:color w:val="auto"/>
              </w:rPr>
            </w:pPr>
          </w:p>
        </w:tc>
      </w:tr>
      <w:tr>
        <w:trPr>
          <w:trHeight w:val="170"/>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Receivable arising from the straight-lining of rents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828,287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752,545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75,742</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leasing costs, net</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374,620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19,895</w:t>
            </w:r>
          </w:p>
        </w:tc>
        <w:tc>
          <w:tcPr>
            <w:tcW w:w="0" w:type="dxa"/>
            <w:vAlign w:val="bottom"/>
          </w:tcPr>
          <w:p>
            <w:pPr>
              <w:spacing w:after="0"/>
              <w:rPr>
                <w:sz w:val="1"/>
                <w:szCs w:val="1"/>
                <w:color w:val="auto"/>
              </w:rPr>
            </w:pPr>
          </w:p>
        </w:tc>
      </w:tr>
      <w:tr>
        <w:trPr>
          <w:trHeight w:val="170"/>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Identified intangible assets, net</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0" w:type="dxa"/>
            <w:vAlign w:val="bottom"/>
          </w:tcPr>
          <w:p>
            <w:pPr>
              <w:spacing w:after="0"/>
              <w:rPr>
                <w:sz w:val="1"/>
                <w:szCs w:val="1"/>
                <w:color w:val="auto"/>
              </w:rPr>
            </w:pPr>
          </w:p>
        </w:tc>
      </w:tr>
      <w:tr>
        <w:trPr>
          <w:trHeight w:val="17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288,911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294,587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(5,676)</w:t>
            </w:r>
          </w:p>
        </w:tc>
        <w:tc>
          <w:tcPr>
            <w:tcW w:w="0" w:type="dxa"/>
            <w:vAlign w:val="bottom"/>
          </w:tcPr>
          <w:p>
            <w:pPr>
              <w:spacing w:after="0"/>
              <w:rPr>
                <w:sz w:val="1"/>
                <w:szCs w:val="1"/>
                <w:color w:val="auto"/>
              </w:rPr>
            </w:pPr>
          </w:p>
        </w:tc>
      </w:tr>
      <w:tr>
        <w:trPr>
          <w:trHeight w:val="165"/>
        </w:trPr>
        <w:tc>
          <w:tcPr>
            <w:tcW w:w="5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15,638,165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15,521,118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117,047</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640"/>
              <w:spacing w:after="0"/>
              <w:rPr>
                <w:sz w:val="20"/>
                <w:szCs w:val="20"/>
                <w:color w:val="auto"/>
              </w:rPr>
            </w:pPr>
            <w:r>
              <w:rPr>
                <w:rFonts w:ascii="Times New Roman" w:cs="Times New Roman" w:eastAsia="Times New Roman" w:hAnsi="Times New Roman"/>
                <w:sz w:val="13"/>
                <w:szCs w:val="13"/>
                <w:b w:val="1"/>
                <w:bCs w:val="1"/>
                <w:color w:val="auto"/>
              </w:rPr>
              <w:t>LIABILITIES, REDEEMABLE NONCONTROLLING INTERESTS AND EQUITY</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Mortgages payable, net</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4,847,467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4,920,669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(73,202)</w:t>
            </w:r>
          </w:p>
        </w:tc>
        <w:tc>
          <w:tcPr>
            <w:tcW w:w="0" w:type="dxa"/>
            <w:vAlign w:val="bottom"/>
          </w:tcPr>
          <w:p>
            <w:pPr>
              <w:spacing w:after="0"/>
              <w:rPr>
                <w:sz w:val="1"/>
                <w:szCs w:val="1"/>
                <w:color w:val="auto"/>
              </w:rPr>
            </w:pPr>
          </w:p>
        </w:tc>
      </w:tr>
      <w:tr>
        <w:trPr>
          <w:trHeight w:val="170"/>
        </w:trPr>
        <w:tc>
          <w:tcPr>
            <w:tcW w:w="5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Senior unsecured notes, net</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842,276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747,202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95,074</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Unsecured term loan, net</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840,569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797,337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43,232</w:t>
            </w:r>
          </w:p>
        </w:tc>
        <w:tc>
          <w:tcPr>
            <w:tcW w:w="0" w:type="dxa"/>
            <w:vAlign w:val="bottom"/>
          </w:tcPr>
          <w:p>
            <w:pPr>
              <w:spacing w:after="0"/>
              <w:rPr>
                <w:sz w:val="1"/>
                <w:szCs w:val="1"/>
                <w:color w:val="auto"/>
              </w:rPr>
            </w:pPr>
          </w:p>
        </w:tc>
      </w:tr>
      <w:tr>
        <w:trPr>
          <w:trHeight w:val="170"/>
        </w:trPr>
        <w:tc>
          <w:tcPr>
            <w:tcW w:w="5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Unsecured revolving credit facilities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720,420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197,580</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Lease liabilities</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694,361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699,640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w:t>
            </w:r>
          </w:p>
        </w:tc>
        <w:tc>
          <w:tcPr>
            <w:tcW w:w="0" w:type="dxa"/>
            <w:vAlign w:val="bottom"/>
          </w:tcPr>
          <w:p>
            <w:pPr>
              <w:spacing w:after="0"/>
              <w:rPr>
                <w:sz w:val="1"/>
                <w:szCs w:val="1"/>
                <w:color w:val="auto"/>
              </w:rPr>
            </w:pPr>
          </w:p>
        </w:tc>
      </w:tr>
      <w:tr>
        <w:trPr>
          <w:trHeight w:val="170"/>
        </w:trPr>
        <w:tc>
          <w:tcPr>
            <w:tcW w:w="5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376,190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35,767</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Deferred compensation plan</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(11,234)</w:t>
            </w:r>
          </w:p>
        </w:tc>
        <w:tc>
          <w:tcPr>
            <w:tcW w:w="0" w:type="dxa"/>
            <w:vAlign w:val="bottom"/>
          </w:tcPr>
          <w:p>
            <w:pPr>
              <w:spacing w:after="0"/>
              <w:rPr>
                <w:sz w:val="1"/>
                <w:szCs w:val="1"/>
                <w:color w:val="auto"/>
              </w:rPr>
            </w:pPr>
          </w:p>
        </w:tc>
      </w:tr>
      <w:tr>
        <w:trPr>
          <w:trHeight w:val="170"/>
        </w:trPr>
        <w:tc>
          <w:tcPr>
            <w:tcW w:w="5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liabilities</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327,943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341,359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(13,416)</w:t>
            </w:r>
          </w:p>
        </w:tc>
        <w:tc>
          <w:tcPr>
            <w:tcW w:w="0" w:type="dxa"/>
            <w:vAlign w:val="bottom"/>
          </w:tcPr>
          <w:p>
            <w:pPr>
              <w:spacing w:after="0"/>
              <w:rPr>
                <w:sz w:val="1"/>
                <w:szCs w:val="1"/>
                <w:color w:val="auto"/>
              </w:rPr>
            </w:pPr>
          </w:p>
        </w:tc>
      </w:tr>
      <w:tr>
        <w:trPr>
          <w:trHeight w:val="16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8,985,117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8,716,595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268,522</w:t>
            </w:r>
          </w:p>
        </w:tc>
        <w:tc>
          <w:tcPr>
            <w:tcW w:w="0" w:type="dxa"/>
            <w:vAlign w:val="bottom"/>
          </w:tcPr>
          <w:p>
            <w:pPr>
              <w:spacing w:after="0"/>
              <w:rPr>
                <w:sz w:val="1"/>
                <w:szCs w:val="1"/>
                <w:color w:val="auto"/>
              </w:rPr>
            </w:pPr>
          </w:p>
        </w:tc>
      </w:tr>
      <w:tr>
        <w:trPr>
          <w:trHeight w:val="170"/>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633,175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647,951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(14,776)</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5,845,987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5,986,727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(140,740)</w:t>
            </w:r>
          </w:p>
        </w:tc>
        <w:tc>
          <w:tcPr>
            <w:tcW w:w="0" w:type="dxa"/>
            <w:vAlign w:val="bottom"/>
          </w:tcPr>
          <w:p>
            <w:pPr>
              <w:spacing w:after="0"/>
              <w:rPr>
                <w:sz w:val="1"/>
                <w:szCs w:val="1"/>
                <w:color w:val="auto"/>
              </w:rPr>
            </w:pPr>
          </w:p>
        </w:tc>
      </w:tr>
      <w:tr>
        <w:trPr>
          <w:trHeight w:val="17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interests in consolidated subsidiaries</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173,886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169,845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4,041</w:t>
            </w: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 redeemable noncontrolling interests and equity</w:t>
            </w: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15,638,165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15,521,118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117,047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NYSE: VNO | WWW.VNO.COM</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 9 OF 18</w:t>
            </w:r>
          </w:p>
        </w:tc>
        <w:tc>
          <w:tcPr>
            <w:tcW w:w="0" w:type="dxa"/>
            <w:vAlign w:val="bottom"/>
          </w:tcPr>
          <w:p>
            <w:pPr>
              <w:spacing w:after="0"/>
              <w:rPr>
                <w:sz w:val="1"/>
                <w:szCs w:val="1"/>
                <w:color w:val="auto"/>
              </w:rPr>
            </w:pPr>
          </w:p>
        </w:tc>
      </w:tr>
    </w:tbl>
    <w:p>
      <w:pPr>
        <w:sectPr>
          <w:pgSz w:w="11900" w:h="16838" w:orient="portrait"/>
          <w:cols w:equalWidth="0" w:num="1">
            <w:col w:w="11280"/>
          </w:cols>
          <w:pgMar w:left="300" w:top="639"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OPERATING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 except per share amounts)</w:t>
            </w:r>
          </w:p>
        </w:tc>
        <w:tc>
          <w:tcPr>
            <w:tcW w:w="2840" w:type="dxa"/>
            <w:vAlign w:val="bottom"/>
            <w:gridSpan w:val="4"/>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20" w:type="dxa"/>
            <w:vAlign w:val="bottom"/>
            <w:gridSpan w:val="4"/>
          </w:tcPr>
          <w:p>
            <w:pPr>
              <w:jc w:val="right"/>
              <w:ind w:right="695"/>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65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467,657</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453,700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1,389,004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1,356,716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108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(45,964)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932,290</w:t>
            </w:r>
          </w:p>
        </w:tc>
        <w:tc>
          <w:tcPr>
            <w:tcW w:w="0" w:type="dxa"/>
            <w:vAlign w:val="bottom"/>
          </w:tcPr>
          <w:p>
            <w:pPr>
              <w:spacing w:after="0"/>
              <w:rPr>
                <w:sz w:val="1"/>
                <w:szCs w:val="1"/>
                <w:color w:val="auto"/>
              </w:rPr>
            </w:pPr>
          </w:p>
        </w:tc>
      </w:tr>
      <w:tr>
        <w:trPr>
          <w:trHeight w:val="170"/>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 in:</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30,326</w:t>
            </w:r>
          </w:p>
        </w:tc>
        <w:tc>
          <w:tcPr>
            <w:tcW w:w="0" w:type="dxa"/>
            <w:vAlign w:val="bottom"/>
          </w:tcPr>
          <w:p>
            <w:pPr>
              <w:spacing w:after="0"/>
              <w:rPr>
                <w:sz w:val="1"/>
                <w:szCs w:val="1"/>
                <w:color w:val="auto"/>
              </w:rPr>
            </w:pPr>
          </w:p>
        </w:tc>
      </w:tr>
      <w:tr>
        <w:trPr>
          <w:trHeight w:val="170"/>
        </w:trPr>
        <w:tc>
          <w:tcPr>
            <w:tcW w:w="4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Operating Partnership</w:t>
            </w: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4,171</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4,701</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(73,788)</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 attributable to Vornado</w:t>
            </w: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888,828</w:t>
            </w:r>
          </w:p>
        </w:tc>
        <w:tc>
          <w:tcPr>
            <w:tcW w:w="0" w:type="dxa"/>
            <w:vAlign w:val="bottom"/>
          </w:tcPr>
          <w:p>
            <w:pPr>
              <w:spacing w:after="0"/>
              <w:rPr>
                <w:sz w:val="1"/>
                <w:szCs w:val="1"/>
                <w:color w:val="auto"/>
              </w:rPr>
            </w:pPr>
          </w:p>
        </w:tc>
      </w:tr>
      <w:tr>
        <w:trPr>
          <w:trHeight w:val="17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Preferred share dividends</w:t>
            </w: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(46,575)</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(46,578)</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 attributable to common shareholders</w:t>
            </w: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(47,138)</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(53,546)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842,250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(Loss) income per common share - basic:</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(loss) income per common share</w:t>
            </w: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tcPr>
          <w:p>
            <w:pPr>
              <w:ind w:left="280"/>
              <w:spacing w:after="0" w:line="136" w:lineRule="exact"/>
              <w:rPr>
                <w:sz w:val="20"/>
                <w:szCs w:val="20"/>
                <w:color w:val="auto"/>
              </w:rPr>
            </w:pPr>
            <w:r>
              <w:rPr>
                <w:rFonts w:ascii="Times New Roman" w:cs="Times New Roman" w:eastAsia="Times New Roman" w:hAnsi="Times New Roman"/>
                <w:sz w:val="13"/>
                <w:szCs w:val="13"/>
                <w:color w:val="auto"/>
              </w:rPr>
              <w:t>Weighted average shares outstanding</w:t>
            </w:r>
          </w:p>
        </w:tc>
        <w:tc>
          <w:tcPr>
            <w:tcW w:w="10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186,822</w:t>
            </w:r>
          </w:p>
        </w:tc>
        <w:tc>
          <w:tcPr>
            <w:tcW w:w="1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192,050</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187,909</w:t>
            </w: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191,804</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(Loss) income per common share - diluted:</w:t>
            </w: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(loss) income per common share</w:t>
            </w: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tcPr>
          <w:p>
            <w:pPr>
              <w:ind w:left="280"/>
              <w:spacing w:after="0" w:line="136" w:lineRule="exact"/>
              <w:rPr>
                <w:sz w:val="20"/>
                <w:szCs w:val="20"/>
                <w:color w:val="auto"/>
              </w:rPr>
            </w:pPr>
            <w:r>
              <w:rPr>
                <w:rFonts w:ascii="Times New Roman" w:cs="Times New Roman" w:eastAsia="Times New Roman" w:hAnsi="Times New Roman"/>
                <w:sz w:val="13"/>
                <w:szCs w:val="13"/>
                <w:color w:val="auto"/>
              </w:rPr>
              <w:t>Weighted average shares outstanding</w:t>
            </w:r>
          </w:p>
        </w:tc>
        <w:tc>
          <w:tcPr>
            <w:tcW w:w="10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186,846</w:t>
            </w:r>
          </w:p>
        </w:tc>
        <w:tc>
          <w:tcPr>
            <w:tcW w:w="1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200,150</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187,909</w:t>
            </w: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201,098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FFO attributable to common shareholders plus assumed conversions (non-GAAP)</w:t>
            </w: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122,646</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363,086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373,482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tcPr>
          <w:p>
            <w:pPr>
              <w:ind w:left="280"/>
              <w:spacing w:after="0" w:line="136" w:lineRule="exact"/>
              <w:rPr>
                <w:sz w:val="20"/>
                <w:szCs w:val="20"/>
                <w:color w:val="auto"/>
              </w:rPr>
            </w:pPr>
            <w:r>
              <w:rPr>
                <w:rFonts w:ascii="Times New Roman" w:cs="Times New Roman" w:eastAsia="Times New Roman" w:hAnsi="Times New Roman"/>
                <w:sz w:val="13"/>
                <w:szCs w:val="13"/>
                <w:color w:val="auto"/>
              </w:rPr>
              <w:t>Per diluted share (non-GAAP)</w:t>
            </w:r>
          </w:p>
        </w:tc>
        <w:tc>
          <w:tcPr>
            <w:tcW w:w="1080" w:type="dxa"/>
            <w:vAlign w:val="bottom"/>
            <w:tcBorders>
              <w:bottom w:val="single" w:sz="8" w:color="auto"/>
            </w:tcBorders>
          </w:tcPr>
          <w:p>
            <w:pPr>
              <w:jc w:val="right"/>
              <w:ind w:right="93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0.62</w:t>
            </w:r>
          </w:p>
        </w:tc>
        <w:tc>
          <w:tcPr>
            <w:tcW w:w="100" w:type="dxa"/>
            <w:vAlign w:val="bottom"/>
          </w:tcPr>
          <w:p>
            <w:pPr>
              <w:spacing w:after="0"/>
              <w:rPr>
                <w:sz w:val="11"/>
                <w:szCs w:val="11"/>
                <w:color w:val="auto"/>
              </w:rPr>
            </w:pPr>
          </w:p>
        </w:tc>
        <w:tc>
          <w:tcPr>
            <w:tcW w:w="1080" w:type="dxa"/>
            <w:vAlign w:val="bottom"/>
            <w:tcBorders>
              <w:bottom w:val="single" w:sz="8" w:color="auto"/>
            </w:tcBorders>
          </w:tcPr>
          <w:p>
            <w:pPr>
              <w:jc w:val="right"/>
              <w:ind w:right="93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0.58</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19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3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60260" cy="191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9113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FFO attributable to common shareholders plus assumed conversions, as adjusted (non-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4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GAAP)</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Per diluted share (non-GAAP)</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49"/>
        </w:trPr>
        <w:tc>
          <w:tcPr>
            <w:tcW w:w="4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used in determining FFO attributable to common shareholders</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plus assumed conversions per diluted share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89"/>
              </w:rPr>
              <w:t>126,656</w:t>
            </w:r>
          </w:p>
        </w:tc>
        <w:tc>
          <w:tcPr>
            <w:tcW w:w="6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114,535</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360,941</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354,239</w:t>
            </w: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rPr>
              <w:t>0.65</w:t>
            </w: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0" w:type="dxa"/>
            <w:vAlign w:val="bottom"/>
            <w:vMerge w:val="continue"/>
          </w:tcPr>
          <w:p>
            <w:pPr>
              <w:spacing w:after="0"/>
              <w:rPr>
                <w:sz w:val="13"/>
                <w:szCs w:val="13"/>
                <w:color w:val="auto"/>
              </w:rPr>
            </w:pPr>
          </w:p>
        </w:tc>
        <w:tc>
          <w:tcPr>
            <w:tcW w:w="6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0.57</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89"/>
              </w:rPr>
              <w:t>196,284</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201,416</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196,450</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201,098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-204470</wp:posOffset>
            </wp:positionV>
            <wp:extent cx="7160260" cy="205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0510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-354330</wp:posOffset>
            </wp:positionV>
            <wp:extent cx="10591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9180" cy="698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-334010</wp:posOffset>
            </wp:positionV>
            <wp:extent cx="10591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9180" cy="698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-470535</wp:posOffset>
            </wp:positionV>
            <wp:extent cx="105918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9180" cy="698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160" w:space="720"/>
            <w:col w:w="5400"/>
          </w:cols>
          <w:pgMar w:left="300" w:top="639" w:right="319" w:bottom="1440" w:gutter="0" w:footer="0" w:header="0"/>
          <w:type w:val="continuous"/>
        </w:sectPr>
      </w:pPr>
    </w:p>
    <w:p>
      <w:pPr>
        <w:jc w:val="both"/>
        <w:spacing w:after="0" w:line="251" w:lineRule="auto"/>
        <w:rPr>
          <w:sz w:val="20"/>
          <w:szCs w:val="20"/>
          <w:color w:val="auto"/>
        </w:rPr>
      </w:pPr>
      <w:r>
        <w:rPr>
          <w:rFonts w:ascii="Times New Roman" w:cs="Times New Roman" w:eastAsia="Times New Roman" w:hAnsi="Times New Roman"/>
          <w:sz w:val="13"/>
          <w:szCs w:val="13"/>
          <w:color w:val="auto"/>
        </w:rPr>
        <w:t>FFO is computed in accordance with the definition adopted by the Board of Governors of the National Association of Real Estate Investment Trusts (“NAREIT”). NAREIT defines FFO as GAAP net income or loss adjusted to exclude net gains from sales of certain real estate assets, impairment write-downs of certain real estate assets and investments in entities when the impairment is directly attributable to decreases in the value of depreciable real estate held by the entity,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In addition to FFO attributable to common shareholders plus assumed conversions, we also disclose FFO attributable to common shareholders plus assumed conversions, as adjusted. Although this non-GAAP measure clearly differs from NAREIT’s definition of FFO, we believe it provides a meaningful presentation of operating performance. Reconciliations of net income (loss) attributable to common shareholders to FFO attributable to common shareholders plus assumed conversions are provided on the following page. Reconciliations of FFO attributable to common shareholders plus assumed conversions to FFO attributable to common shareholders plus assumed conversions, as adjusted are provided on page 2 of this press release.</w:t>
      </w:r>
    </w:p>
    <w:p>
      <w:pPr>
        <w:spacing w:after="0" w:line="288" w:lineRule="exact"/>
        <w:rPr>
          <w:sz w:val="20"/>
          <w:szCs w:val="20"/>
          <w:color w:val="auto"/>
        </w:rPr>
      </w:pPr>
    </w:p>
    <w:p>
      <w:pPr>
        <w:ind w:left="20"/>
        <w:spacing w:after="0"/>
        <w:tabs>
          <w:tab w:leader="none" w:pos="1056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10 OF 18</w:t>
      </w:r>
    </w:p>
    <w:p>
      <w:pPr>
        <w:sectPr>
          <w:pgSz w:w="11900" w:h="16838" w:orient="portrait"/>
          <w:cols w:equalWidth="0" w:num="1">
            <w:col w:w="11280"/>
          </w:cols>
          <w:pgMar w:left="300" w:top="639" w:right="31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RECONCILIATIONS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net (loss) income attributable to common shareholders to FFO attributable to common shareholders plus assumed conversions: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 except per share amounts)</w:t>
            </w:r>
          </w:p>
        </w:tc>
        <w:tc>
          <w:tcPr>
            <w:tcW w:w="360" w:type="dxa"/>
            <w:vAlign w:val="bottom"/>
          </w:tcPr>
          <w:p>
            <w:pPr>
              <w:spacing w:after="0"/>
              <w:rPr>
                <w:sz w:val="12"/>
                <w:szCs w:val="12"/>
                <w:color w:val="auto"/>
              </w:rPr>
            </w:pPr>
          </w:p>
        </w:tc>
        <w:tc>
          <w:tcPr>
            <w:tcW w:w="288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340" w:type="dxa"/>
            <w:vAlign w:val="bottom"/>
          </w:tcPr>
          <w:p>
            <w:pPr>
              <w:spacing w:after="0"/>
              <w:rPr>
                <w:sz w:val="12"/>
                <w:szCs w:val="12"/>
                <w:color w:val="auto"/>
              </w:rPr>
            </w:pPr>
          </w:p>
        </w:tc>
        <w:tc>
          <w:tcPr>
            <w:tcW w:w="2780" w:type="dxa"/>
            <w:vAlign w:val="bottom"/>
            <w:gridSpan w:val="4"/>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 attributable to common shareholders</w:t>
            </w:r>
          </w:p>
        </w:tc>
        <w:tc>
          <w:tcPr>
            <w:tcW w:w="3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(53,546)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842,250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92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Per diluted share</w:t>
            </w:r>
          </w:p>
        </w:tc>
        <w:tc>
          <w:tcPr>
            <w:tcW w:w="360" w:type="dxa"/>
            <w:vAlign w:val="bottom"/>
            <w:tcBorders>
              <w:bottom w:val="single" w:sz="8" w:color="auto"/>
            </w:tcBorders>
          </w:tcPr>
          <w:p>
            <w:pPr>
              <w:jc w:val="right"/>
              <w:ind w:right="21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(0.25)</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3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0.06</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(0.28)</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5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FFO adjustments: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 of real property</w:t>
            </w:r>
          </w:p>
        </w:tc>
        <w:tc>
          <w:tcPr>
            <w:tcW w:w="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155,709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418,871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311,016</w:t>
            </w:r>
          </w:p>
        </w:tc>
        <w:tc>
          <w:tcPr>
            <w:tcW w:w="0" w:type="dxa"/>
            <w:vAlign w:val="bottom"/>
          </w:tcPr>
          <w:p>
            <w:pPr>
              <w:spacing w:after="0"/>
              <w:rPr>
                <w:sz w:val="1"/>
                <w:szCs w:val="1"/>
                <w:color w:val="auto"/>
              </w:rPr>
            </w:pPr>
          </w:p>
        </w:tc>
      </w:tr>
      <w:tr>
        <w:trPr>
          <w:trHeight w:val="170"/>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fair value of marketable securities</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sales-type lease</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(803,248)</w:t>
            </w:r>
          </w:p>
        </w:tc>
        <w:tc>
          <w:tcPr>
            <w:tcW w:w="0" w:type="dxa"/>
            <w:vAlign w:val="bottom"/>
          </w:tcPr>
          <w:p>
            <w:pPr>
              <w:spacing w:after="0"/>
              <w:rPr>
                <w:sz w:val="1"/>
                <w:szCs w:val="1"/>
                <w:color w:val="auto"/>
              </w:rPr>
            </w:pPr>
          </w:p>
        </w:tc>
      </w:tr>
      <w:tr>
        <w:trPr>
          <w:trHeight w:val="170"/>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 impairment losses</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Our share of partially owned entities: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 of real property</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80,962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71,934</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gains on sale of real estate</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(48,430)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(90,537)</w:t>
            </w:r>
          </w:p>
        </w:tc>
        <w:tc>
          <w:tcPr>
            <w:tcW w:w="0" w:type="dxa"/>
            <w:vAlign w:val="bottom"/>
          </w:tcPr>
          <w:p>
            <w:pPr>
              <w:spacing w:after="0"/>
              <w:rPr>
                <w:sz w:val="1"/>
                <w:szCs w:val="1"/>
                <w:color w:val="auto"/>
              </w:rPr>
            </w:pPr>
          </w:p>
        </w:tc>
      </w:tr>
      <w:tr>
        <w:trPr>
          <w:trHeight w:val="160"/>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FFO adjustments, net</w:t>
            </w: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184,109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114,198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451,403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(512,012)</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assumed conversion of dilutive convertible securities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0" w:type="dxa"/>
            <w:vAlign w:val="bottom"/>
          </w:tcPr>
          <w:p>
            <w:pPr>
              <w:spacing w:after="0"/>
              <w:rPr>
                <w:sz w:val="1"/>
                <w:szCs w:val="1"/>
                <w:color w:val="auto"/>
              </w:rPr>
            </w:pPr>
          </w:p>
        </w:tc>
      </w:tr>
      <w:tr>
        <w:trPr>
          <w:trHeight w:val="17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interests' share of above adjustments on a dilutive basis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(14,644)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(8,800)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42,055</w:t>
            </w: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FFO attributable to common shareholders plus assumed conversions (non-GAAP)</w:t>
            </w:r>
          </w:p>
        </w:tc>
        <w:tc>
          <w:tcPr>
            <w:tcW w:w="3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122,646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363,086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373,482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92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Per diluted share</w:t>
            </w:r>
          </w:p>
        </w:tc>
        <w:tc>
          <w:tcPr>
            <w:tcW w:w="360" w:type="dxa"/>
            <w:vAlign w:val="bottom"/>
            <w:tcBorders>
              <w:bottom w:val="single" w:sz="8" w:color="auto"/>
            </w:tcBorders>
          </w:tcPr>
          <w:p>
            <w:pPr>
              <w:jc w:val="right"/>
              <w:ind w:right="21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0.62</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3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0.58</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55"/>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weighted average shares outstanding:</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186,822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187,909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191,804</w:t>
            </w:r>
          </w:p>
        </w:tc>
        <w:tc>
          <w:tcPr>
            <w:tcW w:w="0" w:type="dxa"/>
            <w:vAlign w:val="bottom"/>
          </w:tcPr>
          <w:p>
            <w:pPr>
              <w:spacing w:after="0"/>
              <w:rPr>
                <w:sz w:val="1"/>
                <w:szCs w:val="1"/>
                <w:color w:val="auto"/>
              </w:rPr>
            </w:pPr>
          </w:p>
        </w:tc>
      </w:tr>
      <w:tr>
        <w:trPr>
          <w:trHeight w:val="170"/>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dilutive securities: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Share-based payment awards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0" w:type="dxa"/>
            <w:vAlign w:val="bottom"/>
          </w:tcPr>
          <w:p>
            <w:pPr>
              <w:spacing w:after="0"/>
              <w:rPr>
                <w:sz w:val="1"/>
                <w:szCs w:val="1"/>
                <w:color w:val="auto"/>
              </w:rPr>
            </w:pPr>
          </w:p>
        </w:tc>
      </w:tr>
      <w:tr>
        <w:trPr>
          <w:trHeight w:val="170"/>
        </w:trPr>
        <w:tc>
          <w:tcPr>
            <w:tcW w:w="4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Convertible securities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Denominator for FFO per diluted share</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196,284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196,450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201,098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49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NYSE: VNO | WWW.VNO.COM</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 11 OF 18</w:t>
            </w:r>
          </w:p>
        </w:tc>
        <w:tc>
          <w:tcPr>
            <w:tcW w:w="0" w:type="dxa"/>
            <w:vAlign w:val="bottom"/>
          </w:tcPr>
          <w:p>
            <w:pPr>
              <w:spacing w:after="0"/>
              <w:rPr>
                <w:sz w:val="1"/>
                <w:szCs w:val="1"/>
                <w:color w:val="auto"/>
              </w:rPr>
            </w:pPr>
          </w:p>
        </w:tc>
      </w:tr>
    </w:tbl>
    <w:p>
      <w:pPr>
        <w:sectPr>
          <w:pgSz w:w="11900" w:h="16838" w:orient="portrait"/>
          <w:cols w:equalWidth="0" w:num="1">
            <w:col w:w="11280"/>
          </w:cols>
          <w:pgMar w:left="300" w:top="639"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RECONCILIATIONS - CONTINUED</w:t>
      </w:r>
    </w:p>
    <w:p>
      <w:pPr>
        <w:spacing w:after="0" w:line="170"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Below is a reconciliation of net (loss) income to NOI at share and NOI at share - cash basis for the three and nine months ended September 30, 2026 and 2025 and the three months ended June 30, 2026.</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tcPr>
          <w:p>
            <w:pPr>
              <w:jc w:val="right"/>
              <w:ind w:right="755"/>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June 30, 2026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(45,964)</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39,196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8"/>
              </w:rPr>
              <w:t>(28,794)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932,290</w:t>
            </w:r>
          </w:p>
        </w:tc>
        <w:tc>
          <w:tcPr>
            <w:tcW w:w="0" w:type="dxa"/>
            <w:vAlign w:val="bottom"/>
          </w:tcPr>
          <w:p>
            <w:pPr>
              <w:spacing w:after="0"/>
              <w:rPr>
                <w:sz w:val="1"/>
                <w:szCs w:val="1"/>
                <w:color w:val="auto"/>
              </w:rPr>
            </w:pPr>
          </w:p>
        </w:tc>
      </w:tr>
      <w:tr>
        <w:trPr>
          <w:trHeight w:val="170"/>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169,045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171,228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458,801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348,851</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34,705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116,050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116,065</w:t>
            </w:r>
          </w:p>
        </w:tc>
        <w:tc>
          <w:tcPr>
            <w:tcW w:w="0" w:type="dxa"/>
            <w:vAlign w:val="bottom"/>
          </w:tcPr>
          <w:p>
            <w:pPr>
              <w:spacing w:after="0"/>
              <w:rPr>
                <w:sz w:val="1"/>
                <w:szCs w:val="1"/>
                <w:color w:val="auto"/>
              </w:rPr>
            </w:pPr>
          </w:p>
        </w:tc>
      </w:tr>
      <w:tr>
        <w:trPr>
          <w:trHeight w:val="170"/>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Transaction related costs and other</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4,327</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from partially owned entities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(63,195)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8"/>
              </w:rPr>
              <w:t>(99,335)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(135,588)</w:t>
            </w:r>
          </w:p>
        </w:tc>
        <w:tc>
          <w:tcPr>
            <w:tcW w:w="0" w:type="dxa"/>
            <w:vAlign w:val="bottom"/>
          </w:tcPr>
          <w:p>
            <w:pPr>
              <w:spacing w:after="0"/>
              <w:rPr>
                <w:sz w:val="1"/>
                <w:szCs w:val="1"/>
                <w:color w:val="auto"/>
              </w:rPr>
            </w:pPr>
          </w:p>
        </w:tc>
      </w:tr>
      <w:tr>
        <w:trPr>
          <w:trHeight w:val="170"/>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other investment income, net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ind w:left="700"/>
              <w:spacing w:after="0"/>
              <w:rPr>
                <w:sz w:val="20"/>
                <w:szCs w:val="20"/>
                <w:color w:val="auto"/>
              </w:rPr>
            </w:pPr>
            <w:r>
              <w:rPr>
                <w:rFonts w:ascii="Times New Roman" w:cs="Times New Roman" w:eastAsia="Times New Roman" w:hAnsi="Times New Roman"/>
                <w:sz w:val="13"/>
                <w:szCs w:val="13"/>
                <w:color w:val="auto"/>
                <w:w w:val="98"/>
              </w:rPr>
              <w:t>(23,423)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(41,730)</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debt expense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88,714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89,582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267,502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268,204</w:t>
            </w:r>
          </w:p>
        </w:tc>
        <w:tc>
          <w:tcPr>
            <w:tcW w:w="0" w:type="dxa"/>
            <w:vAlign w:val="bottom"/>
          </w:tcPr>
          <w:p>
            <w:pPr>
              <w:spacing w:after="0"/>
              <w:rPr>
                <w:sz w:val="1"/>
                <w:szCs w:val="1"/>
                <w:color w:val="auto"/>
              </w:rPr>
            </w:pPr>
          </w:p>
        </w:tc>
      </w:tr>
      <w:tr>
        <w:trPr>
          <w:trHeight w:val="170"/>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on debt extinguishment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(32,073)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ind w:left="700"/>
              <w:spacing w:after="0"/>
              <w:rPr>
                <w:sz w:val="20"/>
                <w:szCs w:val="20"/>
                <w:color w:val="auto"/>
              </w:rPr>
            </w:pPr>
            <w:r>
              <w:rPr>
                <w:rFonts w:ascii="Times New Roman" w:cs="Times New Roman" w:eastAsia="Times New Roman" w:hAnsi="Times New Roman"/>
                <w:sz w:val="13"/>
                <w:szCs w:val="13"/>
                <w:color w:val="auto"/>
                <w:w w:val="98"/>
              </w:rPr>
              <w:t>(32,073)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sales-type lease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(803,248)</w:t>
            </w:r>
          </w:p>
        </w:tc>
        <w:tc>
          <w:tcPr>
            <w:tcW w:w="0" w:type="dxa"/>
            <w:vAlign w:val="bottom"/>
          </w:tcPr>
          <w:p>
            <w:pPr>
              <w:spacing w:after="0"/>
              <w:rPr>
                <w:sz w:val="1"/>
                <w:szCs w:val="1"/>
                <w:color w:val="auto"/>
              </w:rPr>
            </w:pPr>
          </w:p>
        </w:tc>
      </w:tr>
      <w:tr>
        <w:trPr>
          <w:trHeight w:val="129"/>
        </w:trPr>
        <w:tc>
          <w:tcPr>
            <w:tcW w:w="32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Net gains on disposition of wholly owned and partially</w:t>
            </w:r>
          </w:p>
        </w:tc>
        <w:tc>
          <w:tcPr>
            <w:tcW w:w="9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(24,039)</w:t>
            </w:r>
          </w:p>
        </w:tc>
        <w:tc>
          <w:tcPr>
            <w:tcW w:w="0" w:type="dxa"/>
            <w:vAlign w:val="bottom"/>
          </w:tcPr>
          <w:p>
            <w:pPr>
              <w:spacing w:after="0"/>
              <w:rPr>
                <w:sz w:val="1"/>
                <w:szCs w:val="1"/>
                <w:color w:val="auto"/>
              </w:rPr>
            </w:pPr>
          </w:p>
        </w:tc>
      </w:tr>
      <w:tr>
        <w:trPr>
          <w:trHeight w:val="170"/>
        </w:trPr>
        <w:tc>
          <w:tcPr>
            <w:tcW w:w="3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owned assets</w:t>
            </w:r>
          </w:p>
        </w:tc>
        <w:tc>
          <w:tcPr>
            <w:tcW w:w="9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5,727</w:t>
            </w:r>
          </w:p>
        </w:tc>
        <w:tc>
          <w:tcPr>
            <w:tcW w:w="0" w:type="dxa"/>
            <w:vAlign w:val="bottom"/>
          </w:tcPr>
          <w:p>
            <w:pPr>
              <w:spacing w:after="0"/>
              <w:rPr>
                <w:sz w:val="1"/>
                <w:szCs w:val="1"/>
                <w:color w:val="auto"/>
              </w:rPr>
            </w:pPr>
          </w:p>
        </w:tc>
      </w:tr>
      <w:tr>
        <w:trPr>
          <w:trHeight w:val="170"/>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NOI from partially owned entities</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88,808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76,638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233,754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198,222</w:t>
            </w:r>
          </w:p>
        </w:tc>
        <w:tc>
          <w:tcPr>
            <w:tcW w:w="0" w:type="dxa"/>
            <w:vAlign w:val="bottom"/>
          </w:tcPr>
          <w:p>
            <w:pPr>
              <w:spacing w:after="0"/>
              <w:rPr>
                <w:sz w:val="1"/>
                <w:szCs w:val="1"/>
                <w:color w:val="auto"/>
              </w:rPr>
            </w:pPr>
          </w:p>
        </w:tc>
      </w:tr>
      <w:tr>
        <w:trPr>
          <w:trHeight w:val="132"/>
        </w:trPr>
        <w:tc>
          <w:tcPr>
            <w:tcW w:w="322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rPr>
              <w:t>NOI attributable to noncontrolling interests in consolidated</w:t>
            </w:r>
          </w:p>
        </w:tc>
        <w:tc>
          <w:tcPr>
            <w:tcW w:w="9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(11,167)</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8"/>
              </w:rPr>
              <w:t>(30,716)</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(31,442)</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subsidiaries</w:t>
            </w:r>
          </w:p>
        </w:tc>
        <w:tc>
          <w:tcPr>
            <w:tcW w:w="9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NOI at share</w:t>
            </w:r>
          </w:p>
        </w:tc>
        <w:tc>
          <w:tcPr>
            <w:tcW w:w="9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300,054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266,676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304,064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876,241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837,639</w:t>
            </w:r>
          </w:p>
        </w:tc>
        <w:tc>
          <w:tcPr>
            <w:tcW w:w="0" w:type="dxa"/>
            <w:vAlign w:val="bottom"/>
          </w:tcPr>
          <w:p>
            <w:pPr>
              <w:spacing w:after="0"/>
              <w:rPr>
                <w:sz w:val="1"/>
                <w:szCs w:val="1"/>
                <w:color w:val="auto"/>
              </w:rPr>
            </w:pPr>
          </w:p>
        </w:tc>
      </w:tr>
      <w:tr>
        <w:trPr>
          <w:trHeight w:val="132"/>
        </w:trPr>
        <w:tc>
          <w:tcPr>
            <w:tcW w:w="322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rPr>
              <w:t>Non-cash adjustments for straight-line rents, amortization of</w:t>
            </w:r>
          </w:p>
        </w:tc>
        <w:tc>
          <w:tcPr>
            <w:tcW w:w="9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(44,395)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(30,746)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(40,881)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w w:val="98"/>
              </w:rPr>
              <w:t>(116,342)</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(100,619)</w:t>
            </w:r>
          </w:p>
        </w:tc>
        <w:tc>
          <w:tcPr>
            <w:tcW w:w="0" w:type="dxa"/>
            <w:vAlign w:val="bottom"/>
          </w:tcPr>
          <w:p>
            <w:pPr>
              <w:spacing w:after="0"/>
              <w:rPr>
                <w:sz w:val="1"/>
                <w:szCs w:val="1"/>
                <w:color w:val="auto"/>
              </w:rPr>
            </w:pPr>
          </w:p>
        </w:tc>
      </w:tr>
      <w:tr>
        <w:trPr>
          <w:trHeight w:val="17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acquired below-market leases, net, and other</w:t>
            </w:r>
          </w:p>
        </w:tc>
        <w:tc>
          <w:tcPr>
            <w:tcW w:w="9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NOI at share - cash basis</w:t>
            </w:r>
          </w:p>
        </w:tc>
        <w:tc>
          <w:tcPr>
            <w:tcW w:w="980" w:type="dxa"/>
            <w:vAlign w:val="bottom"/>
          </w:tcPr>
          <w:p>
            <w:pPr>
              <w:jc w:val="right"/>
              <w:ind w:right="83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255,659</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235,930</w:t>
            </w:r>
          </w:p>
        </w:tc>
        <w:tc>
          <w:tcPr>
            <w:tcW w:w="100" w:type="dxa"/>
            <w:vAlign w:val="bottom"/>
          </w:tcPr>
          <w:p>
            <w:pPr>
              <w:spacing w:after="0"/>
              <w:rPr>
                <w:sz w:val="14"/>
                <w:szCs w:val="14"/>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263,183</w:t>
            </w:r>
          </w:p>
        </w:tc>
        <w:tc>
          <w:tcPr>
            <w:tcW w:w="100" w:type="dxa"/>
            <w:vAlign w:val="bottom"/>
          </w:tcPr>
          <w:p>
            <w:pPr>
              <w:spacing w:after="0"/>
              <w:rPr>
                <w:sz w:val="14"/>
                <w:szCs w:val="14"/>
                <w:color w:val="auto"/>
              </w:rPr>
            </w:pPr>
          </w:p>
        </w:tc>
        <w:tc>
          <w:tcPr>
            <w:tcW w:w="360" w:type="dxa"/>
            <w:vAlign w:val="bottom"/>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759,899</w:t>
            </w:r>
          </w:p>
        </w:tc>
        <w:tc>
          <w:tcPr>
            <w:tcW w:w="100" w:type="dxa"/>
            <w:vAlign w:val="bottom"/>
          </w:tcPr>
          <w:p>
            <w:pPr>
              <w:spacing w:after="0"/>
              <w:rPr>
                <w:sz w:val="14"/>
                <w:szCs w:val="14"/>
                <w:color w:val="auto"/>
              </w:rPr>
            </w:pPr>
          </w:p>
        </w:tc>
        <w:tc>
          <w:tcPr>
            <w:tcW w:w="500" w:type="dxa"/>
            <w:vAlign w:val="bottom"/>
          </w:tcPr>
          <w:p>
            <w:pPr>
              <w:jc w:val="right"/>
              <w:ind w:right="35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737,020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258"/>
        <w:spacing w:after="0" w:line="264" w:lineRule="auto"/>
        <w:rPr>
          <w:sz w:val="20"/>
          <w:szCs w:val="20"/>
          <w:color w:val="auto"/>
        </w:rPr>
      </w:pPr>
      <w:r>
        <w:rPr>
          <w:rFonts w:ascii="Times New Roman" w:cs="Times New Roman" w:eastAsia="Times New Roman" w:hAnsi="Times New Roman"/>
          <w:sz w:val="14"/>
          <w:szCs w:val="14"/>
          <w:color w:val="auto"/>
        </w:rPr>
        <w:t>NOI at share represents total revenues less operating expenses including our share of partially owned entities. NOI at share - cash basis represents NOI at share adjusted to exclude straight-line rental income and expense, amortization of acquired below and above market leases, accruals for ground rent resets yet to be determined, and other non-cash adjustments. We consider NOI at share to be the primary non-GAAP financial measure for making decisions and assessing the unlevered performance of our segments as it relates to the return on assets as opposed to the levered return on equity. As properties are bought and sold based on NOI at share - cash basis, we utilize this measure to make investment decisions as well as to compare the performance of our assets to that of our peers. NOI at share and NOI at share - cash basis should not be considered alternatives to net income or cash flow from operations and may not be comparable to similarly titled measures employed by other companies.</w:t>
      </w:r>
    </w:p>
    <w:p>
      <w:pPr>
        <w:spacing w:after="0" w:line="292" w:lineRule="exact"/>
        <w:rPr>
          <w:sz w:val="20"/>
          <w:szCs w:val="20"/>
          <w:color w:val="auto"/>
        </w:rPr>
      </w:pPr>
    </w:p>
    <w:p>
      <w:pPr>
        <w:ind w:left="20"/>
        <w:spacing w:after="0"/>
        <w:tabs>
          <w:tab w:leader="none" w:pos="1056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12 OF 18</w:t>
      </w:r>
    </w:p>
    <w:p>
      <w:pPr>
        <w:sectPr>
          <w:pgSz w:w="11900" w:h="16838" w:orient="portrait"/>
          <w:cols w:equalWidth="0" w:num="1">
            <w:col w:w="11280"/>
          </w:cols>
          <w:pgMar w:left="300" w:top="639"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RECONCILIATIONS - CONTINUED</w:t>
      </w:r>
    </w:p>
    <w:p>
      <w:pPr>
        <w:spacing w:after="0" w:line="170" w:lineRule="exact"/>
        <w:rPr>
          <w:sz w:val="20"/>
          <w:szCs w:val="20"/>
          <w:color w:val="auto"/>
        </w:rPr>
      </w:pPr>
    </w:p>
    <w:p>
      <w:pPr>
        <w:jc w:val="both"/>
        <w:ind w:firstLine="258"/>
        <w:spacing w:after="0" w:line="265" w:lineRule="auto"/>
        <w:rPr>
          <w:sz w:val="20"/>
          <w:szCs w:val="20"/>
          <w:color w:val="auto"/>
        </w:rPr>
      </w:pPr>
      <w:r>
        <w:rPr>
          <w:rFonts w:ascii="Times New Roman" w:cs="Times New Roman" w:eastAsia="Times New Roman" w:hAnsi="Times New Roman"/>
          <w:sz w:val="14"/>
          <w:szCs w:val="14"/>
          <w:color w:val="auto"/>
        </w:rPr>
        <w:t>Same store NOI at share represents NOI at share from operations which are in service in both the current and prior year reporting periods. Same store NOI at share - cash basis is same store NOI at share adjusted to exclude straight-line rental income and expense, amortization of acquired below and above market leases, accruals for ground rent resets yet to be determined, and other non-cash adjustments. We use these non-GAAP measures to (i) facilitate meaningful comparisons of the operational performance of our properties and segments, (ii) make decisions on whether to buy, sell or refinance properties, and (iii) compare the performance of our properties and segments to those of our peers. Same store NOI at share and same store NOI at share - cash basis should not be considered alternatives to net income or cash flow from operations and may not be comparable to similarly titled measures employed by other companies.</w:t>
      </w:r>
    </w:p>
    <w:p>
      <w:pPr>
        <w:spacing w:after="0" w:line="1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Below are reconciliations of NOI at share to same store NOI at share for our New York segment, THE MART, 555 California Street and other investments for the three months ended September 30, 2026 compared to September 30,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28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16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THE MART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c>
          <w:tcPr>
            <w:tcW w:w="260" w:type="dxa"/>
            <w:vAlign w:val="bottom"/>
          </w:tcPr>
          <w:p>
            <w:pPr>
              <w:spacing w:after="0"/>
              <w:rPr>
                <w:sz w:val="14"/>
                <w:szCs w:val="14"/>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for the three months ended September 30, 2026</w:t>
            </w:r>
          </w:p>
        </w:tc>
        <w:tc>
          <w:tcPr>
            <w:tcW w:w="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300,054</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260,620</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13,948</w:t>
            </w: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15,831</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9,655</w:t>
            </w:r>
          </w:p>
        </w:tc>
      </w:tr>
      <w:tr>
        <w:trPr>
          <w:trHeight w:val="170"/>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from:</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(12,011)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(12,011)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(3,120)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(3,120)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(18,121)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(8,356)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(9,655)</w:t>
            </w:r>
          </w:p>
        </w:tc>
      </w:tr>
      <w:tr>
        <w:trPr>
          <w:trHeight w:val="19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Same store NOI at share for the three months ended September 30, 2026</w:t>
            </w: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266,871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237,235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13,805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15,831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for the three months ended September 30, 2025</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266,676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228,142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13,275</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17,293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7,966</w:t>
            </w:r>
          </w:p>
        </w:tc>
      </w:tr>
      <w:tr>
        <w:trPr>
          <w:trHeight w:val="170"/>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from:</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(12,595)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(12,595)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(9,245)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(368)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(911)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(7,966)</w:t>
            </w: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Same store NOI at share for the three months ended September 30, 2025</w:t>
            </w: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244,893</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215,235</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13,276</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16,382</w:t>
            </w: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4"/>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97"/>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same store NOI at share</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21,978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22,000</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529</w:t>
            </w: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(551)</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97"/>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increase (decrease) in same store NOI at share</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10.2 %</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466"/>
        </w:trPr>
        <w:tc>
          <w:tcPr>
            <w:tcW w:w="4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NYSE: VNO | WWW.VNO.COM</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 13 OF 18</w:t>
            </w:r>
          </w:p>
        </w:tc>
      </w:tr>
    </w:tbl>
    <w:p>
      <w:pPr>
        <w:sectPr>
          <w:pgSz w:w="11900" w:h="16838" w:orient="portrait"/>
          <w:cols w:equalWidth="0" w:num="1">
            <w:col w:w="11280"/>
          </w:cols>
          <w:pgMar w:left="300" w:top="639"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RECONCILIATIONS - CONTINUED</w:t>
      </w:r>
    </w:p>
    <w:p>
      <w:pPr>
        <w:spacing w:after="0" w:line="170" w:lineRule="exact"/>
        <w:rPr>
          <w:sz w:val="20"/>
          <w:szCs w:val="20"/>
          <w:color w:val="auto"/>
        </w:rPr>
      </w:pPr>
    </w:p>
    <w:p>
      <w:pPr>
        <w:ind w:firstLine="258"/>
        <w:spacing w:after="0" w:line="293" w:lineRule="auto"/>
        <w:rPr>
          <w:sz w:val="20"/>
          <w:szCs w:val="20"/>
          <w:color w:val="auto"/>
        </w:rPr>
      </w:pPr>
      <w:r>
        <w:rPr>
          <w:rFonts w:ascii="Times New Roman" w:cs="Times New Roman" w:eastAsia="Times New Roman" w:hAnsi="Times New Roman"/>
          <w:sz w:val="14"/>
          <w:szCs w:val="14"/>
          <w:color w:val="auto"/>
        </w:rPr>
        <w:t>Below are reconciliations of NOI at share - cash basis to same store NOI at share - cash basis for our New York segment, THE MART, 555 California Street and other investments for the three months ended September 30, 2026 compared to September 30,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26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1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THE MART</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c>
          <w:tcPr>
            <w:tcW w:w="260" w:type="dxa"/>
            <w:vAlign w:val="bottom"/>
          </w:tcPr>
          <w:p>
            <w:pPr>
              <w:spacing w:after="0"/>
              <w:rPr>
                <w:sz w:val="14"/>
                <w:szCs w:val="14"/>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5"/>
        </w:trPr>
        <w:tc>
          <w:tcPr>
            <w:tcW w:w="4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NOI at share - cash basis for the three months ended September 30, 2026</w:t>
            </w:r>
          </w:p>
        </w:tc>
        <w:tc>
          <w:tcPr>
            <w:tcW w:w="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255,659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217,998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15,571</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12,112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9,978</w:t>
            </w:r>
          </w:p>
        </w:tc>
      </w:tr>
      <w:tr>
        <w:trPr>
          <w:trHeight w:val="170"/>
        </w:trPr>
        <w:tc>
          <w:tcPr>
            <w:tcW w:w="4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NOI at share - cash basis from:</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(6,780)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(6,780)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6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(3,895)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(3,895)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6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(24,656)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(14,568)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(9,978)</w:t>
            </w:r>
          </w:p>
        </w:tc>
      </w:tr>
      <w:tr>
        <w:trPr>
          <w:trHeight w:val="190"/>
        </w:trPr>
        <w:tc>
          <w:tcPr>
            <w:tcW w:w="4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Same store NOI at share - cash basis for the three months ended September 30, 2026</w:t>
            </w: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220,397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192,857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15,428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12,112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72"/>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NOI at share - cash basis for the three months ended September 30, 2025</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235,930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198,418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13,267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16,455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7,790</w:t>
            </w:r>
          </w:p>
        </w:tc>
      </w:tr>
      <w:tr>
        <w:trPr>
          <w:trHeight w:val="170"/>
        </w:trPr>
        <w:tc>
          <w:tcPr>
            <w:tcW w:w="4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NOI at share - cash basis from:</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60" w:type="dxa"/>
            <w:vAlign w:val="bottom"/>
          </w:tcPr>
          <w:p>
            <w:pPr>
              <w:spacing w:after="0"/>
              <w:rPr>
                <w:sz w:val="14"/>
                <w:szCs w:val="14"/>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(12,244)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(12,244)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(9,926)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(7,790)</w:t>
            </w:r>
          </w:p>
        </w:tc>
      </w:tr>
      <w:tr>
        <w:trPr>
          <w:trHeight w:val="165"/>
        </w:trPr>
        <w:tc>
          <w:tcPr>
            <w:tcW w:w="4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Same store NOI at share - cash basis for the three months ended September 30, 2025</w:t>
            </w: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213,546</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183,823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13,268</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16,455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4"/>
        </w:trPr>
        <w:tc>
          <w:tcPr>
            <w:tcW w:w="4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97"/>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same store NOI at share - cash basis</w:t>
            </w: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6,851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9,034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2,160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(4,343)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97"/>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increase (decrease) in same store NOI at share - cash basis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16.3 %</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466"/>
        </w:trPr>
        <w:tc>
          <w:tcPr>
            <w:tcW w:w="4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NYSE: VNO | WWW.VNO.COM</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 14 OF 18</w:t>
            </w:r>
          </w:p>
        </w:tc>
      </w:tr>
    </w:tbl>
    <w:p>
      <w:pPr>
        <w:sectPr>
          <w:pgSz w:w="11900" w:h="16838" w:orient="portrait"/>
          <w:cols w:equalWidth="0" w:num="1">
            <w:col w:w="11280"/>
          </w:cols>
          <w:pgMar w:left="300" w:top="639"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RECONCILIATIONS - CONTINUED</w:t>
      </w:r>
    </w:p>
    <w:p>
      <w:pPr>
        <w:spacing w:after="0" w:line="191" w:lineRule="exact"/>
        <w:rPr>
          <w:sz w:val="20"/>
          <w:szCs w:val="20"/>
          <w:color w:val="auto"/>
        </w:rPr>
      </w:pPr>
    </w:p>
    <w:p>
      <w:pPr>
        <w:ind w:firstLine="258"/>
        <w:spacing w:after="0" w:line="293" w:lineRule="auto"/>
        <w:rPr>
          <w:sz w:val="20"/>
          <w:szCs w:val="20"/>
          <w:color w:val="auto"/>
        </w:rPr>
      </w:pPr>
      <w:r>
        <w:rPr>
          <w:rFonts w:ascii="Times New Roman" w:cs="Times New Roman" w:eastAsia="Times New Roman" w:hAnsi="Times New Roman"/>
          <w:sz w:val="14"/>
          <w:szCs w:val="14"/>
          <w:color w:val="auto"/>
        </w:rPr>
        <w:t>Below are reconciliations of NOI at share to same store NOI at share for our New York segment, THE MART, 555 California Street and other investments for the nine months ended September 30, 2026 compared to September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28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THE MART</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c>
          <w:tcPr>
            <w:tcW w:w="280" w:type="dxa"/>
            <w:vAlign w:val="bottom"/>
          </w:tcPr>
          <w:p>
            <w:pPr>
              <w:spacing w:after="0"/>
              <w:rPr>
                <w:sz w:val="14"/>
                <w:szCs w:val="14"/>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5"/>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for the nine months ended September 30, 2026</w:t>
            </w:r>
          </w:p>
        </w:tc>
        <w:tc>
          <w:tcPr>
            <w:tcW w:w="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876,241</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748,867</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57,137</w:t>
            </w: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44,332</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25,905</w:t>
            </w:r>
          </w:p>
        </w:tc>
      </w:tr>
      <w:tr>
        <w:trPr>
          <w:trHeight w:val="170"/>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from:</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(14,543)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(14,543)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1,178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1,210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(8,841)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(8,841)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(51,669)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(25,654)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(25,905)</w:t>
            </w:r>
          </w:p>
        </w:tc>
      </w:tr>
      <w:tr>
        <w:trPr>
          <w:trHeight w:val="19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Same store NOI at share for the nine months ended September 30, 2026</w:t>
            </w: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802,366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701,039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56,995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44,332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for the nine months ended September 30, 2025</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837,639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711,067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54,388</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53,822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18,362</w:t>
            </w:r>
          </w:p>
        </w:tc>
      </w:tr>
      <w:tr>
        <w:trPr>
          <w:trHeight w:val="170"/>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from:</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(2,283)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(2,042)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(36,219)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(36,219)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(58,980)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(37,884)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(2,734)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(18,362)</w:t>
            </w:r>
          </w:p>
        </w:tc>
      </w:tr>
      <w:tr>
        <w:trPr>
          <w:trHeight w:val="165"/>
        </w:trPr>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Same store NOI at share for the nine months ended September 30, 2025</w:t>
            </w: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740,157</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634,922</w:t>
            </w: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54,147</w:t>
            </w: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51,088</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1"/>
        </w:trPr>
        <w:tc>
          <w:tcPr>
            <w:tcW w:w="4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97"/>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same store NOI at share</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62,209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66,117</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2,848</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(6,756)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9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increase (decrease) in same store NOI at share</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10560" w:val="left"/>
        </w:tabs>
        <w:rPr>
          <w:sz w:val="20"/>
          <w:szCs w:val="20"/>
          <w:color w:val="auto"/>
        </w:rPr>
      </w:pPr>
      <w:r>
        <w:rPr>
          <w:rFonts w:ascii="Times New Roman" w:cs="Times New Roman" w:eastAsia="Times New Roman" w:hAnsi="Times New Roman"/>
          <w:sz w:val="10"/>
          <w:szCs w:val="10"/>
          <w:b w:val="1"/>
          <w:bCs w:val="1"/>
          <w:color w:val="auto"/>
        </w:rPr>
        <w:t>NYSE: VNO | WWW.VNO.COM</w:t>
      </w:r>
      <w:r>
        <w:rPr>
          <w:sz w:val="20"/>
          <w:szCs w:val="20"/>
          <w:color w:val="auto"/>
        </w:rPr>
        <w:tab/>
      </w:r>
      <w:r>
        <w:rPr>
          <w:rFonts w:ascii="Times New Roman" w:cs="Times New Roman" w:eastAsia="Times New Roman" w:hAnsi="Times New Roman"/>
          <w:sz w:val="9"/>
          <w:szCs w:val="9"/>
          <w:b w:val="1"/>
          <w:bCs w:val="1"/>
          <w:color w:val="auto"/>
        </w:rPr>
        <w:t>PAGE 15 OF 18</w:t>
      </w:r>
    </w:p>
    <w:p>
      <w:pPr>
        <w:sectPr>
          <w:pgSz w:w="11900" w:h="16838" w:orient="portrait"/>
          <w:cols w:equalWidth="0" w:num="1">
            <w:col w:w="11280"/>
          </w:cols>
          <w:pgMar w:left="300" w:top="715"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RECONCILIATIONS - CONTINUED</w:t>
      </w:r>
    </w:p>
    <w:p>
      <w:pPr>
        <w:spacing w:after="0" w:line="62" w:lineRule="exact"/>
        <w:rPr>
          <w:sz w:val="20"/>
          <w:szCs w:val="20"/>
          <w:color w:val="auto"/>
        </w:rPr>
      </w:pPr>
    </w:p>
    <w:p>
      <w:pPr>
        <w:ind w:firstLine="258"/>
        <w:spacing w:after="0" w:line="293" w:lineRule="auto"/>
        <w:rPr>
          <w:sz w:val="20"/>
          <w:szCs w:val="20"/>
          <w:color w:val="auto"/>
        </w:rPr>
      </w:pPr>
      <w:r>
        <w:rPr>
          <w:rFonts w:ascii="Times New Roman" w:cs="Times New Roman" w:eastAsia="Times New Roman" w:hAnsi="Times New Roman"/>
          <w:sz w:val="14"/>
          <w:szCs w:val="14"/>
          <w:color w:val="auto"/>
        </w:rPr>
        <w:t>Below are reconciliations of NOI at share - cash basis to same store NOI at share - cash basis for our New York segment, THE MART, 555 California Street and other investments for the nine months ended September 30, 2026 compared to September 30,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28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THE MART</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c>
          <w:tcPr>
            <w:tcW w:w="280" w:type="dxa"/>
            <w:vAlign w:val="bottom"/>
          </w:tcPr>
          <w:p>
            <w:pPr>
              <w:spacing w:after="0"/>
              <w:rPr>
                <w:sz w:val="14"/>
                <w:szCs w:val="14"/>
                <w:color w:val="auto"/>
              </w:rPr>
            </w:pPr>
          </w:p>
        </w:tc>
        <w:tc>
          <w:tcPr>
            <w:tcW w:w="102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65"/>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 cash basis for the nine months ended September 30, 2026</w:t>
            </w:r>
          </w:p>
        </w:tc>
        <w:tc>
          <w:tcPr>
            <w:tcW w:w="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759,899</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641,484</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62,069</w:t>
            </w: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29,933</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26,413</w:t>
            </w:r>
          </w:p>
        </w:tc>
        <w:tc>
          <w:tcPr>
            <w:tcW w:w="0" w:type="dxa"/>
            <w:vAlign w:val="bottom"/>
          </w:tcPr>
          <w:p>
            <w:pPr>
              <w:spacing w:after="0"/>
              <w:rPr>
                <w:sz w:val="1"/>
                <w:szCs w:val="1"/>
                <w:color w:val="auto"/>
              </w:rPr>
            </w:pPr>
          </w:p>
        </w:tc>
      </w:tr>
      <w:tr>
        <w:trPr>
          <w:trHeight w:val="170"/>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 cash basis from:</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(8,145)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(8,145)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1,178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1,210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(7,156)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(7,156)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(70,900)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(44,377)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(26,413)</w:t>
            </w:r>
          </w:p>
        </w:tc>
        <w:tc>
          <w:tcPr>
            <w:tcW w:w="0" w:type="dxa"/>
            <w:vAlign w:val="bottom"/>
          </w:tcPr>
          <w:p>
            <w:pPr>
              <w:spacing w:after="0"/>
              <w:rPr>
                <w:sz w:val="1"/>
                <w:szCs w:val="1"/>
                <w:color w:val="auto"/>
              </w:rPr>
            </w:pPr>
          </w:p>
        </w:tc>
      </w:tr>
      <w:tr>
        <w:trPr>
          <w:trHeight w:val="112"/>
        </w:trPr>
        <w:tc>
          <w:tcPr>
            <w:tcW w:w="4220" w:type="dxa"/>
            <w:vAlign w:val="bottom"/>
            <w:tcBorders>
              <w:top w:val="single" w:sz="8" w:color="CCEEFF"/>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color w:val="auto"/>
              </w:rPr>
              <w:t>Same store NOI at share - cash basis for the nine months ended September 30,</w:t>
            </w:r>
          </w:p>
        </w:tc>
        <w:tc>
          <w:tcPr>
            <w:tcW w:w="280" w:type="dxa"/>
            <w:vAlign w:val="bottom"/>
            <w:tcBorders>
              <w:top w:val="single" w:sz="8" w:color="auto"/>
            </w:tcBorders>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674,876</w:t>
            </w:r>
          </w:p>
        </w:tc>
        <w:tc>
          <w:tcPr>
            <w:tcW w:w="1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583,016</w:t>
            </w: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61,927</w:t>
            </w:r>
          </w:p>
        </w:tc>
        <w:tc>
          <w:tcPr>
            <w:tcW w:w="1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29,933</w:t>
            </w:r>
          </w:p>
        </w:tc>
        <w:tc>
          <w:tcPr>
            <w:tcW w:w="1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2026</w:t>
            </w: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4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 cash basis for the nine months ended September 30, 2025</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737,020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608,105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56,042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55,276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17,597</w:t>
            </w:r>
          </w:p>
        </w:tc>
        <w:tc>
          <w:tcPr>
            <w:tcW w:w="0" w:type="dxa"/>
            <w:vAlign w:val="bottom"/>
          </w:tcPr>
          <w:p>
            <w:pPr>
              <w:spacing w:after="0"/>
              <w:rPr>
                <w:sz w:val="1"/>
                <w:szCs w:val="1"/>
                <w:color w:val="auto"/>
              </w:rPr>
            </w:pPr>
          </w:p>
        </w:tc>
      </w:tr>
      <w:tr>
        <w:trPr>
          <w:trHeight w:val="170"/>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 cash basis from:</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(2,742)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(2,499)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(243)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(35,625)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(35,625)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(34,294)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(13,437)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(3,260)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(17,597)</w:t>
            </w:r>
          </w:p>
        </w:tc>
        <w:tc>
          <w:tcPr>
            <w:tcW w:w="0" w:type="dxa"/>
            <w:vAlign w:val="bottom"/>
          </w:tcPr>
          <w:p>
            <w:pPr>
              <w:spacing w:after="0"/>
              <w:rPr>
                <w:sz w:val="1"/>
                <w:szCs w:val="1"/>
                <w:color w:val="auto"/>
              </w:rPr>
            </w:pPr>
          </w:p>
        </w:tc>
      </w:tr>
      <w:tr>
        <w:trPr>
          <w:trHeight w:val="109"/>
        </w:trPr>
        <w:tc>
          <w:tcPr>
            <w:tcW w:w="422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color w:val="auto"/>
              </w:rPr>
              <w:t>Same store NOI at share - cash basis for the nine months ended September 30,</w:t>
            </w:r>
          </w:p>
        </w:tc>
        <w:tc>
          <w:tcPr>
            <w:tcW w:w="28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rPr>
              <w:t>664,359</w:t>
            </w:r>
          </w:p>
        </w:tc>
        <w:tc>
          <w:tcPr>
            <w:tcW w:w="120" w:type="dxa"/>
            <w:vAlign w:val="bottom"/>
          </w:tcPr>
          <w:p>
            <w:pPr>
              <w:spacing w:after="0"/>
              <w:rPr>
                <w:sz w:val="9"/>
                <w:szCs w:val="9"/>
                <w:color w:val="auto"/>
              </w:rPr>
            </w:pPr>
          </w:p>
        </w:tc>
        <w:tc>
          <w:tcPr>
            <w:tcW w:w="2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rPr>
              <w:t>556,544</w:t>
            </w:r>
          </w:p>
        </w:tc>
        <w:tc>
          <w:tcPr>
            <w:tcW w:w="140" w:type="dxa"/>
            <w:vAlign w:val="bottom"/>
          </w:tcPr>
          <w:p>
            <w:pPr>
              <w:spacing w:after="0"/>
              <w:rPr>
                <w:sz w:val="9"/>
                <w:szCs w:val="9"/>
                <w:color w:val="auto"/>
              </w:rPr>
            </w:pPr>
          </w:p>
        </w:tc>
        <w:tc>
          <w:tcPr>
            <w:tcW w:w="20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rPr>
              <w:t>55,799</w:t>
            </w:r>
          </w:p>
        </w:tc>
        <w:tc>
          <w:tcPr>
            <w:tcW w:w="120" w:type="dxa"/>
            <w:vAlign w:val="bottom"/>
          </w:tcPr>
          <w:p>
            <w:pPr>
              <w:spacing w:after="0"/>
              <w:rPr>
                <w:sz w:val="9"/>
                <w:szCs w:val="9"/>
                <w:color w:val="auto"/>
              </w:rPr>
            </w:pPr>
          </w:p>
        </w:tc>
        <w:tc>
          <w:tcPr>
            <w:tcW w:w="4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ind w:right="115"/>
              <w:spacing w:after="0"/>
              <w:rPr>
                <w:sz w:val="20"/>
                <w:szCs w:val="20"/>
                <w:color w:val="auto"/>
              </w:rPr>
            </w:pPr>
            <w:r>
              <w:rPr>
                <w:rFonts w:ascii="Times New Roman" w:cs="Times New Roman" w:eastAsia="Times New Roman" w:hAnsi="Times New Roman"/>
                <w:sz w:val="13"/>
                <w:szCs w:val="13"/>
                <w:color w:val="auto"/>
              </w:rPr>
              <w:t>52,016</w:t>
            </w:r>
          </w:p>
        </w:tc>
        <w:tc>
          <w:tcPr>
            <w:tcW w:w="120" w:type="dxa"/>
            <w:vAlign w:val="bottom"/>
          </w:tcPr>
          <w:p>
            <w:pPr>
              <w:spacing w:after="0"/>
              <w:rPr>
                <w:sz w:val="9"/>
                <w:szCs w:val="9"/>
                <w:color w:val="auto"/>
              </w:rPr>
            </w:pPr>
          </w:p>
        </w:tc>
        <w:tc>
          <w:tcPr>
            <w:tcW w:w="28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28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4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 same store NOI at share - cash basis</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10,517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26,472</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6,128</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(22,083)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4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increase (decrease) in same store NOI at share - cash basis</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4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NYSE: VNO | WWW.VNO.COM</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 16 OF 18</w:t>
            </w:r>
          </w:p>
        </w:tc>
        <w:tc>
          <w:tcPr>
            <w:tcW w:w="0" w:type="dxa"/>
            <w:vAlign w:val="bottom"/>
          </w:tcPr>
          <w:p>
            <w:pPr>
              <w:spacing w:after="0"/>
              <w:rPr>
                <w:sz w:val="1"/>
                <w:szCs w:val="1"/>
                <w:color w:val="auto"/>
              </w:rPr>
            </w:pPr>
          </w:p>
        </w:tc>
      </w:tr>
    </w:tbl>
    <w:p>
      <w:pPr>
        <w:sectPr>
          <w:pgSz w:w="11900" w:h="16838" w:orient="portrait"/>
          <w:cols w:equalWidth="0" w:num="1">
            <w:col w:w="11280"/>
          </w:cols>
          <w:pgMar w:left="300" w:top="71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RECONCILIATIONS - CONTINUED</w:t>
      </w:r>
    </w:p>
    <w:p>
      <w:pPr>
        <w:spacing w:after="0" w:line="170" w:lineRule="exact"/>
        <w:rPr>
          <w:sz w:val="20"/>
          <w:szCs w:val="20"/>
          <w:color w:val="auto"/>
        </w:rPr>
      </w:pPr>
    </w:p>
    <w:p>
      <w:pPr>
        <w:ind w:firstLine="258"/>
        <w:spacing w:after="0" w:line="293" w:lineRule="auto"/>
        <w:rPr>
          <w:sz w:val="20"/>
          <w:szCs w:val="20"/>
          <w:color w:val="auto"/>
        </w:rPr>
      </w:pPr>
      <w:r>
        <w:rPr>
          <w:rFonts w:ascii="Times New Roman" w:cs="Times New Roman" w:eastAsia="Times New Roman" w:hAnsi="Times New Roman"/>
          <w:sz w:val="14"/>
          <w:szCs w:val="14"/>
          <w:color w:val="auto"/>
        </w:rPr>
        <w:t>Below are reconciliations of NOI at share to same store NOI at share for our New York segment, THE MART, 555 California Street and other investments for the three months ended September 30, 2026 compared to June 30, 2026.</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 MART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c>
          <w:tcPr>
            <w:tcW w:w="260" w:type="dxa"/>
            <w:vAlign w:val="bottom"/>
          </w:tcPr>
          <w:p>
            <w:pPr>
              <w:spacing w:after="0"/>
              <w:rPr>
                <w:sz w:val="14"/>
                <w:szCs w:val="14"/>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for the three months ended September 30, 2026</w:t>
            </w:r>
          </w:p>
        </w:tc>
        <w:tc>
          <w:tcPr>
            <w:tcW w:w="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300,054</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260,620</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13,948</w:t>
            </w: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15,831</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9,655</w:t>
            </w:r>
          </w:p>
        </w:tc>
      </w:tr>
      <w:tr>
        <w:trPr>
          <w:trHeight w:val="170"/>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from:</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(12,170)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(12,170)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tcPr>
          <w:p>
            <w:pPr>
              <w:spacing w:after="0"/>
              <w:rPr>
                <w:sz w:val="14"/>
                <w:szCs w:val="14"/>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(3,120)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(3,120)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tcPr>
          <w:p>
            <w:pPr>
              <w:spacing w:after="0"/>
              <w:rPr>
                <w:sz w:val="14"/>
                <w:szCs w:val="1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(18,122)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(8,357)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(9,655)</w:t>
            </w:r>
          </w:p>
        </w:tc>
      </w:tr>
      <w:tr>
        <w:trPr>
          <w:trHeight w:val="19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Same store NOI at share for the three months ended September 30, 2026</w:t>
            </w: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266,711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237,075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13,805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15,831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17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for the three months ended June 30, 2026</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304,064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251,698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27,299</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14,850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10,217</w:t>
            </w:r>
          </w:p>
        </w:tc>
      </w:tr>
      <w:tr>
        <w:trPr>
          <w:trHeight w:val="170"/>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from:</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(2,875)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(2,875)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tcPr>
          <w:p>
            <w:pPr>
              <w:spacing w:after="0"/>
              <w:rPr>
                <w:sz w:val="14"/>
                <w:szCs w:val="14"/>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428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(4,603)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(4,603)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tcPr>
          <w:p>
            <w:pPr>
              <w:spacing w:after="0"/>
              <w:rPr>
                <w:sz w:val="14"/>
                <w:szCs w:val="1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(18,873)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(8,656)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(10,217)</w:t>
            </w:r>
          </w:p>
        </w:tc>
      </w:tr>
      <w:tr>
        <w:trPr>
          <w:trHeight w:val="19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Same store NOI at share for the three months ended June 30, 2026</w:t>
            </w: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278,141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235,991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27,300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14,850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197"/>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(Decrease) increase in same store NOI at share</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(11,430)</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1,084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(13,495)</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981</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197"/>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(decrease) increase in same store NOI at share</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w w:val="95"/>
              </w:rPr>
              <w:t>—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466"/>
        </w:trPr>
        <w:tc>
          <w:tcPr>
            <w:tcW w:w="47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NYSE: VNO | WWW.VNO.COM</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 17 OF 18</w:t>
            </w:r>
          </w:p>
        </w:tc>
      </w:tr>
    </w:tbl>
    <w:p>
      <w:pPr>
        <w:sectPr>
          <w:pgSz w:w="11900" w:h="16838" w:orient="portrait"/>
          <w:cols w:equalWidth="0" w:num="1">
            <w:col w:w="11280"/>
          </w:cols>
          <w:pgMar w:left="300" w:top="639"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VORNADO REALTY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RECONCILIATIONS - CONTINUED</w:t>
      </w:r>
    </w:p>
    <w:p>
      <w:pPr>
        <w:spacing w:after="0" w:line="170" w:lineRule="exact"/>
        <w:rPr>
          <w:sz w:val="20"/>
          <w:szCs w:val="20"/>
          <w:color w:val="auto"/>
        </w:rPr>
      </w:pPr>
    </w:p>
    <w:p>
      <w:pPr>
        <w:ind w:firstLine="258"/>
        <w:spacing w:after="0" w:line="293" w:lineRule="auto"/>
        <w:rPr>
          <w:sz w:val="20"/>
          <w:szCs w:val="20"/>
          <w:color w:val="auto"/>
        </w:rPr>
      </w:pPr>
      <w:r>
        <w:rPr>
          <w:rFonts w:ascii="Times New Roman" w:cs="Times New Roman" w:eastAsia="Times New Roman" w:hAnsi="Times New Roman"/>
          <w:sz w:val="14"/>
          <w:szCs w:val="14"/>
          <w:color w:val="auto"/>
        </w:rPr>
        <w:t>Below are reconciliations of NOI at share - cash basis to same store NOI at share - cash basis for our New York segment, THE MART, 555 California Street and other investments for the three months ended September 30, 2026 compared to June 30, 2026.</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 MART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555 California Street</w:t>
            </w:r>
          </w:p>
        </w:tc>
        <w:tc>
          <w:tcPr>
            <w:tcW w:w="260" w:type="dxa"/>
            <w:vAlign w:val="bottom"/>
          </w:tcPr>
          <w:p>
            <w:pPr>
              <w:spacing w:after="0"/>
              <w:rPr>
                <w:sz w:val="14"/>
                <w:szCs w:val="14"/>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 cash basis for the three months ended September 30, 2026</w:t>
            </w:r>
          </w:p>
        </w:tc>
        <w:tc>
          <w:tcPr>
            <w:tcW w:w="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255,659</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217,998</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15,571</w:t>
            </w:r>
          </w:p>
        </w:tc>
        <w:tc>
          <w:tcPr>
            <w:tcW w:w="1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12,112</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9,978</w:t>
            </w:r>
          </w:p>
        </w:tc>
      </w:tr>
      <w:tr>
        <w:trPr>
          <w:trHeight w:val="170"/>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 cash basis from:</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(6,938)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(6,938)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tcPr>
          <w:p>
            <w:pPr>
              <w:spacing w:after="0"/>
              <w:rPr>
                <w:sz w:val="14"/>
                <w:szCs w:val="1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(3,895)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(3,895)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tcPr>
          <w:p>
            <w:pPr>
              <w:spacing w:after="0"/>
              <w:rPr>
                <w:sz w:val="14"/>
                <w:szCs w:val="1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(24,656)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(14,568)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(9,978)</w:t>
            </w:r>
          </w:p>
        </w:tc>
      </w:tr>
      <w:tr>
        <w:trPr>
          <w:trHeight w:val="19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Same store NOI at share - cash basis for the three months ended September 30, 2026</w:t>
            </w: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220,239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192,699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15,428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12,112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4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7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NOI at share - cash basis for the three months ended June 30, 2026</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263,183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214,957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28,873</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8,962</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10,391</w:t>
            </w:r>
          </w:p>
        </w:tc>
      </w:tr>
      <w:tr>
        <w:trPr>
          <w:trHeight w:val="170"/>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NOI at share - cash basis from:</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(1,723)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(1,723)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Dispositions</w:t>
            </w:r>
          </w:p>
        </w:tc>
        <w:tc>
          <w:tcPr>
            <w:tcW w:w="280" w:type="dxa"/>
            <w:vAlign w:val="bottom"/>
          </w:tcPr>
          <w:p>
            <w:pPr>
              <w:spacing w:after="0"/>
              <w:rPr>
                <w:sz w:val="14"/>
                <w:szCs w:val="1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428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 properties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(3,786)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(3,786)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non-same store income, net</w:t>
            </w:r>
          </w:p>
        </w:tc>
        <w:tc>
          <w:tcPr>
            <w:tcW w:w="280" w:type="dxa"/>
            <w:vAlign w:val="bottom"/>
          </w:tcPr>
          <w:p>
            <w:pPr>
              <w:spacing w:after="0"/>
              <w:rPr>
                <w:sz w:val="14"/>
                <w:szCs w:val="1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(24,947)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(14,556)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(10,391)</w:t>
            </w:r>
          </w:p>
        </w:tc>
      </w:tr>
      <w:tr>
        <w:trPr>
          <w:trHeight w:val="19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Same store NOI at share - cash basis for the three months ended June 30, 2026</w:t>
            </w:r>
          </w:p>
        </w:tc>
        <w:tc>
          <w:tcPr>
            <w:tcW w:w="2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233,155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195,319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28,874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8,962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4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97"/>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(Decrease) increase in same store NOI at share - cash basis</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(12,916)</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(2,620)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(13,446)</w:t>
            </w: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3,150</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4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97"/>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(decrease) increase in same store NOI at share - cash basis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35.1 %</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47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NYSE: VNO | WWW.VNO.COM</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 18 OF 18</w:t>
            </w:r>
          </w:p>
        </w:tc>
      </w:tr>
    </w:tbl>
    <w:p>
      <w:pPr>
        <w:sectPr>
          <w:pgSz w:w="11900" w:h="16838" w:orient="portrait"/>
          <w:cols w:equalWidth="0" w:num="1">
            <w:col w:w="11280"/>
          </w:cols>
          <w:pgMar w:left="300" w:top="639" w:right="319" w:bottom="1440"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621665</wp:posOffset>
            </wp:positionV>
            <wp:extent cx="7209790" cy="3996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9790" cy="3996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ind w:left="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6026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7" w:lineRule="exact"/>
        <w:rPr>
          <w:sz w:val="20"/>
          <w:szCs w:val="20"/>
          <w:color w:val="auto"/>
        </w:rPr>
      </w:pPr>
    </w:p>
    <w:p>
      <w:pPr>
        <w:ind w:left="9240"/>
        <w:spacing w:after="0"/>
        <w:rPr>
          <w:sz w:val="20"/>
          <w:szCs w:val="20"/>
          <w:color w:val="auto"/>
        </w:rPr>
      </w:pPr>
      <w:r>
        <w:rPr>
          <w:rFonts w:ascii="Arial" w:cs="Arial" w:eastAsia="Arial" w:hAnsi="Arial"/>
          <w:sz w:val="10"/>
          <w:szCs w:val="10"/>
          <w:b w:val="1"/>
          <w:bCs w:val="1"/>
          <w:color w:val="auto"/>
        </w:rPr>
        <w:t>Page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900" w:type="dxa"/>
            <w:vAlign w:val="bottom"/>
            <w:shd w:val="clear" w:color="auto" w:fill="CCEEFF"/>
          </w:tcPr>
          <w:p>
            <w:pPr>
              <w:ind w:left="1540"/>
              <w:spacing w:after="0"/>
              <w:rPr>
                <w:sz w:val="20"/>
                <w:szCs w:val="20"/>
                <w:color w:val="auto"/>
              </w:rPr>
            </w:pPr>
            <w:r>
              <w:rPr>
                <w:rFonts w:ascii="Arial" w:cs="Arial" w:eastAsia="Arial" w:hAnsi="Arial"/>
                <w:sz w:val="10"/>
                <w:szCs w:val="10"/>
                <w:b w:val="1"/>
                <w:bCs w:val="1"/>
                <w:color w:val="auto"/>
              </w:rPr>
              <w:t>BUSINESS DEVELOPMENTS</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5</w:t>
            </w:r>
          </w:p>
        </w:tc>
      </w:tr>
      <w:tr>
        <w:trPr>
          <w:trHeight w:val="137"/>
        </w:trPr>
        <w:tc>
          <w:tcPr>
            <w:tcW w:w="7900" w:type="dxa"/>
            <w:vAlign w:val="bottom"/>
          </w:tcPr>
          <w:p>
            <w:pPr>
              <w:ind w:left="1540"/>
              <w:spacing w:after="0"/>
              <w:rPr>
                <w:sz w:val="20"/>
                <w:szCs w:val="20"/>
                <w:color w:val="auto"/>
              </w:rPr>
            </w:pPr>
            <w:r>
              <w:rPr>
                <w:rFonts w:ascii="Arial" w:cs="Arial" w:eastAsia="Arial" w:hAnsi="Arial"/>
                <w:sz w:val="10"/>
                <w:szCs w:val="10"/>
                <w:b w:val="1"/>
                <w:bCs w:val="1"/>
                <w:color w:val="auto"/>
              </w:rPr>
              <w:t>FINANCIAL INFORMATION</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3"/>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Financial Highlights</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FFO, As Adjusted Bridge</w:t>
            </w:r>
          </w:p>
        </w:tc>
        <w:tc>
          <w:tcPr>
            <w:tcW w:w="142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Net Operating Income, EBITDAre, FFO and FAD</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Consolidated Balance Sheets</w:t>
            </w:r>
          </w:p>
        </w:tc>
        <w:tc>
          <w:tcPr>
            <w:tcW w:w="142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Net (Loss) Income Attributable to Common Shareholders (Consolidated and by Segment)</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12</w:t>
            </w: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Net Operating Income at Share and Net Operating Income at Share - Cash Basis by Segment and Subsegment</w:t>
            </w:r>
          </w:p>
        </w:tc>
        <w:tc>
          <w:tcPr>
            <w:tcW w:w="142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Same Store NOI at Share and Same Store NOI at Share - Cash Basis</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7"/>
        </w:trPr>
        <w:tc>
          <w:tcPr>
            <w:tcW w:w="7900" w:type="dxa"/>
            <w:vAlign w:val="bottom"/>
          </w:tcPr>
          <w:p>
            <w:pPr>
              <w:ind w:left="1540"/>
              <w:spacing w:after="0"/>
              <w:rPr>
                <w:sz w:val="20"/>
                <w:szCs w:val="20"/>
                <w:color w:val="auto"/>
              </w:rPr>
            </w:pPr>
            <w:r>
              <w:rPr>
                <w:rFonts w:ascii="Arial" w:cs="Arial" w:eastAsia="Arial" w:hAnsi="Arial"/>
                <w:sz w:val="10"/>
                <w:szCs w:val="10"/>
                <w:b w:val="1"/>
                <w:bCs w:val="1"/>
                <w:color w:val="auto"/>
              </w:rPr>
              <w:t>LEASING ACTIVITY AND LEASE EXPIRATIONS</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3"/>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Leasing Activity</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16</w:t>
            </w: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Lease Expirations</w:t>
            </w:r>
          </w:p>
        </w:tc>
        <w:tc>
          <w:tcPr>
            <w:tcW w:w="1420" w:type="dxa"/>
            <w:vAlign w:val="bottom"/>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860" w:type="dxa"/>
            <w:vAlign w:val="bottom"/>
          </w:tcPr>
          <w:p>
            <w:pPr>
              <w:ind w:left="20"/>
              <w:spacing w:after="0"/>
              <w:rPr>
                <w:sz w:val="20"/>
                <w:szCs w:val="20"/>
                <w:color w:val="auto"/>
              </w:rPr>
            </w:pPr>
            <w:r>
              <w:rPr>
                <w:rFonts w:ascii="Arial" w:cs="Arial" w:eastAsia="Arial" w:hAnsi="Arial"/>
                <w:sz w:val="10"/>
                <w:szCs w:val="10"/>
                <w:color w:val="auto"/>
              </w:rPr>
              <w:t>19</w:t>
            </w:r>
          </w:p>
        </w:tc>
      </w:tr>
      <w:tr>
        <w:trPr>
          <w:trHeight w:val="146"/>
        </w:trPr>
        <w:tc>
          <w:tcPr>
            <w:tcW w:w="7900" w:type="dxa"/>
            <w:vAlign w:val="bottom"/>
            <w:shd w:val="clear" w:color="auto" w:fill="CCEEFF"/>
          </w:tcPr>
          <w:p>
            <w:pPr>
              <w:ind w:left="1540"/>
              <w:spacing w:after="0"/>
              <w:rPr>
                <w:sz w:val="20"/>
                <w:szCs w:val="20"/>
                <w:color w:val="auto"/>
              </w:rPr>
            </w:pPr>
            <w:r>
              <w:rPr>
                <w:rFonts w:ascii="Arial" w:cs="Arial" w:eastAsia="Arial" w:hAnsi="Arial"/>
                <w:sz w:val="10"/>
                <w:szCs w:val="10"/>
                <w:b w:val="1"/>
                <w:bCs w:val="1"/>
                <w:color w:val="auto"/>
              </w:rPr>
              <w:t>CAPITAL EXPENDITURES AND RE/DEVELOPMENT</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7"/>
        </w:trPr>
        <w:tc>
          <w:tcPr>
            <w:tcW w:w="7900" w:type="dxa"/>
            <w:vAlign w:val="bottom"/>
          </w:tcPr>
          <w:p>
            <w:pPr>
              <w:ind w:left="1540"/>
              <w:spacing w:after="0"/>
              <w:rPr>
                <w:sz w:val="20"/>
                <w:szCs w:val="20"/>
                <w:color w:val="auto"/>
              </w:rPr>
            </w:pPr>
            <w:r>
              <w:rPr>
                <w:rFonts w:ascii="Arial" w:cs="Arial" w:eastAsia="Arial" w:hAnsi="Arial"/>
                <w:sz w:val="10"/>
                <w:szCs w:val="10"/>
                <w:b w:val="1"/>
                <w:bCs w:val="1"/>
                <w:color w:val="auto"/>
              </w:rPr>
              <w:t>DEVELOPMENT/REDEVELOPMENT - ACTIVE PROJECTS AND FUTURE OPPORTUNITIES</w:t>
            </w:r>
          </w:p>
        </w:tc>
        <w:tc>
          <w:tcPr>
            <w:tcW w:w="142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3"/>
        </w:trPr>
        <w:tc>
          <w:tcPr>
            <w:tcW w:w="7900" w:type="dxa"/>
            <w:vAlign w:val="bottom"/>
            <w:shd w:val="clear" w:color="auto" w:fill="CCEEFF"/>
          </w:tcPr>
          <w:p>
            <w:pPr>
              <w:ind w:left="1540"/>
              <w:spacing w:after="0"/>
              <w:rPr>
                <w:sz w:val="20"/>
                <w:szCs w:val="20"/>
                <w:color w:val="auto"/>
              </w:rPr>
            </w:pPr>
            <w:r>
              <w:rPr>
                <w:rFonts w:ascii="Arial" w:cs="Arial" w:eastAsia="Arial" w:hAnsi="Arial"/>
                <w:sz w:val="10"/>
                <w:szCs w:val="10"/>
                <w:b w:val="1"/>
                <w:bCs w:val="1"/>
                <w:color w:val="auto"/>
              </w:rPr>
              <w:t>UNCONSOLIDATED JOINT VENTURES</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23</w:t>
            </w:r>
          </w:p>
        </w:tc>
      </w:tr>
      <w:tr>
        <w:trPr>
          <w:trHeight w:val="137"/>
        </w:trPr>
        <w:tc>
          <w:tcPr>
            <w:tcW w:w="7900" w:type="dxa"/>
            <w:vAlign w:val="bottom"/>
          </w:tcPr>
          <w:p>
            <w:pPr>
              <w:ind w:left="1540"/>
              <w:spacing w:after="0"/>
              <w:rPr>
                <w:sz w:val="20"/>
                <w:szCs w:val="20"/>
                <w:color w:val="auto"/>
              </w:rPr>
            </w:pPr>
            <w:r>
              <w:rPr>
                <w:rFonts w:ascii="Arial" w:cs="Arial" w:eastAsia="Arial" w:hAnsi="Arial"/>
                <w:sz w:val="10"/>
                <w:szCs w:val="10"/>
                <w:b w:val="1"/>
                <w:bCs w:val="1"/>
                <w:color w:val="auto"/>
              </w:rPr>
              <w:t>DEBT AND CAPITALIZATION</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3"/>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Debt Analysis</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Corporate Covenant Ratios and Credit Ratings</w:t>
            </w:r>
          </w:p>
        </w:tc>
        <w:tc>
          <w:tcPr>
            <w:tcW w:w="1420" w:type="dxa"/>
            <w:vAlign w:val="bottom"/>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Capital Structure</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Debt Maturities</w:t>
            </w:r>
          </w:p>
        </w:tc>
        <w:tc>
          <w:tcPr>
            <w:tcW w:w="142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Debt Detail (Consolidated and Unconsolidated)</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29</w:t>
            </w: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Hedging Instruments</w:t>
            </w:r>
          </w:p>
        </w:tc>
        <w:tc>
          <w:tcPr>
            <w:tcW w:w="1420" w:type="dxa"/>
            <w:vAlign w:val="bottom"/>
          </w:tcPr>
          <w:p>
            <w:pPr>
              <w:jc w:val="right"/>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540"/>
              <w:spacing w:after="0"/>
              <w:rPr>
                <w:sz w:val="20"/>
                <w:szCs w:val="20"/>
                <w:color w:val="auto"/>
              </w:rPr>
            </w:pPr>
            <w:r>
              <w:rPr>
                <w:rFonts w:ascii="Arial" w:cs="Arial" w:eastAsia="Arial" w:hAnsi="Arial"/>
                <w:sz w:val="10"/>
                <w:szCs w:val="10"/>
                <w:b w:val="1"/>
                <w:bCs w:val="1"/>
                <w:color w:val="auto"/>
              </w:rPr>
              <w:t>PROPERTY STATISTICS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Top 30 Tenants</w:t>
            </w:r>
          </w:p>
        </w:tc>
        <w:tc>
          <w:tcPr>
            <w:tcW w:w="1420" w:type="dxa"/>
            <w:vAlign w:val="bottom"/>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Square Footage</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Occupancy and Residential Statistics</w:t>
            </w:r>
          </w:p>
        </w:tc>
        <w:tc>
          <w:tcPr>
            <w:tcW w:w="1420" w:type="dxa"/>
            <w:vAlign w:val="bottom"/>
          </w:tcPr>
          <w:p>
            <w:pPr>
              <w:jc w:val="right"/>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Ground Leases</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Property Map</w:t>
            </w:r>
          </w:p>
        </w:tc>
        <w:tc>
          <w:tcPr>
            <w:tcW w:w="1420" w:type="dxa"/>
            <w:vAlign w:val="bottom"/>
          </w:tcPr>
          <w:p>
            <w:pPr>
              <w:jc w:val="right"/>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Property Table</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43</w:t>
            </w:r>
          </w:p>
        </w:tc>
      </w:tr>
      <w:tr>
        <w:trPr>
          <w:trHeight w:val="137"/>
        </w:trPr>
        <w:tc>
          <w:tcPr>
            <w:tcW w:w="7900" w:type="dxa"/>
            <w:vAlign w:val="bottom"/>
          </w:tcPr>
          <w:p>
            <w:pPr>
              <w:ind w:left="1540"/>
              <w:spacing w:after="0"/>
              <w:rPr>
                <w:sz w:val="20"/>
                <w:szCs w:val="20"/>
                <w:color w:val="auto"/>
              </w:rPr>
            </w:pPr>
            <w:r>
              <w:rPr>
                <w:rFonts w:ascii="Arial" w:cs="Arial" w:eastAsia="Arial" w:hAnsi="Arial"/>
                <w:sz w:val="10"/>
                <w:szCs w:val="10"/>
                <w:b w:val="1"/>
                <w:bCs w:val="1"/>
                <w:color w:val="auto"/>
              </w:rPr>
              <w:t>EXECUTIVE OFFICERS AND RESEARCH COVERAGE</w:t>
            </w:r>
          </w:p>
        </w:tc>
        <w:tc>
          <w:tcPr>
            <w:tcW w:w="1420" w:type="dxa"/>
            <w:vAlign w:val="bottom"/>
          </w:tcPr>
          <w:p>
            <w:pPr>
              <w:jc w:val="right"/>
              <w:spacing w:after="0"/>
              <w:rPr>
                <w:sz w:val="20"/>
                <w:szCs w:val="20"/>
                <w:color w:val="auto"/>
              </w:rPr>
            </w:pPr>
            <w:r>
              <w:rPr>
                <w:rFonts w:ascii="Arial" w:cs="Arial" w:eastAsia="Arial" w:hAnsi="Arial"/>
                <w:sz w:val="10"/>
                <w:szCs w:val="10"/>
                <w:color w:val="auto"/>
              </w:rPr>
              <w:t>44</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3"/>
        </w:trPr>
        <w:tc>
          <w:tcPr>
            <w:tcW w:w="7900" w:type="dxa"/>
            <w:vAlign w:val="bottom"/>
            <w:shd w:val="clear" w:color="auto" w:fill="CCEEFF"/>
          </w:tcPr>
          <w:p>
            <w:pPr>
              <w:ind w:left="1540"/>
              <w:spacing w:after="0"/>
              <w:rPr>
                <w:sz w:val="20"/>
                <w:szCs w:val="20"/>
                <w:color w:val="auto"/>
              </w:rPr>
            </w:pPr>
            <w:r>
              <w:rPr>
                <w:rFonts w:ascii="Arial" w:cs="Arial" w:eastAsia="Arial" w:hAnsi="Arial"/>
                <w:sz w:val="10"/>
                <w:szCs w:val="10"/>
                <w:b w:val="1"/>
                <w:bCs w:val="1"/>
                <w:color w:val="auto"/>
              </w:rPr>
              <w:t>APPENDIX: DEFINITIONS AND NON-GAAP RECONCILIATIONS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33"/>
        </w:trPr>
        <w:tc>
          <w:tcPr>
            <w:tcW w:w="7900" w:type="dxa"/>
            <w:vAlign w:val="bottom"/>
          </w:tcPr>
          <w:p>
            <w:pPr>
              <w:ind w:left="1800"/>
              <w:spacing w:after="0"/>
              <w:rPr>
                <w:sz w:val="20"/>
                <w:szCs w:val="20"/>
                <w:color w:val="auto"/>
              </w:rPr>
            </w:pPr>
            <w:r>
              <w:rPr>
                <w:rFonts w:ascii="Arial" w:cs="Arial" w:eastAsia="Arial" w:hAnsi="Arial"/>
                <w:sz w:val="10"/>
                <w:szCs w:val="10"/>
                <w:color w:val="auto"/>
              </w:rPr>
              <w:t>Definitions</w:t>
            </w:r>
          </w:p>
        </w:tc>
        <w:tc>
          <w:tcPr>
            <w:tcW w:w="1420" w:type="dxa"/>
            <w:vAlign w:val="bottom"/>
          </w:tcPr>
          <w:p>
            <w:pPr>
              <w:jc w:val="right"/>
              <w:spacing w:after="0"/>
              <w:rPr>
                <w:sz w:val="20"/>
                <w:szCs w:val="20"/>
                <w:color w:val="auto"/>
              </w:rPr>
            </w:pPr>
            <w:r>
              <w:rPr>
                <w:rFonts w:ascii="Arial" w:cs="Arial" w:eastAsia="Arial" w:hAnsi="Arial"/>
                <w:sz w:val="10"/>
                <w:szCs w:val="10"/>
                <w:color w:val="auto"/>
              </w:rPr>
              <w:t>i</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6"/>
        </w:trPr>
        <w:tc>
          <w:tcPr>
            <w:tcW w:w="7900" w:type="dxa"/>
            <w:vAlign w:val="bottom"/>
            <w:shd w:val="clear" w:color="auto" w:fill="CCEEFF"/>
          </w:tcPr>
          <w:p>
            <w:pPr>
              <w:ind w:left="1800"/>
              <w:spacing w:after="0"/>
              <w:rPr>
                <w:sz w:val="20"/>
                <w:szCs w:val="20"/>
                <w:color w:val="auto"/>
              </w:rPr>
            </w:pPr>
            <w:r>
              <w:rPr>
                <w:rFonts w:ascii="Arial" w:cs="Arial" w:eastAsia="Arial" w:hAnsi="Arial"/>
                <w:sz w:val="10"/>
                <w:szCs w:val="10"/>
                <w:color w:val="auto"/>
              </w:rPr>
              <w:t>Reconciliations</w:t>
            </w: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ii</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xv</w:t>
            </w:r>
          </w:p>
        </w:tc>
      </w:tr>
    </w:tbl>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9"/>
          <w:szCs w:val="9"/>
          <w:color w:val="auto"/>
        </w:rPr>
        <w:t>Certain statements contained herein constitute forward-looking statements as such term is defined in Section 27A of the Securities Act of 1933, as amended, and Section 21E of the Securities Exchange Act of 1934, as amended. Forward-looking statements are not guarantees of future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supplemental package. We also note the following forward-looking statements: in the case of our development and redevelopment projects, the estimated completion date, estimated project cost, projected unlevered cash yield, stabilization date and cost to complete; estimates of future capital expenditures, dividends to common and preferred shareholders and operating partnership distributions. Many of the factors that will determine the outcome of these and our other forward-looking statements are beyond our ability to control or predict. Currently, some of the factors are interest rate fluctuations and the effects of inflation on our business, financial condition, results of operations, cash flows, operating performance and the effect that these factors have had and may continue to have on our tenants, the global, national, regional and local economies and financial markets and the real estate market in general. For further discussion of factors that could materially affect the outcome of our forward-looking statements, see "Item 1A. Risk Factors" in Part I of our Annual Report on Form 10-K for the year ended December 31, 2025. For these statements, we claim the protection of the safe harbor for forward-looking statements contained in the Private Securities Litigation Reform Act of 1995. You are cautioned not to place undue reliance on our forward-looking statements, which speak only as of the date of this supplemental package.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supplemental package. This supplemental package includes certain non-GAAP financial measures, which are accompanied by what Vornado Realty Trust and subsidiaries (the "Company") considers the most directly comparable financial measures calculated and presented in accordance with accounting principles generally accepted in the United States of America ("GAAP"). These include Funds From Operations ("FFO"), Funds Available for Distribution ("FAD"), Net Operating Income ("NOI") and Earnings Before Interest, Taxes, Depreciation and Amortization for Real Estate ("EBITDAre"). Quantitative reconciliations of the differences between the most directly comparable GAAP financial measures and the non-GAAP financial measures presented are provided within this supplemental package. Definitions of these non-GAAP financial measures and statements of the reasons why management believes the non-GAAP measures provide useful information to investors about the Company's financial condition and results of operations, and, if applicable, the purposes for which management uses the measures, can be found in the Definitions section of this supplemental package on page i in the Appendix.</w:t>
      </w:r>
    </w:p>
    <w:p>
      <w:pPr>
        <w:spacing w:after="0" w:line="275"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This supplemental package should be read in conjunction with the Company’s Quarterly Report on Form 10-Q for the quarter ended September 30, 2026 which can be accessed at the Company’s website </w:t>
      </w:r>
      <w:r>
        <w:rPr>
          <w:rFonts w:ascii="Arial" w:cs="Arial" w:eastAsia="Arial" w:hAnsi="Arial"/>
          <w:sz w:val="9"/>
          <w:szCs w:val="9"/>
          <w:u w:val="single" w:color="auto"/>
          <w:color w:val="0000FF"/>
        </w:rPr>
        <w:t>www.vno.com</w:t>
      </w:r>
      <w:r>
        <w:rPr>
          <w:rFonts w:ascii="Arial" w:cs="Arial" w:eastAsia="Arial" w:hAnsi="Arial"/>
          <w:sz w:val="9"/>
          <w:szCs w:val="9"/>
          <w:color w:val="auto"/>
        </w:rPr>
        <w: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ectPr>
          <w:pgSz w:w="11900" w:h="16838" w:orient="portrait"/>
          <w:cols w:equalWidth="0" w:num="1">
            <w:col w:w="11280"/>
          </w:cols>
          <w:pgMar w:left="300" w:top="990" w:right="31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BUSINESS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350 Park Avenue</w:t>
      </w:r>
    </w:p>
    <w:p>
      <w:pPr>
        <w:spacing w:after="0" w:line="44" w:lineRule="exact"/>
        <w:rPr>
          <w:sz w:val="20"/>
          <w:szCs w:val="20"/>
          <w:color w:val="auto"/>
        </w:rPr>
      </w:pPr>
    </w:p>
    <w:p>
      <w:pPr>
        <w:jc w:val="both"/>
        <w:ind w:firstLine="258"/>
        <w:spacing w:after="0" w:line="252" w:lineRule="auto"/>
        <w:rPr>
          <w:sz w:val="20"/>
          <w:szCs w:val="20"/>
          <w:color w:val="auto"/>
        </w:rPr>
      </w:pPr>
      <w:r>
        <w:rPr>
          <w:rFonts w:ascii="Arial" w:cs="Arial" w:eastAsia="Arial" w:hAnsi="Arial"/>
          <w:sz w:val="13"/>
          <w:szCs w:val="13"/>
          <w:color w:val="auto"/>
        </w:rPr>
        <w:t>On October 20, 2026, the existing joint venture between Vornado and Rudin (the “Vornado/Rudin JV”) and an affiliate of Kenneth C. Griffin (“KG”), the founder and CEO of Citadel, formed a new joint venture (the “350 Park JV”) to develop an approximately 1,900,000 square foot office tower on the combined sites of 350 Park Avenue, 39 East 51st Street and 40 East 52nd Street, with Citadel Enterprise Americas LLC (“CEAMER”) as the anchor tenant. We consolidate the Vornado/Rudin JV. We contributed our wholly owned 350 Park Avenue property to the 350 Park JV, the Vornado/Rudin JV contributed 39 East 51st Street and Rudin contributed 40 East 52nd Street. In exchange for these contributions, the Vornado/Rudin JV received a 40% ownership interest in the 350 Park JV, and KG owns the remaining 60% interest. Through the Vornado/Rudin JV, we hold a 36.1% effective interest and Rudin holds a 3.9% effective interest. Rudin also holds $150,000,000 of preferred equity in the Vornado/Rudin JV. Our contribution of 350 Park Avenue was valued at $900,000,000, or $500,000,000 net of the $400,000,000 mortgage loan on the property which was satisfied at closing.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Concurrently with the closing, the 350 Park JV:</w:t>
      </w:r>
    </w:p>
    <w:p>
      <w:pPr>
        <w:spacing w:after="0" w:line="13" w:lineRule="exact"/>
        <w:rPr>
          <w:sz w:val="20"/>
          <w:szCs w:val="20"/>
          <w:color w:val="auto"/>
        </w:rPr>
      </w:pPr>
    </w:p>
    <w:p>
      <w:pPr>
        <w:ind w:left="520" w:hanging="256"/>
        <w:spacing w:after="0"/>
        <w:tabs>
          <w:tab w:leader="none" w:pos="5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executed a 1,050,000 square foot anchor lease with CEAMER; and</w:t>
      </w:r>
    </w:p>
    <w:p>
      <w:pPr>
        <w:spacing w:after="0" w:line="7" w:lineRule="exact"/>
        <w:rPr>
          <w:rFonts w:ascii="Arial" w:cs="Arial" w:eastAsia="Arial" w:hAnsi="Arial"/>
          <w:sz w:val="13"/>
          <w:szCs w:val="13"/>
          <w:color w:val="auto"/>
        </w:rPr>
      </w:pPr>
    </w:p>
    <w:p>
      <w:pPr>
        <w:ind w:left="520" w:hanging="256"/>
        <w:spacing w:after="0" w:line="260"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closed a $3.3 billion construction loan. The loan bears interest at SOFR plus 3.00%, which may be reduced to SOFR plus 2.50% upon substantial completion and achieving a minimum debt service coverage ratio, and matures in October 2032 with a one-year extension option subject to certain conditions.</w:t>
      </w:r>
    </w:p>
    <w:p>
      <w:pPr>
        <w:spacing w:after="0" w:line="13" w:lineRule="exact"/>
        <w:rPr>
          <w:sz w:val="20"/>
          <w:szCs w:val="20"/>
          <w:color w:val="auto"/>
        </w:rPr>
      </w:pPr>
    </w:p>
    <w:p>
      <w:pPr>
        <w:jc w:val="both"/>
        <w:ind w:firstLine="258"/>
        <w:spacing w:after="0" w:line="265" w:lineRule="auto"/>
        <w:rPr>
          <w:sz w:val="20"/>
          <w:szCs w:val="20"/>
          <w:color w:val="auto"/>
        </w:rPr>
      </w:pPr>
      <w:r>
        <w:rPr>
          <w:rFonts w:ascii="Arial" w:cs="Arial" w:eastAsia="Arial" w:hAnsi="Arial"/>
          <w:sz w:val="13"/>
          <w:szCs w:val="13"/>
          <w:color w:val="auto"/>
        </w:rPr>
        <w:t>Vornado shares control with KG over major decisions of the 350 Park JV, including decisions about leasing, operating and capital budgets and refinancings. Accordingly, we no longer hold a controlling financial interest in 350 Park Avenue and 39 East 51st Street. Beginning October 20, 2026, we deconsolidated the properties and account for our investment in the 350 Park JV under the equity method. We will recognize an estimated net gain of approximately $485,000,000 in the fourth quarter of 2026.</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Park Avenue Plaza</w:t>
      </w:r>
    </w:p>
    <w:p>
      <w:pPr>
        <w:spacing w:after="0" w:line="44" w:lineRule="exact"/>
        <w:rPr>
          <w:sz w:val="20"/>
          <w:szCs w:val="20"/>
          <w:color w:val="auto"/>
        </w:rPr>
      </w:pPr>
    </w:p>
    <w:p>
      <w:pPr>
        <w:jc w:val="both"/>
        <w:ind w:firstLine="258"/>
        <w:spacing w:after="0" w:line="285" w:lineRule="auto"/>
        <w:rPr>
          <w:sz w:val="20"/>
          <w:szCs w:val="20"/>
          <w:color w:val="auto"/>
        </w:rPr>
      </w:pPr>
      <w:r>
        <w:rPr>
          <w:rFonts w:ascii="Arial" w:cs="Arial" w:eastAsia="Arial" w:hAnsi="Arial"/>
          <w:sz w:val="13"/>
          <w:szCs w:val="13"/>
          <w:color w:val="auto"/>
        </w:rPr>
        <w:t>On June 11, 2026, we completed the purchase of a 49.0% interest in Park Avenue Plaza at a gross asset valuation of $1.1 billion ($950 per square foot). We acquired our interest subject to our share of the $575,000,000 loan encumbering the property. The loan bears interest at a fixed rate of 2.99% and matures in November 2031.</w:t>
      </w:r>
    </w:p>
    <w:p>
      <w:pPr>
        <w:jc w:val="both"/>
        <w:ind w:firstLine="258"/>
        <w:spacing w:after="0" w:line="272" w:lineRule="auto"/>
        <w:rPr>
          <w:sz w:val="20"/>
          <w:szCs w:val="20"/>
          <w:color w:val="auto"/>
        </w:rPr>
      </w:pPr>
      <w:r>
        <w:rPr>
          <w:rFonts w:ascii="Arial" w:cs="Arial" w:eastAsia="Arial" w:hAnsi="Arial"/>
          <w:sz w:val="13"/>
          <w:szCs w:val="13"/>
          <w:color w:val="auto"/>
        </w:rPr>
        <w:t>Park Avenue Plaza is a 45-story, 1.2 million rentable square foot building located at 55 East 52nd Street. The office building, co-owned by Fisher Brothers, has protected Park Avenue views and occupies the full through-block between East 52nd and East 53rd Street.</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Fisher Brothers retains its current 51.0% ownership interest and continues to manage and lease the property. Vornado and Fisher Brothers have joint control over major decisions.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3 East 54th Street</w:t>
      </w:r>
    </w:p>
    <w:p>
      <w:pPr>
        <w:spacing w:after="0" w:line="55" w:lineRule="exact"/>
        <w:rPr>
          <w:sz w:val="20"/>
          <w:szCs w:val="20"/>
          <w:color w:val="auto"/>
        </w:rPr>
      </w:pPr>
    </w:p>
    <w:p>
      <w:pPr>
        <w:jc w:val="both"/>
        <w:ind w:firstLine="258"/>
        <w:spacing w:after="0" w:line="257" w:lineRule="auto"/>
        <w:rPr>
          <w:sz w:val="20"/>
          <w:szCs w:val="20"/>
          <w:color w:val="auto"/>
        </w:rPr>
      </w:pPr>
      <w:r>
        <w:rPr>
          <w:rFonts w:ascii="Arial" w:cs="Arial" w:eastAsia="Arial" w:hAnsi="Arial"/>
          <w:sz w:val="13"/>
          <w:szCs w:val="13"/>
          <w:color w:val="auto"/>
        </w:rPr>
        <w:t>On January 7, 2026, we acquired 3 East 54th Street, an asset situated on 18,400 square feet of land, for $141,000,000. Previously, in July 2025, we purchased the $35,000,000 A-Note secured by the property at par plus accrued interest, and in August 2024, we purchased the $50,000,000 B-Note secured by the property. The A-Note and B-Note were in default. The $107,000,000 loan balance, including default interest and advances, was credited towards the purchase price.</w:t>
      </w:r>
    </w:p>
    <w:p>
      <w:pPr>
        <w:spacing w:after="0" w:line="25" w:lineRule="exact"/>
        <w:rPr>
          <w:sz w:val="20"/>
          <w:szCs w:val="20"/>
          <w:color w:val="auto"/>
        </w:rPr>
      </w:pPr>
    </w:p>
    <w:p>
      <w:pPr>
        <w:jc w:val="both"/>
        <w:ind w:firstLine="258"/>
        <w:spacing w:after="0" w:line="272" w:lineRule="auto"/>
        <w:rPr>
          <w:sz w:val="20"/>
          <w:szCs w:val="20"/>
          <w:color w:val="auto"/>
        </w:rPr>
      </w:pPr>
      <w:r>
        <w:rPr>
          <w:rFonts w:ascii="Arial" w:cs="Arial" w:eastAsia="Arial" w:hAnsi="Arial"/>
          <w:sz w:val="13"/>
          <w:szCs w:val="13"/>
          <w:color w:val="auto"/>
        </w:rPr>
        <w:t>3 East 54th Street is located between Fifth Avenue and Madison Avenue on 54th Street, adjacent to the St. Regis Hotel and our Upper Fifth Avenue retail properties. The land is zoned for approximately 232,500 buildable square feet as-of-right, and we are in the process of demolishing the existing buildings on the site.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Dispositions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Alexander’s, Inc. (“Alexander’s”)</w:t>
      </w:r>
    </w:p>
    <w:p>
      <w:pPr>
        <w:spacing w:after="0" w:line="44" w:lineRule="exact"/>
        <w:rPr>
          <w:sz w:val="20"/>
          <w:szCs w:val="20"/>
          <w:color w:val="auto"/>
        </w:rPr>
      </w:pPr>
    </w:p>
    <w:p>
      <w:pPr>
        <w:jc w:val="both"/>
        <w:ind w:firstLine="258"/>
        <w:spacing w:after="0" w:line="285" w:lineRule="auto"/>
        <w:rPr>
          <w:sz w:val="20"/>
          <w:szCs w:val="20"/>
          <w:color w:val="auto"/>
        </w:rPr>
      </w:pPr>
      <w:r>
        <w:rPr>
          <w:rFonts w:ascii="Arial" w:cs="Arial" w:eastAsia="Arial" w:hAnsi="Arial"/>
          <w:sz w:val="13"/>
          <w:szCs w:val="13"/>
          <w:color w:val="auto"/>
        </w:rPr>
        <w:t>On May 28, 2026, Alexander’s, in which we own a 32.4% interest, completed the sale of its Rego Park I property for $235,500,000. As a result of the sale, we recognized our $44,329,000 share of the net gain and received a $2,355,000 sales commission paid by Alexander’s, of which $500,000 was paid to a third-party broker.</w:t>
      </w:r>
    </w:p>
    <w:p>
      <w:pPr>
        <w:ind w:left="260"/>
        <w:spacing w:after="0"/>
        <w:rPr>
          <w:sz w:val="20"/>
          <w:szCs w:val="20"/>
          <w:color w:val="auto"/>
        </w:rPr>
      </w:pPr>
      <w:r>
        <w:rPr>
          <w:rFonts w:ascii="Arial" w:cs="Arial" w:eastAsia="Arial" w:hAnsi="Arial"/>
          <w:sz w:val="13"/>
          <w:szCs w:val="13"/>
          <w:i w:val="1"/>
          <w:iCs w:val="1"/>
          <w:color w:val="auto"/>
        </w:rPr>
        <w:t>606 Broadway</w:t>
      </w:r>
    </w:p>
    <w:p>
      <w:pPr>
        <w:spacing w:after="0" w:line="55" w:lineRule="exact"/>
        <w:rPr>
          <w:sz w:val="20"/>
          <w:szCs w:val="20"/>
          <w:color w:val="auto"/>
        </w:rPr>
      </w:pPr>
    </w:p>
    <w:p>
      <w:pPr>
        <w:jc w:val="both"/>
        <w:ind w:firstLine="258"/>
        <w:spacing w:after="0" w:line="257" w:lineRule="auto"/>
        <w:rPr>
          <w:sz w:val="20"/>
          <w:szCs w:val="20"/>
          <w:color w:val="auto"/>
        </w:rPr>
      </w:pPr>
      <w:r>
        <w:rPr>
          <w:rFonts w:ascii="Arial" w:cs="Arial" w:eastAsia="Arial" w:hAnsi="Arial"/>
          <w:sz w:val="13"/>
          <w:szCs w:val="13"/>
          <w:color w:val="auto"/>
        </w:rPr>
        <w:t>On May 14, 2026, a 50.0% owned consolidated joint venture completed the sale of 606 Broadway. The purchaser acquired the non-recourse mortgage loan, which was in maturity default, at a discount and paid the joint venture $3,000,000 in cash ($2,400,000 to Vornado). The transaction resulted in a $32,073,000 gain on debt extinguishment, of which $15,932,000 is attributable to noncontrolling interests. The property was previously impaired in the fourth quarter of 2023, and had a carrying value of $52,073,000 as of the sale date.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ectPr>
          <w:pgSz w:w="11900" w:h="16838" w:orient="portrait"/>
          <w:cols w:equalWidth="0" w:num="1">
            <w:col w:w="11280"/>
          </w:cols>
          <w:pgMar w:left="300" w:top="1024" w:right="31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BUSINESS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68319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698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Activity</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 xml:space="preserve">Senior Unsecured Notes Due </w:t>
      </w:r>
      <w:r>
        <w:rPr>
          <w:rFonts w:ascii="Arial" w:cs="Arial" w:eastAsia="Arial" w:hAnsi="Arial"/>
          <w:sz w:val="13"/>
          <w:szCs w:val="13"/>
          <w:color w:val="auto"/>
        </w:rPr>
        <w:t>2026</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repaid our $400,000,000 2.15% senior unsecured notes on their June 1, 2026 maturity date.</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61 Ninth Avenue</w:t>
      </w:r>
    </w:p>
    <w:p>
      <w:pPr>
        <w:spacing w:after="0" w:line="44" w:lineRule="exact"/>
        <w:rPr>
          <w:sz w:val="20"/>
          <w:szCs w:val="20"/>
          <w:color w:val="auto"/>
        </w:rPr>
      </w:pPr>
    </w:p>
    <w:p>
      <w:pPr>
        <w:jc w:val="both"/>
        <w:ind w:firstLine="258"/>
        <w:spacing w:after="0" w:line="257" w:lineRule="auto"/>
        <w:rPr>
          <w:sz w:val="20"/>
          <w:szCs w:val="20"/>
          <w:color w:val="auto"/>
        </w:rPr>
      </w:pPr>
      <w:r>
        <w:rPr>
          <w:rFonts w:ascii="Arial" w:cs="Arial" w:eastAsia="Arial" w:hAnsi="Arial"/>
          <w:sz w:val="13"/>
          <w:szCs w:val="13"/>
          <w:color w:val="auto"/>
        </w:rPr>
        <w:t>On May 8, 2026, a joint venture, in which we have a 45.1% interest, completed a $161,000,000 refinancing of 61 Ninth Avenue. The interest-only mortgage loan matures in June 2028, with a nine-month extension option subject to certain conditions, and bears interest at SOFR plus 3.00% in year one, SOFR plus 3.35% for year two, and SOFR plus 3.85% during the extension period. The refinancing replaced the joint venture’s prior $167,500,000 mortgage loan on the property. On February 2, 2026, the joint venture extended the prior loan’s maturity by seven months and simultaneously paid down the principal balance by $12,500,000 to $155,000,000.</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350 Park Avenue</w:t>
      </w:r>
    </w:p>
    <w:p>
      <w:pPr>
        <w:spacing w:after="0" w:line="44" w:lineRule="exact"/>
        <w:rPr>
          <w:sz w:val="20"/>
          <w:szCs w:val="20"/>
          <w:color w:val="auto"/>
        </w:rPr>
      </w:pPr>
    </w:p>
    <w:p>
      <w:pPr>
        <w:jc w:val="both"/>
        <w:ind w:firstLine="258"/>
        <w:spacing w:after="0" w:line="258" w:lineRule="auto"/>
        <w:rPr>
          <w:sz w:val="20"/>
          <w:szCs w:val="20"/>
          <w:color w:val="auto"/>
        </w:rPr>
      </w:pPr>
      <w:r>
        <w:rPr>
          <w:rFonts w:ascii="Arial" w:cs="Arial" w:eastAsia="Arial" w:hAnsi="Arial"/>
          <w:sz w:val="13"/>
          <w:szCs w:val="13"/>
          <w:color w:val="auto"/>
        </w:rPr>
        <w:t>On March 10, 2026, an affiliate of KG provided a $400,000,000 mortgage loan secured by 350 Park Avenue, the proceeds of which were used to defease the existing $400,000,000 mortgage loan in connection with the site’s development. The new interest-only loan bears interest at a fixed rate of 4.00% and matures in January 2027. Concurrently, and in connection with the planned development, Citadel Enterprise Americas LLC vacated the building and assigned its existing master lease to an affiliate of KG as tenant, and the lease was amended to provide for net rent of $16,000,000 per annum, equal to the interest payments under the new mortgage loan. On October 20, 2026, the $400,000,000 mortgage loan was satisfied at the closing of the 350 Park Avenue joint venture. See page 3 for further details.</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One Park Avenue</w:t>
      </w:r>
    </w:p>
    <w:p>
      <w:pPr>
        <w:spacing w:after="0" w:line="55" w:lineRule="exact"/>
        <w:rPr>
          <w:sz w:val="20"/>
          <w:szCs w:val="20"/>
          <w:color w:val="auto"/>
        </w:rPr>
      </w:pPr>
    </w:p>
    <w:p>
      <w:pPr>
        <w:jc w:val="both"/>
        <w:ind w:firstLine="258"/>
        <w:spacing w:after="0" w:line="272" w:lineRule="auto"/>
        <w:rPr>
          <w:sz w:val="20"/>
          <w:szCs w:val="20"/>
          <w:color w:val="auto"/>
        </w:rPr>
      </w:pPr>
      <w:r>
        <w:rPr>
          <w:rFonts w:ascii="Arial" w:cs="Arial" w:eastAsia="Arial" w:hAnsi="Arial"/>
          <w:sz w:val="13"/>
          <w:szCs w:val="13"/>
          <w:color w:val="auto"/>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825 Seventh Avenue Office Condominium</w:t>
      </w:r>
    </w:p>
    <w:p>
      <w:pPr>
        <w:spacing w:after="0" w:line="55" w:lineRule="exact"/>
        <w:rPr>
          <w:sz w:val="20"/>
          <w:szCs w:val="20"/>
          <w:color w:val="auto"/>
        </w:rPr>
      </w:pPr>
    </w:p>
    <w:p>
      <w:pPr>
        <w:jc w:val="both"/>
        <w:ind w:firstLine="258"/>
        <w:spacing w:after="0" w:line="257" w:lineRule="auto"/>
        <w:rPr>
          <w:sz w:val="20"/>
          <w:szCs w:val="20"/>
          <w:color w:val="auto"/>
        </w:rPr>
      </w:pPr>
      <w:r>
        <w:rPr>
          <w:rFonts w:ascii="Arial" w:cs="Arial" w:eastAsia="Arial" w:hAnsi="Arial"/>
          <w:sz w:val="13"/>
          <w:szCs w:val="13"/>
          <w:color w:val="auto"/>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On October 26, 2026, the $48,000,000 non-recourse mortgage loan matured and was not repaid, resulting in a maturity default. The interest-only loan bears interest at a rate of SOFR plus 2.75% and provides for additional default interest of 5.00%.</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7 West 34th Street</w:t>
      </w:r>
    </w:p>
    <w:p>
      <w:pPr>
        <w:spacing w:after="0" w:line="55" w:lineRule="exact"/>
        <w:rPr>
          <w:sz w:val="20"/>
          <w:szCs w:val="20"/>
          <w:color w:val="auto"/>
        </w:rPr>
      </w:pPr>
    </w:p>
    <w:p>
      <w:pPr>
        <w:jc w:val="both"/>
        <w:ind w:firstLine="258"/>
        <w:spacing w:after="0" w:line="257" w:lineRule="auto"/>
        <w:rPr>
          <w:sz w:val="20"/>
          <w:szCs w:val="20"/>
          <w:color w:val="auto"/>
        </w:rPr>
      </w:pPr>
      <w:r>
        <w:rPr>
          <w:rFonts w:ascii="Arial" w:cs="Arial" w:eastAsia="Arial" w:hAnsi="Arial"/>
          <w:sz w:val="13"/>
          <w:szCs w:val="13"/>
          <w:color w:val="auto"/>
        </w:rPr>
        <w:t>On January 23, 2026, a joint venture, in which we have a 53.0% interest, completed a $250,000,000 refinancing of 7 West 34th Street, a 477,000 square foot Manhattan office and retail building. The non-recourse, five-year interest-only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distributions.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 xml:space="preserve">Senior Unsecured Notes Due </w:t>
      </w:r>
      <w:r>
        <w:rPr>
          <w:rFonts w:ascii="Arial" w:cs="Arial" w:eastAsia="Arial" w:hAnsi="Arial"/>
          <w:sz w:val="13"/>
          <w:szCs w:val="13"/>
          <w:color w:val="auto"/>
        </w:rPr>
        <w:t>2033</w:t>
      </w:r>
    </w:p>
    <w:p>
      <w:pPr>
        <w:spacing w:after="0" w:line="55" w:lineRule="exact"/>
        <w:rPr>
          <w:sz w:val="20"/>
          <w:szCs w:val="20"/>
          <w:color w:val="auto"/>
        </w:rPr>
      </w:pPr>
    </w:p>
    <w:p>
      <w:pPr>
        <w:jc w:val="both"/>
        <w:ind w:firstLine="258"/>
        <w:spacing w:after="0" w:line="257" w:lineRule="auto"/>
        <w:rPr>
          <w:sz w:val="20"/>
          <w:szCs w:val="20"/>
          <w:color w:val="auto"/>
        </w:rPr>
      </w:pPr>
      <w:r>
        <w:rPr>
          <w:rFonts w:ascii="Arial" w:cs="Arial" w:eastAsia="Arial" w:hAnsi="Arial"/>
          <w:sz w:val="13"/>
          <w:szCs w:val="13"/>
          <w:color w:val="auto"/>
        </w:rPr>
        <w:t>On January 14, 2026, we completed a public offering of $500,000,000 5.75% senior unsecured notes due February 1, 2033 (“2033 Notes”). Interest on the senior unsecured notes is payable semi-annually on February 1 and August 1, commencing August 1, 2026. The 2033 Notes were sold at 99.824% of their face amount to yield 5.78%. A portion of the $494,000,000 net proceeds from the 2033 Notes was used to repay our $400,000,000 senior unsecured notes at their June 2026 maturity.</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2031 Revolving Credit Facility</w:t>
      </w:r>
    </w:p>
    <w:p>
      <w:pPr>
        <w:spacing w:after="0" w:line="44" w:lineRule="exact"/>
        <w:rPr>
          <w:sz w:val="20"/>
          <w:szCs w:val="20"/>
          <w:color w:val="auto"/>
        </w:rPr>
      </w:pPr>
    </w:p>
    <w:p>
      <w:pPr>
        <w:jc w:val="both"/>
        <w:ind w:firstLine="258"/>
        <w:spacing w:after="0" w:line="265" w:lineRule="auto"/>
        <w:rPr>
          <w:sz w:val="20"/>
          <w:szCs w:val="20"/>
          <w:color w:val="auto"/>
        </w:rPr>
      </w:pPr>
      <w:r>
        <w:rPr>
          <w:rFonts w:ascii="Arial" w:cs="Arial" w:eastAsia="Arial" w:hAnsi="Arial"/>
          <w:sz w:val="13"/>
          <w:szCs w:val="13"/>
          <w:color w:val="auto"/>
        </w:rPr>
        <w:t>On January 7, 2026, we completed a $1.105 billion refinancing of one of our two revolving credit facilities. On February 4, 2026, the facility was upsized to $1.130 billion. The $1.130 billion amended facility currently bears interest at a rate of SOFR plus 1.01% and is scheduled to mature in February 2031 (as fully extended). The facility fee is 24 basis points. The facility replaced the previous $1.25 billion revolving credit facility which was scheduled to mature in December 2027.</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2029 Revolving Credit Facility</w:t>
      </w:r>
    </w:p>
    <w:p>
      <w:pPr>
        <w:spacing w:after="0" w:line="55" w:lineRule="exact"/>
        <w:rPr>
          <w:sz w:val="20"/>
          <w:szCs w:val="20"/>
          <w:color w:val="auto"/>
        </w:rPr>
      </w:pPr>
    </w:p>
    <w:p>
      <w:pPr>
        <w:jc w:val="both"/>
        <w:ind w:firstLine="258"/>
        <w:spacing w:after="0" w:line="272" w:lineRule="auto"/>
        <w:rPr>
          <w:sz w:val="20"/>
          <w:szCs w:val="20"/>
          <w:color w:val="auto"/>
        </w:rPr>
      </w:pPr>
      <w:r>
        <w:rPr>
          <w:rFonts w:ascii="Arial" w:cs="Arial" w:eastAsia="Arial" w:hAnsi="Arial"/>
          <w:sz w:val="13"/>
          <w:szCs w:val="13"/>
          <w:color w:val="auto"/>
        </w:rPr>
        <w:t>On January 7, 2026, we upsized our $915,000,000 revolving credit facility that matures in April 2029 (as fully extended) to $1.0 billion. The credit facility currently bears interest at a rate of SOFR plus 1.16% and has a facility fee of 24 basis points.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- 4 -</w:t>
      </w:r>
    </w:p>
    <w:p>
      <w:pPr>
        <w:sectPr>
          <w:pgSz w:w="11900" w:h="16838" w:orient="portrait"/>
          <w:cols w:equalWidth="0" w:num="1">
            <w:col w:w="11280"/>
          </w:cols>
          <w:pgMar w:left="300" w:top="1024" w:right="31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BUSINESS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683196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698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Activity - continued</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Unsecured Term Loan</w:t>
      </w:r>
    </w:p>
    <w:p>
      <w:pPr>
        <w:spacing w:after="0" w:line="44" w:lineRule="exact"/>
        <w:rPr>
          <w:sz w:val="20"/>
          <w:szCs w:val="20"/>
          <w:color w:val="auto"/>
        </w:rPr>
      </w:pPr>
    </w:p>
    <w:p>
      <w:pPr>
        <w:jc w:val="both"/>
        <w:ind w:firstLine="258"/>
        <w:spacing w:after="0" w:line="285" w:lineRule="auto"/>
        <w:rPr>
          <w:sz w:val="20"/>
          <w:szCs w:val="20"/>
          <w:color w:val="auto"/>
        </w:rPr>
      </w:pPr>
      <w:r>
        <w:rPr>
          <w:rFonts w:ascii="Arial" w:cs="Arial" w:eastAsia="Arial" w:hAnsi="Arial"/>
          <w:sz w:val="13"/>
          <w:szCs w:val="13"/>
          <w:color w:val="auto"/>
        </w:rPr>
        <w:t>On January 7, 2026, we completed a refinancing of our unsecured term loan and upsized the loan amount to $850,000,000. The loan bears interest at SOFR plus 1.15% and matures in February 2031 (as fully extended). The loan replaced the previous $800,000,000 term loan which bore interest at SOFR plus 1.25% and was scheduled to mature in December 2027.</w:t>
      </w:r>
    </w:p>
    <w:p>
      <w:pPr>
        <w:ind w:left="260"/>
        <w:spacing w:after="0"/>
        <w:rPr>
          <w:sz w:val="20"/>
          <w:szCs w:val="20"/>
          <w:color w:val="auto"/>
        </w:rPr>
      </w:pPr>
      <w:r>
        <w:rPr>
          <w:rFonts w:ascii="Arial" w:cs="Arial" w:eastAsia="Arial" w:hAnsi="Arial"/>
          <w:sz w:val="13"/>
          <w:szCs w:val="13"/>
          <w:i w:val="1"/>
          <w:iCs w:val="1"/>
          <w:color w:val="auto"/>
        </w:rPr>
        <w:t>888 Seventh Avenue</w:t>
      </w:r>
    </w:p>
    <w:p>
      <w:pPr>
        <w:spacing w:after="0" w:line="55" w:lineRule="exact"/>
        <w:rPr>
          <w:sz w:val="20"/>
          <w:szCs w:val="20"/>
          <w:color w:val="auto"/>
        </w:rPr>
      </w:pPr>
    </w:p>
    <w:p>
      <w:pPr>
        <w:jc w:val="both"/>
        <w:ind w:firstLine="258"/>
        <w:spacing w:after="0" w:line="257" w:lineRule="auto"/>
        <w:rPr>
          <w:sz w:val="20"/>
          <w:szCs w:val="20"/>
          <w:color w:val="auto"/>
        </w:rPr>
      </w:pPr>
      <w:r>
        <w:rPr>
          <w:rFonts w:ascii="Arial" w:cs="Arial" w:eastAsia="Arial" w:hAnsi="Arial"/>
          <w:sz w:val="13"/>
          <w:szCs w:val="13"/>
          <w:color w:val="auto"/>
        </w:rPr>
        <w:t>On December 10, 2025, the $244,543,000 non-recourse mortgage loan on 888 Seventh Avenue matured and was not repaid, at which time the lenders declared an event of default. On March 9, 2026, we entered into a forbearance agreement pursuant to which the lenders agreed to forbear from exercising their remedies and waived default interest through March 2027. During the forbearance period, regularly scheduled interest and required monthly amortization payments continue to accrue, but payment is deferred until the expiration or earlier termination of the forbearance period, at which time such amounts become due and payable.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Repurchase Program</w:t>
      </w:r>
    </w:p>
    <w:p>
      <w:pPr>
        <w:spacing w:after="0" w:line="55" w:lineRule="exact"/>
        <w:rPr>
          <w:sz w:val="20"/>
          <w:szCs w:val="20"/>
          <w:color w:val="auto"/>
        </w:rPr>
      </w:pPr>
    </w:p>
    <w:p>
      <w:pPr>
        <w:jc w:val="both"/>
        <w:ind w:firstLine="258"/>
        <w:spacing w:after="0" w:line="272" w:lineRule="auto"/>
        <w:rPr>
          <w:sz w:val="20"/>
          <w:szCs w:val="20"/>
          <w:color w:val="auto"/>
        </w:rPr>
      </w:pPr>
      <w:r>
        <w:rPr>
          <w:rFonts w:ascii="Arial" w:cs="Arial" w:eastAsia="Arial" w:hAnsi="Arial"/>
          <w:sz w:val="13"/>
          <w:szCs w:val="13"/>
          <w:color w:val="auto"/>
        </w:rPr>
        <w:t>In April 2026, our Board of Trustees authorized an additional $300,000,000 repurchase of our outstanding common shares under the share repurchase plan. As of September 30, 2026, $286,590,000 remained available and authorized for repurchases under the plan.</w:t>
      </w:r>
    </w:p>
    <w:p>
      <w:pPr>
        <w:spacing w:after="0" w:line="5" w:lineRule="exact"/>
        <w:rPr>
          <w:sz w:val="20"/>
          <w:szCs w:val="20"/>
          <w:color w:val="auto"/>
        </w:rPr>
      </w:pPr>
    </w:p>
    <w:p>
      <w:pPr>
        <w:jc w:val="both"/>
        <w:ind w:firstLine="258"/>
        <w:spacing w:after="0" w:line="290" w:lineRule="auto"/>
        <w:rPr>
          <w:sz w:val="20"/>
          <w:szCs w:val="20"/>
          <w:color w:val="auto"/>
        </w:rPr>
      </w:pPr>
      <w:r>
        <w:rPr>
          <w:rFonts w:ascii="Arial" w:cs="Arial" w:eastAsia="Arial" w:hAnsi="Arial"/>
          <w:sz w:val="13"/>
          <w:szCs w:val="13"/>
          <w:color w:val="auto"/>
        </w:rPr>
        <w:t>During the three months ended September 30, 2026, no shares were repurchased. During the nine months ended September 30, 2026, we repurchased 4,532,803 common shares for $133,305,000 at an average price of $29.41.</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- 5 -</w:t>
      </w:r>
    </w:p>
    <w:p>
      <w:pPr>
        <w:sectPr>
          <w:pgSz w:w="11900" w:h="16838" w:orient="portrait"/>
          <w:cols w:equalWidth="0" w:num="1">
            <w:col w:w="11280"/>
          </w:cols>
          <w:pgMar w:left="300" w:top="1024" w:right="31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FINANCIAL HIGHLIGHTS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40" w:type="dxa"/>
            <w:vAlign w:val="bottom"/>
            <w:gridSpan w:val="6"/>
          </w:tcPr>
          <w:p>
            <w:pPr>
              <w:ind w:left="20"/>
              <w:spacing w:after="0"/>
              <w:rPr>
                <w:sz w:val="20"/>
                <w:szCs w:val="20"/>
                <w:color w:val="auto"/>
              </w:rPr>
            </w:pPr>
            <w:r>
              <w:rPr>
                <w:rFonts w:ascii="Arial" w:cs="Arial" w:eastAsia="Arial" w:hAnsi="Arial"/>
                <w:sz w:val="11"/>
                <w:szCs w:val="11"/>
                <w:color w:val="auto"/>
              </w:rPr>
              <w:t>(Amounts in thousands, except per share amounts)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11"/>
          </w:tcPr>
          <w:p>
            <w:pPr>
              <w:jc w:val="right"/>
              <w:ind w:right="463"/>
              <w:spacing w:after="0"/>
              <w:rPr>
                <w:sz w:val="20"/>
                <w:szCs w:val="20"/>
                <w:color w:val="auto"/>
              </w:rPr>
            </w:pPr>
            <w:r>
              <w:rPr>
                <w:rFonts w:ascii="Arial" w:cs="Arial" w:eastAsia="Arial" w:hAnsi="Arial"/>
                <w:sz w:val="11"/>
                <w:szCs w:val="11"/>
                <w:b w:val="1"/>
                <w:bCs w:val="1"/>
                <w:color w:val="auto"/>
              </w:rPr>
              <w:t>For the Three Months Ended or As Of</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540" w:type="dxa"/>
            <w:vAlign w:val="bottom"/>
            <w:gridSpan w:val="6"/>
          </w:tcPr>
          <w:p>
            <w:pPr>
              <w:ind w:left="60"/>
              <w:spacing w:after="0" w:line="121" w:lineRule="exact"/>
              <w:rPr>
                <w:sz w:val="20"/>
                <w:szCs w:val="20"/>
                <w:color w:val="auto"/>
              </w:rPr>
            </w:pPr>
            <w:r>
              <w:rPr>
                <w:rFonts w:ascii="Arial" w:cs="Arial" w:eastAsia="Arial" w:hAnsi="Arial"/>
                <w:sz w:val="11"/>
                <w:szCs w:val="11"/>
                <w:b w:val="1"/>
                <w:bCs w:val="1"/>
                <w:color w:val="auto"/>
              </w:rPr>
              <w:t>Earnings and Earnings Per Share</w:t>
            </w:r>
          </w:p>
        </w:tc>
        <w:tc>
          <w:tcPr>
            <w:tcW w:w="640" w:type="dxa"/>
            <w:vAlign w:val="bottom"/>
          </w:tcPr>
          <w:p>
            <w:pPr>
              <w:spacing w:after="0"/>
              <w:rPr>
                <w:sz w:val="10"/>
                <w:szCs w:val="10"/>
                <w:color w:val="auto"/>
              </w:rPr>
            </w:pPr>
          </w:p>
        </w:tc>
        <w:tc>
          <w:tcPr>
            <w:tcW w:w="1600" w:type="dxa"/>
            <w:vAlign w:val="bottom"/>
            <w:gridSpan w:val="4"/>
          </w:tcPr>
          <w:p>
            <w:pPr>
              <w:jc w:val="right"/>
              <w:ind w:right="203"/>
              <w:spacing w:after="0" w:line="121" w:lineRule="exact"/>
              <w:rPr>
                <w:sz w:val="20"/>
                <w:szCs w:val="20"/>
                <w:color w:val="auto"/>
              </w:rPr>
            </w:pPr>
            <w:r>
              <w:rPr>
                <w:rFonts w:ascii="Arial" w:cs="Arial" w:eastAsia="Arial" w:hAnsi="Arial"/>
                <w:sz w:val="11"/>
                <w:szCs w:val="11"/>
                <w:b w:val="1"/>
                <w:bCs w:val="1"/>
                <w:color w:val="auto"/>
              </w:rPr>
              <w:t>9/30/2026</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203"/>
              <w:spacing w:after="0" w:line="121" w:lineRule="exact"/>
              <w:rPr>
                <w:sz w:val="20"/>
                <w:szCs w:val="20"/>
                <w:color w:val="auto"/>
              </w:rPr>
            </w:pPr>
            <w:r>
              <w:rPr>
                <w:rFonts w:ascii="Arial" w:cs="Arial" w:eastAsia="Arial" w:hAnsi="Arial"/>
                <w:sz w:val="11"/>
                <w:szCs w:val="11"/>
                <w:b w:val="1"/>
                <w:bCs w:val="1"/>
                <w:color w:val="auto"/>
              </w:rPr>
              <w:t>6/30/2026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203"/>
              <w:spacing w:after="0" w:line="121" w:lineRule="exact"/>
              <w:rPr>
                <w:sz w:val="20"/>
                <w:szCs w:val="20"/>
                <w:color w:val="auto"/>
              </w:rPr>
            </w:pPr>
            <w:r>
              <w:rPr>
                <w:rFonts w:ascii="Arial" w:cs="Arial" w:eastAsia="Arial" w:hAnsi="Arial"/>
                <w:sz w:val="11"/>
                <w:szCs w:val="11"/>
                <w:b w:val="1"/>
                <w:bCs w:val="1"/>
                <w:color w:val="auto"/>
              </w:rPr>
              <w:t>3/31/2026</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63"/>
              <w:spacing w:after="0" w:line="121" w:lineRule="exact"/>
              <w:rPr>
                <w:sz w:val="20"/>
                <w:szCs w:val="20"/>
                <w:color w:val="auto"/>
              </w:rPr>
            </w:pPr>
            <w:r>
              <w:rPr>
                <w:rFonts w:ascii="Arial" w:cs="Arial" w:eastAsia="Arial" w:hAnsi="Arial"/>
                <w:sz w:val="11"/>
                <w:szCs w:val="11"/>
                <w:b w:val="1"/>
                <w:bCs w:val="1"/>
                <w:color w:val="auto"/>
              </w:rPr>
              <w:t>12/31/2025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203"/>
              <w:spacing w:after="0" w:line="121" w:lineRule="exact"/>
              <w:rPr>
                <w:sz w:val="20"/>
                <w:szCs w:val="20"/>
                <w:color w:val="auto"/>
              </w:rPr>
            </w:pPr>
            <w:r>
              <w:rPr>
                <w:rFonts w:ascii="Arial" w:cs="Arial" w:eastAsia="Arial" w:hAnsi="Arial"/>
                <w:sz w:val="11"/>
                <w:szCs w:val="11"/>
                <w:b w:val="1"/>
                <w:bCs w:val="1"/>
                <w:color w:val="auto"/>
              </w:rPr>
              <w:t>9/30/2025</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40" w:type="dxa"/>
            <w:vAlign w:val="bottom"/>
            <w:gridSpan w:val="6"/>
            <w:shd w:val="clear" w:color="auto" w:fill="CCEEFF"/>
          </w:tcPr>
          <w:p>
            <w:pPr>
              <w:ind w:left="60"/>
              <w:spacing w:after="0"/>
              <w:rPr>
                <w:sz w:val="20"/>
                <w:szCs w:val="20"/>
                <w:color w:val="auto"/>
              </w:rPr>
            </w:pPr>
            <w:r>
              <w:rPr>
                <w:rFonts w:ascii="Arial" w:cs="Arial" w:eastAsia="Arial" w:hAnsi="Arial"/>
                <w:sz w:val="11"/>
                <w:szCs w:val="11"/>
                <w:color w:val="auto"/>
              </w:rPr>
              <w:t>Net (loss) income attributable to common shareholders</w:t>
            </w:r>
          </w:p>
        </w:tc>
        <w:tc>
          <w:tcPr>
            <w:tcW w:w="6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(47,138)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16,434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(22,842)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11,589</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480" w:type="dxa"/>
            <w:vAlign w:val="bottom"/>
            <w:gridSpan w:val="5"/>
          </w:tcPr>
          <w:p>
            <w:pPr>
              <w:ind w:left="80"/>
              <w:spacing w:after="0"/>
              <w:rPr>
                <w:sz w:val="20"/>
                <w:szCs w:val="20"/>
                <w:color w:val="auto"/>
              </w:rPr>
            </w:pPr>
            <w:r>
              <w:rPr>
                <w:rFonts w:ascii="Arial" w:cs="Arial" w:eastAsia="Arial" w:hAnsi="Arial"/>
                <w:sz w:val="11"/>
                <w:szCs w:val="11"/>
                <w:color w:val="auto"/>
              </w:rPr>
              <w:t>Per diluted share</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(0.25)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0.08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(0.12)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0.06</w:t>
            </w:r>
          </w:p>
        </w:tc>
        <w:tc>
          <w:tcPr>
            <w:tcW w:w="0" w:type="dxa"/>
            <w:vAlign w:val="bottom"/>
          </w:tcPr>
          <w:p>
            <w:pPr>
              <w:spacing w:after="0"/>
              <w:rPr>
                <w:sz w:val="1"/>
                <w:szCs w:val="1"/>
                <w:color w:val="auto"/>
              </w:rPr>
            </w:pPr>
          </w:p>
        </w:tc>
      </w:tr>
      <w:tr>
        <w:trPr>
          <w:trHeight w:val="165"/>
        </w:trPr>
        <w:tc>
          <w:tcPr>
            <w:tcW w:w="4540" w:type="dxa"/>
            <w:vAlign w:val="bottom"/>
            <w:gridSpan w:val="6"/>
            <w:shd w:val="clear" w:color="auto" w:fill="CCEEFF"/>
          </w:tcPr>
          <w:p>
            <w:pPr>
              <w:ind w:left="60"/>
              <w:spacing w:after="0"/>
              <w:rPr>
                <w:sz w:val="20"/>
                <w:szCs w:val="20"/>
                <w:color w:val="auto"/>
              </w:rPr>
            </w:pPr>
            <w:r>
              <w:rPr>
                <w:rFonts w:ascii="Arial" w:cs="Arial" w:eastAsia="Arial" w:hAnsi="Arial"/>
                <w:sz w:val="11"/>
                <w:szCs w:val="11"/>
                <w:color w:val="auto"/>
              </w:rPr>
              <w:t>FFO attributable to common shareholders plus assumed conversions (non-GAAP)</w:t>
            </w: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122,646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144,078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96,263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112,927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117,372</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480" w:type="dxa"/>
            <w:vAlign w:val="bottom"/>
            <w:gridSpan w:val="5"/>
          </w:tcPr>
          <w:p>
            <w:pPr>
              <w:ind w:left="80"/>
              <w:spacing w:after="0"/>
              <w:rPr>
                <w:sz w:val="20"/>
                <w:szCs w:val="20"/>
                <w:color w:val="auto"/>
              </w:rPr>
            </w:pPr>
            <w:r>
              <w:rPr>
                <w:rFonts w:ascii="Arial" w:cs="Arial" w:eastAsia="Arial" w:hAnsi="Arial"/>
                <w:sz w:val="11"/>
                <w:szCs w:val="11"/>
                <w:color w:val="auto"/>
              </w:rPr>
              <w:t>Per diluted share (non-GAAP)</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0.62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0.74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0.49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0.56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0.58</w:t>
            </w:r>
          </w:p>
        </w:tc>
        <w:tc>
          <w:tcPr>
            <w:tcW w:w="0" w:type="dxa"/>
            <w:vAlign w:val="bottom"/>
          </w:tcPr>
          <w:p>
            <w:pPr>
              <w:spacing w:after="0"/>
              <w:rPr>
                <w:sz w:val="1"/>
                <w:szCs w:val="1"/>
                <w:color w:val="auto"/>
              </w:rPr>
            </w:pPr>
          </w:p>
        </w:tc>
      </w:tr>
      <w:tr>
        <w:trPr>
          <w:trHeight w:val="165"/>
        </w:trPr>
        <w:tc>
          <w:tcPr>
            <w:tcW w:w="5180" w:type="dxa"/>
            <w:vAlign w:val="bottom"/>
            <w:gridSpan w:val="7"/>
            <w:shd w:val="clear" w:color="auto" w:fill="CCEEFF"/>
          </w:tcPr>
          <w:p>
            <w:pPr>
              <w:ind w:left="60"/>
              <w:spacing w:after="0"/>
              <w:rPr>
                <w:sz w:val="20"/>
                <w:szCs w:val="20"/>
                <w:color w:val="auto"/>
              </w:rPr>
            </w:pPr>
            <w:r>
              <w:rPr>
                <w:rFonts w:ascii="Arial" w:cs="Arial" w:eastAsia="Arial" w:hAnsi="Arial"/>
                <w:sz w:val="11"/>
                <w:szCs w:val="11"/>
                <w:color w:val="auto"/>
              </w:rPr>
              <w:t>FFO attributable to common shareholders plus assumed conversions, as adjusted (non-GAAP)</w:t>
            </w: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126,656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131,073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103,109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110,873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114,535</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4480" w:type="dxa"/>
            <w:vAlign w:val="bottom"/>
            <w:gridSpan w:val="5"/>
          </w:tcPr>
          <w:p>
            <w:pPr>
              <w:ind w:left="80"/>
              <w:spacing w:after="0"/>
              <w:rPr>
                <w:sz w:val="20"/>
                <w:szCs w:val="20"/>
                <w:color w:val="auto"/>
              </w:rPr>
            </w:pPr>
            <w:r>
              <w:rPr>
                <w:rFonts w:ascii="Arial" w:cs="Arial" w:eastAsia="Arial" w:hAnsi="Arial"/>
                <w:sz w:val="11"/>
                <w:szCs w:val="11"/>
                <w:color w:val="auto"/>
              </w:rPr>
              <w:t>Per diluted share (non-GAAP)</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0.65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0.67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0.52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0.55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0.57</w:t>
            </w: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540" w:type="dxa"/>
            <w:vAlign w:val="bottom"/>
            <w:gridSpan w:val="6"/>
            <w:shd w:val="clear" w:color="auto" w:fill="CCEEFF"/>
          </w:tcPr>
          <w:p>
            <w:pPr>
              <w:ind w:left="60"/>
              <w:spacing w:after="0"/>
              <w:rPr>
                <w:sz w:val="20"/>
                <w:szCs w:val="20"/>
                <w:color w:val="auto"/>
              </w:rPr>
            </w:pPr>
            <w:r>
              <w:rPr>
                <w:rFonts w:ascii="Arial" w:cs="Arial" w:eastAsia="Arial" w:hAnsi="Arial"/>
                <w:sz w:val="11"/>
                <w:szCs w:val="11"/>
                <w:color w:val="auto"/>
              </w:rPr>
              <w:t>EBITDAre attributable to the Operating Partnership (non-GAAP)</w:t>
            </w: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278,844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279,919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245,369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263,084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253,698</w:t>
            </w:r>
          </w:p>
        </w:tc>
        <w:tc>
          <w:tcPr>
            <w:tcW w:w="0" w:type="dxa"/>
            <w:vAlign w:val="bottom"/>
          </w:tcPr>
          <w:p>
            <w:pPr>
              <w:spacing w:after="0"/>
              <w:rPr>
                <w:sz w:val="1"/>
                <w:szCs w:val="1"/>
                <w:color w:val="auto"/>
              </w:rPr>
            </w:pPr>
          </w:p>
        </w:tc>
      </w:tr>
      <w:tr>
        <w:trPr>
          <w:trHeight w:val="154"/>
        </w:trPr>
        <w:tc>
          <w:tcPr>
            <w:tcW w:w="4540" w:type="dxa"/>
            <w:vAlign w:val="bottom"/>
            <w:gridSpan w:val="6"/>
          </w:tcPr>
          <w:p>
            <w:pPr>
              <w:ind w:left="60"/>
              <w:spacing w:after="0"/>
              <w:rPr>
                <w:sz w:val="20"/>
                <w:szCs w:val="20"/>
                <w:color w:val="auto"/>
              </w:rPr>
            </w:pPr>
            <w:r>
              <w:rPr>
                <w:rFonts w:ascii="Arial" w:cs="Arial" w:eastAsia="Arial" w:hAnsi="Arial"/>
                <w:sz w:val="11"/>
                <w:szCs w:val="11"/>
                <w:color w:val="auto"/>
              </w:rPr>
              <w:t>EBITDAre attributable to the Operating Partnership, as adjusted (non-GAAP)</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279,522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279,451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247,798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254,805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253,758</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4480" w:type="dxa"/>
            <w:vAlign w:val="bottom"/>
            <w:gridSpan w:val="5"/>
          </w:tcPr>
          <w:p>
            <w:pPr>
              <w:spacing w:after="0"/>
              <w:rPr>
                <w:sz w:val="20"/>
                <w:szCs w:val="20"/>
                <w:color w:val="auto"/>
              </w:rPr>
            </w:pPr>
            <w:r>
              <w:rPr>
                <w:rFonts w:ascii="Arial" w:cs="Arial" w:eastAsia="Arial" w:hAnsi="Arial"/>
                <w:sz w:val="11"/>
                <w:szCs w:val="11"/>
                <w:b w:val="1"/>
                <w:bCs w:val="1"/>
                <w:color w:val="auto"/>
              </w:rPr>
              <w:t>Common Share Price &amp; Dividends (NYSE:VNO)</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0" w:type="dxa"/>
            <w:vAlign w:val="bottom"/>
            <w:shd w:val="clear" w:color="auto" w:fill="CCEEFF"/>
          </w:tcPr>
          <w:p>
            <w:pPr>
              <w:spacing w:after="0"/>
              <w:rPr>
                <w:sz w:val="14"/>
                <w:szCs w:val="14"/>
                <w:color w:val="auto"/>
              </w:rPr>
            </w:pPr>
          </w:p>
        </w:tc>
        <w:tc>
          <w:tcPr>
            <w:tcW w:w="25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1"/>
                <w:szCs w:val="11"/>
                <w:color w:val="auto"/>
              </w:rPr>
              <w:t>High Price</w:t>
            </w:r>
          </w:p>
        </w:tc>
        <w:tc>
          <w:tcPr>
            <w:tcW w:w="1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41.60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39.80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242424"/>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242424"/>
              </w:rPr>
              <w:t>34.83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242424"/>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242424"/>
              </w:rPr>
              <w:t>41.85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242424"/>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242424"/>
              </w:rPr>
              <w:t>43.37</w:t>
            </w:r>
          </w:p>
        </w:tc>
        <w:tc>
          <w:tcPr>
            <w:tcW w:w="0" w:type="dxa"/>
            <w:vAlign w:val="bottom"/>
          </w:tcPr>
          <w:p>
            <w:pPr>
              <w:spacing w:after="0"/>
              <w:rPr>
                <w:sz w:val="1"/>
                <w:szCs w:val="1"/>
                <w:color w:val="auto"/>
              </w:rPr>
            </w:pPr>
          </w:p>
        </w:tc>
      </w:tr>
      <w:tr>
        <w:trPr>
          <w:trHeight w:val="158"/>
        </w:trPr>
        <w:tc>
          <w:tcPr>
            <w:tcW w:w="4540" w:type="dxa"/>
            <w:vAlign w:val="bottom"/>
            <w:gridSpan w:val="6"/>
          </w:tcPr>
          <w:p>
            <w:pPr>
              <w:ind w:left="60"/>
              <w:spacing w:after="0"/>
              <w:rPr>
                <w:sz w:val="20"/>
                <w:szCs w:val="20"/>
                <w:color w:val="auto"/>
              </w:rPr>
            </w:pPr>
            <w:r>
              <w:rPr>
                <w:rFonts w:ascii="Arial" w:cs="Arial" w:eastAsia="Arial" w:hAnsi="Arial"/>
                <w:sz w:val="11"/>
                <w:szCs w:val="11"/>
                <w:color w:val="auto"/>
              </w:rPr>
              <w:t>Low Price</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33.79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24.93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242424"/>
              </w:rPr>
              <w:t>24.57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242424"/>
              </w:rPr>
              <w:t>32.61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242424"/>
              </w:rPr>
              <w:t>35.22</w:t>
            </w:r>
          </w:p>
        </w:tc>
        <w:tc>
          <w:tcPr>
            <w:tcW w:w="0" w:type="dxa"/>
            <w:vAlign w:val="bottom"/>
          </w:tcPr>
          <w:p>
            <w:pPr>
              <w:spacing w:after="0"/>
              <w:rPr>
                <w:sz w:val="1"/>
                <w:szCs w:val="1"/>
                <w:color w:val="auto"/>
              </w:rPr>
            </w:pPr>
          </w:p>
        </w:tc>
      </w:tr>
      <w:tr>
        <w:trPr>
          <w:trHeight w:val="165"/>
        </w:trPr>
        <w:tc>
          <w:tcPr>
            <w:tcW w:w="4540" w:type="dxa"/>
            <w:vAlign w:val="bottom"/>
            <w:gridSpan w:val="6"/>
            <w:shd w:val="clear" w:color="auto" w:fill="CCEEFF"/>
          </w:tcPr>
          <w:p>
            <w:pPr>
              <w:ind w:left="60"/>
              <w:spacing w:after="0"/>
              <w:rPr>
                <w:sz w:val="20"/>
                <w:szCs w:val="20"/>
                <w:color w:val="auto"/>
              </w:rPr>
            </w:pPr>
            <w:r>
              <w:rPr>
                <w:rFonts w:ascii="Arial" w:cs="Arial" w:eastAsia="Arial" w:hAnsi="Arial"/>
                <w:sz w:val="11"/>
                <w:szCs w:val="11"/>
                <w:color w:val="auto"/>
              </w:rPr>
              <w:t>Closing price - end of quarter</w:t>
            </w: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33.88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39.30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242424"/>
              </w:rPr>
              <w:t>25.99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242424"/>
              </w:rPr>
              <w:t>33.28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242424"/>
              </w:rPr>
              <w:t>40.53</w:t>
            </w:r>
          </w:p>
        </w:tc>
        <w:tc>
          <w:tcPr>
            <w:tcW w:w="0" w:type="dxa"/>
            <w:vAlign w:val="bottom"/>
          </w:tcPr>
          <w:p>
            <w:pPr>
              <w:spacing w:after="0"/>
              <w:rPr>
                <w:sz w:val="1"/>
                <w:szCs w:val="1"/>
                <w:color w:val="auto"/>
              </w:rPr>
            </w:pPr>
          </w:p>
        </w:tc>
      </w:tr>
      <w:tr>
        <w:trPr>
          <w:trHeight w:val="161"/>
        </w:trPr>
        <w:tc>
          <w:tcPr>
            <w:tcW w:w="4540" w:type="dxa"/>
            <w:vAlign w:val="bottom"/>
            <w:gridSpan w:val="6"/>
          </w:tcPr>
          <w:p>
            <w:pPr>
              <w:ind w:left="60"/>
              <w:spacing w:after="0"/>
              <w:rPr>
                <w:sz w:val="20"/>
                <w:szCs w:val="20"/>
                <w:color w:val="auto"/>
              </w:rPr>
            </w:pPr>
            <w:r>
              <w:rPr>
                <w:rFonts w:ascii="Arial" w:cs="Arial" w:eastAsia="Arial" w:hAnsi="Arial"/>
                <w:sz w:val="11"/>
                <w:szCs w:val="11"/>
                <w:color w:val="auto"/>
              </w:rPr>
              <w:t>Dividends per common share</w:t>
            </w:r>
            <w:r>
              <w:rPr>
                <w:rFonts w:ascii="Arial" w:cs="Arial" w:eastAsia="Arial" w:hAnsi="Arial"/>
                <w:sz w:val="14"/>
                <w:szCs w:val="14"/>
                <w:b w:val="1"/>
                <w:bCs w:val="1"/>
                <w:color w:val="auto"/>
                <w:vertAlign w:val="superscript"/>
              </w:rPr>
              <w:t>(1)</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N/A</w:t>
            </w:r>
          </w:p>
        </w:tc>
        <w:tc>
          <w:tcPr>
            <w:tcW w:w="160" w:type="dxa"/>
            <w:vAlign w:val="bottom"/>
          </w:tcPr>
          <w:p>
            <w:pPr>
              <w:spacing w:after="0"/>
              <w:rPr>
                <w:sz w:val="14"/>
                <w:szCs w:val="14"/>
                <w:color w:val="auto"/>
              </w:rPr>
            </w:pPr>
          </w:p>
        </w:tc>
        <w:tc>
          <w:tcPr>
            <w:tcW w:w="940" w:type="dxa"/>
            <w:vAlign w:val="bottom"/>
            <w:gridSpan w:val="3"/>
          </w:tcPr>
          <w:p>
            <w:pPr>
              <w:ind w:left="560"/>
              <w:spacing w:after="0"/>
              <w:rPr>
                <w:sz w:val="20"/>
                <w:szCs w:val="20"/>
                <w:color w:val="auto"/>
              </w:rPr>
            </w:pPr>
            <w:r>
              <w:rPr>
                <w:rFonts w:ascii="Arial" w:cs="Arial" w:eastAsia="Arial" w:hAnsi="Arial"/>
                <w:sz w:val="11"/>
                <w:szCs w:val="11"/>
                <w:color w:val="auto"/>
              </w:rPr>
              <w:t>N/A</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54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0.74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18"/>
        </w:trPr>
        <w:tc>
          <w:tcPr>
            <w:tcW w:w="6240" w:type="dxa"/>
            <w:vAlign w:val="bottom"/>
            <w:gridSpan w:val="10"/>
          </w:tcPr>
          <w:p>
            <w:pPr>
              <w:ind w:left="60"/>
              <w:spacing w:after="0" w:line="119" w:lineRule="exact"/>
              <w:rPr>
                <w:sz w:val="20"/>
                <w:szCs w:val="20"/>
                <w:color w:val="auto"/>
              </w:rPr>
            </w:pPr>
            <w:r>
              <w:rPr>
                <w:rFonts w:ascii="Arial" w:cs="Arial" w:eastAsia="Arial" w:hAnsi="Arial"/>
                <w:sz w:val="11"/>
                <w:szCs w:val="11"/>
                <w:color w:val="auto"/>
              </w:rPr>
              <w:t>FFO payout ratio (based on FFO attributable to common shareholders plus assumed conversions, as adjusted)</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gridSpan w:val="2"/>
          </w:tcPr>
          <w:p>
            <w:pPr>
              <w:spacing w:after="0"/>
              <w:rPr>
                <w:sz w:val="20"/>
                <w:szCs w:val="20"/>
                <w:color w:val="auto"/>
              </w:rPr>
            </w:pPr>
            <w:r>
              <w:rPr>
                <w:rFonts w:ascii="Arial" w:cs="Arial" w:eastAsia="Arial" w:hAnsi="Arial"/>
                <w:sz w:val="7"/>
                <w:szCs w:val="7"/>
                <w:b w:val="1"/>
                <w:bCs w:val="1"/>
                <w:color w:val="auto"/>
              </w:rPr>
              <w:t>(2)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40" w:type="dxa"/>
            <w:vAlign w:val="bottom"/>
            <w:gridSpan w:val="2"/>
          </w:tcPr>
          <w:p>
            <w:pPr>
              <w:jc w:val="right"/>
              <w:ind w:right="203"/>
              <w:spacing w:after="0" w:line="76" w:lineRule="exact"/>
              <w:rPr>
                <w:sz w:val="20"/>
                <w:szCs w:val="20"/>
                <w:color w:val="auto"/>
              </w:rPr>
            </w:pPr>
            <w:r>
              <w:rPr>
                <w:rFonts w:ascii="Arial" w:cs="Arial" w:eastAsia="Arial" w:hAnsi="Arial"/>
                <w:sz w:val="7"/>
                <w:szCs w:val="7"/>
                <w:b w:val="1"/>
                <w:bCs w:val="1"/>
                <w:color w:val="auto"/>
              </w:rPr>
              <w:t>(1)</w:t>
            </w:r>
          </w:p>
        </w:tc>
        <w:tc>
          <w:tcPr>
            <w:tcW w:w="1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gridSpan w:val="2"/>
            <w:vMerge w:val="restart"/>
          </w:tcPr>
          <w:p>
            <w:pPr>
              <w:ind w:left="240"/>
              <w:spacing w:after="0" w:line="119" w:lineRule="exact"/>
              <w:rPr>
                <w:sz w:val="20"/>
                <w:szCs w:val="20"/>
                <w:color w:val="auto"/>
              </w:rPr>
            </w:pPr>
            <w:r>
              <w:rPr>
                <w:rFonts w:ascii="Arial" w:cs="Arial" w:eastAsia="Arial" w:hAnsi="Arial"/>
                <w:sz w:val="11"/>
                <w:szCs w:val="11"/>
                <w:color w:val="auto"/>
              </w:rPr>
              <w:t>N/A</w:t>
            </w:r>
          </w:p>
        </w:tc>
        <w:tc>
          <w:tcPr>
            <w:tcW w:w="160" w:type="dxa"/>
            <w:vAlign w:val="bottom"/>
          </w:tcPr>
          <w:p>
            <w:pPr>
              <w:spacing w:after="0"/>
              <w:rPr>
                <w:sz w:val="6"/>
                <w:szCs w:val="6"/>
                <w:color w:val="auto"/>
              </w:rPr>
            </w:pPr>
          </w:p>
        </w:tc>
        <w:tc>
          <w:tcPr>
            <w:tcW w:w="940" w:type="dxa"/>
            <w:vAlign w:val="bottom"/>
            <w:gridSpan w:val="3"/>
            <w:vMerge w:val="restart"/>
          </w:tcPr>
          <w:p>
            <w:pPr>
              <w:ind w:left="560"/>
              <w:spacing w:after="0" w:line="119" w:lineRule="exact"/>
              <w:rPr>
                <w:sz w:val="20"/>
                <w:szCs w:val="20"/>
                <w:color w:val="auto"/>
              </w:rPr>
            </w:pPr>
            <w:r>
              <w:rPr>
                <w:rFonts w:ascii="Arial" w:cs="Arial" w:eastAsia="Arial" w:hAnsi="Arial"/>
                <w:sz w:val="11"/>
                <w:szCs w:val="11"/>
                <w:color w:val="auto"/>
              </w:rPr>
              <w:t>N/A</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3"/>
            <w:vMerge w:val="restart"/>
          </w:tcPr>
          <w:p>
            <w:pPr>
              <w:ind w:left="540"/>
              <w:spacing w:after="0" w:line="119" w:lineRule="exact"/>
              <w:rPr>
                <w:sz w:val="20"/>
                <w:szCs w:val="20"/>
                <w:color w:val="auto"/>
              </w:rPr>
            </w:pPr>
            <w:r>
              <w:rPr>
                <w:rFonts w:ascii="Arial" w:cs="Arial" w:eastAsia="Arial" w:hAnsi="Arial"/>
                <w:sz w:val="11"/>
                <w:szCs w:val="11"/>
                <w:color w:val="auto"/>
              </w:rPr>
              <w:t>N/A</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vMerge w:val="restart"/>
          </w:tcPr>
          <w:p>
            <w:pPr>
              <w:jc w:val="right"/>
              <w:ind w:right="43"/>
              <w:spacing w:after="0" w:line="119" w:lineRule="exact"/>
              <w:rPr>
                <w:sz w:val="20"/>
                <w:szCs w:val="20"/>
                <w:color w:val="auto"/>
              </w:rPr>
            </w:pPr>
            <w:r>
              <w:rPr>
                <w:rFonts w:ascii="Arial" w:cs="Arial" w:eastAsia="Arial" w:hAnsi="Arial"/>
                <w:sz w:val="11"/>
                <w:szCs w:val="11"/>
                <w:color w:val="auto"/>
              </w:rPr>
              <w:t>31.9%</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restart"/>
          </w:tcPr>
          <w:p>
            <w:pPr>
              <w:jc w:val="right"/>
              <w:ind w:right="43"/>
              <w:spacing w:after="0" w:line="119"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6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(2)</w:t>
            </w: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40" w:type="dxa"/>
            <w:vAlign w:val="bottom"/>
            <w:gridSpan w:val="6"/>
          </w:tcPr>
          <w:p>
            <w:pPr>
              <w:ind w:left="60"/>
              <w:spacing w:after="0"/>
              <w:rPr>
                <w:sz w:val="20"/>
                <w:szCs w:val="20"/>
                <w:color w:val="auto"/>
              </w:rPr>
            </w:pPr>
            <w:r>
              <w:rPr>
                <w:rFonts w:ascii="Arial" w:cs="Arial" w:eastAsia="Arial" w:hAnsi="Arial"/>
                <w:sz w:val="11"/>
                <w:szCs w:val="11"/>
                <w:color w:val="auto"/>
              </w:rPr>
              <w:t>FAD payout ratio</w:t>
            </w:r>
            <w:r>
              <w:rPr>
                <w:rFonts w:ascii="Arial" w:cs="Arial" w:eastAsia="Arial" w:hAnsi="Arial"/>
                <w:sz w:val="14"/>
                <w:szCs w:val="14"/>
                <w:b w:val="1"/>
                <w:bCs w:val="1"/>
                <w:color w:val="auto"/>
                <w:vertAlign w:val="superscript"/>
              </w:rPr>
              <w:t>(1)</w:t>
            </w: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N/A</w:t>
            </w:r>
          </w:p>
        </w:tc>
        <w:tc>
          <w:tcPr>
            <w:tcW w:w="160" w:type="dxa"/>
            <w:vAlign w:val="bottom"/>
          </w:tcPr>
          <w:p>
            <w:pPr>
              <w:spacing w:after="0"/>
              <w:rPr>
                <w:sz w:val="17"/>
                <w:szCs w:val="17"/>
                <w:color w:val="auto"/>
              </w:rPr>
            </w:pPr>
          </w:p>
        </w:tc>
        <w:tc>
          <w:tcPr>
            <w:tcW w:w="940" w:type="dxa"/>
            <w:vAlign w:val="bottom"/>
            <w:gridSpan w:val="3"/>
          </w:tcPr>
          <w:p>
            <w:pPr>
              <w:ind w:left="560"/>
              <w:spacing w:after="0"/>
              <w:rPr>
                <w:sz w:val="20"/>
                <w:szCs w:val="20"/>
                <w:color w:val="auto"/>
              </w:rPr>
            </w:pPr>
            <w:r>
              <w:rPr>
                <w:rFonts w:ascii="Arial" w:cs="Arial" w:eastAsia="Arial" w:hAnsi="Arial"/>
                <w:sz w:val="11"/>
                <w:szCs w:val="11"/>
                <w:color w:val="auto"/>
              </w:rPr>
              <w:t>N/A</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ind w:left="54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97.4%</w:t>
            </w:r>
          </w:p>
        </w:tc>
        <w:tc>
          <w:tcPr>
            <w:tcW w:w="1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480" w:type="dxa"/>
            <w:vAlign w:val="bottom"/>
            <w:gridSpan w:val="5"/>
          </w:tcPr>
          <w:p>
            <w:pPr>
              <w:spacing w:after="0"/>
              <w:rPr>
                <w:sz w:val="20"/>
                <w:szCs w:val="20"/>
                <w:color w:val="auto"/>
              </w:rPr>
            </w:pPr>
            <w:r>
              <w:rPr>
                <w:rFonts w:ascii="Arial" w:cs="Arial" w:eastAsia="Arial" w:hAnsi="Arial"/>
                <w:sz w:val="11"/>
                <w:szCs w:val="11"/>
                <w:b w:val="1"/>
                <w:bCs w:val="1"/>
                <w:color w:val="auto"/>
              </w:rPr>
              <w:t>VNO Common Shares &amp; VRLP Units</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shd w:val="clear" w:color="auto" w:fill="CCEEFF"/>
          </w:tcPr>
          <w:p>
            <w:pPr>
              <w:spacing w:after="0"/>
              <w:rPr>
                <w:sz w:val="14"/>
                <w:szCs w:val="14"/>
                <w:color w:val="auto"/>
              </w:rPr>
            </w:pPr>
          </w:p>
        </w:tc>
        <w:tc>
          <w:tcPr>
            <w:tcW w:w="19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1"/>
                <w:szCs w:val="11"/>
                <w:color w:val="auto"/>
              </w:rPr>
              <w:t>VNO common shares outstanding</w:t>
            </w:r>
          </w:p>
        </w:tc>
        <w:tc>
          <w:tcPr>
            <w:tcW w:w="2520" w:type="dxa"/>
            <w:vAlign w:val="bottom"/>
            <w:gridSpan w:val="2"/>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186,958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186,721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188,098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190,666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192,055</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480" w:type="dxa"/>
            <w:vAlign w:val="bottom"/>
            <w:gridSpan w:val="5"/>
          </w:tcPr>
          <w:p>
            <w:pPr>
              <w:ind w:left="20"/>
              <w:spacing w:after="0"/>
              <w:rPr>
                <w:sz w:val="20"/>
                <w:szCs w:val="20"/>
                <w:color w:val="auto"/>
              </w:rPr>
            </w:pPr>
            <w:r>
              <w:rPr>
                <w:rFonts w:ascii="Arial" w:cs="Arial" w:eastAsia="Arial" w:hAnsi="Arial"/>
                <w:sz w:val="11"/>
                <w:szCs w:val="11"/>
                <w:color w:val="auto"/>
              </w:rPr>
              <w:t>Redeemable Class A units and LTIP Unit awards outstanding</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16,573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16,654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16,947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16,651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16,694</w:t>
            </w:r>
          </w:p>
        </w:tc>
        <w:tc>
          <w:tcPr>
            <w:tcW w:w="0" w:type="dxa"/>
            <w:vAlign w:val="bottom"/>
          </w:tcPr>
          <w:p>
            <w:pPr>
              <w:spacing w:after="0"/>
              <w:rPr>
                <w:sz w:val="1"/>
                <w:szCs w:val="1"/>
                <w:color w:val="auto"/>
              </w:rPr>
            </w:pPr>
          </w:p>
        </w:tc>
      </w:tr>
      <w:tr>
        <w:trPr>
          <w:trHeight w:val="161"/>
        </w:trPr>
        <w:tc>
          <w:tcPr>
            <w:tcW w:w="60" w:type="dxa"/>
            <w:vAlign w:val="bottom"/>
            <w:shd w:val="clear" w:color="auto" w:fill="CCEEFF"/>
          </w:tcPr>
          <w:p>
            <w:pPr>
              <w:spacing w:after="0"/>
              <w:rPr>
                <w:sz w:val="14"/>
                <w:szCs w:val="14"/>
                <w:color w:val="auto"/>
              </w:rPr>
            </w:pPr>
          </w:p>
        </w:tc>
        <w:tc>
          <w:tcPr>
            <w:tcW w:w="448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Convertible unit equivalents outstanding</w:t>
            </w: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1,473</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1,279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1,917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1,503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1,242</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480" w:type="dxa"/>
            <w:vAlign w:val="bottom"/>
            <w:gridSpan w:val="5"/>
          </w:tcPr>
          <w:p>
            <w:pPr>
              <w:ind w:left="20"/>
              <w:spacing w:after="0"/>
              <w:rPr>
                <w:sz w:val="20"/>
                <w:szCs w:val="20"/>
                <w:color w:val="auto"/>
              </w:rPr>
            </w:pPr>
            <w:r>
              <w:rPr>
                <w:rFonts w:ascii="Arial" w:cs="Arial" w:eastAsia="Arial" w:hAnsi="Arial"/>
                <w:sz w:val="11"/>
                <w:szCs w:val="11"/>
                <w:color w:val="auto"/>
              </w:rPr>
              <w:t>Total Class A units and assumed conversions of convertible units outstanding</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205,004</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204,654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206,962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208,820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209,991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0" w:type="dxa"/>
            <w:vAlign w:val="bottom"/>
            <w:shd w:val="clear" w:color="auto" w:fill="CCEEFF"/>
          </w:tcPr>
          <w:p>
            <w:pPr>
              <w:spacing w:after="0"/>
              <w:rPr>
                <w:sz w:val="14"/>
                <w:szCs w:val="14"/>
                <w:color w:val="auto"/>
              </w:rPr>
            </w:pPr>
          </w:p>
        </w:tc>
        <w:tc>
          <w:tcPr>
            <w:tcW w:w="448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Weighted average Class A units outstanding - diluted</w:t>
            </w: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212,927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212,374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214,484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217,542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218,140</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4480" w:type="dxa"/>
            <w:vAlign w:val="bottom"/>
            <w:gridSpan w:val="5"/>
          </w:tcPr>
          <w:p>
            <w:pPr>
              <w:ind w:left="20"/>
              <w:spacing w:after="0"/>
              <w:rPr>
                <w:sz w:val="20"/>
                <w:szCs w:val="20"/>
                <w:color w:val="auto"/>
              </w:rPr>
            </w:pPr>
            <w:r>
              <w:rPr>
                <w:rFonts w:ascii="Arial" w:cs="Arial" w:eastAsia="Arial" w:hAnsi="Arial"/>
                <w:sz w:val="11"/>
                <w:szCs w:val="11"/>
                <w:color w:val="auto"/>
              </w:rPr>
              <w:t>Weighted average common shares outstanding - diluted</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196,284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195,722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197,479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200,901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201,416</w:t>
            </w: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0" w:type="dxa"/>
            <w:vAlign w:val="bottom"/>
            <w:gridSpan w:val="4"/>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660" w:type="dxa"/>
            <w:vAlign w:val="bottom"/>
            <w:gridSpan w:val="5"/>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60" w:type="dxa"/>
            <w:vAlign w:val="bottom"/>
            <w:shd w:val="clear" w:color="auto" w:fill="CCEEFF"/>
          </w:tcPr>
          <w:p>
            <w:pPr>
              <w:spacing w:after="0"/>
              <w:rPr>
                <w:sz w:val="14"/>
                <w:szCs w:val="14"/>
                <w:color w:val="auto"/>
              </w:rPr>
            </w:pPr>
          </w:p>
        </w:tc>
        <w:tc>
          <w:tcPr>
            <w:tcW w:w="448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Market Capitalization</w:t>
            </w:r>
          </w:p>
        </w:tc>
        <w:tc>
          <w:tcPr>
            <w:tcW w:w="6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17.7 Billion  $</w:t>
            </w:r>
          </w:p>
        </w:tc>
        <w:tc>
          <w:tcPr>
            <w:tcW w:w="1700" w:type="dxa"/>
            <w:vAlign w:val="bottom"/>
            <w:gridSpan w:val="6"/>
            <w:shd w:val="clear" w:color="auto" w:fill="CCEEFF"/>
          </w:tcPr>
          <w:p>
            <w:pPr>
              <w:ind w:left="500"/>
              <w:spacing w:after="0"/>
              <w:rPr>
                <w:sz w:val="20"/>
                <w:szCs w:val="20"/>
                <w:color w:val="auto"/>
              </w:rPr>
            </w:pPr>
            <w:r>
              <w:rPr>
                <w:rFonts w:ascii="Arial" w:cs="Arial" w:eastAsia="Arial" w:hAnsi="Arial"/>
                <w:sz w:val="11"/>
                <w:szCs w:val="11"/>
                <w:color w:val="auto"/>
              </w:rPr>
              <w:t>18.8 Billion  $</w:t>
            </w:r>
          </w:p>
        </w:tc>
        <w:tc>
          <w:tcPr>
            <w:tcW w:w="2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ind w:left="60"/>
              <w:spacing w:after="0"/>
              <w:rPr>
                <w:sz w:val="20"/>
                <w:szCs w:val="20"/>
                <w:color w:val="auto"/>
              </w:rPr>
            </w:pPr>
            <w:r>
              <w:rPr>
                <w:rFonts w:ascii="Arial" w:cs="Arial" w:eastAsia="Arial" w:hAnsi="Arial"/>
                <w:sz w:val="11"/>
                <w:szCs w:val="11"/>
                <w:color w:val="auto"/>
              </w:rPr>
              <w:t>16.1 Billion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17.2 Billion</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 Billion</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480" w:type="dxa"/>
            <w:vAlign w:val="bottom"/>
            <w:gridSpan w:val="5"/>
          </w:tcPr>
          <w:p>
            <w:pPr>
              <w:spacing w:after="0"/>
              <w:rPr>
                <w:sz w:val="20"/>
                <w:szCs w:val="20"/>
                <w:color w:val="auto"/>
              </w:rPr>
            </w:pPr>
            <w:r>
              <w:rPr>
                <w:rFonts w:ascii="Arial" w:cs="Arial" w:eastAsia="Arial" w:hAnsi="Arial"/>
                <w:sz w:val="11"/>
                <w:szCs w:val="11"/>
                <w:b w:val="1"/>
                <w:bCs w:val="1"/>
                <w:color w:val="auto"/>
              </w:rPr>
              <w:t xml:space="preserve">Liquidity </w:t>
            </w:r>
            <w:r>
              <w:rPr>
                <w:rFonts w:ascii="Arial" w:cs="Arial" w:eastAsia="Arial" w:hAnsi="Arial"/>
                <w:sz w:val="11"/>
                <w:szCs w:val="11"/>
                <w:color w:val="auto"/>
              </w:rPr>
              <w:t>(amounts in millions)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shd w:val="clear" w:color="auto" w:fill="CCEEFF"/>
          </w:tcPr>
          <w:p>
            <w:pPr>
              <w:spacing w:after="0"/>
              <w:rPr>
                <w:sz w:val="14"/>
                <w:szCs w:val="14"/>
                <w:color w:val="auto"/>
              </w:rPr>
            </w:pPr>
          </w:p>
        </w:tc>
        <w:tc>
          <w:tcPr>
            <w:tcW w:w="448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6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1,081</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841</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1,010</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480" w:type="dxa"/>
            <w:vAlign w:val="bottom"/>
            <w:gridSpan w:val="5"/>
          </w:tcPr>
          <w:p>
            <w:pPr>
              <w:ind w:left="20"/>
              <w:spacing w:after="0"/>
              <w:rPr>
                <w:sz w:val="20"/>
                <w:szCs w:val="20"/>
                <w:color w:val="auto"/>
              </w:rPr>
            </w:pPr>
            <w:r>
              <w:rPr>
                <w:rFonts w:ascii="Arial" w:cs="Arial" w:eastAsia="Arial" w:hAnsi="Arial"/>
                <w:sz w:val="11"/>
                <w:szCs w:val="11"/>
                <w:color w:val="auto"/>
              </w:rPr>
              <w:t>Restricted cash</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143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130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6"/>
              <w:spacing w:after="0"/>
              <w:rPr>
                <w:sz w:val="20"/>
                <w:szCs w:val="20"/>
                <w:color w:val="auto"/>
              </w:rPr>
            </w:pPr>
            <w:r>
              <w:rPr>
                <w:rFonts w:ascii="Arial" w:cs="Arial" w:eastAsia="Arial" w:hAnsi="Arial"/>
                <w:sz w:val="11"/>
                <w:szCs w:val="11"/>
                <w:color w:val="auto"/>
              </w:rPr>
              <w:t>137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61"/>
        </w:trPr>
        <w:tc>
          <w:tcPr>
            <w:tcW w:w="60" w:type="dxa"/>
            <w:vAlign w:val="bottom"/>
            <w:shd w:val="clear" w:color="auto" w:fill="CCEEFF"/>
          </w:tcPr>
          <w:p>
            <w:pPr>
              <w:spacing w:after="0"/>
              <w:rPr>
                <w:sz w:val="14"/>
                <w:szCs w:val="14"/>
                <w:color w:val="auto"/>
              </w:rPr>
            </w:pPr>
          </w:p>
        </w:tc>
        <w:tc>
          <w:tcPr>
            <w:tcW w:w="448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Available on our $2.1 billion revolving credit facilities</w:t>
            </w: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1,188</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1,188</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1,388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1"/>
                <w:szCs w:val="11"/>
                <w:color w:val="auto"/>
              </w:rPr>
              <w:t>1,419</w:t>
            </w: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1,419</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480" w:type="dxa"/>
            <w:vAlign w:val="bottom"/>
            <w:gridSpan w:val="5"/>
          </w:tcPr>
          <w:p>
            <w:pPr>
              <w:ind w:left="20"/>
              <w:spacing w:after="0"/>
              <w:rPr>
                <w:sz w:val="20"/>
                <w:szCs w:val="20"/>
                <w:color w:val="auto"/>
              </w:rPr>
            </w:pPr>
            <w:r>
              <w:rPr>
                <w:rFonts w:ascii="Arial" w:cs="Arial" w:eastAsia="Arial" w:hAnsi="Arial"/>
                <w:sz w:val="11"/>
                <w:szCs w:val="11"/>
                <w:b w:val="1"/>
                <w:bCs w:val="1"/>
                <w:color w:val="auto"/>
              </w:rPr>
              <w:t>Total Liquidity</w:t>
            </w:r>
          </w:p>
        </w:tc>
        <w:tc>
          <w:tcPr>
            <w:tcW w:w="640" w:type="dxa"/>
            <w:vAlign w:val="bottom"/>
          </w:tcPr>
          <w:p>
            <w:pPr>
              <w:spacing w:after="0"/>
              <w:rPr>
                <w:sz w:val="13"/>
                <w:szCs w:val="13"/>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1,911</w:t>
            </w:r>
          </w:p>
        </w:tc>
        <w:tc>
          <w:tcPr>
            <w:tcW w:w="6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1,977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jc w:val="right"/>
              <w:ind w:right="23"/>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2,599</w:t>
            </w:r>
          </w:p>
        </w:tc>
        <w:tc>
          <w:tcPr>
            <w:tcW w:w="2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6"/>
              <w:spacing w:after="0"/>
              <w:rPr>
                <w:sz w:val="20"/>
                <w:szCs w:val="20"/>
                <w:color w:val="auto"/>
              </w:rPr>
            </w:pPr>
            <w:r>
              <w:rPr>
                <w:rFonts w:ascii="Arial" w:cs="Arial" w:eastAsia="Arial" w:hAnsi="Arial"/>
                <w:sz w:val="11"/>
                <w:szCs w:val="11"/>
                <w:color w:val="auto"/>
              </w:rPr>
              <w:t>2,397</w:t>
            </w:r>
          </w:p>
        </w:tc>
        <w:tc>
          <w:tcPr>
            <w:tcW w:w="60" w:type="dxa"/>
            <w:vAlign w:val="bottom"/>
          </w:tcPr>
          <w:p>
            <w:pPr>
              <w:spacing w:after="0"/>
              <w:rPr>
                <w:sz w:val="13"/>
                <w:szCs w:val="13"/>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2,571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-1864360</wp:posOffset>
            </wp:positionV>
            <wp:extent cx="7160260" cy="150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15049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24" w:lineRule="exact"/>
        <w:rPr>
          <w:sz w:val="20"/>
          <w:szCs w:val="20"/>
          <w:color w:val="auto"/>
        </w:rPr>
      </w:pPr>
    </w:p>
    <w:p>
      <w:pPr>
        <w:ind w:left="260" w:hanging="254"/>
        <w:spacing w:after="0"/>
        <w:tabs>
          <w:tab w:leader="none" w:pos="260" w:val="left"/>
        </w:tabs>
        <w:numPr>
          <w:ilvl w:val="0"/>
          <w:numId w:val="11"/>
        </w:numPr>
        <w:rPr>
          <w:rFonts w:ascii="Arial" w:cs="Arial" w:eastAsia="Arial" w:hAnsi="Arial"/>
          <w:sz w:val="11"/>
          <w:szCs w:val="11"/>
          <w:b w:val="1"/>
          <w:bCs w:val="1"/>
          <w:color w:val="auto"/>
        </w:rPr>
      </w:pPr>
      <w:r>
        <w:rPr>
          <w:rFonts w:ascii="Arial" w:cs="Arial" w:eastAsia="Arial" w:hAnsi="Arial"/>
          <w:sz w:val="11"/>
          <w:szCs w:val="11"/>
          <w:color w:val="auto"/>
        </w:rPr>
        <w:t>For 2026, we anticipate continuing our common share dividend policy of paying one common share dividend in the fourth quarter, subject to approval by our Board of Trustees.</w:t>
      </w:r>
    </w:p>
    <w:p>
      <w:pPr>
        <w:spacing w:after="0" w:line="29" w:lineRule="exact"/>
        <w:rPr>
          <w:rFonts w:ascii="Arial" w:cs="Arial" w:eastAsia="Arial" w:hAnsi="Arial"/>
          <w:sz w:val="11"/>
          <w:szCs w:val="11"/>
          <w:b w:val="1"/>
          <w:bCs w:val="1"/>
          <w:color w:val="auto"/>
        </w:rPr>
      </w:pPr>
    </w:p>
    <w:p>
      <w:pPr>
        <w:ind w:left="260" w:hanging="254"/>
        <w:spacing w:after="0"/>
        <w:tabs>
          <w:tab w:leader="none" w:pos="260" w:val="left"/>
        </w:tabs>
        <w:numPr>
          <w:ilvl w:val="0"/>
          <w:numId w:val="11"/>
        </w:numPr>
        <w:rPr>
          <w:rFonts w:ascii="Arial" w:cs="Arial" w:eastAsia="Arial" w:hAnsi="Arial"/>
          <w:sz w:val="11"/>
          <w:szCs w:val="11"/>
          <w:b w:val="1"/>
          <w:bCs w:val="1"/>
          <w:color w:val="auto"/>
        </w:rPr>
      </w:pPr>
      <w:r>
        <w:rPr>
          <w:rFonts w:ascii="Arial" w:cs="Arial" w:eastAsia="Arial" w:hAnsi="Arial"/>
          <w:sz w:val="11"/>
          <w:szCs w:val="11"/>
          <w:color w:val="auto"/>
        </w:rPr>
        <w:t>FFO and FAD payout ratios are calculated based on full year results.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xml:space="preserve">Please refer to the </w:t>
      </w:r>
      <w:r>
        <w:rPr>
          <w:rFonts w:ascii="Arial" w:cs="Arial" w:eastAsia="Arial" w:hAnsi="Arial"/>
          <w:sz w:val="11"/>
          <w:szCs w:val="11"/>
          <w:i w:val="1"/>
          <w:iCs w:val="1"/>
          <w:color w:val="auto"/>
        </w:rPr>
        <w:t>Appendix</w:t>
      </w:r>
      <w:r>
        <w:rPr>
          <w:rFonts w:ascii="Arial" w:cs="Arial" w:eastAsia="Arial" w:hAnsi="Arial"/>
          <w:sz w:val="11"/>
          <w:szCs w:val="11"/>
          <w:color w:val="auto"/>
        </w:rPr>
        <w:t xml:space="preserve"> for reconciliations of GAAP to non-GAAP measures.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- 6 -</w:t>
      </w:r>
    </w:p>
    <w:p>
      <w:pPr>
        <w:sectPr>
          <w:pgSz w:w="11900" w:h="16838" w:orient="portrait"/>
          <w:cols w:equalWidth="0" w:num="1">
            <w:col w:w="11280"/>
          </w:cols>
          <w:pgMar w:left="300" w:top="981" w:right="31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FFO, AS ADJUSTED BRIDGE - Q3 2026 VS. Q3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716026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00"/>
          </w:cols>
          <w:pgMar w:left="320" w:top="852" w:right="379" w:bottom="1440" w:gutter="0" w:footer="0" w:header="0"/>
        </w:sectPr>
      </w:pP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8680" w:type="dxa"/>
            <w:vAlign w:val="bottom"/>
          </w:tcPr>
          <w:p>
            <w:pPr>
              <w:ind w:left="20"/>
              <w:spacing w:after="0"/>
              <w:rPr>
                <w:sz w:val="20"/>
                <w:szCs w:val="20"/>
                <w:color w:val="auto"/>
              </w:rPr>
            </w:pPr>
            <w:r>
              <w:rPr>
                <w:rFonts w:ascii="Arial" w:cs="Arial" w:eastAsia="Arial" w:hAnsi="Arial"/>
                <w:sz w:val="11"/>
                <w:szCs w:val="11"/>
                <w:color w:val="auto"/>
              </w:rPr>
              <w:t>(Amounts in millions, except per share amounts)</w:t>
            </w:r>
          </w:p>
        </w:tc>
        <w:tc>
          <w:tcPr>
            <w:tcW w:w="2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1"/>
                <w:szCs w:val="11"/>
                <w:b w:val="1"/>
                <w:bCs w:val="1"/>
                <w:color w:val="auto"/>
              </w:rPr>
              <w:t>FFO, as Adjusted</w:t>
            </w:r>
          </w:p>
        </w:tc>
        <w:tc>
          <w:tcPr>
            <w:tcW w:w="0" w:type="dxa"/>
            <w:vAlign w:val="bottom"/>
          </w:tcPr>
          <w:p>
            <w:pPr>
              <w:spacing w:after="0"/>
              <w:rPr>
                <w:sz w:val="1"/>
                <w:szCs w:val="1"/>
                <w:color w:val="auto"/>
              </w:rPr>
            </w:pPr>
          </w:p>
        </w:tc>
      </w:tr>
      <w:tr>
        <w:trPr>
          <w:trHeight w:val="152"/>
        </w:trPr>
        <w:tc>
          <w:tcPr>
            <w:tcW w:w="8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3"/>
                <w:szCs w:val="13"/>
                <w:color w:val="auto"/>
              </w:rPr>
            </w:pPr>
          </w:p>
        </w:tc>
        <w:tc>
          <w:tcPr>
            <w:tcW w:w="940" w:type="dxa"/>
            <w:vAlign w:val="bottom"/>
          </w:tcPr>
          <w:p>
            <w:pPr>
              <w:jc w:val="right"/>
              <w:ind w:right="243"/>
              <w:spacing w:after="0"/>
              <w:rPr>
                <w:sz w:val="20"/>
                <w:szCs w:val="20"/>
                <w:color w:val="auto"/>
              </w:rPr>
            </w:pPr>
            <w:r>
              <w:rPr>
                <w:rFonts w:ascii="Arial" w:cs="Arial" w:eastAsia="Arial" w:hAnsi="Arial"/>
                <w:sz w:val="11"/>
                <w:szCs w:val="11"/>
                <w:b w:val="1"/>
                <w:bCs w:val="1"/>
                <w:color w:val="auto"/>
              </w:rPr>
              <w:t>Per Share</w:t>
            </w:r>
          </w:p>
        </w:tc>
        <w:tc>
          <w:tcPr>
            <w:tcW w:w="0" w:type="dxa"/>
            <w:vAlign w:val="bottom"/>
          </w:tcPr>
          <w:p>
            <w:pPr>
              <w:spacing w:after="0"/>
              <w:rPr>
                <w:sz w:val="1"/>
                <w:szCs w:val="1"/>
                <w:color w:val="auto"/>
              </w:rPr>
            </w:pPr>
          </w:p>
        </w:tc>
      </w:tr>
      <w:tr>
        <w:trPr>
          <w:trHeight w:val="178"/>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FFO attributable to common shareholders plus assumed conversions, as adjusted (non-GAAP) for the three months ended September 30, 2025</w:t>
            </w: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0.57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Increase / (decrease) in FFO, as adjusted due to: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68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8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Rent commencements, net of lease expirations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680" w:type="dxa"/>
            <w:vAlign w:val="bottom"/>
          </w:tcPr>
          <w:p>
            <w:pPr>
              <w:ind w:left="80"/>
              <w:spacing w:after="0"/>
              <w:rPr>
                <w:sz w:val="20"/>
                <w:szCs w:val="20"/>
                <w:color w:val="auto"/>
              </w:rPr>
            </w:pPr>
            <w:r>
              <w:rPr>
                <w:rFonts w:ascii="Arial" w:cs="Arial" w:eastAsia="Arial" w:hAnsi="Arial"/>
                <w:sz w:val="11"/>
                <w:szCs w:val="11"/>
                <w:color w:val="auto"/>
              </w:rPr>
              <w:t>Lower interest and other investment income</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Park Avenue Plaza</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680" w:type="dxa"/>
            <w:vAlign w:val="bottom"/>
          </w:tcPr>
          <w:p>
            <w:pPr>
              <w:ind w:left="80"/>
              <w:spacing w:after="0"/>
              <w:rPr>
                <w:sz w:val="20"/>
                <w:szCs w:val="20"/>
                <w:color w:val="auto"/>
              </w:rPr>
            </w:pPr>
            <w:r>
              <w:rPr>
                <w:rFonts w:ascii="Arial" w:cs="Arial" w:eastAsia="Arial" w:hAnsi="Arial"/>
                <w:sz w:val="11"/>
                <w:szCs w:val="11"/>
                <w:color w:val="auto"/>
              </w:rPr>
              <w:t>Interest expense (primarily the 2033 senior unsecured notes)</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Variable businesses (primarily signage)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6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Other, net</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6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Noncontrolling interests' share of above items, impact of assumed conversions of convertible securities, and impact of share buyback</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w:t>
            </w: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0.08</w:t>
            </w:r>
          </w:p>
        </w:tc>
        <w:tc>
          <w:tcPr>
            <w:tcW w:w="0" w:type="dxa"/>
            <w:vAlign w:val="bottom"/>
          </w:tcPr>
          <w:p>
            <w:pPr>
              <w:spacing w:after="0"/>
              <w:rPr>
                <w:sz w:val="1"/>
                <w:szCs w:val="1"/>
                <w:color w:val="auto"/>
              </w:rPr>
            </w:pPr>
          </w:p>
        </w:tc>
      </w:tr>
      <w:tr>
        <w:trPr>
          <w:trHeight w:val="156"/>
        </w:trPr>
        <w:tc>
          <w:tcPr>
            <w:tcW w:w="86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FFO attributable to common shareholders plus assumed conversions, as adjusted (non-GAAP) for the three months ended September 30, 2026</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126.7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0.65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xml:space="preserve">Please refer to the </w:t>
      </w:r>
      <w:r>
        <w:rPr>
          <w:rFonts w:ascii="Arial" w:cs="Arial" w:eastAsia="Arial" w:hAnsi="Arial"/>
          <w:sz w:val="11"/>
          <w:szCs w:val="11"/>
          <w:i w:val="1"/>
          <w:iCs w:val="1"/>
          <w:color w:val="auto"/>
        </w:rPr>
        <w:t>Appendix</w:t>
      </w:r>
      <w:r>
        <w:rPr>
          <w:rFonts w:ascii="Arial" w:cs="Arial" w:eastAsia="Arial" w:hAnsi="Arial"/>
          <w:sz w:val="11"/>
          <w:szCs w:val="11"/>
          <w:color w:val="auto"/>
        </w:rPr>
        <w:t xml:space="preserve"> for reconciliations of GAAP to non-GAAP measures.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- 7 -</w:t>
      </w:r>
    </w:p>
    <w:p>
      <w:pPr>
        <w:sectPr>
          <w:pgSz w:w="11900" w:h="16838" w:orient="portrait"/>
          <w:cols w:equalWidth="0" w:num="1">
            <w:col w:w="11200"/>
          </w:cols>
          <w:pgMar w:left="320" w:top="852" w:right="379" w:bottom="1440" w:gutter="0" w:footer="0" w:header="0"/>
          <w:type w:val="continuous"/>
        </w:sectPr>
      </w:pPr>
    </w:p>
    <w:bookmarkStart w:id="28" w:name="page29"/>
    <w:bookmarkEnd w:id="28"/>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NET OPERATING INCOME, EBITDAre, FFO AND FAD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180" w:type="dxa"/>
            <w:vAlign w:val="bottom"/>
          </w:tcPr>
          <w:p>
            <w:pPr>
              <w:ind w:left="20"/>
              <w:spacing w:after="0"/>
              <w:rPr>
                <w:sz w:val="20"/>
                <w:szCs w:val="20"/>
                <w:color w:val="auto"/>
              </w:rPr>
            </w:pPr>
            <w:r>
              <w:rPr>
                <w:rFonts w:ascii="Arial" w:cs="Arial" w:eastAsia="Arial" w:hAnsi="Arial"/>
                <w:sz w:val="11"/>
                <w:szCs w:val="11"/>
                <w:color w:val="auto"/>
              </w:rPr>
              <w:t>(Amounts in thousands)</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center"/>
              <w:ind w:right="24"/>
              <w:spacing w:after="0"/>
              <w:rPr>
                <w:sz w:val="20"/>
                <w:szCs w:val="20"/>
                <w:color w:val="auto"/>
              </w:rPr>
            </w:pPr>
            <w:r>
              <w:rPr>
                <w:rFonts w:ascii="Arial" w:cs="Arial" w:eastAsia="Arial" w:hAnsi="Arial"/>
                <w:sz w:val="11"/>
                <w:szCs w:val="11"/>
                <w:b w:val="1"/>
                <w:bCs w:val="1"/>
                <w:color w:val="auto"/>
              </w:rPr>
              <w:t>For the Three Months Ended</w:t>
            </w: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Net Operating Income (“NOI”)</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200" w:type="dxa"/>
            <w:vAlign w:val="bottom"/>
          </w:tcPr>
          <w:p>
            <w:pPr>
              <w:jc w:val="right"/>
              <w:ind w:right="64"/>
              <w:spacing w:after="0"/>
              <w:rPr>
                <w:sz w:val="20"/>
                <w:szCs w:val="20"/>
                <w:color w:val="auto"/>
              </w:rPr>
            </w:pPr>
            <w:r>
              <w:rPr>
                <w:rFonts w:ascii="Arial" w:cs="Arial" w:eastAsia="Arial" w:hAnsi="Arial"/>
                <w:sz w:val="11"/>
                <w:szCs w:val="11"/>
                <w:b w:val="1"/>
                <w:bCs w:val="1"/>
                <w:color w:val="auto"/>
              </w:rPr>
              <w:t>September 30, 2026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June 30, 2026</w:t>
            </w:r>
          </w:p>
        </w:tc>
        <w:tc>
          <w:tcPr>
            <w:tcW w:w="100" w:type="dxa"/>
            <w:vAlign w:val="bottom"/>
          </w:tcPr>
          <w:p>
            <w:pPr>
              <w:spacing w:after="0"/>
              <w:rPr>
                <w:sz w:val="12"/>
                <w:szCs w:val="12"/>
                <w:color w:val="auto"/>
              </w:rPr>
            </w:pPr>
          </w:p>
        </w:tc>
        <w:tc>
          <w:tcPr>
            <w:tcW w:w="1220" w:type="dxa"/>
            <w:vAlign w:val="bottom"/>
          </w:tcPr>
          <w:p>
            <w:pPr>
              <w:jc w:val="right"/>
              <w:ind w:right="84"/>
              <w:spacing w:after="0"/>
              <w:rPr>
                <w:sz w:val="20"/>
                <w:szCs w:val="20"/>
                <w:color w:val="auto"/>
              </w:rPr>
            </w:pPr>
            <w:r>
              <w:rPr>
                <w:rFonts w:ascii="Arial" w:cs="Arial" w:eastAsia="Arial" w:hAnsi="Arial"/>
                <w:sz w:val="11"/>
                <w:szCs w:val="11"/>
                <w:b w:val="1"/>
                <w:bCs w:val="1"/>
                <w:color w:val="auto"/>
              </w:rPr>
              <w:t>September 30, 2025</w:t>
            </w:r>
          </w:p>
        </w:tc>
        <w:tc>
          <w:tcPr>
            <w:tcW w:w="0" w:type="dxa"/>
            <w:vAlign w:val="bottom"/>
          </w:tcPr>
          <w:p>
            <w:pPr>
              <w:spacing w:after="0"/>
              <w:rPr>
                <w:sz w:val="1"/>
                <w:szCs w:val="1"/>
                <w:color w:val="auto"/>
              </w:rPr>
            </w:pPr>
          </w:p>
        </w:tc>
      </w:tr>
      <w:tr>
        <w:trPr>
          <w:trHeight w:val="131"/>
        </w:trPr>
        <w:tc>
          <w:tcPr>
            <w:tcW w:w="718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467,657</w:t>
            </w:r>
          </w:p>
        </w:tc>
        <w:tc>
          <w:tcPr>
            <w:tcW w:w="280" w:type="dxa"/>
            <w:vAlign w:val="bottom"/>
            <w:gridSpan w:val="3"/>
            <w:shd w:val="clear" w:color="auto" w:fill="CCEEFF"/>
          </w:tcPr>
          <w:p>
            <w:pPr>
              <w:jc w:val="right"/>
              <w:ind w:right="7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462,242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453,700</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Operating expenses</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(245,521)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(223,649)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(241,769)</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Our share of NOI from partially owned entities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88,808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76,638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64,884</w:t>
            </w:r>
          </w:p>
        </w:tc>
        <w:tc>
          <w:tcPr>
            <w:tcW w:w="0" w:type="dxa"/>
            <w:vAlign w:val="bottom"/>
          </w:tcPr>
          <w:p>
            <w:pPr>
              <w:spacing w:after="0"/>
              <w:rPr>
                <w:sz w:val="1"/>
                <w:szCs w:val="1"/>
                <w:color w:val="auto"/>
              </w:rPr>
            </w:pPr>
          </w:p>
        </w:tc>
      </w:tr>
      <w:tr>
        <w:trPr>
          <w:trHeight w:val="149"/>
        </w:trPr>
        <w:tc>
          <w:tcPr>
            <w:tcW w:w="71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NOI attributable to noncontrolling interests in consolidated subsidiaries</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(10,890)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(11,167)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(10,139)</w:t>
            </w:r>
          </w:p>
        </w:tc>
        <w:tc>
          <w:tcPr>
            <w:tcW w:w="0" w:type="dxa"/>
            <w:vAlign w:val="bottom"/>
          </w:tcPr>
          <w:p>
            <w:pPr>
              <w:spacing w:after="0"/>
              <w:rPr>
                <w:sz w:val="1"/>
                <w:szCs w:val="1"/>
                <w:color w:val="auto"/>
              </w:rPr>
            </w:pPr>
          </w:p>
        </w:tc>
      </w:tr>
      <w:tr>
        <w:trPr>
          <w:trHeight w:val="143"/>
        </w:trPr>
        <w:tc>
          <w:tcPr>
            <w:tcW w:w="7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NOI at share</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300,054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304,064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266,676</w:t>
            </w:r>
          </w:p>
        </w:tc>
        <w:tc>
          <w:tcPr>
            <w:tcW w:w="0" w:type="dxa"/>
            <w:vAlign w:val="bottom"/>
          </w:tcPr>
          <w:p>
            <w:pPr>
              <w:spacing w:after="0"/>
              <w:rPr>
                <w:sz w:val="1"/>
                <w:szCs w:val="1"/>
                <w:color w:val="auto"/>
              </w:rPr>
            </w:pPr>
          </w:p>
        </w:tc>
      </w:tr>
      <w:tr>
        <w:trPr>
          <w:trHeight w:val="149"/>
        </w:trPr>
        <w:tc>
          <w:tcPr>
            <w:tcW w:w="71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Non-cash adjustments for straight-line rents, amortization of acquired below-market leases, net, and other</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(44,395)</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(40,881)</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(30,746)</w:t>
            </w:r>
          </w:p>
        </w:tc>
        <w:tc>
          <w:tcPr>
            <w:tcW w:w="0" w:type="dxa"/>
            <w:vAlign w:val="bottom"/>
          </w:tcPr>
          <w:p>
            <w:pPr>
              <w:spacing w:after="0"/>
              <w:rPr>
                <w:sz w:val="1"/>
                <w:szCs w:val="1"/>
                <w:color w:val="auto"/>
              </w:rPr>
            </w:pPr>
          </w:p>
        </w:tc>
      </w:tr>
      <w:tr>
        <w:trPr>
          <w:trHeight w:val="143"/>
        </w:trPr>
        <w:tc>
          <w:tcPr>
            <w:tcW w:w="7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NOI at share - cash basis</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255,659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263,183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235,930</w:t>
            </w:r>
          </w:p>
        </w:tc>
        <w:tc>
          <w:tcPr>
            <w:tcW w:w="0" w:type="dxa"/>
            <w:vAlign w:val="bottom"/>
          </w:tcPr>
          <w:p>
            <w:pPr>
              <w:spacing w:after="0"/>
              <w:rPr>
                <w:sz w:val="1"/>
                <w:szCs w:val="1"/>
                <w:color w:val="auto"/>
              </w:rPr>
            </w:pPr>
          </w:p>
        </w:tc>
      </w:tr>
      <w:tr>
        <w:trPr>
          <w:trHeight w:val="320"/>
        </w:trPr>
        <w:tc>
          <w:tcPr>
            <w:tcW w:w="7180" w:type="dxa"/>
            <w:vAlign w:val="bottom"/>
          </w:tcPr>
          <w:p>
            <w:pPr>
              <w:ind w:left="20"/>
              <w:spacing w:after="0"/>
              <w:rPr>
                <w:sz w:val="20"/>
                <w:szCs w:val="20"/>
                <w:color w:val="auto"/>
              </w:rPr>
            </w:pPr>
            <w:r>
              <w:rPr>
                <w:rFonts w:ascii="Arial" w:cs="Arial" w:eastAsia="Arial" w:hAnsi="Arial"/>
                <w:sz w:val="11"/>
                <w:szCs w:val="11"/>
                <w:b w:val="1"/>
                <w:bCs w:val="1"/>
                <w:color w:val="auto"/>
              </w:rPr>
              <w:t>Earnings Before Interest, Taxes, Depreciation and Amortization for Real Estate ("EBITDAre") (at Vornado’s share)</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General and administrative expenses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(35,247)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(40,283)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(37,812)</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Interest and other investment income, net</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14,430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16,311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27,631</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Transaction related costs and other</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(3,563)</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Net gain on disposition of non-depreciable wholly owned and partially owned assets</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766</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Non-cash adjustments for straight-line rents, amortization of acquired below-market leases, net, and other</w:t>
            </w: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44,395</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40,881</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30,746</w:t>
            </w:r>
          </w:p>
        </w:tc>
        <w:tc>
          <w:tcPr>
            <w:tcW w:w="0" w:type="dxa"/>
            <w:vAlign w:val="bottom"/>
          </w:tcPr>
          <w:p>
            <w:pPr>
              <w:spacing w:after="0"/>
              <w:rPr>
                <w:sz w:val="1"/>
                <w:szCs w:val="1"/>
                <w:color w:val="auto"/>
              </w:rPr>
            </w:pPr>
          </w:p>
        </w:tc>
      </w:tr>
      <w:tr>
        <w:trPr>
          <w:trHeight w:val="139"/>
        </w:trPr>
        <w:tc>
          <w:tcPr>
            <w:tcW w:w="7180" w:type="dxa"/>
            <w:vAlign w:val="bottom"/>
          </w:tcPr>
          <w:p>
            <w:pPr>
              <w:ind w:left="20"/>
              <w:spacing w:after="0"/>
              <w:rPr>
                <w:sz w:val="20"/>
                <w:szCs w:val="20"/>
                <w:color w:val="auto"/>
              </w:rPr>
            </w:pPr>
            <w:r>
              <w:rPr>
                <w:rFonts w:ascii="Arial" w:cs="Arial" w:eastAsia="Arial" w:hAnsi="Arial"/>
                <w:sz w:val="11"/>
                <w:szCs w:val="11"/>
                <w:color w:val="auto"/>
              </w:rPr>
              <w:t>EBITDAre attributable to the Operating Partnership (non-GAAP)</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278,844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279,919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253,698</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of certain items that impact EBITDAre</w:t>
            </w: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678</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37"/>
        </w:trPr>
        <w:tc>
          <w:tcPr>
            <w:tcW w:w="7180" w:type="dxa"/>
            <w:vAlign w:val="bottom"/>
          </w:tcPr>
          <w:p>
            <w:pPr>
              <w:ind w:left="20"/>
              <w:spacing w:after="0"/>
              <w:rPr>
                <w:sz w:val="20"/>
                <w:szCs w:val="20"/>
                <w:color w:val="auto"/>
              </w:rPr>
            </w:pPr>
            <w:r>
              <w:rPr>
                <w:rFonts w:ascii="Arial" w:cs="Arial" w:eastAsia="Arial" w:hAnsi="Arial"/>
                <w:sz w:val="11"/>
                <w:szCs w:val="11"/>
                <w:color w:val="auto"/>
              </w:rPr>
              <w:t>EBITDAre attributable to the Operating Partnership, as adjusted (non-GAAP)</w:t>
            </w:r>
          </w:p>
        </w:tc>
        <w:tc>
          <w:tcPr>
            <w:tcW w:w="1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279,522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279,451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253,758</w:t>
            </w:r>
          </w:p>
        </w:tc>
        <w:tc>
          <w:tcPr>
            <w:tcW w:w="0" w:type="dxa"/>
            <w:vAlign w:val="bottom"/>
          </w:tcPr>
          <w:p>
            <w:pPr>
              <w:spacing w:after="0"/>
              <w:rPr>
                <w:sz w:val="1"/>
                <w:szCs w:val="1"/>
                <w:color w:val="auto"/>
              </w:rPr>
            </w:pPr>
          </w:p>
        </w:tc>
      </w:tr>
      <w:tr>
        <w:trPr>
          <w:trHeight w:val="284"/>
        </w:trPr>
        <w:tc>
          <w:tcPr>
            <w:tcW w:w="7180" w:type="dxa"/>
            <w:vAlign w:val="bottom"/>
          </w:tcPr>
          <w:p>
            <w:pPr>
              <w:ind w:left="20"/>
              <w:spacing w:after="0"/>
              <w:rPr>
                <w:sz w:val="20"/>
                <w:szCs w:val="20"/>
                <w:color w:val="auto"/>
              </w:rPr>
            </w:pPr>
            <w:r>
              <w:rPr>
                <w:rFonts w:ascii="Arial" w:cs="Arial" w:eastAsia="Arial" w:hAnsi="Arial"/>
                <w:sz w:val="11"/>
                <w:szCs w:val="11"/>
                <w:b w:val="1"/>
                <w:bCs w:val="1"/>
                <w:color w:val="auto"/>
              </w:rPr>
              <w:t>Funds From Operations (“FFO”) (at Vornado’s share)</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 and debt expense</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(123,661)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(118,706)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(112,624)</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Gain on debt extinguishment</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16,141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Preferred share dividends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(15,554)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(15,553)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(15,555)</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Personal property depreciation</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(2,347)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(2,239)</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 benefit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5,233</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Change in fair value of marketable securities</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(1,719)</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Impact of assumed conversion of dilutive convertible securities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385</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Add-back - Total of certain items that impact EBITDAre</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468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FFO allocated to noncontrolling interests of the Operating Partnership</w:t>
            </w: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(10,444)</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(12,320)</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(9,807)</w:t>
            </w:r>
          </w:p>
        </w:tc>
        <w:tc>
          <w:tcPr>
            <w:tcW w:w="0" w:type="dxa"/>
            <w:vAlign w:val="bottom"/>
          </w:tcPr>
          <w:p>
            <w:pPr>
              <w:spacing w:after="0"/>
              <w:rPr>
                <w:sz w:val="1"/>
                <w:szCs w:val="1"/>
                <w:color w:val="auto"/>
              </w:rPr>
            </w:pPr>
          </w:p>
        </w:tc>
      </w:tr>
      <w:tr>
        <w:trPr>
          <w:trHeight w:val="139"/>
        </w:trPr>
        <w:tc>
          <w:tcPr>
            <w:tcW w:w="7180" w:type="dxa"/>
            <w:vAlign w:val="bottom"/>
          </w:tcPr>
          <w:p>
            <w:pPr>
              <w:ind w:left="20"/>
              <w:spacing w:after="0"/>
              <w:rPr>
                <w:sz w:val="20"/>
                <w:szCs w:val="20"/>
                <w:color w:val="auto"/>
              </w:rPr>
            </w:pPr>
            <w:r>
              <w:rPr>
                <w:rFonts w:ascii="Arial" w:cs="Arial" w:eastAsia="Arial" w:hAnsi="Arial"/>
                <w:sz w:val="11"/>
                <w:szCs w:val="11"/>
                <w:color w:val="auto"/>
              </w:rPr>
              <w:t>FFO attributable to common shareholders plus assumed conversions (non-GAAP)</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122,646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144,078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117,372</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of certain items that impact FFO attributable to common shareholders plus assumed conversions</w:t>
            </w: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4,010</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(13,005)</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(2,837)</w:t>
            </w:r>
          </w:p>
        </w:tc>
        <w:tc>
          <w:tcPr>
            <w:tcW w:w="0" w:type="dxa"/>
            <w:vAlign w:val="bottom"/>
          </w:tcPr>
          <w:p>
            <w:pPr>
              <w:spacing w:after="0"/>
              <w:rPr>
                <w:sz w:val="1"/>
                <w:szCs w:val="1"/>
                <w:color w:val="auto"/>
              </w:rPr>
            </w:pPr>
          </w:p>
        </w:tc>
      </w:tr>
      <w:tr>
        <w:trPr>
          <w:trHeight w:val="137"/>
        </w:trPr>
        <w:tc>
          <w:tcPr>
            <w:tcW w:w="7180" w:type="dxa"/>
            <w:vAlign w:val="bottom"/>
          </w:tcPr>
          <w:p>
            <w:pPr>
              <w:ind w:left="20"/>
              <w:spacing w:after="0"/>
              <w:rPr>
                <w:sz w:val="20"/>
                <w:szCs w:val="20"/>
                <w:color w:val="auto"/>
              </w:rPr>
            </w:pPr>
            <w:r>
              <w:rPr>
                <w:rFonts w:ascii="Arial" w:cs="Arial" w:eastAsia="Arial" w:hAnsi="Arial"/>
                <w:sz w:val="11"/>
                <w:szCs w:val="11"/>
                <w:color w:val="auto"/>
              </w:rPr>
              <w:t>FFO attributable to common shareholders plus assumed conversions, as adjusted</w:t>
            </w:r>
          </w:p>
        </w:tc>
        <w:tc>
          <w:tcPr>
            <w:tcW w:w="1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126,656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131,073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114,535</w:t>
            </w:r>
          </w:p>
        </w:tc>
        <w:tc>
          <w:tcPr>
            <w:tcW w:w="0" w:type="dxa"/>
            <w:vAlign w:val="bottom"/>
          </w:tcPr>
          <w:p>
            <w:pPr>
              <w:spacing w:after="0"/>
              <w:rPr>
                <w:sz w:val="1"/>
                <w:szCs w:val="1"/>
                <w:color w:val="auto"/>
              </w:rPr>
            </w:pPr>
          </w:p>
        </w:tc>
      </w:tr>
      <w:tr>
        <w:trPr>
          <w:trHeight w:val="284"/>
        </w:trPr>
        <w:tc>
          <w:tcPr>
            <w:tcW w:w="7180" w:type="dxa"/>
            <w:vAlign w:val="bottom"/>
          </w:tcPr>
          <w:p>
            <w:pPr>
              <w:ind w:left="20"/>
              <w:spacing w:after="0"/>
              <w:rPr>
                <w:sz w:val="20"/>
                <w:szCs w:val="20"/>
                <w:color w:val="auto"/>
              </w:rPr>
            </w:pPr>
            <w:r>
              <w:rPr>
                <w:rFonts w:ascii="Arial" w:cs="Arial" w:eastAsia="Arial" w:hAnsi="Arial"/>
                <w:sz w:val="11"/>
                <w:szCs w:val="11"/>
                <w:b w:val="1"/>
                <w:bCs w:val="1"/>
                <w:color w:val="auto"/>
              </w:rPr>
              <w:t>Funds Available for Distributions (“FAD”) (at Vornado's share)</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Certain items that impact FAD</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14,293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Recurring tenant improvements, leasing commissions and other capital expenditures</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(47,145)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(33,109)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(52,376)</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Stock-based compensation expense</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7,804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5,573</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Amortization of debt issuance costs and other non-cash interest expense</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6,525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6,642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10,242</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debt extinguishment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(16,141)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7180" w:type="dxa"/>
            <w:vAlign w:val="bottom"/>
          </w:tcPr>
          <w:p>
            <w:pPr>
              <w:ind w:left="100"/>
              <w:spacing w:after="0"/>
              <w:rPr>
                <w:sz w:val="20"/>
                <w:szCs w:val="20"/>
                <w:color w:val="auto"/>
              </w:rPr>
            </w:pPr>
            <w:r>
              <w:rPr>
                <w:rFonts w:ascii="Arial" w:cs="Arial" w:eastAsia="Arial" w:hAnsi="Arial"/>
                <w:sz w:val="11"/>
                <w:szCs w:val="11"/>
                <w:color w:val="auto"/>
              </w:rPr>
              <w:t>Personal property depreciation</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2,347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2,239</w:t>
            </w:r>
          </w:p>
        </w:tc>
        <w:tc>
          <w:tcPr>
            <w:tcW w:w="0" w:type="dxa"/>
            <w:vAlign w:val="bottom"/>
          </w:tcPr>
          <w:p>
            <w:pPr>
              <w:spacing w:after="0"/>
              <w:rPr>
                <w:sz w:val="1"/>
                <w:szCs w:val="1"/>
                <w:color w:val="auto"/>
              </w:rPr>
            </w:pPr>
          </w:p>
        </w:tc>
      </w:tr>
      <w:tr>
        <w:trPr>
          <w:trHeight w:val="153"/>
        </w:trPr>
        <w:tc>
          <w:tcPr>
            <w:tcW w:w="7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Non-cash adjustments for straight-line rents, amortization of acquired below-market leases, net and other</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(44,395)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(40,881)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(30,746)</w:t>
            </w:r>
          </w:p>
        </w:tc>
        <w:tc>
          <w:tcPr>
            <w:tcW w:w="0" w:type="dxa"/>
            <w:vAlign w:val="bottom"/>
          </w:tcPr>
          <w:p>
            <w:pPr>
              <w:spacing w:after="0"/>
              <w:rPr>
                <w:sz w:val="1"/>
                <w:szCs w:val="1"/>
                <w:color w:val="auto"/>
              </w:rPr>
            </w:pPr>
          </w:p>
        </w:tc>
      </w:tr>
      <w:tr>
        <w:trPr>
          <w:trHeight w:val="149"/>
        </w:trPr>
        <w:tc>
          <w:tcPr>
            <w:tcW w:w="71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Noncontrolling interests in the Operating Partnership's share of above adjustments</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6,097</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5,886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5,634</w:t>
            </w:r>
          </w:p>
        </w:tc>
        <w:tc>
          <w:tcPr>
            <w:tcW w:w="0" w:type="dxa"/>
            <w:vAlign w:val="bottom"/>
          </w:tcPr>
          <w:p>
            <w:pPr>
              <w:spacing w:after="0"/>
              <w:rPr>
                <w:sz w:val="1"/>
                <w:szCs w:val="1"/>
                <w:color w:val="auto"/>
              </w:rPr>
            </w:pPr>
          </w:p>
        </w:tc>
      </w:tr>
      <w:tr>
        <w:trPr>
          <w:trHeight w:val="1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FAD (non-GAAP)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54,209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77,914</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54,618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38" w:lineRule="exact"/>
        <w:rPr>
          <w:sz w:val="20"/>
          <w:szCs w:val="20"/>
          <w:color w:val="auto"/>
        </w:rPr>
      </w:pPr>
    </w:p>
    <w:p>
      <w:pPr>
        <w:ind w:left="260" w:hanging="254"/>
        <w:spacing w:after="0"/>
        <w:tabs>
          <w:tab w:leader="none" w:pos="260" w:val="left"/>
        </w:tabs>
        <w:numPr>
          <w:ilvl w:val="0"/>
          <w:numId w:val="12"/>
        </w:numPr>
        <w:rPr>
          <w:rFonts w:ascii="Arial" w:cs="Arial" w:eastAsia="Arial" w:hAnsi="Arial"/>
          <w:sz w:val="11"/>
          <w:szCs w:val="11"/>
          <w:b w:val="1"/>
          <w:bCs w:val="1"/>
          <w:color w:val="auto"/>
        </w:rPr>
      </w:pPr>
      <w:r>
        <w:rPr>
          <w:rFonts w:ascii="Arial" w:cs="Arial" w:eastAsia="Arial" w:hAnsi="Arial"/>
          <w:sz w:val="11"/>
          <w:szCs w:val="11"/>
          <w:color w:val="auto"/>
        </w:rPr>
        <w:t xml:space="preserve">See pages ii through vii in the </w:t>
      </w:r>
      <w:r>
        <w:rPr>
          <w:rFonts w:ascii="Arial" w:cs="Arial" w:eastAsia="Arial" w:hAnsi="Arial"/>
          <w:sz w:val="11"/>
          <w:szCs w:val="11"/>
          <w:i w:val="1"/>
          <w:iCs w:val="1"/>
          <w:color w:val="auto"/>
        </w:rPr>
        <w:t>Appendix</w:t>
      </w:r>
      <w:r>
        <w:rPr>
          <w:rFonts w:ascii="Arial" w:cs="Arial" w:eastAsia="Arial" w:hAnsi="Arial"/>
          <w:sz w:val="11"/>
          <w:szCs w:val="11"/>
          <w:color w:val="auto"/>
        </w:rPr>
        <w:t xml:space="preserve"> for NOI at share, NOI at share - cash basis, EBITDAre, FFO and FAD reconciliations to the most directly comparable GAAP financial measures.</w:t>
      </w: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65" w:lineRule="exact"/>
        <w:rPr>
          <w:rFonts w:ascii="Arial" w:cs="Arial" w:eastAsia="Arial" w:hAnsi="Arial"/>
          <w:sz w:val="11"/>
          <w:szCs w:val="11"/>
          <w:b w:val="1"/>
          <w:bCs w:val="1"/>
          <w:color w:val="auto"/>
        </w:rPr>
      </w:pPr>
    </w:p>
    <w:p>
      <w:pPr>
        <w:ind w:left="5600" w:hanging="71"/>
        <w:spacing w:after="0"/>
        <w:tabs>
          <w:tab w:leader="none" w:pos="5600" w:val="left"/>
        </w:tabs>
        <w:numPr>
          <w:ilvl w:val="1"/>
          <w:numId w:val="12"/>
        </w:numPr>
        <w:rPr>
          <w:rFonts w:ascii="Arial" w:cs="Arial" w:eastAsia="Arial" w:hAnsi="Arial"/>
          <w:sz w:val="13"/>
          <w:szCs w:val="13"/>
          <w:color w:val="auto"/>
        </w:rPr>
      </w:pPr>
      <w:r>
        <w:rPr>
          <w:rFonts w:ascii="Arial" w:cs="Arial" w:eastAsia="Arial" w:hAnsi="Arial"/>
          <w:sz w:val="13"/>
          <w:szCs w:val="13"/>
          <w:color w:val="auto"/>
        </w:rPr>
        <w:t>8 -</w:t>
      </w:r>
    </w:p>
    <w:p>
      <w:pPr>
        <w:sectPr>
          <w:pgSz w:w="11900" w:h="16838" w:orient="portrait"/>
          <w:cols w:equalWidth="0" w:num="1">
            <w:col w:w="11280"/>
          </w:cols>
          <w:pgMar w:left="300" w:top="981" w:right="31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CONSOLIDATED BALANCE SHEETS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w:t>
            </w: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w:t>
            </w: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43"/>
              <w:spacing w:after="0"/>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153"/>
        </w:trPr>
        <w:tc>
          <w:tcPr>
            <w:tcW w:w="7360" w:type="dxa"/>
            <w:vAlign w:val="bottom"/>
            <w:vMerge w:val="restart"/>
          </w:tcPr>
          <w:p>
            <w:pPr>
              <w:ind w:left="3460"/>
              <w:spacing w:after="0"/>
              <w:rPr>
                <w:sz w:val="20"/>
                <w:szCs w:val="20"/>
                <w:color w:val="auto"/>
              </w:rPr>
            </w:pPr>
            <w:r>
              <w:rPr>
                <w:rFonts w:ascii="Arial" w:cs="Arial" w:eastAsia="Arial" w:hAnsi="Arial"/>
                <w:sz w:val="11"/>
                <w:szCs w:val="11"/>
                <w:b w:val="1"/>
                <w:bCs w:val="1"/>
                <w:color w:val="auto"/>
              </w:rPr>
              <w:t>ASSETS</w:t>
            </w:r>
          </w:p>
        </w:tc>
        <w:tc>
          <w:tcPr>
            <w:tcW w:w="8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September 30, 2026</w:t>
            </w:r>
          </w:p>
        </w:tc>
        <w:tc>
          <w:tcPr>
            <w:tcW w:w="12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December 31, 2025</w:t>
            </w:r>
          </w:p>
        </w:tc>
        <w:tc>
          <w:tcPr>
            <w:tcW w:w="220" w:type="dxa"/>
            <w:vAlign w:val="bottom"/>
          </w:tcPr>
          <w:p>
            <w:pPr>
              <w:spacing w:after="0"/>
              <w:rPr>
                <w:sz w:val="13"/>
                <w:szCs w:val="13"/>
                <w:color w:val="auto"/>
              </w:rPr>
            </w:pPr>
          </w:p>
        </w:tc>
        <w:tc>
          <w:tcPr>
            <w:tcW w:w="1040" w:type="dxa"/>
            <w:vAlign w:val="bottom"/>
          </w:tcPr>
          <w:p>
            <w:pPr>
              <w:jc w:val="right"/>
              <w:ind w:right="283"/>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40"/>
        </w:trPr>
        <w:tc>
          <w:tcPr>
            <w:tcW w:w="736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360" w:type="dxa"/>
            <w:vAlign w:val="bottom"/>
          </w:tcPr>
          <w:p>
            <w:pPr>
              <w:ind w:left="20"/>
              <w:spacing w:after="0"/>
              <w:rPr>
                <w:sz w:val="20"/>
                <w:szCs w:val="20"/>
                <w:color w:val="auto"/>
              </w:rPr>
            </w:pPr>
            <w:r>
              <w:rPr>
                <w:rFonts w:ascii="Arial" w:cs="Arial" w:eastAsia="Arial" w:hAnsi="Arial"/>
                <w:sz w:val="11"/>
                <w:szCs w:val="11"/>
                <w:color w:val="auto"/>
              </w:rPr>
              <w:t>Real estate, at cost:</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2,357,135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2,408,914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(51,779)</w:t>
            </w:r>
          </w:p>
        </w:tc>
        <w:tc>
          <w:tcPr>
            <w:tcW w:w="0" w:type="dxa"/>
            <w:vAlign w:val="bottom"/>
          </w:tcPr>
          <w:p>
            <w:pPr>
              <w:spacing w:after="0"/>
              <w:rPr>
                <w:sz w:val="1"/>
                <w:szCs w:val="1"/>
                <w:color w:val="auto"/>
              </w:rPr>
            </w:pPr>
          </w:p>
        </w:tc>
      </w:tr>
      <w:tr>
        <w:trPr>
          <w:trHeight w:val="158"/>
        </w:trPr>
        <w:tc>
          <w:tcPr>
            <w:tcW w:w="7360" w:type="dxa"/>
            <w:vAlign w:val="bottom"/>
          </w:tcPr>
          <w:p>
            <w:pPr>
              <w:ind w:left="280"/>
              <w:spacing w:after="0"/>
              <w:rPr>
                <w:sz w:val="20"/>
                <w:szCs w:val="20"/>
                <w:color w:val="auto"/>
              </w:rPr>
            </w:pPr>
            <w:r>
              <w:rPr>
                <w:rFonts w:ascii="Arial" w:cs="Arial" w:eastAsia="Arial" w:hAnsi="Arial"/>
                <w:sz w:val="11"/>
                <w:szCs w:val="11"/>
                <w:color w:val="auto"/>
              </w:rPr>
              <w:t>Buildings and improvements</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11,138,348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10,942,418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195,930</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Development costs and construction in progress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1,037,845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890,143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147,702</w:t>
            </w:r>
          </w:p>
        </w:tc>
        <w:tc>
          <w:tcPr>
            <w:tcW w:w="0" w:type="dxa"/>
            <w:vAlign w:val="bottom"/>
          </w:tcPr>
          <w:p>
            <w:pPr>
              <w:spacing w:after="0"/>
              <w:rPr>
                <w:sz w:val="1"/>
                <w:szCs w:val="1"/>
                <w:color w:val="auto"/>
              </w:rPr>
            </w:pPr>
          </w:p>
        </w:tc>
      </w:tr>
      <w:tr>
        <w:trPr>
          <w:trHeight w:val="158"/>
        </w:trPr>
        <w:tc>
          <w:tcPr>
            <w:tcW w:w="73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Leasehold improvements and equipment</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110,729</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105,080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5,649</w:t>
            </w:r>
          </w:p>
        </w:tc>
        <w:tc>
          <w:tcPr>
            <w:tcW w:w="0" w:type="dxa"/>
            <w:vAlign w:val="bottom"/>
          </w:tcPr>
          <w:p>
            <w:pPr>
              <w:spacing w:after="0"/>
              <w:rPr>
                <w:sz w:val="1"/>
                <w:szCs w:val="1"/>
                <w:color w:val="auto"/>
              </w:rPr>
            </w:pPr>
          </w:p>
        </w:tc>
      </w:tr>
      <w:tr>
        <w:trPr>
          <w:trHeight w:val="156"/>
        </w:trPr>
        <w:tc>
          <w:tcPr>
            <w:tcW w:w="7360" w:type="dxa"/>
            <w:vAlign w:val="bottom"/>
            <w:shd w:val="clear" w:color="auto" w:fill="CCEEFF"/>
          </w:tcPr>
          <w:p>
            <w:pPr>
              <w:ind w:left="540"/>
              <w:spacing w:after="0"/>
              <w:rPr>
                <w:sz w:val="20"/>
                <w:szCs w:val="20"/>
                <w:color w:val="auto"/>
              </w:rPr>
            </w:pPr>
            <w:r>
              <w:rPr>
                <w:rFonts w:ascii="Arial" w:cs="Arial" w:eastAsia="Arial" w:hAnsi="Arial"/>
                <w:sz w:val="11"/>
                <w:szCs w:val="11"/>
                <w:color w:val="auto"/>
              </w:rPr>
              <w:t>Total</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14,644,057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14,346,555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297,502</w:t>
            </w:r>
          </w:p>
        </w:tc>
        <w:tc>
          <w:tcPr>
            <w:tcW w:w="0" w:type="dxa"/>
            <w:vAlign w:val="bottom"/>
          </w:tcPr>
          <w:p>
            <w:pPr>
              <w:spacing w:after="0"/>
              <w:rPr>
                <w:sz w:val="1"/>
                <w:szCs w:val="1"/>
                <w:color w:val="auto"/>
              </w:rPr>
            </w:pPr>
          </w:p>
        </w:tc>
      </w:tr>
      <w:tr>
        <w:trPr>
          <w:trHeight w:val="158"/>
        </w:trPr>
        <w:tc>
          <w:tcPr>
            <w:tcW w:w="73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Less accumulated depreciation and amortization</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(4,534,751)</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(4,191,075)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(343,676)</w:t>
            </w:r>
          </w:p>
        </w:tc>
        <w:tc>
          <w:tcPr>
            <w:tcW w:w="0" w:type="dxa"/>
            <w:vAlign w:val="bottom"/>
          </w:tcPr>
          <w:p>
            <w:pPr>
              <w:spacing w:after="0"/>
              <w:rPr>
                <w:sz w:val="1"/>
                <w:szCs w:val="1"/>
                <w:color w:val="auto"/>
              </w:rPr>
            </w:pPr>
          </w:p>
        </w:tc>
      </w:tr>
      <w:tr>
        <w:trPr>
          <w:trHeight w:val="156"/>
        </w:trPr>
        <w:tc>
          <w:tcPr>
            <w:tcW w:w="7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Real estate, net</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10,109,306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10,155,480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(46,174)</w:t>
            </w:r>
          </w:p>
        </w:tc>
        <w:tc>
          <w:tcPr>
            <w:tcW w:w="0" w:type="dxa"/>
            <w:vAlign w:val="bottom"/>
          </w:tcPr>
          <w:p>
            <w:pPr>
              <w:spacing w:after="0"/>
              <w:rPr>
                <w:sz w:val="1"/>
                <w:szCs w:val="1"/>
                <w:color w:val="auto"/>
              </w:rPr>
            </w:pPr>
          </w:p>
        </w:tc>
      </w:tr>
      <w:tr>
        <w:trPr>
          <w:trHeight w:val="158"/>
        </w:trPr>
        <w:tc>
          <w:tcPr>
            <w:tcW w:w="7360" w:type="dxa"/>
            <w:vAlign w:val="bottom"/>
          </w:tcPr>
          <w:p>
            <w:pPr>
              <w:ind w:left="20"/>
              <w:spacing w:after="0"/>
              <w:rPr>
                <w:sz w:val="20"/>
                <w:szCs w:val="20"/>
                <w:color w:val="auto"/>
              </w:rPr>
            </w:pPr>
            <w:r>
              <w:rPr>
                <w:rFonts w:ascii="Arial" w:cs="Arial" w:eastAsia="Arial" w:hAnsi="Arial"/>
                <w:sz w:val="11"/>
                <w:szCs w:val="11"/>
                <w:color w:val="auto"/>
              </w:rPr>
              <w:t>Right-of-use assets</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667,270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671,308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(4,038)</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investment in lease</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166,672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648</w:t>
            </w:r>
          </w:p>
        </w:tc>
        <w:tc>
          <w:tcPr>
            <w:tcW w:w="0" w:type="dxa"/>
            <w:vAlign w:val="bottom"/>
          </w:tcPr>
          <w:p>
            <w:pPr>
              <w:spacing w:after="0"/>
              <w:rPr>
                <w:sz w:val="1"/>
                <w:szCs w:val="1"/>
                <w:color w:val="auto"/>
              </w:rPr>
            </w:pPr>
          </w:p>
        </w:tc>
      </w:tr>
      <w:tr>
        <w:trPr>
          <w:trHeight w:val="158"/>
        </w:trPr>
        <w:tc>
          <w:tcPr>
            <w:tcW w:w="7360" w:type="dxa"/>
            <w:vAlign w:val="bottom"/>
          </w:tcPr>
          <w:p>
            <w:pPr>
              <w:ind w:left="20"/>
              <w:spacing w:after="0"/>
              <w:rPr>
                <w:sz w:val="20"/>
                <w:szCs w:val="20"/>
                <w:color w:val="auto"/>
              </w:rPr>
            </w:pPr>
            <w:r>
              <w:rPr>
                <w:rFonts w:ascii="Arial" w:cs="Arial" w:eastAsia="Arial" w:hAnsi="Arial"/>
                <w:sz w:val="11"/>
                <w:szCs w:val="11"/>
                <w:color w:val="auto"/>
              </w:rPr>
              <w:t>Cash, cash equivalents, and restricted cash</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580,496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840,850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(260,354)</w:t>
            </w:r>
          </w:p>
        </w:tc>
        <w:tc>
          <w:tcPr>
            <w:tcW w:w="0" w:type="dxa"/>
            <w:vAlign w:val="bottom"/>
          </w:tcPr>
          <w:p>
            <w:pPr>
              <w:spacing w:after="0"/>
              <w:rPr>
                <w:sz w:val="1"/>
                <w:szCs w:val="1"/>
                <w:color w:val="auto"/>
              </w:rPr>
            </w:pPr>
          </w:p>
        </w:tc>
      </w:tr>
      <w:tr>
        <w:trPr>
          <w:trHeight w:val="158"/>
        </w:trPr>
        <w:tc>
          <w:tcPr>
            <w:tcW w:w="73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Restricted cash</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143,339</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136,696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6,643</w:t>
            </w:r>
          </w:p>
        </w:tc>
        <w:tc>
          <w:tcPr>
            <w:tcW w:w="0" w:type="dxa"/>
            <w:vAlign w:val="bottom"/>
          </w:tcPr>
          <w:p>
            <w:pPr>
              <w:spacing w:after="0"/>
              <w:rPr>
                <w:sz w:val="1"/>
                <w:szCs w:val="1"/>
                <w:color w:val="auto"/>
              </w:rPr>
            </w:pPr>
          </w:p>
        </w:tc>
      </w:tr>
      <w:tr>
        <w:trPr>
          <w:trHeight w:val="156"/>
        </w:trPr>
        <w:tc>
          <w:tcPr>
            <w:tcW w:w="7360" w:type="dxa"/>
            <w:vAlign w:val="bottom"/>
            <w:shd w:val="clear" w:color="auto" w:fill="CCEEFF"/>
          </w:tcPr>
          <w:p>
            <w:pPr>
              <w:ind w:left="540"/>
              <w:spacing w:after="0"/>
              <w:rPr>
                <w:sz w:val="20"/>
                <w:szCs w:val="20"/>
                <w:color w:val="auto"/>
              </w:rPr>
            </w:pPr>
            <w:r>
              <w:rPr>
                <w:rFonts w:ascii="Arial" w:cs="Arial" w:eastAsia="Arial" w:hAnsi="Arial"/>
                <w:sz w:val="11"/>
                <w:szCs w:val="11"/>
                <w:color w:val="auto"/>
              </w:rPr>
              <w:t>Total</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723,835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977,546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(253,711)</w:t>
            </w:r>
          </w:p>
        </w:tc>
        <w:tc>
          <w:tcPr>
            <w:tcW w:w="0" w:type="dxa"/>
            <w:vAlign w:val="bottom"/>
          </w:tcPr>
          <w:p>
            <w:pPr>
              <w:spacing w:after="0"/>
              <w:rPr>
                <w:sz w:val="1"/>
                <w:szCs w:val="1"/>
                <w:color w:val="auto"/>
              </w:rPr>
            </w:pPr>
          </w:p>
        </w:tc>
      </w:tr>
      <w:tr>
        <w:trPr>
          <w:trHeight w:val="158"/>
        </w:trPr>
        <w:tc>
          <w:tcPr>
            <w:tcW w:w="7360" w:type="dxa"/>
            <w:vAlign w:val="bottom"/>
          </w:tcPr>
          <w:p>
            <w:pPr>
              <w:ind w:left="20"/>
              <w:spacing w:after="0"/>
              <w:rPr>
                <w:sz w:val="20"/>
                <w:szCs w:val="20"/>
                <w:color w:val="auto"/>
              </w:rPr>
            </w:pPr>
            <w:r>
              <w:rPr>
                <w:rFonts w:ascii="Arial" w:cs="Arial" w:eastAsia="Arial" w:hAnsi="Arial"/>
                <w:sz w:val="11"/>
                <w:szCs w:val="11"/>
                <w:color w:val="auto"/>
              </w:rPr>
              <w:t>Tenant and other receivables</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110,269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77,137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33,132</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Investments in partially owned entities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2,244,170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1,941,278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302,892</w:t>
            </w:r>
          </w:p>
        </w:tc>
        <w:tc>
          <w:tcPr>
            <w:tcW w:w="0" w:type="dxa"/>
            <w:vAlign w:val="bottom"/>
          </w:tcPr>
          <w:p>
            <w:pPr>
              <w:spacing w:after="0"/>
              <w:rPr>
                <w:sz w:val="1"/>
                <w:szCs w:val="1"/>
                <w:color w:val="auto"/>
              </w:rPr>
            </w:pPr>
          </w:p>
        </w:tc>
      </w:tr>
      <w:tr>
        <w:trPr>
          <w:trHeight w:val="158"/>
        </w:trPr>
        <w:tc>
          <w:tcPr>
            <w:tcW w:w="7360" w:type="dxa"/>
            <w:vAlign w:val="bottom"/>
          </w:tcPr>
          <w:p>
            <w:pPr>
              <w:ind w:left="20"/>
              <w:spacing w:after="0"/>
              <w:rPr>
                <w:sz w:val="20"/>
                <w:szCs w:val="20"/>
                <w:color w:val="auto"/>
              </w:rPr>
            </w:pPr>
            <w:r>
              <w:rPr>
                <w:rFonts w:ascii="Arial" w:cs="Arial" w:eastAsia="Arial" w:hAnsi="Arial"/>
                <w:sz w:val="11"/>
                <w:szCs w:val="11"/>
                <w:color w:val="auto"/>
              </w:rPr>
              <w:t>Receivable arising from the straight-lining of rents</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828,287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752,545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75,742</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leasing costs, net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394,515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374,620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19,895</w:t>
            </w:r>
          </w:p>
        </w:tc>
        <w:tc>
          <w:tcPr>
            <w:tcW w:w="0" w:type="dxa"/>
            <w:vAlign w:val="bottom"/>
          </w:tcPr>
          <w:p>
            <w:pPr>
              <w:spacing w:after="0"/>
              <w:rPr>
                <w:sz w:val="1"/>
                <w:szCs w:val="1"/>
                <w:color w:val="auto"/>
              </w:rPr>
            </w:pPr>
          </w:p>
        </w:tc>
      </w:tr>
      <w:tr>
        <w:trPr>
          <w:trHeight w:val="158"/>
        </w:trPr>
        <w:tc>
          <w:tcPr>
            <w:tcW w:w="7360" w:type="dxa"/>
            <w:vAlign w:val="bottom"/>
          </w:tcPr>
          <w:p>
            <w:pPr>
              <w:ind w:left="20"/>
              <w:spacing w:after="0"/>
              <w:rPr>
                <w:sz w:val="20"/>
                <w:szCs w:val="20"/>
                <w:color w:val="auto"/>
              </w:rPr>
            </w:pPr>
            <w:r>
              <w:rPr>
                <w:rFonts w:ascii="Arial" w:cs="Arial" w:eastAsia="Arial" w:hAnsi="Arial"/>
                <w:sz w:val="11"/>
                <w:szCs w:val="11"/>
                <w:color w:val="auto"/>
              </w:rPr>
              <w:t>Identified intangible assets, net</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104,930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110,593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(5,663)</w:t>
            </w:r>
          </w:p>
        </w:tc>
        <w:tc>
          <w:tcPr>
            <w:tcW w:w="0" w:type="dxa"/>
            <w:vAlign w:val="bottom"/>
          </w:tcPr>
          <w:p>
            <w:pPr>
              <w:spacing w:after="0"/>
              <w:rPr>
                <w:sz w:val="1"/>
                <w:szCs w:val="1"/>
                <w:color w:val="auto"/>
              </w:rPr>
            </w:pPr>
          </w:p>
        </w:tc>
      </w:tr>
      <w:tr>
        <w:trPr>
          <w:trHeight w:val="161"/>
        </w:trPr>
        <w:tc>
          <w:tcPr>
            <w:tcW w:w="7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288,911</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294,587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(5,676)</w:t>
            </w:r>
          </w:p>
        </w:tc>
        <w:tc>
          <w:tcPr>
            <w:tcW w:w="0" w:type="dxa"/>
            <w:vAlign w:val="bottom"/>
          </w:tcPr>
          <w:p>
            <w:pPr>
              <w:spacing w:after="0"/>
              <w:rPr>
                <w:sz w:val="1"/>
                <w:szCs w:val="1"/>
                <w:color w:val="auto"/>
              </w:rPr>
            </w:pPr>
          </w:p>
        </w:tc>
      </w:tr>
      <w:tr>
        <w:trPr>
          <w:trHeight w:val="156"/>
        </w:trPr>
        <w:tc>
          <w:tcPr>
            <w:tcW w:w="7360" w:type="dxa"/>
            <w:vAlign w:val="bottom"/>
          </w:tcPr>
          <w:p>
            <w:pPr>
              <w:ind w:left="280"/>
              <w:spacing w:after="0"/>
              <w:rPr>
                <w:sz w:val="20"/>
                <w:szCs w:val="20"/>
                <w:color w:val="auto"/>
              </w:rPr>
            </w:pPr>
            <w:r>
              <w:rPr>
                <w:rFonts w:ascii="Arial" w:cs="Arial" w:eastAsia="Arial" w:hAnsi="Arial"/>
                <w:sz w:val="11"/>
                <w:szCs w:val="11"/>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15,638,165</w:t>
            </w: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15,521,118</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117,047</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640"/>
              <w:spacing w:after="0"/>
              <w:rPr>
                <w:sz w:val="20"/>
                <w:szCs w:val="20"/>
                <w:color w:val="auto"/>
              </w:rPr>
            </w:pPr>
            <w:r>
              <w:rPr>
                <w:rFonts w:ascii="Arial" w:cs="Arial" w:eastAsia="Arial" w:hAnsi="Arial"/>
                <w:sz w:val="11"/>
                <w:szCs w:val="11"/>
                <w:b w:val="1"/>
                <w:bCs w:val="1"/>
                <w:color w:val="auto"/>
              </w:rPr>
              <w:t>LIABILITIES, REDEEMABLE NONCONTROLLING INTERESTS AND EQUITY</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3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360" w:type="dxa"/>
            <w:vAlign w:val="bottom"/>
          </w:tcPr>
          <w:p>
            <w:pPr>
              <w:ind w:left="20"/>
              <w:spacing w:after="0"/>
              <w:rPr>
                <w:sz w:val="20"/>
                <w:szCs w:val="20"/>
                <w:color w:val="auto"/>
              </w:rPr>
            </w:pPr>
            <w:r>
              <w:rPr>
                <w:rFonts w:ascii="Arial" w:cs="Arial" w:eastAsia="Arial" w:hAnsi="Arial"/>
                <w:sz w:val="11"/>
                <w:szCs w:val="11"/>
                <w:color w:val="auto"/>
              </w:rPr>
              <w:t>Liabilities:</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Mortgages payable, net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4,847,467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4,920,669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(73,202)</w:t>
            </w:r>
          </w:p>
        </w:tc>
        <w:tc>
          <w:tcPr>
            <w:tcW w:w="0" w:type="dxa"/>
            <w:vAlign w:val="bottom"/>
          </w:tcPr>
          <w:p>
            <w:pPr>
              <w:spacing w:after="0"/>
              <w:rPr>
                <w:sz w:val="1"/>
                <w:szCs w:val="1"/>
                <w:color w:val="auto"/>
              </w:rPr>
            </w:pPr>
          </w:p>
        </w:tc>
      </w:tr>
      <w:tr>
        <w:trPr>
          <w:trHeight w:val="158"/>
        </w:trPr>
        <w:tc>
          <w:tcPr>
            <w:tcW w:w="7360" w:type="dxa"/>
            <w:vAlign w:val="bottom"/>
          </w:tcPr>
          <w:p>
            <w:pPr>
              <w:ind w:left="280"/>
              <w:spacing w:after="0"/>
              <w:rPr>
                <w:sz w:val="20"/>
                <w:szCs w:val="20"/>
                <w:color w:val="auto"/>
              </w:rPr>
            </w:pPr>
            <w:r>
              <w:rPr>
                <w:rFonts w:ascii="Arial" w:cs="Arial" w:eastAsia="Arial" w:hAnsi="Arial"/>
                <w:sz w:val="11"/>
                <w:szCs w:val="11"/>
                <w:color w:val="auto"/>
              </w:rPr>
              <w:t>Senior unsecured notes, net</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842,276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747,202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95,074</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Unsecured term loan, net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840,569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797,337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43,232</w:t>
            </w:r>
          </w:p>
        </w:tc>
        <w:tc>
          <w:tcPr>
            <w:tcW w:w="0" w:type="dxa"/>
            <w:vAlign w:val="bottom"/>
          </w:tcPr>
          <w:p>
            <w:pPr>
              <w:spacing w:after="0"/>
              <w:rPr>
                <w:sz w:val="1"/>
                <w:szCs w:val="1"/>
                <w:color w:val="auto"/>
              </w:rPr>
            </w:pPr>
          </w:p>
        </w:tc>
      </w:tr>
      <w:tr>
        <w:trPr>
          <w:trHeight w:val="158"/>
        </w:trPr>
        <w:tc>
          <w:tcPr>
            <w:tcW w:w="7360" w:type="dxa"/>
            <w:vAlign w:val="bottom"/>
          </w:tcPr>
          <w:p>
            <w:pPr>
              <w:ind w:left="280"/>
              <w:spacing w:after="0"/>
              <w:rPr>
                <w:sz w:val="20"/>
                <w:szCs w:val="20"/>
                <w:color w:val="auto"/>
              </w:rPr>
            </w:pPr>
            <w:r>
              <w:rPr>
                <w:rFonts w:ascii="Arial" w:cs="Arial" w:eastAsia="Arial" w:hAnsi="Arial"/>
                <w:sz w:val="11"/>
                <w:szCs w:val="11"/>
                <w:color w:val="auto"/>
              </w:rPr>
              <w:t>Unsecured revolving credit facilities</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918,000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720,420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197,580</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Lease liabilities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694,361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699,640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(5,279)</w:t>
            </w:r>
          </w:p>
        </w:tc>
        <w:tc>
          <w:tcPr>
            <w:tcW w:w="0" w:type="dxa"/>
            <w:vAlign w:val="bottom"/>
          </w:tcPr>
          <w:p>
            <w:pPr>
              <w:spacing w:after="0"/>
              <w:rPr>
                <w:sz w:val="1"/>
                <w:szCs w:val="1"/>
                <w:color w:val="auto"/>
              </w:rPr>
            </w:pPr>
          </w:p>
        </w:tc>
      </w:tr>
      <w:tr>
        <w:trPr>
          <w:trHeight w:val="158"/>
        </w:trPr>
        <w:tc>
          <w:tcPr>
            <w:tcW w:w="7360" w:type="dxa"/>
            <w:vAlign w:val="bottom"/>
          </w:tcPr>
          <w:p>
            <w:pPr>
              <w:ind w:left="280"/>
              <w:spacing w:after="0"/>
              <w:rPr>
                <w:sz w:val="20"/>
                <w:szCs w:val="20"/>
                <w:color w:val="auto"/>
              </w:rPr>
            </w:pPr>
            <w:r>
              <w:rPr>
                <w:rFonts w:ascii="Arial" w:cs="Arial" w:eastAsia="Arial" w:hAnsi="Arial"/>
                <w:sz w:val="11"/>
                <w:szCs w:val="11"/>
                <w:color w:val="auto"/>
              </w:rPr>
              <w:t>Accounts payable and accrued expenses</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411,957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376,190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35,767</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Deferred compensation plan</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102,544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113,778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(11,234)</w:t>
            </w:r>
          </w:p>
        </w:tc>
        <w:tc>
          <w:tcPr>
            <w:tcW w:w="0" w:type="dxa"/>
            <w:vAlign w:val="bottom"/>
          </w:tcPr>
          <w:p>
            <w:pPr>
              <w:spacing w:after="0"/>
              <w:rPr>
                <w:sz w:val="1"/>
                <w:szCs w:val="1"/>
                <w:color w:val="auto"/>
              </w:rPr>
            </w:pPr>
          </w:p>
        </w:tc>
      </w:tr>
      <w:tr>
        <w:trPr>
          <w:trHeight w:val="158"/>
        </w:trPr>
        <w:tc>
          <w:tcPr>
            <w:tcW w:w="73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liabilities</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327,943</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341,359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(13,416)</w:t>
            </w:r>
          </w:p>
        </w:tc>
        <w:tc>
          <w:tcPr>
            <w:tcW w:w="0" w:type="dxa"/>
            <w:vAlign w:val="bottom"/>
          </w:tcPr>
          <w:p>
            <w:pPr>
              <w:spacing w:after="0"/>
              <w:rPr>
                <w:sz w:val="1"/>
                <w:szCs w:val="1"/>
                <w:color w:val="auto"/>
              </w:rPr>
            </w:pPr>
          </w:p>
        </w:tc>
      </w:tr>
      <w:tr>
        <w:trPr>
          <w:trHeight w:val="156"/>
        </w:trPr>
        <w:tc>
          <w:tcPr>
            <w:tcW w:w="7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liabilities</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8,985,117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8,716,595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268,522</w:t>
            </w:r>
          </w:p>
        </w:tc>
        <w:tc>
          <w:tcPr>
            <w:tcW w:w="0" w:type="dxa"/>
            <w:vAlign w:val="bottom"/>
          </w:tcPr>
          <w:p>
            <w:pPr>
              <w:spacing w:after="0"/>
              <w:rPr>
                <w:sz w:val="1"/>
                <w:szCs w:val="1"/>
                <w:color w:val="auto"/>
              </w:rPr>
            </w:pPr>
          </w:p>
        </w:tc>
      </w:tr>
      <w:tr>
        <w:trPr>
          <w:trHeight w:val="158"/>
        </w:trPr>
        <w:tc>
          <w:tcPr>
            <w:tcW w:w="7360" w:type="dxa"/>
            <w:vAlign w:val="bottom"/>
          </w:tcPr>
          <w:p>
            <w:pPr>
              <w:ind w:left="20"/>
              <w:spacing w:after="0"/>
              <w:rPr>
                <w:sz w:val="20"/>
                <w:szCs w:val="20"/>
                <w:color w:val="auto"/>
              </w:rPr>
            </w:pPr>
            <w:r>
              <w:rPr>
                <w:rFonts w:ascii="Arial" w:cs="Arial" w:eastAsia="Arial" w:hAnsi="Arial"/>
                <w:sz w:val="11"/>
                <w:szCs w:val="11"/>
                <w:color w:val="auto"/>
              </w:rPr>
              <w:t>Redeemable noncontrolling interests</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633,175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647,951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(14,776)</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Shareholders' equity</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5,845,987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5,986,727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(140,740)</w:t>
            </w:r>
          </w:p>
        </w:tc>
        <w:tc>
          <w:tcPr>
            <w:tcW w:w="0" w:type="dxa"/>
            <w:vAlign w:val="bottom"/>
          </w:tcPr>
          <w:p>
            <w:pPr>
              <w:spacing w:after="0"/>
              <w:rPr>
                <w:sz w:val="1"/>
                <w:szCs w:val="1"/>
                <w:color w:val="auto"/>
              </w:rPr>
            </w:pPr>
          </w:p>
        </w:tc>
      </w:tr>
      <w:tr>
        <w:trPr>
          <w:trHeight w:val="15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Noncontrolling interests in consolidated subsidiaries</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173,886</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169,845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4,041</w:t>
            </w:r>
          </w:p>
        </w:tc>
        <w:tc>
          <w:tcPr>
            <w:tcW w:w="0" w:type="dxa"/>
            <w:vAlign w:val="bottom"/>
          </w:tcPr>
          <w:p>
            <w:pPr>
              <w:spacing w:after="0"/>
              <w:rPr>
                <w:sz w:val="1"/>
                <w:szCs w:val="1"/>
                <w:color w:val="auto"/>
              </w:rPr>
            </w:pPr>
          </w:p>
        </w:tc>
      </w:tr>
      <w:tr>
        <w:trPr>
          <w:trHeight w:val="181"/>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Total liabilities, redeemable noncontrolling interests and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15,638,165</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15,521,118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117,047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- 9 -</w:t>
      </w:r>
    </w:p>
    <w:p>
      <w:pPr>
        <w:sectPr>
          <w:pgSz w:w="11900" w:h="16838" w:orient="portrait"/>
          <w:cols w:equalWidth="0" w:num="1">
            <w:col w:w="11280"/>
          </w:cols>
          <w:pgMar w:left="300" w:top="981" w:right="31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CONSOLIDATED NET (LOSS) INCOME ATTRIBUTABLE TO COMMON SHAREHOLDERS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8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For the Three Months Ended</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September 30,</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b w:val="1"/>
                <w:bCs w:val="1"/>
                <w:color w:val="auto"/>
              </w:rPr>
              <w:t>2026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443"/>
              <w:spacing w:after="0"/>
              <w:rPr>
                <w:sz w:val="20"/>
                <w:szCs w:val="20"/>
                <w:color w:val="auto"/>
              </w:rPr>
            </w:pPr>
            <w:r>
              <w:rPr>
                <w:rFonts w:ascii="Arial" w:cs="Arial" w:eastAsia="Arial" w:hAnsi="Arial"/>
                <w:sz w:val="11"/>
                <w:szCs w:val="11"/>
                <w:b w:val="1"/>
                <w:bCs w:val="1"/>
                <w:color w:val="auto"/>
              </w:rPr>
              <w:t>2025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Variance</w:t>
            </w:r>
          </w:p>
        </w:tc>
        <w:tc>
          <w:tcPr>
            <w:tcW w:w="180" w:type="dxa"/>
            <w:vAlign w:val="bottom"/>
          </w:tcPr>
          <w:p>
            <w:pPr>
              <w:spacing w:after="0"/>
              <w:rPr>
                <w:sz w:val="13"/>
                <w:szCs w:val="13"/>
                <w:color w:val="auto"/>
              </w:rPr>
            </w:pPr>
          </w:p>
        </w:tc>
        <w:tc>
          <w:tcPr>
            <w:tcW w:w="1080" w:type="dxa"/>
            <w:vAlign w:val="bottom"/>
          </w:tcPr>
          <w:p>
            <w:pPr>
              <w:jc w:val="right"/>
              <w:ind w:right="203"/>
              <w:spacing w:after="0"/>
              <w:rPr>
                <w:sz w:val="20"/>
                <w:szCs w:val="20"/>
                <w:color w:val="auto"/>
              </w:rPr>
            </w:pPr>
            <w:r>
              <w:rPr>
                <w:rFonts w:ascii="Arial" w:cs="Arial" w:eastAsia="Arial" w:hAnsi="Arial"/>
                <w:sz w:val="11"/>
                <w:szCs w:val="11"/>
                <w:b w:val="1"/>
                <w:bCs w:val="1"/>
                <w:color w:val="auto"/>
              </w:rPr>
              <w:t>June 30, 2026</w:t>
            </w:r>
          </w:p>
        </w:tc>
        <w:tc>
          <w:tcPr>
            <w:tcW w:w="0" w:type="dxa"/>
            <w:vAlign w:val="bottom"/>
          </w:tcPr>
          <w:p>
            <w:pPr>
              <w:spacing w:after="0"/>
              <w:rPr>
                <w:sz w:val="1"/>
                <w:szCs w:val="1"/>
                <w:color w:val="auto"/>
              </w:rPr>
            </w:pPr>
          </w:p>
        </w:tc>
      </w:tr>
      <w:tr>
        <w:trPr>
          <w:trHeight w:val="153"/>
        </w:trPr>
        <w:tc>
          <w:tcPr>
            <w:tcW w:w="582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1"/>
                <w:szCs w:val="11"/>
                <w:color w:val="auto"/>
              </w:rPr>
              <w:t>Property rentals</w:t>
            </w:r>
            <w:r>
              <w:rPr>
                <w:rFonts w:ascii="Arial" w:cs="Arial" w:eastAsia="Arial" w:hAnsi="Arial"/>
                <w:sz w:val="14"/>
                <w:szCs w:val="14"/>
                <w:b w:val="1"/>
                <w:bCs w:val="1"/>
                <w:color w:val="auto"/>
                <w:vertAlign w:val="superscript"/>
              </w:rPr>
              <w:t>(1)</w:t>
            </w: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340,719</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322,352</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18,367</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332,359</w:t>
            </w:r>
          </w:p>
        </w:tc>
        <w:tc>
          <w:tcPr>
            <w:tcW w:w="0" w:type="dxa"/>
            <w:vAlign w:val="bottom"/>
          </w:tcPr>
          <w:p>
            <w:pPr>
              <w:spacing w:after="0"/>
              <w:rPr>
                <w:sz w:val="1"/>
                <w:szCs w:val="1"/>
                <w:color w:val="auto"/>
              </w:rPr>
            </w:pPr>
          </w:p>
        </w:tc>
      </w:tr>
      <w:tr>
        <w:trPr>
          <w:trHeight w:val="161"/>
        </w:trPr>
        <w:tc>
          <w:tcPr>
            <w:tcW w:w="5820" w:type="dxa"/>
            <w:vAlign w:val="bottom"/>
          </w:tcPr>
          <w:p>
            <w:pPr>
              <w:ind w:left="20"/>
              <w:spacing w:after="0"/>
              <w:rPr>
                <w:sz w:val="20"/>
                <w:szCs w:val="20"/>
                <w:color w:val="auto"/>
              </w:rPr>
            </w:pPr>
            <w:r>
              <w:rPr>
                <w:rFonts w:ascii="Arial" w:cs="Arial" w:eastAsia="Arial" w:hAnsi="Arial"/>
                <w:sz w:val="11"/>
                <w:szCs w:val="11"/>
                <w:color w:val="auto"/>
              </w:rPr>
              <w:t>Tenant expense reimbursements</w:t>
            </w:r>
            <w:r>
              <w:rPr>
                <w:rFonts w:ascii="Arial" w:cs="Arial" w:eastAsia="Arial" w:hAnsi="Arial"/>
                <w:sz w:val="14"/>
                <w:szCs w:val="14"/>
                <w:b w:val="1"/>
                <w:bCs w:val="1"/>
                <w:color w:val="auto"/>
                <w:vertAlign w:val="superscript"/>
              </w:rPr>
              <w:t>(1)</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44,294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42,116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2,178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46,281</w:t>
            </w:r>
          </w:p>
        </w:tc>
        <w:tc>
          <w:tcPr>
            <w:tcW w:w="0" w:type="dxa"/>
            <w:vAlign w:val="bottom"/>
          </w:tcPr>
          <w:p>
            <w:pPr>
              <w:spacing w:after="0"/>
              <w:rPr>
                <w:sz w:val="1"/>
                <w:szCs w:val="1"/>
                <w:color w:val="auto"/>
              </w:rPr>
            </w:pPr>
          </w:p>
        </w:tc>
      </w:tr>
      <w:tr>
        <w:trPr>
          <w:trHeight w:val="161"/>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acquired below-market leases, net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158"/>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Straight-lining of rents</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24,504</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24,529</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26,298</w:t>
            </w:r>
          </w:p>
        </w:tc>
        <w:tc>
          <w:tcPr>
            <w:tcW w:w="0" w:type="dxa"/>
            <w:vAlign w:val="bottom"/>
          </w:tcPr>
          <w:p>
            <w:pPr>
              <w:spacing w:after="0"/>
              <w:rPr>
                <w:sz w:val="1"/>
                <w:szCs w:val="1"/>
                <w:color w:val="auto"/>
              </w:rPr>
            </w:pPr>
          </w:p>
        </w:tc>
      </w:tr>
      <w:tr>
        <w:trPr>
          <w:trHeight w:val="156"/>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rental revenues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409,621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389,097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20,524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405,073</w:t>
            </w:r>
          </w:p>
        </w:tc>
        <w:tc>
          <w:tcPr>
            <w:tcW w:w="0" w:type="dxa"/>
            <w:vAlign w:val="bottom"/>
          </w:tcPr>
          <w:p>
            <w:pPr>
              <w:spacing w:after="0"/>
              <w:rPr>
                <w:sz w:val="1"/>
                <w:szCs w:val="1"/>
                <w:color w:val="auto"/>
              </w:rPr>
            </w:pPr>
          </w:p>
        </w:tc>
      </w:tr>
      <w:tr>
        <w:trPr>
          <w:trHeight w:val="158"/>
        </w:trPr>
        <w:tc>
          <w:tcPr>
            <w:tcW w:w="5820" w:type="dxa"/>
            <w:vAlign w:val="bottom"/>
          </w:tcPr>
          <w:p>
            <w:pPr>
              <w:ind w:left="20"/>
              <w:spacing w:after="0"/>
              <w:rPr>
                <w:sz w:val="20"/>
                <w:szCs w:val="20"/>
                <w:color w:val="auto"/>
              </w:rPr>
            </w:pPr>
            <w:r>
              <w:rPr>
                <w:rFonts w:ascii="Arial" w:cs="Arial" w:eastAsia="Arial" w:hAnsi="Arial"/>
                <w:sz w:val="11"/>
                <w:szCs w:val="11"/>
                <w:color w:val="auto"/>
              </w:rPr>
              <w:t>Fee and other income:</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Building Maintenance Services ("BMS") cleaning fees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35,372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42,530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(7,158)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33,344</w:t>
            </w:r>
          </w:p>
        </w:tc>
        <w:tc>
          <w:tcPr>
            <w:tcW w:w="0" w:type="dxa"/>
            <w:vAlign w:val="bottom"/>
          </w:tcPr>
          <w:p>
            <w:pPr>
              <w:spacing w:after="0"/>
              <w:rPr>
                <w:sz w:val="1"/>
                <w:szCs w:val="1"/>
                <w:color w:val="auto"/>
              </w:rPr>
            </w:pPr>
          </w:p>
        </w:tc>
      </w:tr>
      <w:tr>
        <w:trPr>
          <w:trHeight w:val="158"/>
        </w:trPr>
        <w:tc>
          <w:tcPr>
            <w:tcW w:w="5820" w:type="dxa"/>
            <w:vAlign w:val="bottom"/>
          </w:tcPr>
          <w:p>
            <w:pPr>
              <w:ind w:left="180"/>
              <w:spacing w:after="0"/>
              <w:rPr>
                <w:sz w:val="20"/>
                <w:szCs w:val="20"/>
                <w:color w:val="auto"/>
              </w:rPr>
            </w:pPr>
            <w:r>
              <w:rPr>
                <w:rFonts w:ascii="Arial" w:cs="Arial" w:eastAsia="Arial" w:hAnsi="Arial"/>
                <w:sz w:val="11"/>
                <w:szCs w:val="11"/>
                <w:color w:val="auto"/>
              </w:rPr>
              <w:t>Management and leasing fees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2,820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2,998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2,658</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income</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19,844</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19,075</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769</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21,167</w:t>
            </w:r>
          </w:p>
        </w:tc>
        <w:tc>
          <w:tcPr>
            <w:tcW w:w="0" w:type="dxa"/>
            <w:vAlign w:val="bottom"/>
          </w:tcPr>
          <w:p>
            <w:pPr>
              <w:spacing w:after="0"/>
              <w:rPr>
                <w:sz w:val="1"/>
                <w:szCs w:val="1"/>
                <w:color w:val="auto"/>
              </w:rPr>
            </w:pPr>
          </w:p>
        </w:tc>
      </w:tr>
      <w:tr>
        <w:trPr>
          <w:trHeight w:val="14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467,657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453,700</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13,957</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462,242</w:t>
            </w:r>
          </w:p>
        </w:tc>
        <w:tc>
          <w:tcPr>
            <w:tcW w:w="0" w:type="dxa"/>
            <w:vAlign w:val="bottom"/>
          </w:tcPr>
          <w:p>
            <w:pPr>
              <w:spacing w:after="0"/>
              <w:rPr>
                <w:sz w:val="1"/>
                <w:szCs w:val="1"/>
                <w:color w:val="auto"/>
              </w:rPr>
            </w:pPr>
          </w:p>
        </w:tc>
      </w:tr>
      <w:tr>
        <w:trPr>
          <w:trHeight w:val="156"/>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(245,521)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(241,769)</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(3,752)</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(223,649)</w:t>
            </w:r>
          </w:p>
        </w:tc>
        <w:tc>
          <w:tcPr>
            <w:tcW w:w="0" w:type="dxa"/>
            <w:vAlign w:val="bottom"/>
          </w:tcPr>
          <w:p>
            <w:pPr>
              <w:spacing w:after="0"/>
              <w:rPr>
                <w:sz w:val="1"/>
                <w:szCs w:val="1"/>
                <w:color w:val="auto"/>
              </w:rPr>
            </w:pPr>
          </w:p>
        </w:tc>
      </w:tr>
      <w:tr>
        <w:trPr>
          <w:trHeight w:val="158"/>
        </w:trPr>
        <w:tc>
          <w:tcPr>
            <w:tcW w:w="582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(169,045)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(117,122)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(51,923)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(171,228)</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(34,705)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(37,490)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2,785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(39,100)</w:t>
            </w:r>
          </w:p>
        </w:tc>
        <w:tc>
          <w:tcPr>
            <w:tcW w:w="0" w:type="dxa"/>
            <w:vAlign w:val="bottom"/>
          </w:tcPr>
          <w:p>
            <w:pPr>
              <w:spacing w:after="0"/>
              <w:rPr>
                <w:sz w:val="1"/>
                <w:szCs w:val="1"/>
                <w:color w:val="auto"/>
              </w:rPr>
            </w:pPr>
          </w:p>
        </w:tc>
      </w:tr>
      <w:tr>
        <w:trPr>
          <w:trHeight w:val="158"/>
        </w:trPr>
        <w:tc>
          <w:tcPr>
            <w:tcW w:w="5820" w:type="dxa"/>
            <w:vAlign w:val="bottom"/>
          </w:tcPr>
          <w:p>
            <w:pPr>
              <w:ind w:left="20"/>
              <w:spacing w:after="0"/>
              <w:rPr>
                <w:sz w:val="20"/>
                <w:szCs w:val="20"/>
                <w:color w:val="auto"/>
              </w:rPr>
            </w:pPr>
            <w:r>
              <w:rPr>
                <w:rFonts w:ascii="Arial" w:cs="Arial" w:eastAsia="Arial" w:hAnsi="Arial"/>
                <w:sz w:val="11"/>
                <w:szCs w:val="11"/>
                <w:color w:val="auto"/>
              </w:rPr>
              <w:t>Income (expense) from deferred compensation plan liability</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4,333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(6,756)</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11,089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(2,483)</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spacing w:after="0"/>
              <w:rPr>
                <w:sz w:val="20"/>
                <w:szCs w:val="20"/>
                <w:color w:val="auto"/>
              </w:rPr>
            </w:pPr>
            <w:r>
              <w:rPr>
                <w:rFonts w:ascii="Arial" w:cs="Arial" w:eastAsia="Arial" w:hAnsi="Arial"/>
                <w:sz w:val="11"/>
                <w:szCs w:val="11"/>
                <w:color w:val="auto"/>
              </w:rPr>
              <w:t>Transaction related costs and other</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(393)</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(3,563)</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3,170</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0" w:type="dxa"/>
            <w:vAlign w:val="bottom"/>
          </w:tcPr>
          <w:p>
            <w:pPr>
              <w:spacing w:after="0"/>
              <w:rPr>
                <w:sz w:val="1"/>
                <w:szCs w:val="1"/>
                <w:color w:val="auto"/>
              </w:rPr>
            </w:pPr>
          </w:p>
        </w:tc>
      </w:tr>
      <w:tr>
        <w:trPr>
          <w:trHeight w:val="14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expenses</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(445,331)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(406,700)</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(38,631)</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(436,633)</w:t>
            </w:r>
          </w:p>
        </w:tc>
        <w:tc>
          <w:tcPr>
            <w:tcW w:w="0" w:type="dxa"/>
            <w:vAlign w:val="bottom"/>
          </w:tcPr>
          <w:p>
            <w:pPr>
              <w:spacing w:after="0"/>
              <w:rPr>
                <w:sz w:val="1"/>
                <w:szCs w:val="1"/>
                <w:color w:val="auto"/>
              </w:rPr>
            </w:pPr>
          </w:p>
        </w:tc>
      </w:tr>
      <w:tr>
        <w:trPr>
          <w:trHeight w:val="156"/>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from partially owned entities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23,318</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21,940</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63,195</w:t>
            </w:r>
          </w:p>
        </w:tc>
        <w:tc>
          <w:tcPr>
            <w:tcW w:w="0" w:type="dxa"/>
            <w:vAlign w:val="bottom"/>
          </w:tcPr>
          <w:p>
            <w:pPr>
              <w:spacing w:after="0"/>
              <w:rPr>
                <w:sz w:val="1"/>
                <w:szCs w:val="1"/>
                <w:color w:val="auto"/>
              </w:rPr>
            </w:pPr>
          </w:p>
        </w:tc>
      </w:tr>
      <w:tr>
        <w:trPr>
          <w:trHeight w:val="158"/>
        </w:trPr>
        <w:tc>
          <w:tcPr>
            <w:tcW w:w="5820" w:type="dxa"/>
            <w:vAlign w:val="bottom"/>
          </w:tcPr>
          <w:p>
            <w:pPr>
              <w:ind w:left="20"/>
              <w:spacing w:after="0"/>
              <w:rPr>
                <w:sz w:val="20"/>
                <w:szCs w:val="20"/>
                <w:color w:val="auto"/>
              </w:rPr>
            </w:pPr>
            <w:r>
              <w:rPr>
                <w:rFonts w:ascii="Arial" w:cs="Arial" w:eastAsia="Arial" w:hAnsi="Arial"/>
                <w:sz w:val="11"/>
                <w:szCs w:val="11"/>
                <w:color w:val="auto"/>
              </w:rPr>
              <w:t>Interest and other investment income, net</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5,107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22,413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(17,306)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8,989</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 income from deferred compensation plan assets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6,756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(11,089)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2,483</w:t>
            </w:r>
          </w:p>
        </w:tc>
        <w:tc>
          <w:tcPr>
            <w:tcW w:w="0" w:type="dxa"/>
            <w:vAlign w:val="bottom"/>
          </w:tcPr>
          <w:p>
            <w:pPr>
              <w:spacing w:after="0"/>
              <w:rPr>
                <w:sz w:val="1"/>
                <w:szCs w:val="1"/>
                <w:color w:val="auto"/>
              </w:rPr>
            </w:pPr>
          </w:p>
        </w:tc>
      </w:tr>
      <w:tr>
        <w:trPr>
          <w:trHeight w:val="158"/>
        </w:trPr>
        <w:tc>
          <w:tcPr>
            <w:tcW w:w="5820" w:type="dxa"/>
            <w:vAlign w:val="bottom"/>
          </w:tcPr>
          <w:p>
            <w:pPr>
              <w:ind w:left="20"/>
              <w:spacing w:after="0"/>
              <w:rPr>
                <w:sz w:val="20"/>
                <w:szCs w:val="20"/>
                <w:color w:val="auto"/>
              </w:rPr>
            </w:pPr>
            <w:r>
              <w:rPr>
                <w:rFonts w:ascii="Arial" w:cs="Arial" w:eastAsia="Arial" w:hAnsi="Arial"/>
                <w:sz w:val="11"/>
                <w:szCs w:val="11"/>
                <w:color w:val="auto"/>
              </w:rPr>
              <w:t>Interest and debt expense</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(88,714)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(84,459)</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(4,255)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(89,582)</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debt extinguishment</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32,073</w:t>
            </w:r>
          </w:p>
        </w:tc>
        <w:tc>
          <w:tcPr>
            <w:tcW w:w="0" w:type="dxa"/>
            <w:vAlign w:val="bottom"/>
          </w:tcPr>
          <w:p>
            <w:pPr>
              <w:spacing w:after="0"/>
              <w:rPr>
                <w:sz w:val="1"/>
                <w:szCs w:val="1"/>
                <w:color w:val="auto"/>
              </w:rPr>
            </w:pPr>
          </w:p>
        </w:tc>
      </w:tr>
      <w:tr>
        <w:trPr>
          <w:trHeight w:val="149"/>
        </w:trPr>
        <w:tc>
          <w:tcPr>
            <w:tcW w:w="5820" w:type="dxa"/>
            <w:vAlign w:val="bottom"/>
          </w:tcPr>
          <w:p>
            <w:pPr>
              <w:ind w:left="20"/>
              <w:spacing w:after="0"/>
              <w:rPr>
                <w:sz w:val="20"/>
                <w:szCs w:val="20"/>
                <w:color w:val="auto"/>
              </w:rPr>
            </w:pPr>
            <w:r>
              <w:rPr>
                <w:rFonts w:ascii="Arial" w:cs="Arial" w:eastAsia="Arial" w:hAnsi="Arial"/>
                <w:sz w:val="11"/>
                <w:szCs w:val="11"/>
                <w:color w:val="auto"/>
              </w:rPr>
              <w:t>(Loss) income before income taxes</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(42,296)</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13,650</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(55,946)</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42,767</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(3,668)</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5,589</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(9,257)</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(3,571)</w:t>
            </w:r>
          </w:p>
        </w:tc>
        <w:tc>
          <w:tcPr>
            <w:tcW w:w="0" w:type="dxa"/>
            <w:vAlign w:val="bottom"/>
          </w:tcPr>
          <w:p>
            <w:pPr>
              <w:spacing w:after="0"/>
              <w:rPr>
                <w:sz w:val="1"/>
                <w:szCs w:val="1"/>
                <w:color w:val="auto"/>
              </w:rPr>
            </w:pPr>
          </w:p>
        </w:tc>
      </w:tr>
      <w:tr>
        <w:trPr>
          <w:trHeight w:val="149"/>
        </w:trPr>
        <w:tc>
          <w:tcPr>
            <w:tcW w:w="5820" w:type="dxa"/>
            <w:vAlign w:val="bottom"/>
          </w:tcPr>
          <w:p>
            <w:pPr>
              <w:ind w:left="20"/>
              <w:spacing w:after="0"/>
              <w:rPr>
                <w:sz w:val="20"/>
                <w:szCs w:val="20"/>
                <w:color w:val="auto"/>
              </w:rPr>
            </w:pPr>
            <w:r>
              <w:rPr>
                <w:rFonts w:ascii="Arial" w:cs="Arial" w:eastAsia="Arial" w:hAnsi="Arial"/>
                <w:sz w:val="11"/>
                <w:szCs w:val="11"/>
                <w:color w:val="auto"/>
              </w:rPr>
              <w:t>Net (loss) income</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(45,964)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19,239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(65,203)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39,196</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net loss (income) attributable to noncontrolling interests in:</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ind w:left="140"/>
              <w:spacing w:after="0"/>
              <w:rPr>
                <w:sz w:val="20"/>
                <w:szCs w:val="20"/>
                <w:color w:val="auto"/>
              </w:rPr>
            </w:pPr>
            <w:r>
              <w:rPr>
                <w:rFonts w:ascii="Arial" w:cs="Arial" w:eastAsia="Arial" w:hAnsi="Arial"/>
                <w:sz w:val="11"/>
                <w:szCs w:val="11"/>
                <w:color w:val="auto"/>
              </w:rPr>
              <w:t>Consolidated subsidiaries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10,180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8,912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1,268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(5,748)</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Operating Partnership</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4,171</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(1,036)</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5,207</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(1,489)</w:t>
            </w:r>
          </w:p>
        </w:tc>
        <w:tc>
          <w:tcPr>
            <w:tcW w:w="0" w:type="dxa"/>
            <w:vAlign w:val="bottom"/>
          </w:tcPr>
          <w:p>
            <w:pPr>
              <w:spacing w:after="0"/>
              <w:rPr>
                <w:sz w:val="1"/>
                <w:szCs w:val="1"/>
                <w:color w:val="auto"/>
              </w:rPr>
            </w:pPr>
          </w:p>
        </w:tc>
      </w:tr>
      <w:tr>
        <w:trPr>
          <w:trHeight w:val="149"/>
        </w:trPr>
        <w:tc>
          <w:tcPr>
            <w:tcW w:w="5820" w:type="dxa"/>
            <w:vAlign w:val="bottom"/>
          </w:tcPr>
          <w:p>
            <w:pPr>
              <w:ind w:left="20"/>
              <w:spacing w:after="0"/>
              <w:rPr>
                <w:sz w:val="20"/>
                <w:szCs w:val="20"/>
                <w:color w:val="auto"/>
              </w:rPr>
            </w:pPr>
            <w:r>
              <w:rPr>
                <w:rFonts w:ascii="Arial" w:cs="Arial" w:eastAsia="Arial" w:hAnsi="Arial"/>
                <w:sz w:val="11"/>
                <w:szCs w:val="11"/>
                <w:color w:val="auto"/>
              </w:rPr>
              <w:t>Net (loss) income attributable to Vornado</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(31,613)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27,115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(58,728)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31,959</w:t>
            </w: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share dividends</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(15,525)</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(15,526)</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(15,525)</w:t>
            </w:r>
          </w:p>
        </w:tc>
        <w:tc>
          <w:tcPr>
            <w:tcW w:w="0" w:type="dxa"/>
            <w:vAlign w:val="bottom"/>
          </w:tcPr>
          <w:p>
            <w:pPr>
              <w:spacing w:after="0"/>
              <w:rPr>
                <w:sz w:val="1"/>
                <w:szCs w:val="1"/>
                <w:color w:val="auto"/>
              </w:rPr>
            </w:pPr>
          </w:p>
        </w:tc>
      </w:tr>
      <w:tr>
        <w:trPr>
          <w:trHeight w:val="131"/>
        </w:trPr>
        <w:tc>
          <w:tcPr>
            <w:tcW w:w="5820" w:type="dxa"/>
            <w:vAlign w:val="bottom"/>
          </w:tcPr>
          <w:p>
            <w:pPr>
              <w:ind w:left="20"/>
              <w:spacing w:after="0"/>
              <w:rPr>
                <w:sz w:val="20"/>
                <w:szCs w:val="20"/>
                <w:color w:val="auto"/>
              </w:rPr>
            </w:pPr>
            <w:r>
              <w:rPr>
                <w:rFonts w:ascii="Arial" w:cs="Arial" w:eastAsia="Arial" w:hAnsi="Arial"/>
                <w:sz w:val="11"/>
                <w:szCs w:val="11"/>
                <w:color w:val="auto"/>
              </w:rPr>
              <w:t>Net (loss) income attributable to common shareholders</w:t>
            </w: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(47,138)</w:t>
            </w: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11,589</w:t>
            </w:r>
          </w:p>
        </w:tc>
        <w:tc>
          <w:tcPr>
            <w:tcW w:w="140" w:type="dxa"/>
            <w:vAlign w:val="bottom"/>
          </w:tcPr>
          <w:p>
            <w:pPr>
              <w:spacing w:after="0"/>
              <w:rPr>
                <w:sz w:val="11"/>
                <w:szCs w:val="11"/>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(58,727)</w:t>
            </w:r>
          </w:p>
        </w:tc>
        <w:tc>
          <w:tcPr>
            <w:tcW w:w="140" w:type="dxa"/>
            <w:vAlign w:val="bottom"/>
          </w:tcPr>
          <w:p>
            <w:pPr>
              <w:spacing w:after="0"/>
              <w:rPr>
                <w:sz w:val="11"/>
                <w:szCs w:val="11"/>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16,434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1"/>
                <w:szCs w:val="11"/>
                <w:color w:val="auto"/>
              </w:rPr>
              <w:t>Capitalized expenditures: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8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 and debt expense</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9,022</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2,539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11,069</w:t>
            </w:r>
          </w:p>
        </w:tc>
        <w:tc>
          <w:tcPr>
            <w:tcW w:w="0" w:type="dxa"/>
            <w:vAlign w:val="bottom"/>
          </w:tcPr>
          <w:p>
            <w:pPr>
              <w:spacing w:after="0"/>
              <w:rPr>
                <w:sz w:val="1"/>
                <w:szCs w:val="1"/>
                <w:color w:val="auto"/>
              </w:rPr>
            </w:pPr>
          </w:p>
        </w:tc>
      </w:tr>
      <w:tr>
        <w:trPr>
          <w:trHeight w:val="154"/>
        </w:trPr>
        <w:tc>
          <w:tcPr>
            <w:tcW w:w="5820" w:type="dxa"/>
            <w:vAlign w:val="bottom"/>
          </w:tcPr>
          <w:p>
            <w:pPr>
              <w:ind w:left="280"/>
              <w:spacing w:after="0"/>
              <w:rPr>
                <w:sz w:val="20"/>
                <w:szCs w:val="20"/>
                <w:color w:val="auto"/>
              </w:rPr>
            </w:pPr>
            <w:r>
              <w:rPr>
                <w:rFonts w:ascii="Arial" w:cs="Arial" w:eastAsia="Arial" w:hAnsi="Arial"/>
                <w:sz w:val="11"/>
                <w:szCs w:val="11"/>
                <w:color w:val="auto"/>
              </w:rPr>
              <w:t>Development payroll</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1,443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943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500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1,516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1" w:lineRule="exact"/>
        <w:rPr>
          <w:sz w:val="20"/>
          <w:szCs w:val="20"/>
          <w:color w:val="auto"/>
        </w:rPr>
      </w:pPr>
    </w:p>
    <w:p>
      <w:pPr>
        <w:ind w:left="260" w:hanging="254"/>
        <w:spacing w:after="0"/>
        <w:tabs>
          <w:tab w:leader="none" w:pos="260" w:val="left"/>
        </w:tabs>
        <w:numPr>
          <w:ilvl w:val="0"/>
          <w:numId w:val="13"/>
        </w:numPr>
        <w:rPr>
          <w:rFonts w:ascii="Arial" w:cs="Arial" w:eastAsia="Arial" w:hAnsi="Arial"/>
          <w:sz w:val="10"/>
          <w:szCs w:val="10"/>
          <w:b w:val="1"/>
          <w:bCs w:val="1"/>
          <w:color w:val="auto"/>
        </w:rPr>
      </w:pPr>
      <w:r>
        <w:rPr>
          <w:rFonts w:ascii="Arial" w:cs="Arial" w:eastAsia="Arial" w:hAnsi="Arial"/>
          <w:sz w:val="10"/>
          <w:szCs w:val="10"/>
          <w:color w:val="auto"/>
        </w:rPr>
        <w:t>"Property rentals" and "tenant expense reimbursements" represent non-GAAP financial measures which are reconciled above to "rental revenues" the most directly comparable financial measure calculated in accordance with GAAP.</w:t>
      </w:r>
    </w:p>
    <w:p>
      <w:pPr>
        <w:spacing w:after="0" w:line="208" w:lineRule="exact"/>
        <w:rPr>
          <w:rFonts w:ascii="Arial" w:cs="Arial" w:eastAsia="Arial" w:hAnsi="Arial"/>
          <w:sz w:val="10"/>
          <w:szCs w:val="10"/>
          <w:b w:val="1"/>
          <w:bCs w:val="1"/>
          <w:color w:val="auto"/>
        </w:rPr>
      </w:pPr>
    </w:p>
    <w:p>
      <w:pPr>
        <w:ind w:left="5580" w:hanging="87"/>
        <w:spacing w:after="0"/>
        <w:tabs>
          <w:tab w:leader="none" w:pos="5580" w:val="left"/>
        </w:tabs>
        <w:numPr>
          <w:ilvl w:val="1"/>
          <w:numId w:val="13"/>
        </w:numPr>
        <w:rPr>
          <w:rFonts w:ascii="Arial" w:cs="Arial" w:eastAsia="Arial" w:hAnsi="Arial"/>
          <w:sz w:val="13"/>
          <w:szCs w:val="13"/>
          <w:color w:val="auto"/>
        </w:rPr>
      </w:pPr>
      <w:r>
        <w:rPr>
          <w:rFonts w:ascii="Arial" w:cs="Arial" w:eastAsia="Arial" w:hAnsi="Arial"/>
          <w:sz w:val="13"/>
          <w:szCs w:val="13"/>
          <w:color w:val="auto"/>
        </w:rPr>
        <w:t>10 -</w:t>
      </w:r>
    </w:p>
    <w:p>
      <w:pPr>
        <w:sectPr>
          <w:pgSz w:w="11900" w:h="16838" w:orient="portrait"/>
          <w:cols w:equalWidth="0" w:num="1">
            <w:col w:w="11280"/>
          </w:cols>
          <w:pgMar w:left="300" w:top="981" w:right="31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CONSOLIDATED NET (LOSS) INCOME ATTRIBUTABLE TO COMMON SHAREHOLDERS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7"/>
          </w:tcPr>
          <w:p>
            <w:pPr>
              <w:jc w:val="right"/>
              <w:ind w:right="783"/>
              <w:spacing w:after="0"/>
              <w:rPr>
                <w:sz w:val="20"/>
                <w:szCs w:val="20"/>
                <w:color w:val="auto"/>
              </w:rPr>
            </w:pPr>
            <w:r>
              <w:rPr>
                <w:rFonts w:ascii="Arial" w:cs="Arial" w:eastAsia="Arial" w:hAnsi="Arial"/>
                <w:sz w:val="11"/>
                <w:szCs w:val="11"/>
                <w:b w:val="1"/>
                <w:bCs w:val="1"/>
                <w:color w:val="auto"/>
              </w:rPr>
              <w:t>For the Nine Months Ended September 30,</w:t>
            </w:r>
          </w:p>
        </w:tc>
        <w:tc>
          <w:tcPr>
            <w:tcW w:w="0" w:type="dxa"/>
            <w:vAlign w:val="bottom"/>
          </w:tcPr>
          <w:p>
            <w:pPr>
              <w:spacing w:after="0"/>
              <w:rPr>
                <w:sz w:val="1"/>
                <w:szCs w:val="1"/>
                <w:color w:val="auto"/>
              </w:rPr>
            </w:pPr>
          </w:p>
        </w:tc>
      </w:tr>
      <w:tr>
        <w:trPr>
          <w:trHeight w:val="152"/>
        </w:trPr>
        <w:tc>
          <w:tcPr>
            <w:tcW w:w="73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Variance</w:t>
            </w:r>
          </w:p>
        </w:tc>
        <w:tc>
          <w:tcPr>
            <w:tcW w:w="0" w:type="dxa"/>
            <w:vAlign w:val="bottom"/>
          </w:tcPr>
          <w:p>
            <w:pPr>
              <w:spacing w:after="0"/>
              <w:rPr>
                <w:sz w:val="1"/>
                <w:szCs w:val="1"/>
                <w:color w:val="auto"/>
              </w:rPr>
            </w:pPr>
          </w:p>
        </w:tc>
      </w:tr>
      <w:tr>
        <w:trPr>
          <w:trHeight w:val="153"/>
        </w:trPr>
        <w:tc>
          <w:tcPr>
            <w:tcW w:w="7300" w:type="dxa"/>
            <w:vAlign w:val="bottom"/>
            <w:shd w:val="clear" w:color="auto" w:fill="CCEEFF"/>
          </w:tcPr>
          <w:p>
            <w:pPr>
              <w:ind w:left="20"/>
              <w:spacing w:after="0" w:line="153" w:lineRule="exact"/>
              <w:rPr>
                <w:sz w:val="20"/>
                <w:szCs w:val="20"/>
                <w:color w:val="auto"/>
              </w:rPr>
            </w:pPr>
            <w:r>
              <w:rPr>
                <w:rFonts w:ascii="Arial" w:cs="Arial" w:eastAsia="Arial" w:hAnsi="Arial"/>
                <w:sz w:val="11"/>
                <w:szCs w:val="11"/>
                <w:color w:val="auto"/>
              </w:rPr>
              <w:t>Property rentals</w:t>
            </w:r>
            <w:r>
              <w:rPr>
                <w:rFonts w:ascii="Arial" w:cs="Arial" w:eastAsia="Arial" w:hAnsi="Arial"/>
                <w:sz w:val="14"/>
                <w:szCs w:val="14"/>
                <w:b w:val="1"/>
                <w:bCs w:val="1"/>
                <w:color w:val="auto"/>
                <w:vertAlign w:val="superscript"/>
              </w:rPr>
              <w:t>(1)</w:t>
            </w: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994,735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1,002,920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(8,185)</w:t>
            </w:r>
          </w:p>
        </w:tc>
        <w:tc>
          <w:tcPr>
            <w:tcW w:w="0" w:type="dxa"/>
            <w:vAlign w:val="bottom"/>
          </w:tcPr>
          <w:p>
            <w:pPr>
              <w:spacing w:after="0"/>
              <w:rPr>
                <w:sz w:val="1"/>
                <w:szCs w:val="1"/>
                <w:color w:val="auto"/>
              </w:rPr>
            </w:pPr>
          </w:p>
        </w:tc>
      </w:tr>
      <w:tr>
        <w:trPr>
          <w:trHeight w:val="161"/>
        </w:trPr>
        <w:tc>
          <w:tcPr>
            <w:tcW w:w="7300" w:type="dxa"/>
            <w:vAlign w:val="bottom"/>
          </w:tcPr>
          <w:p>
            <w:pPr>
              <w:ind w:left="20"/>
              <w:spacing w:after="0"/>
              <w:rPr>
                <w:sz w:val="20"/>
                <w:szCs w:val="20"/>
                <w:color w:val="auto"/>
              </w:rPr>
            </w:pPr>
            <w:r>
              <w:rPr>
                <w:rFonts w:ascii="Arial" w:cs="Arial" w:eastAsia="Arial" w:hAnsi="Arial"/>
                <w:sz w:val="11"/>
                <w:szCs w:val="11"/>
                <w:color w:val="auto"/>
              </w:rPr>
              <w:t>Tenant expense reimbursements</w:t>
            </w:r>
            <w:r>
              <w:rPr>
                <w:rFonts w:ascii="Arial" w:cs="Arial" w:eastAsia="Arial" w:hAnsi="Arial"/>
                <w:sz w:val="14"/>
                <w:szCs w:val="14"/>
                <w:b w:val="1"/>
                <w:bCs w:val="1"/>
                <w:color w:val="auto"/>
                <w:vertAlign w:val="superscript"/>
              </w:rPr>
              <w:t>(1)</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141,791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128,665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13,126</w:t>
            </w: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acquired below-market leases, net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58"/>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Straight-lining of rents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77,012</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44,235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32,777</w:t>
            </w: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rental revenues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1,213,878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1,176,104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37,774</w:t>
            </w:r>
          </w:p>
        </w:tc>
        <w:tc>
          <w:tcPr>
            <w:tcW w:w="0" w:type="dxa"/>
            <w:vAlign w:val="bottom"/>
          </w:tcPr>
          <w:p>
            <w:pPr>
              <w:spacing w:after="0"/>
              <w:rPr>
                <w:sz w:val="1"/>
                <w:szCs w:val="1"/>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1"/>
                <w:szCs w:val="11"/>
                <w:color w:val="auto"/>
              </w:rPr>
              <w:t>Fee and other income: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BMS cleaning fees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108,059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116,437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(8,378)</w:t>
            </w:r>
          </w:p>
        </w:tc>
        <w:tc>
          <w:tcPr>
            <w:tcW w:w="0" w:type="dxa"/>
            <w:vAlign w:val="bottom"/>
          </w:tcPr>
          <w:p>
            <w:pPr>
              <w:spacing w:after="0"/>
              <w:rPr>
                <w:sz w:val="1"/>
                <w:szCs w:val="1"/>
                <w:color w:val="auto"/>
              </w:rPr>
            </w:pPr>
          </w:p>
        </w:tc>
      </w:tr>
      <w:tr>
        <w:trPr>
          <w:trHeight w:val="158"/>
        </w:trPr>
        <w:tc>
          <w:tcPr>
            <w:tcW w:w="7300" w:type="dxa"/>
            <w:vAlign w:val="bottom"/>
          </w:tcPr>
          <w:p>
            <w:pPr>
              <w:ind w:left="180"/>
              <w:spacing w:after="0"/>
              <w:rPr>
                <w:sz w:val="20"/>
                <w:szCs w:val="20"/>
                <w:color w:val="auto"/>
              </w:rPr>
            </w:pPr>
            <w:r>
              <w:rPr>
                <w:rFonts w:ascii="Arial" w:cs="Arial" w:eastAsia="Arial" w:hAnsi="Arial"/>
                <w:sz w:val="11"/>
                <w:szCs w:val="11"/>
                <w:color w:val="auto"/>
              </w:rPr>
              <w:t>Management and leasing fees</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8,193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8,954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(761)</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income</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58,874</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55,221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3,653</w:t>
            </w:r>
          </w:p>
        </w:tc>
        <w:tc>
          <w:tcPr>
            <w:tcW w:w="0" w:type="dxa"/>
            <w:vAlign w:val="bottom"/>
          </w:tcPr>
          <w:p>
            <w:pPr>
              <w:spacing w:after="0"/>
              <w:rPr>
                <w:sz w:val="1"/>
                <w:szCs w:val="1"/>
                <w:color w:val="auto"/>
              </w:rPr>
            </w:pPr>
          </w:p>
        </w:tc>
      </w:tr>
      <w:tr>
        <w:trPr>
          <w:trHeight w:val="14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1,389,004</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1,356,716</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32,288</w:t>
            </w: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(715,801)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(685,857)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(29,944)</w:t>
            </w:r>
          </w:p>
        </w:tc>
        <w:tc>
          <w:tcPr>
            <w:tcW w:w="0" w:type="dxa"/>
            <w:vAlign w:val="bottom"/>
          </w:tcPr>
          <w:p>
            <w:pPr>
              <w:spacing w:after="0"/>
              <w:rPr>
                <w:sz w:val="1"/>
                <w:szCs w:val="1"/>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(458,801)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(348,851)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(109,950)</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(116,050)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(116,065)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1"/>
                <w:szCs w:val="11"/>
                <w:color w:val="auto"/>
              </w:rPr>
              <w:t>Income (expense) from deferred compensation plan liability</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1,269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(8,790)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10,059</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Transaction related costs and other</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(1,328)</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2,999</w:t>
            </w:r>
          </w:p>
        </w:tc>
        <w:tc>
          <w:tcPr>
            <w:tcW w:w="0" w:type="dxa"/>
            <w:vAlign w:val="bottom"/>
          </w:tcPr>
          <w:p>
            <w:pPr>
              <w:spacing w:after="0"/>
              <w:rPr>
                <w:sz w:val="1"/>
                <w:szCs w:val="1"/>
                <w:color w:val="auto"/>
              </w:rPr>
            </w:pPr>
          </w:p>
        </w:tc>
      </w:tr>
      <w:tr>
        <w:trPr>
          <w:trHeight w:val="14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expenses</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(1,290,711)</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(1,163,890)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(126,821)</w:t>
            </w: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from partially owned entities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99,335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135,588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(36,253)</w:t>
            </w:r>
          </w:p>
        </w:tc>
        <w:tc>
          <w:tcPr>
            <w:tcW w:w="0" w:type="dxa"/>
            <w:vAlign w:val="bottom"/>
          </w:tcPr>
          <w:p>
            <w:pPr>
              <w:spacing w:after="0"/>
              <w:rPr>
                <w:sz w:val="1"/>
                <w:szCs w:val="1"/>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1"/>
                <w:szCs w:val="11"/>
                <w:color w:val="auto"/>
              </w:rPr>
              <w:t>Interest and other investment income, net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23,423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41,730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(18,307)</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 income from deferred compensation plan assets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(10,059)</w:t>
            </w:r>
          </w:p>
        </w:tc>
        <w:tc>
          <w:tcPr>
            <w:tcW w:w="0" w:type="dxa"/>
            <w:vAlign w:val="bottom"/>
          </w:tcPr>
          <w:p>
            <w:pPr>
              <w:spacing w:after="0"/>
              <w:rPr>
                <w:sz w:val="1"/>
                <w:szCs w:val="1"/>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1"/>
                <w:szCs w:val="11"/>
                <w:color w:val="auto"/>
              </w:rPr>
              <w:t>Interest and debt expense</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(267,502)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(268,204)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702</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debt extinguishment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32,073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32,073</w:t>
            </w:r>
          </w:p>
        </w:tc>
        <w:tc>
          <w:tcPr>
            <w:tcW w:w="0" w:type="dxa"/>
            <w:vAlign w:val="bottom"/>
          </w:tcPr>
          <w:p>
            <w:pPr>
              <w:spacing w:after="0"/>
              <w:rPr>
                <w:sz w:val="1"/>
                <w:szCs w:val="1"/>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1"/>
                <w:szCs w:val="11"/>
                <w:color w:val="auto"/>
              </w:rPr>
              <w:t>Gain on sales-type lease</w:t>
            </w:r>
          </w:p>
        </w:tc>
        <w:tc>
          <w:tcPr>
            <w:tcW w:w="28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803,248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(803,248)</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gains on disposition of wholly owned and partially owned assets</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24,039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(24,039)</w:t>
            </w:r>
          </w:p>
        </w:tc>
        <w:tc>
          <w:tcPr>
            <w:tcW w:w="0" w:type="dxa"/>
            <w:vAlign w:val="bottom"/>
          </w:tcPr>
          <w:p>
            <w:pPr>
              <w:spacing w:after="0"/>
              <w:rPr>
                <w:sz w:val="1"/>
                <w:szCs w:val="1"/>
                <w:color w:val="auto"/>
              </w:rPr>
            </w:pPr>
          </w:p>
        </w:tc>
      </w:tr>
      <w:tr>
        <w:trPr>
          <w:trHeight w:val="149"/>
        </w:trPr>
        <w:tc>
          <w:tcPr>
            <w:tcW w:w="7300" w:type="dxa"/>
            <w:vAlign w:val="bottom"/>
          </w:tcPr>
          <w:p>
            <w:pPr>
              <w:ind w:left="20"/>
              <w:spacing w:after="0"/>
              <w:rPr>
                <w:sz w:val="20"/>
                <w:szCs w:val="20"/>
                <w:color w:val="auto"/>
              </w:rPr>
            </w:pPr>
            <w:r>
              <w:rPr>
                <w:rFonts w:ascii="Arial" w:cs="Arial" w:eastAsia="Arial" w:hAnsi="Arial"/>
                <w:sz w:val="11"/>
                <w:szCs w:val="11"/>
                <w:color w:val="auto"/>
              </w:rPr>
              <w:t>(Loss) income before income taxes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(15,647)</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938,017</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(953,664)</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(13,147)</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(7,420)</w:t>
            </w:r>
          </w:p>
        </w:tc>
        <w:tc>
          <w:tcPr>
            <w:tcW w:w="0" w:type="dxa"/>
            <w:vAlign w:val="bottom"/>
          </w:tcPr>
          <w:p>
            <w:pPr>
              <w:spacing w:after="0"/>
              <w:rPr>
                <w:sz w:val="1"/>
                <w:szCs w:val="1"/>
                <w:color w:val="auto"/>
              </w:rPr>
            </w:pPr>
          </w:p>
        </w:tc>
      </w:tr>
      <w:tr>
        <w:trPr>
          <w:trHeight w:val="149"/>
        </w:trPr>
        <w:tc>
          <w:tcPr>
            <w:tcW w:w="7300" w:type="dxa"/>
            <w:vAlign w:val="bottom"/>
          </w:tcPr>
          <w:p>
            <w:pPr>
              <w:ind w:left="20"/>
              <w:spacing w:after="0"/>
              <w:rPr>
                <w:sz w:val="20"/>
                <w:szCs w:val="20"/>
                <w:color w:val="auto"/>
              </w:rPr>
            </w:pPr>
            <w:r>
              <w:rPr>
                <w:rFonts w:ascii="Arial" w:cs="Arial" w:eastAsia="Arial" w:hAnsi="Arial"/>
                <w:sz w:val="11"/>
                <w:szCs w:val="11"/>
                <w:color w:val="auto"/>
              </w:rPr>
              <w:t>Net (loss) income</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(28,794)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932,290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(961,084)</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net loss (income) attributable to noncontrolling interests in:</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300" w:type="dxa"/>
            <w:vAlign w:val="bottom"/>
          </w:tcPr>
          <w:p>
            <w:pPr>
              <w:ind w:left="100"/>
              <w:spacing w:after="0"/>
              <w:rPr>
                <w:sz w:val="20"/>
                <w:szCs w:val="20"/>
                <w:color w:val="auto"/>
              </w:rPr>
            </w:pPr>
            <w:r>
              <w:rPr>
                <w:rFonts w:ascii="Arial" w:cs="Arial" w:eastAsia="Arial" w:hAnsi="Arial"/>
                <w:sz w:val="11"/>
                <w:szCs w:val="11"/>
                <w:color w:val="auto"/>
              </w:rPr>
              <w:t>Consolidated subsidiaries</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17,122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30,326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(13,204)</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Partnership</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4,701</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(73,788)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78,489</w:t>
            </w:r>
          </w:p>
        </w:tc>
        <w:tc>
          <w:tcPr>
            <w:tcW w:w="0" w:type="dxa"/>
            <w:vAlign w:val="bottom"/>
          </w:tcPr>
          <w:p>
            <w:pPr>
              <w:spacing w:after="0"/>
              <w:rPr>
                <w:sz w:val="1"/>
                <w:szCs w:val="1"/>
                <w:color w:val="auto"/>
              </w:rPr>
            </w:pPr>
          </w:p>
        </w:tc>
      </w:tr>
      <w:tr>
        <w:trPr>
          <w:trHeight w:val="149"/>
        </w:trPr>
        <w:tc>
          <w:tcPr>
            <w:tcW w:w="7300" w:type="dxa"/>
            <w:vAlign w:val="bottom"/>
          </w:tcPr>
          <w:p>
            <w:pPr>
              <w:ind w:left="20"/>
              <w:spacing w:after="0"/>
              <w:rPr>
                <w:sz w:val="20"/>
                <w:szCs w:val="20"/>
                <w:color w:val="auto"/>
              </w:rPr>
            </w:pPr>
            <w:r>
              <w:rPr>
                <w:rFonts w:ascii="Arial" w:cs="Arial" w:eastAsia="Arial" w:hAnsi="Arial"/>
                <w:sz w:val="11"/>
                <w:szCs w:val="11"/>
                <w:color w:val="auto"/>
              </w:rPr>
              <w:t>Net (loss) income attributable to Vornado</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(6,971)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888,828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(895,799)</w:t>
            </w: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share dividends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(46,575)</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(46,578)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6"/>
        </w:trPr>
        <w:tc>
          <w:tcPr>
            <w:tcW w:w="7300" w:type="dxa"/>
            <w:vAlign w:val="bottom"/>
          </w:tcPr>
          <w:p>
            <w:pPr>
              <w:ind w:left="20"/>
              <w:spacing w:after="0"/>
              <w:rPr>
                <w:sz w:val="20"/>
                <w:szCs w:val="20"/>
                <w:color w:val="auto"/>
              </w:rPr>
            </w:pPr>
            <w:r>
              <w:rPr>
                <w:rFonts w:ascii="Arial" w:cs="Arial" w:eastAsia="Arial" w:hAnsi="Arial"/>
                <w:sz w:val="11"/>
                <w:szCs w:val="11"/>
                <w:color w:val="auto"/>
              </w:rPr>
              <w:t>Net (loss) income attributable to common shareholders</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(53,546)</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842,250</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(895,796)</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Arial" w:cs="Arial" w:eastAsia="Arial" w:hAnsi="Arial"/>
                <w:sz w:val="11"/>
                <w:szCs w:val="11"/>
                <w:color w:val="auto"/>
              </w:rPr>
              <w:t>Capitalized expenditures: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7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 and debt expense</w:t>
            </w: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32,748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29,423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3,325</w:t>
            </w:r>
          </w:p>
        </w:tc>
        <w:tc>
          <w:tcPr>
            <w:tcW w:w="0" w:type="dxa"/>
            <w:vAlign w:val="bottom"/>
          </w:tcPr>
          <w:p>
            <w:pPr>
              <w:spacing w:after="0"/>
              <w:rPr>
                <w:sz w:val="1"/>
                <w:szCs w:val="1"/>
                <w:color w:val="auto"/>
              </w:rPr>
            </w:pPr>
          </w:p>
        </w:tc>
      </w:tr>
      <w:tr>
        <w:trPr>
          <w:trHeight w:val="154"/>
        </w:trPr>
        <w:tc>
          <w:tcPr>
            <w:tcW w:w="7300" w:type="dxa"/>
            <w:vAlign w:val="bottom"/>
          </w:tcPr>
          <w:p>
            <w:pPr>
              <w:ind w:left="280"/>
              <w:spacing w:after="0"/>
              <w:rPr>
                <w:sz w:val="20"/>
                <w:szCs w:val="20"/>
                <w:color w:val="auto"/>
              </w:rPr>
            </w:pPr>
            <w:r>
              <w:rPr>
                <w:rFonts w:ascii="Arial" w:cs="Arial" w:eastAsia="Arial" w:hAnsi="Arial"/>
                <w:sz w:val="11"/>
                <w:szCs w:val="11"/>
                <w:color w:val="auto"/>
              </w:rPr>
              <w:t>Development payroll</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4,448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3,263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1,185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1" w:lineRule="exact"/>
        <w:rPr>
          <w:sz w:val="20"/>
          <w:szCs w:val="20"/>
          <w:color w:val="auto"/>
        </w:rPr>
      </w:pPr>
    </w:p>
    <w:p>
      <w:pPr>
        <w:ind w:left="260" w:hanging="254"/>
        <w:spacing w:after="0"/>
        <w:tabs>
          <w:tab w:leader="none" w:pos="260" w:val="left"/>
        </w:tabs>
        <w:numPr>
          <w:ilvl w:val="0"/>
          <w:numId w:val="14"/>
        </w:numPr>
        <w:rPr>
          <w:rFonts w:ascii="Arial" w:cs="Arial" w:eastAsia="Arial" w:hAnsi="Arial"/>
          <w:sz w:val="10"/>
          <w:szCs w:val="10"/>
          <w:b w:val="1"/>
          <w:bCs w:val="1"/>
          <w:color w:val="auto"/>
        </w:rPr>
      </w:pPr>
      <w:r>
        <w:rPr>
          <w:rFonts w:ascii="Arial" w:cs="Arial" w:eastAsia="Arial" w:hAnsi="Arial"/>
          <w:sz w:val="10"/>
          <w:szCs w:val="10"/>
          <w:color w:val="auto"/>
        </w:rPr>
        <w:t>"Property rentals" and "tenant expense reimbursements" represent non-GAAP financial measures which are reconciled above to "rental revenues" the most directly comparable financial measure calculated in accordance with GAAP.</w:t>
      </w:r>
    </w:p>
    <w:p>
      <w:pPr>
        <w:spacing w:after="0" w:line="208" w:lineRule="exact"/>
        <w:rPr>
          <w:rFonts w:ascii="Arial" w:cs="Arial" w:eastAsia="Arial" w:hAnsi="Arial"/>
          <w:sz w:val="10"/>
          <w:szCs w:val="10"/>
          <w:b w:val="1"/>
          <w:bCs w:val="1"/>
          <w:color w:val="auto"/>
        </w:rPr>
      </w:pPr>
    </w:p>
    <w:p>
      <w:pPr>
        <w:ind w:left="5580" w:hanging="82"/>
        <w:spacing w:after="0"/>
        <w:tabs>
          <w:tab w:leader="none" w:pos="55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11 -</w:t>
      </w:r>
    </w:p>
    <w:p>
      <w:pPr>
        <w:sectPr>
          <w:pgSz w:w="11900" w:h="16838" w:orient="portrait"/>
          <w:cols w:equalWidth="0" w:num="1">
            <w:col w:w="11280"/>
          </w:cols>
          <w:pgMar w:left="300" w:top="981" w:right="31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NET (LOSS) INCOME ATTRIBUTABLE TO COMMON SHAREHOLDERS BY SEGMENT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7"/>
          </w:tcPr>
          <w:p>
            <w:pPr>
              <w:jc w:val="right"/>
              <w:ind w:right="223"/>
              <w:spacing w:after="0"/>
              <w:rPr>
                <w:sz w:val="20"/>
                <w:szCs w:val="20"/>
                <w:color w:val="auto"/>
              </w:rPr>
            </w:pPr>
            <w:r>
              <w:rPr>
                <w:rFonts w:ascii="Arial" w:cs="Arial" w:eastAsia="Arial" w:hAnsi="Arial"/>
                <w:sz w:val="11"/>
                <w:szCs w:val="11"/>
                <w:b w:val="1"/>
                <w:bCs w:val="1"/>
                <w:color w:val="auto"/>
              </w:rPr>
              <w:t>For the Three Months Ended September 30, 2026</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7"/>
          </w:tcPr>
          <w:p>
            <w:pPr>
              <w:jc w:val="right"/>
              <w:ind w:right="243"/>
              <w:spacing w:after="0"/>
              <w:rPr>
                <w:sz w:val="20"/>
                <w:szCs w:val="20"/>
                <w:color w:val="auto"/>
              </w:rPr>
            </w:pPr>
            <w:r>
              <w:rPr>
                <w:rFonts w:ascii="Arial" w:cs="Arial" w:eastAsia="Arial" w:hAnsi="Arial"/>
                <w:sz w:val="11"/>
                <w:szCs w:val="11"/>
                <w:b w:val="1"/>
                <w:bCs w:val="1"/>
                <w:color w:val="auto"/>
              </w:rPr>
              <w:t>For the Nine Months Ended September 30, 2026</w:t>
            </w:r>
          </w:p>
        </w:tc>
        <w:tc>
          <w:tcPr>
            <w:tcW w:w="0" w:type="dxa"/>
            <w:vAlign w:val="bottom"/>
          </w:tcPr>
          <w:p>
            <w:pPr>
              <w:spacing w:after="0"/>
              <w:rPr>
                <w:sz w:val="1"/>
                <w:szCs w:val="1"/>
                <w:color w:val="auto"/>
              </w:rPr>
            </w:pPr>
          </w:p>
        </w:tc>
      </w:tr>
      <w:tr>
        <w:trPr>
          <w:trHeight w:val="140"/>
        </w:trPr>
        <w:tc>
          <w:tcPr>
            <w:tcW w:w="47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Total</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New York</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Other</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Total</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New York</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54"/>
        </w:trPr>
        <w:tc>
          <w:tcPr>
            <w:tcW w:w="4700" w:type="dxa"/>
            <w:vAlign w:val="bottom"/>
            <w:shd w:val="clear" w:color="auto" w:fill="CCEEFF"/>
          </w:tcPr>
          <w:p>
            <w:pPr>
              <w:ind w:left="20"/>
              <w:spacing w:after="0" w:line="154" w:lineRule="exact"/>
              <w:rPr>
                <w:sz w:val="20"/>
                <w:szCs w:val="20"/>
                <w:color w:val="auto"/>
              </w:rPr>
            </w:pPr>
            <w:r>
              <w:rPr>
                <w:rFonts w:ascii="Arial" w:cs="Arial" w:eastAsia="Arial" w:hAnsi="Arial"/>
                <w:sz w:val="11"/>
                <w:szCs w:val="11"/>
                <w:color w:val="auto"/>
              </w:rPr>
              <w:t>Property rentals</w:t>
            </w:r>
            <w:r>
              <w:rPr>
                <w:rFonts w:ascii="Arial" w:cs="Arial" w:eastAsia="Arial" w:hAnsi="Arial"/>
                <w:sz w:val="14"/>
                <w:szCs w:val="14"/>
                <w:b w:val="1"/>
                <w:bCs w:val="1"/>
                <w:color w:val="auto"/>
                <w:vertAlign w:val="superscript"/>
              </w:rPr>
              <w:t>(1)</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340,719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273,831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66,888</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994,735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806,436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188,299</w:t>
            </w:r>
          </w:p>
        </w:tc>
        <w:tc>
          <w:tcPr>
            <w:tcW w:w="0" w:type="dxa"/>
            <w:vAlign w:val="bottom"/>
          </w:tcPr>
          <w:p>
            <w:pPr>
              <w:spacing w:after="0"/>
              <w:rPr>
                <w:sz w:val="1"/>
                <w:szCs w:val="1"/>
                <w:color w:val="auto"/>
              </w:rPr>
            </w:pPr>
          </w:p>
        </w:tc>
      </w:tr>
      <w:tr>
        <w:trPr>
          <w:trHeight w:val="161"/>
        </w:trPr>
        <w:tc>
          <w:tcPr>
            <w:tcW w:w="4700" w:type="dxa"/>
            <w:vAlign w:val="bottom"/>
          </w:tcPr>
          <w:p>
            <w:pPr>
              <w:ind w:left="20"/>
              <w:spacing w:after="0"/>
              <w:rPr>
                <w:sz w:val="20"/>
                <w:szCs w:val="20"/>
                <w:color w:val="auto"/>
              </w:rPr>
            </w:pPr>
            <w:r>
              <w:rPr>
                <w:rFonts w:ascii="Arial" w:cs="Arial" w:eastAsia="Arial" w:hAnsi="Arial"/>
                <w:sz w:val="11"/>
                <w:szCs w:val="11"/>
                <w:color w:val="auto"/>
              </w:rPr>
              <w:t>Tenant expense reimbursements</w:t>
            </w:r>
            <w:r>
              <w:rPr>
                <w:rFonts w:ascii="Arial" w:cs="Arial" w:eastAsia="Arial" w:hAnsi="Arial"/>
                <w:sz w:val="14"/>
                <w:szCs w:val="14"/>
                <w:b w:val="1"/>
                <w:bCs w:val="1"/>
                <w:color w:val="auto"/>
                <w:vertAlign w:val="superscript"/>
              </w:rPr>
              <w:t>(1)</w:t>
            </w:r>
          </w:p>
        </w:tc>
        <w:tc>
          <w:tcPr>
            <w:tcW w:w="18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44,294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32,128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12,166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141,791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108,932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32,859</w:t>
            </w:r>
          </w:p>
        </w:tc>
        <w:tc>
          <w:tcPr>
            <w:tcW w:w="0" w:type="dxa"/>
            <w:vAlign w:val="bottom"/>
          </w:tcPr>
          <w:p>
            <w:pPr>
              <w:spacing w:after="0"/>
              <w:rPr>
                <w:sz w:val="1"/>
                <w:szCs w:val="1"/>
                <w:color w:val="auto"/>
              </w:rPr>
            </w:pPr>
          </w:p>
        </w:tc>
      </w:tr>
      <w:tr>
        <w:trPr>
          <w:trHeight w:val="161"/>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acquired below-market leases, net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5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Straight-lining of rents</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24,504</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19,967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4,537</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77,012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58,819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18,193</w:t>
            </w: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rental revenues</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409,621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325,999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83,622</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1,213,878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974,373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239,505</w:t>
            </w:r>
          </w:p>
        </w:tc>
        <w:tc>
          <w:tcPr>
            <w:tcW w:w="0" w:type="dxa"/>
            <w:vAlign w:val="bottom"/>
          </w:tcPr>
          <w:p>
            <w:pPr>
              <w:spacing w:after="0"/>
              <w:rPr>
                <w:sz w:val="1"/>
                <w:szCs w:val="1"/>
                <w:color w:val="auto"/>
              </w:rPr>
            </w:pP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Fee and other income:</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BMS cleaning fees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35,372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108,059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116,018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(7,959)</w:t>
            </w:r>
          </w:p>
        </w:tc>
        <w:tc>
          <w:tcPr>
            <w:tcW w:w="0" w:type="dxa"/>
            <w:vAlign w:val="bottom"/>
          </w:tcPr>
          <w:p>
            <w:pPr>
              <w:spacing w:after="0"/>
              <w:rPr>
                <w:sz w:val="1"/>
                <w:szCs w:val="1"/>
                <w:color w:val="auto"/>
              </w:rPr>
            </w:pPr>
          </w:p>
        </w:tc>
      </w:tr>
      <w:tr>
        <w:trPr>
          <w:trHeight w:val="158"/>
        </w:trPr>
        <w:tc>
          <w:tcPr>
            <w:tcW w:w="4700" w:type="dxa"/>
            <w:vAlign w:val="bottom"/>
          </w:tcPr>
          <w:p>
            <w:pPr>
              <w:ind w:left="180"/>
              <w:spacing w:after="0"/>
              <w:rPr>
                <w:sz w:val="20"/>
                <w:szCs w:val="20"/>
                <w:color w:val="auto"/>
              </w:rPr>
            </w:pPr>
            <w:r>
              <w:rPr>
                <w:rFonts w:ascii="Arial" w:cs="Arial" w:eastAsia="Arial" w:hAnsi="Arial"/>
                <w:sz w:val="11"/>
                <w:szCs w:val="11"/>
                <w:color w:val="auto"/>
              </w:rPr>
              <w:t>Management and leasing fees</w:t>
            </w:r>
          </w:p>
        </w:tc>
        <w:tc>
          <w:tcPr>
            <w:tcW w:w="1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2,820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3,072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8,193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8,695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(502)</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income</w:t>
            </w: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19,844</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13,040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6,804</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58,874</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38,928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19,946</w:t>
            </w:r>
          </w:p>
        </w:tc>
        <w:tc>
          <w:tcPr>
            <w:tcW w:w="0" w:type="dxa"/>
            <w:vAlign w:val="bottom"/>
          </w:tcPr>
          <w:p>
            <w:pPr>
              <w:spacing w:after="0"/>
              <w:rPr>
                <w:sz w:val="1"/>
                <w:szCs w:val="1"/>
                <w:color w:val="auto"/>
              </w:rPr>
            </w:pPr>
          </w:p>
        </w:tc>
      </w:tr>
      <w:tr>
        <w:trPr>
          <w:trHeight w:val="14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467,657</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380,212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87,445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1,389,004</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1,138,014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250,990</w:t>
            </w: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(245,521)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(200,057)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(45,464)</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(715,801)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(598,105)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(117,696)</w:t>
            </w:r>
          </w:p>
        </w:tc>
        <w:tc>
          <w:tcPr>
            <w:tcW w:w="0" w:type="dxa"/>
            <w:vAlign w:val="bottom"/>
          </w:tcPr>
          <w:p>
            <w:pPr>
              <w:spacing w:after="0"/>
              <w:rPr>
                <w:sz w:val="1"/>
                <w:szCs w:val="1"/>
                <w:color w:val="auto"/>
              </w:rPr>
            </w:pP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(169,045)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(144,459)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(24,586)</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(458,801)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(384,945)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(73,856)</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(34,705)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(22,062)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(116,050)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(75,155)</w:t>
            </w:r>
          </w:p>
        </w:tc>
        <w:tc>
          <w:tcPr>
            <w:tcW w:w="0" w:type="dxa"/>
            <w:vAlign w:val="bottom"/>
          </w:tcPr>
          <w:p>
            <w:pPr>
              <w:spacing w:after="0"/>
              <w:rPr>
                <w:sz w:val="1"/>
                <w:szCs w:val="1"/>
                <w:color w:val="auto"/>
              </w:rPr>
            </w:pP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Income from deferred compensation plan liability</w:t>
            </w:r>
          </w:p>
        </w:tc>
        <w:tc>
          <w:tcPr>
            <w:tcW w:w="1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4,333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4,333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1,269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1,269</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Transaction related costs and other</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0" w:type="dxa"/>
            <w:vAlign w:val="bottom"/>
          </w:tcPr>
          <w:p>
            <w:pPr>
              <w:spacing w:after="0"/>
              <w:rPr>
                <w:sz w:val="1"/>
                <w:szCs w:val="1"/>
                <w:color w:val="auto"/>
              </w:rPr>
            </w:pPr>
          </w:p>
        </w:tc>
      </w:tr>
      <w:tr>
        <w:trPr>
          <w:trHeight w:val="14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expenses</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(445,331)</w:t>
            </w:r>
          </w:p>
        </w:tc>
        <w:tc>
          <w:tcPr>
            <w:tcW w:w="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(357,159)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(88,172)</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(1,290,711)</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(1,024,875)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(265,836)</w:t>
            </w: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from partially owned entities</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23,318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18,916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4,402</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99,335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90,300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9,035</w:t>
            </w:r>
          </w:p>
        </w:tc>
        <w:tc>
          <w:tcPr>
            <w:tcW w:w="0" w:type="dxa"/>
            <w:vAlign w:val="bottom"/>
          </w:tcPr>
          <w:p>
            <w:pPr>
              <w:spacing w:after="0"/>
              <w:rPr>
                <w:sz w:val="1"/>
                <w:szCs w:val="1"/>
                <w:color w:val="auto"/>
              </w:rPr>
            </w:pP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Interest and other investment income, net</w:t>
            </w:r>
          </w:p>
        </w:tc>
        <w:tc>
          <w:tcPr>
            <w:tcW w:w="1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5,107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2,267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2,840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23,423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7,098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16,325</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 from deferred compensation plan assets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(1,269)</w:t>
            </w:r>
          </w:p>
        </w:tc>
        <w:tc>
          <w:tcPr>
            <w:tcW w:w="0" w:type="dxa"/>
            <w:vAlign w:val="bottom"/>
          </w:tcPr>
          <w:p>
            <w:pPr>
              <w:spacing w:after="0"/>
              <w:rPr>
                <w:sz w:val="1"/>
                <w:szCs w:val="1"/>
                <w:color w:val="auto"/>
              </w:rPr>
            </w:pPr>
          </w:p>
        </w:tc>
      </w:tr>
      <w:tr>
        <w:trPr>
          <w:trHeight w:val="158"/>
        </w:trPr>
        <w:tc>
          <w:tcPr>
            <w:tcW w:w="4700" w:type="dxa"/>
            <w:vAlign w:val="bottom"/>
          </w:tcPr>
          <w:p>
            <w:pPr>
              <w:ind w:left="20"/>
              <w:spacing w:after="0"/>
              <w:rPr>
                <w:sz w:val="20"/>
                <w:szCs w:val="20"/>
                <w:color w:val="auto"/>
              </w:rPr>
            </w:pPr>
            <w:r>
              <w:rPr>
                <w:rFonts w:ascii="Arial" w:cs="Arial" w:eastAsia="Arial" w:hAnsi="Arial"/>
                <w:sz w:val="11"/>
                <w:szCs w:val="11"/>
                <w:color w:val="auto"/>
              </w:rPr>
              <w:t>Interest and debt expense</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(88,714)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(36,512)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(52,202)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(267,502)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(112,026)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(155,476)</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debt extinguishment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32,073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31,865</w:t>
            </w:r>
          </w:p>
        </w:tc>
        <w:tc>
          <w:tcPr>
            <w:tcW w:w="0" w:type="dxa"/>
            <w:vAlign w:val="bottom"/>
          </w:tcPr>
          <w:p>
            <w:pPr>
              <w:spacing w:after="0"/>
              <w:rPr>
                <w:sz w:val="1"/>
                <w:szCs w:val="1"/>
                <w:color w:val="auto"/>
              </w:rPr>
            </w:pPr>
          </w:p>
        </w:tc>
      </w:tr>
      <w:tr>
        <w:trPr>
          <w:trHeight w:val="149"/>
        </w:trPr>
        <w:tc>
          <w:tcPr>
            <w:tcW w:w="4700" w:type="dxa"/>
            <w:vAlign w:val="bottom"/>
          </w:tcPr>
          <w:p>
            <w:pPr>
              <w:ind w:left="20"/>
              <w:spacing w:after="0"/>
              <w:rPr>
                <w:sz w:val="20"/>
                <w:szCs w:val="20"/>
                <w:color w:val="auto"/>
              </w:rPr>
            </w:pPr>
            <w:r>
              <w:rPr>
                <w:rFonts w:ascii="Arial" w:cs="Arial" w:eastAsia="Arial" w:hAnsi="Arial"/>
                <w:sz w:val="11"/>
                <w:szCs w:val="11"/>
                <w:color w:val="auto"/>
              </w:rPr>
              <w:t>(Loss) income before income taxes</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(42,296)</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7,724</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(50,020)</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(15,647)</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98,719</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(114,366)</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(3,668)</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(2,557)</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(13,147)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(8,418)</w:t>
            </w:r>
          </w:p>
        </w:tc>
        <w:tc>
          <w:tcPr>
            <w:tcW w:w="0" w:type="dxa"/>
            <w:vAlign w:val="bottom"/>
          </w:tcPr>
          <w:p>
            <w:pPr>
              <w:spacing w:after="0"/>
              <w:rPr>
                <w:sz w:val="1"/>
                <w:szCs w:val="1"/>
                <w:color w:val="auto"/>
              </w:rPr>
            </w:pPr>
          </w:p>
        </w:tc>
      </w:tr>
      <w:tr>
        <w:trPr>
          <w:trHeight w:val="149"/>
        </w:trPr>
        <w:tc>
          <w:tcPr>
            <w:tcW w:w="4700" w:type="dxa"/>
            <w:vAlign w:val="bottom"/>
          </w:tcPr>
          <w:p>
            <w:pPr>
              <w:ind w:left="20"/>
              <w:spacing w:after="0"/>
              <w:rPr>
                <w:sz w:val="20"/>
                <w:szCs w:val="20"/>
                <w:color w:val="auto"/>
              </w:rPr>
            </w:pPr>
            <w:r>
              <w:rPr>
                <w:rFonts w:ascii="Arial" w:cs="Arial" w:eastAsia="Arial" w:hAnsi="Arial"/>
                <w:sz w:val="11"/>
                <w:szCs w:val="11"/>
                <w:color w:val="auto"/>
              </w:rPr>
              <w:t>Net (loss) income</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(45,964)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6,613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(52,577)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(28,794)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93,990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(122,784)</w:t>
            </w:r>
          </w:p>
        </w:tc>
        <w:tc>
          <w:tcPr>
            <w:tcW w:w="0" w:type="dxa"/>
            <w:vAlign w:val="bottom"/>
          </w:tcPr>
          <w:p>
            <w:pPr>
              <w:spacing w:after="0"/>
              <w:rPr>
                <w:sz w:val="1"/>
                <w:szCs w:val="1"/>
                <w:color w:val="auto"/>
              </w:rPr>
            </w:pPr>
          </w:p>
        </w:tc>
      </w:tr>
      <w:tr>
        <w:trPr>
          <w:trHeight w:val="161"/>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net loss (income) attributable to noncontrolling interests in consolidated subsidiaries</w:t>
            </w: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10,180</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8,045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2,135</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17,122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24,923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(7,801)</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rPr>
                <w:sz w:val="20"/>
                <w:szCs w:val="20"/>
                <w:color w:val="auto"/>
              </w:rPr>
            </w:pPr>
            <w:r>
              <w:rPr>
                <w:rFonts w:ascii="Arial" w:cs="Arial" w:eastAsia="Arial" w:hAnsi="Arial"/>
                <w:sz w:val="11"/>
                <w:szCs w:val="11"/>
                <w:color w:val="auto"/>
              </w:rPr>
              <w:t>Net (loss) income attributable to Vornado Realty L.P.</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(35,784)</w:t>
            </w: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14,658</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(50,442)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(11,672)</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118,913</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(130,585)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0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Less net loss attributable to noncontrolling interests in the Operating Partnership</w:t>
            </w: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3"/>
              <w:spacing w:after="0" w:line="123" w:lineRule="exact"/>
              <w:rPr>
                <w:sz w:val="20"/>
                <w:szCs w:val="20"/>
                <w:color w:val="auto"/>
              </w:rPr>
            </w:pPr>
            <w:r>
              <w:rPr>
                <w:rFonts w:ascii="Arial" w:cs="Arial" w:eastAsia="Arial" w:hAnsi="Arial"/>
                <w:sz w:val="11"/>
                <w:szCs w:val="11"/>
                <w:color w:val="auto"/>
              </w:rPr>
              <w:t>4,200</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4,787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Preferred unit distributions</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(15,554)</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(46,661)</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attributable to common shareholders</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(47,138)</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(53,546)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For the three and nine months ended September 30, 2025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 (loss) attributable to Vornado Realty L.P.</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28,151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58,370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(30,219)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962,616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1,062,517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(99,901)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700" w:type="dxa"/>
            <w:vAlign w:val="bottom"/>
          </w:tcPr>
          <w:p>
            <w:pPr>
              <w:ind w:left="120"/>
              <w:spacing w:after="0" w:line="125" w:lineRule="exact"/>
              <w:rPr>
                <w:sz w:val="20"/>
                <w:szCs w:val="20"/>
                <w:color w:val="auto"/>
              </w:rPr>
            </w:pPr>
            <w:r>
              <w:rPr>
                <w:rFonts w:ascii="Arial" w:cs="Arial" w:eastAsia="Arial" w:hAnsi="Arial"/>
                <w:sz w:val="11"/>
                <w:szCs w:val="11"/>
                <w:color w:val="auto"/>
              </w:rPr>
              <w:t>Net income attributable to common shareholders</w:t>
            </w:r>
          </w:p>
        </w:tc>
        <w:tc>
          <w:tcPr>
            <w:tcW w:w="180" w:type="dxa"/>
            <w:vAlign w:val="bottom"/>
            <w:tcBorders>
              <w:bottom w:val="single" w:sz="8" w:color="auto"/>
            </w:tcBorders>
          </w:tcPr>
          <w:p>
            <w:pPr>
              <w:jc w:val="right"/>
              <w:ind w:right="43"/>
              <w:spacing w:after="0" w:line="125" w:lineRule="exact"/>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3"/>
              <w:spacing w:after="0" w:line="125" w:lineRule="exact"/>
              <w:rPr>
                <w:sz w:val="20"/>
                <w:szCs w:val="20"/>
                <w:color w:val="auto"/>
              </w:rPr>
            </w:pPr>
            <w:r>
              <w:rPr>
                <w:rFonts w:ascii="Arial" w:cs="Arial" w:eastAsia="Arial" w:hAnsi="Arial"/>
                <w:sz w:val="11"/>
                <w:szCs w:val="11"/>
                <w:color w:val="auto"/>
              </w:rPr>
              <w:t>11,589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jc w:val="right"/>
              <w:ind w:right="63"/>
              <w:spacing w:after="0" w:line="125" w:lineRule="exact"/>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842,250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1" w:lineRule="exact"/>
        <w:rPr>
          <w:sz w:val="20"/>
          <w:szCs w:val="20"/>
          <w:color w:val="auto"/>
        </w:rPr>
      </w:pPr>
    </w:p>
    <w:p>
      <w:pPr>
        <w:ind w:left="260" w:hanging="254"/>
        <w:spacing w:after="0"/>
        <w:tabs>
          <w:tab w:leader="none" w:pos="260" w:val="left"/>
        </w:tabs>
        <w:numPr>
          <w:ilvl w:val="0"/>
          <w:numId w:val="15"/>
        </w:numPr>
        <w:rPr>
          <w:rFonts w:ascii="Arial" w:cs="Arial" w:eastAsia="Arial" w:hAnsi="Arial"/>
          <w:sz w:val="10"/>
          <w:szCs w:val="10"/>
          <w:b w:val="1"/>
          <w:bCs w:val="1"/>
          <w:color w:val="auto"/>
        </w:rPr>
      </w:pPr>
      <w:r>
        <w:rPr>
          <w:rFonts w:ascii="Arial" w:cs="Arial" w:eastAsia="Arial" w:hAnsi="Arial"/>
          <w:sz w:val="10"/>
          <w:szCs w:val="10"/>
          <w:color w:val="auto"/>
        </w:rPr>
        <w:t>"Property rentals" and "tenant expense reimbursements" represent non-GAAP financial measures which are reconciled above to "rental revenues" the most directly comparable financial measure calculated in accordance with GAAP.</w:t>
      </w:r>
    </w:p>
    <w:p>
      <w:pPr>
        <w:spacing w:after="0" w:line="200" w:lineRule="exact"/>
        <w:rPr>
          <w:rFonts w:ascii="Arial" w:cs="Arial" w:eastAsia="Arial" w:hAnsi="Arial"/>
          <w:sz w:val="10"/>
          <w:szCs w:val="10"/>
          <w:b w:val="1"/>
          <w:bCs w:val="1"/>
          <w:color w:val="auto"/>
        </w:rPr>
      </w:pPr>
    </w:p>
    <w:p>
      <w:pPr>
        <w:spacing w:after="0" w:line="200" w:lineRule="exact"/>
        <w:rPr>
          <w:rFonts w:ascii="Arial" w:cs="Arial" w:eastAsia="Arial" w:hAnsi="Arial"/>
          <w:sz w:val="10"/>
          <w:szCs w:val="10"/>
          <w:b w:val="1"/>
          <w:bCs w:val="1"/>
          <w:color w:val="auto"/>
        </w:rPr>
      </w:pPr>
    </w:p>
    <w:p>
      <w:pPr>
        <w:spacing w:after="0" w:line="271" w:lineRule="exact"/>
        <w:rPr>
          <w:rFonts w:ascii="Arial" w:cs="Arial" w:eastAsia="Arial" w:hAnsi="Arial"/>
          <w:sz w:val="10"/>
          <w:szCs w:val="10"/>
          <w:b w:val="1"/>
          <w:bCs w:val="1"/>
          <w:color w:val="auto"/>
        </w:rPr>
      </w:pPr>
    </w:p>
    <w:p>
      <w:pPr>
        <w:ind w:left="5580" w:hanging="87"/>
        <w:spacing w:after="0"/>
        <w:tabs>
          <w:tab w:leader="none" w:pos="55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12 -</w:t>
      </w:r>
    </w:p>
    <w:p>
      <w:pPr>
        <w:sectPr>
          <w:pgSz w:w="11900" w:h="16838" w:orient="portrait"/>
          <w:cols w:equalWidth="0" w:num="1">
            <w:col w:w="11280"/>
          </w:cols>
          <w:pgMar w:left="300" w:top="981" w:right="319" w:bottom="1440" w:gutter="0" w:footer="0" w:header="0"/>
        </w:sectPr>
      </w:pPr>
    </w:p>
    <w:bookmarkStart w:id="33" w:name="page34"/>
    <w:bookmarkEnd w:id="33"/>
    <w:p>
      <w:pPr>
        <w:ind w:left="20" w:right="440"/>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NET OPERATING INCOME AT SHARE AND NET OPERATING INCOME AT SHARE - CASH BASIS BY SEGMENT AND SUBSEGMENT (NON-GAAP)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6026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gridSpan w:val="13"/>
          </w:tcPr>
          <w:p>
            <w:pPr>
              <w:ind w:left="620"/>
              <w:spacing w:after="0"/>
              <w:rPr>
                <w:sz w:val="20"/>
                <w:szCs w:val="20"/>
                <w:color w:val="auto"/>
              </w:rPr>
            </w:pPr>
            <w:r>
              <w:rPr>
                <w:rFonts w:ascii="Arial" w:cs="Arial" w:eastAsia="Arial" w:hAnsi="Arial"/>
                <w:sz w:val="11"/>
                <w:szCs w:val="11"/>
                <w:b w:val="1"/>
                <w:bCs w:val="1"/>
                <w:color w:val="auto"/>
              </w:rPr>
              <w:t>For the Three Months Ended</w:t>
            </w:r>
          </w:p>
        </w:tc>
        <w:tc>
          <w:tcPr>
            <w:tcW w:w="180" w:type="dxa"/>
            <w:vAlign w:val="bottom"/>
          </w:tcPr>
          <w:p>
            <w:pPr>
              <w:spacing w:after="0"/>
              <w:rPr>
                <w:sz w:val="13"/>
                <w:szCs w:val="13"/>
                <w:color w:val="auto"/>
              </w:rPr>
            </w:pPr>
          </w:p>
        </w:tc>
        <w:tc>
          <w:tcPr>
            <w:tcW w:w="1920" w:type="dxa"/>
            <w:vAlign w:val="bottom"/>
            <w:gridSpan w:val="5"/>
          </w:tcPr>
          <w:p>
            <w:pPr>
              <w:jc w:val="right"/>
              <w:ind w:right="243"/>
              <w:spacing w:after="0"/>
              <w:rPr>
                <w:sz w:val="20"/>
                <w:szCs w:val="20"/>
                <w:color w:val="auto"/>
              </w:rPr>
            </w:pPr>
            <w:r>
              <w:rPr>
                <w:rFonts w:ascii="Arial" w:cs="Arial" w:eastAsia="Arial" w:hAnsi="Arial"/>
                <w:sz w:val="11"/>
                <w:szCs w:val="11"/>
                <w:b w:val="1"/>
                <w:bCs w:val="1"/>
                <w:color w:val="auto"/>
              </w:rPr>
              <w:t>For the Nine Months Ended</w:t>
            </w:r>
          </w:p>
        </w:tc>
        <w:tc>
          <w:tcPr>
            <w:tcW w:w="0" w:type="dxa"/>
            <w:vAlign w:val="bottom"/>
          </w:tcPr>
          <w:p>
            <w:pPr>
              <w:spacing w:after="0"/>
              <w:rPr>
                <w:sz w:val="1"/>
                <w:szCs w:val="1"/>
                <w:color w:val="auto"/>
              </w:rPr>
            </w:pPr>
          </w:p>
        </w:tc>
      </w:tr>
      <w:tr>
        <w:trPr>
          <w:trHeight w:val="153"/>
        </w:trPr>
        <w:tc>
          <w:tcPr>
            <w:tcW w:w="5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September 30,</w:t>
            </w:r>
          </w:p>
        </w:tc>
        <w:tc>
          <w:tcPr>
            <w:tcW w:w="6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gridSpan w:val="2"/>
          </w:tcPr>
          <w:p>
            <w:pPr>
              <w:ind w:left="20"/>
              <w:spacing w:after="0"/>
              <w:rPr>
                <w:sz w:val="20"/>
                <w:szCs w:val="20"/>
                <w:color w:val="auto"/>
              </w:rPr>
            </w:pPr>
            <w:r>
              <w:rPr>
                <w:rFonts w:ascii="Arial" w:cs="Arial" w:eastAsia="Arial" w:hAnsi="Arial"/>
                <w:sz w:val="11"/>
                <w:szCs w:val="11"/>
                <w:b w:val="1"/>
                <w:bCs w:val="1"/>
                <w:color w:val="auto"/>
              </w:rPr>
              <w:t>NOI at share:</w:t>
            </w:r>
          </w:p>
        </w:tc>
        <w:tc>
          <w:tcPr>
            <w:tcW w:w="220" w:type="dxa"/>
            <w:vAlign w:val="bottom"/>
          </w:tcPr>
          <w:p>
            <w:pPr>
              <w:spacing w:after="0"/>
              <w:rPr>
                <w:sz w:val="13"/>
                <w:szCs w:val="13"/>
                <w:color w:val="auto"/>
              </w:rPr>
            </w:pPr>
          </w:p>
        </w:tc>
        <w:tc>
          <w:tcPr>
            <w:tcW w:w="800" w:type="dxa"/>
            <w:vAlign w:val="bottom"/>
          </w:tcPr>
          <w:p>
            <w:pPr>
              <w:jc w:val="right"/>
              <w:ind w:right="323"/>
              <w:spacing w:after="0"/>
              <w:rPr>
                <w:sz w:val="20"/>
                <w:szCs w:val="20"/>
                <w:color w:val="auto"/>
              </w:rPr>
            </w:pPr>
            <w:r>
              <w:rPr>
                <w:rFonts w:ascii="Arial" w:cs="Arial" w:eastAsia="Arial" w:hAnsi="Arial"/>
                <w:sz w:val="11"/>
                <w:szCs w:val="11"/>
                <w:b w:val="1"/>
                <w:bCs w:val="1"/>
                <w:color w:val="auto"/>
              </w:rPr>
              <w:t>2026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June 30, 2026</w:t>
            </w:r>
          </w:p>
        </w:tc>
        <w:tc>
          <w:tcPr>
            <w:tcW w:w="180" w:type="dxa"/>
            <w:vAlign w:val="bottom"/>
          </w:tcPr>
          <w:p>
            <w:pPr>
              <w:spacing w:after="0"/>
              <w:rPr>
                <w:sz w:val="13"/>
                <w:szCs w:val="13"/>
                <w:color w:val="auto"/>
              </w:rPr>
            </w:pPr>
          </w:p>
        </w:tc>
        <w:tc>
          <w:tcPr>
            <w:tcW w:w="8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ind w:right="323"/>
              <w:spacing w:after="0"/>
              <w:rPr>
                <w:sz w:val="20"/>
                <w:szCs w:val="20"/>
                <w:color w:val="auto"/>
              </w:rPr>
            </w:pPr>
            <w:r>
              <w:rPr>
                <w:rFonts w:ascii="Arial" w:cs="Arial" w:eastAsia="Arial" w:hAnsi="Arial"/>
                <w:sz w:val="11"/>
                <w:szCs w:val="11"/>
                <w:b w:val="1"/>
                <w:bCs w:val="1"/>
                <w:color w:val="auto"/>
                <w:w w:val="97"/>
              </w:rPr>
              <w:t>2025</w:t>
            </w:r>
          </w:p>
        </w:tc>
        <w:tc>
          <w:tcPr>
            <w:tcW w:w="0" w:type="dxa"/>
            <w:vAlign w:val="bottom"/>
          </w:tcPr>
          <w:p>
            <w:pPr>
              <w:spacing w:after="0"/>
              <w:rPr>
                <w:sz w:val="1"/>
                <w:szCs w:val="1"/>
                <w:color w:val="auto"/>
              </w:rPr>
            </w:pPr>
          </w:p>
        </w:tc>
      </w:tr>
      <w:tr>
        <w:trPr>
          <w:trHeight w:val="139"/>
        </w:trPr>
        <w:tc>
          <w:tcPr>
            <w:tcW w:w="5860" w:type="dxa"/>
            <w:vAlign w:val="bottom"/>
            <w:gridSpan w:val="2"/>
          </w:tcPr>
          <w:p>
            <w:pPr>
              <w:ind w:left="20"/>
              <w:spacing w:after="0"/>
              <w:rPr>
                <w:sz w:val="20"/>
                <w:szCs w:val="20"/>
                <w:color w:val="auto"/>
              </w:rPr>
            </w:pPr>
            <w:r>
              <w:rPr>
                <w:rFonts w:ascii="Arial" w:cs="Arial" w:eastAsia="Arial" w:hAnsi="Arial"/>
                <w:sz w:val="11"/>
                <w:szCs w:val="11"/>
                <w:color w:val="auto"/>
              </w:rPr>
              <w:t>New York:</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Office (includes base retail)</w:t>
            </w:r>
            <w:r>
              <w:rPr>
                <w:rFonts w:ascii="Arial" w:cs="Arial" w:eastAsia="Arial" w:hAnsi="Arial"/>
                <w:sz w:val="14"/>
                <w:szCs w:val="14"/>
                <w:b w:val="1"/>
                <w:bCs w:val="1"/>
                <w:color w:val="auto"/>
                <w:vertAlign w:val="superscript"/>
              </w:rPr>
              <w:t>(1)(2)</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189,099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169,140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183,424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547,466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533,625</w:t>
            </w:r>
          </w:p>
        </w:tc>
        <w:tc>
          <w:tcPr>
            <w:tcW w:w="0" w:type="dxa"/>
            <w:vAlign w:val="bottom"/>
          </w:tcPr>
          <w:p>
            <w:pPr>
              <w:spacing w:after="0"/>
              <w:rPr>
                <w:sz w:val="1"/>
                <w:szCs w:val="1"/>
                <w:color w:val="auto"/>
              </w:rPr>
            </w:pPr>
          </w:p>
        </w:tc>
      </w:tr>
      <w:tr>
        <w:trPr>
          <w:trHeight w:val="161"/>
        </w:trPr>
        <w:tc>
          <w:tcPr>
            <w:tcW w:w="5860" w:type="dxa"/>
            <w:vAlign w:val="bottom"/>
            <w:gridSpan w:val="2"/>
          </w:tcPr>
          <w:p>
            <w:pPr>
              <w:ind w:left="120"/>
              <w:spacing w:after="0"/>
              <w:rPr>
                <w:sz w:val="20"/>
                <w:szCs w:val="20"/>
                <w:color w:val="auto"/>
              </w:rPr>
            </w:pPr>
            <w:r>
              <w:rPr>
                <w:rFonts w:ascii="Arial" w:cs="Arial" w:eastAsia="Arial" w:hAnsi="Arial"/>
                <w:sz w:val="11"/>
                <w:szCs w:val="11"/>
                <w:color w:val="auto"/>
              </w:rPr>
              <w:t>Street Retail</w:t>
            </w:r>
            <w:r>
              <w:rPr>
                <w:rFonts w:ascii="Arial" w:cs="Arial" w:eastAsia="Arial" w:hAnsi="Arial"/>
                <w:sz w:val="14"/>
                <w:szCs w:val="14"/>
                <w:b w:val="1"/>
                <w:bCs w:val="1"/>
                <w:color w:val="auto"/>
                <w:vertAlign w:val="superscript"/>
              </w:rPr>
              <w:t>(1)</w:t>
            </w:r>
          </w:p>
        </w:tc>
        <w:tc>
          <w:tcPr>
            <w:tcW w:w="22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49,195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43,775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52,533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148,414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131,837</w:t>
            </w:r>
          </w:p>
        </w:tc>
        <w:tc>
          <w:tcPr>
            <w:tcW w:w="0" w:type="dxa"/>
            <w:vAlign w:val="bottom"/>
          </w:tcPr>
          <w:p>
            <w:pPr>
              <w:spacing w:after="0"/>
              <w:rPr>
                <w:sz w:val="1"/>
                <w:szCs w:val="1"/>
                <w:color w:val="auto"/>
              </w:rPr>
            </w:pPr>
          </w:p>
        </w:tc>
      </w:tr>
      <w:tr>
        <w:trPr>
          <w:trHeight w:val="161"/>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7,356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6,457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6,695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21,047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19,011</w:t>
            </w:r>
          </w:p>
        </w:tc>
        <w:tc>
          <w:tcPr>
            <w:tcW w:w="0" w:type="dxa"/>
            <w:vAlign w:val="bottom"/>
          </w:tcPr>
          <w:p>
            <w:pPr>
              <w:spacing w:after="0"/>
              <w:rPr>
                <w:sz w:val="1"/>
                <w:szCs w:val="1"/>
                <w:color w:val="auto"/>
              </w:rPr>
            </w:pPr>
          </w:p>
        </w:tc>
      </w:tr>
      <w:tr>
        <w:trPr>
          <w:trHeight w:val="161"/>
        </w:trPr>
        <w:tc>
          <w:tcPr>
            <w:tcW w:w="5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Alexander’s</w:t>
            </w:r>
            <w:r>
              <w:rPr>
                <w:rFonts w:ascii="Arial" w:cs="Arial" w:eastAsia="Arial" w:hAnsi="Arial"/>
                <w:sz w:val="14"/>
                <w:szCs w:val="14"/>
                <w:b w:val="1"/>
                <w:bCs w:val="1"/>
                <w:color w:val="auto"/>
                <w:vertAlign w:val="superscript"/>
              </w:rPr>
              <w:t>(3)</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14,970</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8,770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9,046</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31,940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26,594</w:t>
            </w:r>
          </w:p>
        </w:tc>
        <w:tc>
          <w:tcPr>
            <w:tcW w:w="0" w:type="dxa"/>
            <w:vAlign w:val="bottom"/>
          </w:tcPr>
          <w:p>
            <w:pPr>
              <w:spacing w:after="0"/>
              <w:rPr>
                <w:sz w:val="1"/>
                <w:szCs w:val="1"/>
                <w:color w:val="auto"/>
              </w:rPr>
            </w:pPr>
          </w:p>
        </w:tc>
      </w:tr>
      <w:tr>
        <w:trPr>
          <w:trHeight w:val="152"/>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Total New York</w:t>
            </w: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260,620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228,142</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251,698</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748,867</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711,067</w:t>
            </w:r>
          </w:p>
        </w:tc>
        <w:tc>
          <w:tcPr>
            <w:tcW w:w="0" w:type="dxa"/>
            <w:vAlign w:val="bottom"/>
          </w:tcPr>
          <w:p>
            <w:pPr>
              <w:spacing w:after="0"/>
              <w:rPr>
                <w:sz w:val="1"/>
                <w:szCs w:val="1"/>
                <w:color w:val="auto"/>
              </w:rPr>
            </w:pPr>
          </w:p>
        </w:tc>
      </w:tr>
      <w:tr>
        <w:trPr>
          <w:trHeight w:val="138"/>
        </w:trPr>
        <w:tc>
          <w:tcPr>
            <w:tcW w:w="5860" w:type="dxa"/>
            <w:vAlign w:val="bottom"/>
            <w:gridSpan w:val="2"/>
          </w:tcPr>
          <w:p>
            <w:pPr>
              <w:ind w:left="20"/>
              <w:spacing w:after="0"/>
              <w:rPr>
                <w:sz w:val="20"/>
                <w:szCs w:val="20"/>
                <w:color w:val="auto"/>
              </w:rPr>
            </w:pPr>
            <w:r>
              <w:rPr>
                <w:rFonts w:ascii="Arial" w:cs="Arial" w:eastAsia="Arial" w:hAnsi="Arial"/>
                <w:sz w:val="11"/>
                <w:szCs w:val="1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THE MART</w:t>
            </w:r>
            <w:r>
              <w:rPr>
                <w:rFonts w:ascii="Arial" w:cs="Arial" w:eastAsia="Arial" w:hAnsi="Arial"/>
                <w:sz w:val="14"/>
                <w:szCs w:val="14"/>
                <w:b w:val="1"/>
                <w:bCs w:val="1"/>
                <w:color w:val="auto"/>
                <w:vertAlign w:val="superscript"/>
              </w:rPr>
              <w:t>(4)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13,948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27,299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57,137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54,388</w:t>
            </w:r>
          </w:p>
        </w:tc>
        <w:tc>
          <w:tcPr>
            <w:tcW w:w="0" w:type="dxa"/>
            <w:vAlign w:val="bottom"/>
          </w:tcPr>
          <w:p>
            <w:pPr>
              <w:spacing w:after="0"/>
              <w:rPr>
                <w:sz w:val="1"/>
                <w:szCs w:val="1"/>
                <w:color w:val="auto"/>
              </w:rPr>
            </w:pPr>
          </w:p>
        </w:tc>
      </w:tr>
      <w:tr>
        <w:trPr>
          <w:trHeight w:val="158"/>
        </w:trPr>
        <w:tc>
          <w:tcPr>
            <w:tcW w:w="5860" w:type="dxa"/>
            <w:vAlign w:val="bottom"/>
            <w:gridSpan w:val="2"/>
          </w:tcPr>
          <w:p>
            <w:pPr>
              <w:ind w:left="120"/>
              <w:spacing w:after="0"/>
              <w:rPr>
                <w:sz w:val="20"/>
                <w:szCs w:val="20"/>
                <w:color w:val="auto"/>
              </w:rPr>
            </w:pPr>
            <w:r>
              <w:rPr>
                <w:rFonts w:ascii="Arial" w:cs="Arial" w:eastAsia="Arial" w:hAnsi="Arial"/>
                <w:sz w:val="11"/>
                <w:szCs w:val="11"/>
                <w:color w:val="auto"/>
              </w:rPr>
              <w:t>555 California Street</w:t>
            </w: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15,831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17,293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14,850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44,332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53,822</w:t>
            </w:r>
          </w:p>
        </w:tc>
        <w:tc>
          <w:tcPr>
            <w:tcW w:w="0" w:type="dxa"/>
            <w:vAlign w:val="bottom"/>
          </w:tcPr>
          <w:p>
            <w:pPr>
              <w:spacing w:after="0"/>
              <w:rPr>
                <w:sz w:val="1"/>
                <w:szCs w:val="1"/>
                <w:color w:val="auto"/>
              </w:rPr>
            </w:pPr>
          </w:p>
        </w:tc>
      </w:tr>
      <w:tr>
        <w:trPr>
          <w:trHeight w:val="165"/>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Other investments</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9,655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7,966</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10,217</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25,905</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18,362</w:t>
            </w:r>
          </w:p>
        </w:tc>
        <w:tc>
          <w:tcPr>
            <w:tcW w:w="0" w:type="dxa"/>
            <w:vAlign w:val="bottom"/>
          </w:tcPr>
          <w:p>
            <w:pPr>
              <w:spacing w:after="0"/>
              <w:rPr>
                <w:sz w:val="1"/>
                <w:szCs w:val="1"/>
                <w:color w:val="auto"/>
              </w:rPr>
            </w:pPr>
          </w:p>
        </w:tc>
      </w:tr>
      <w:tr>
        <w:trPr>
          <w:trHeight w:val="149"/>
        </w:trPr>
        <w:tc>
          <w:tcPr>
            <w:tcW w:w="5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Total Other</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39,434</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38,534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52,366</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127,374</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126,572</w:t>
            </w:r>
          </w:p>
        </w:tc>
        <w:tc>
          <w:tcPr>
            <w:tcW w:w="0" w:type="dxa"/>
            <w:vAlign w:val="bottom"/>
          </w:tcPr>
          <w:p>
            <w:pPr>
              <w:spacing w:after="0"/>
              <w:rPr>
                <w:sz w:val="1"/>
                <w:szCs w:val="1"/>
                <w:color w:val="auto"/>
              </w:rPr>
            </w:pPr>
          </w:p>
        </w:tc>
      </w:tr>
      <w:tr>
        <w:trPr>
          <w:trHeight w:val="181"/>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NOI at share</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300,054</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266,676</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304,064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876,241</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837,639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1"/>
                <w:szCs w:val="11"/>
                <w:b w:val="1"/>
                <w:bCs w:val="1"/>
                <w:color w:val="auto"/>
              </w:rPr>
              <w:t>NOI at share - cash basis: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860" w:type="dxa"/>
            <w:vAlign w:val="bottom"/>
            <w:gridSpan w:val="2"/>
          </w:tcPr>
          <w:p>
            <w:pPr>
              <w:ind w:left="20"/>
              <w:spacing w:after="0"/>
              <w:rPr>
                <w:sz w:val="20"/>
                <w:szCs w:val="20"/>
                <w:color w:val="auto"/>
              </w:rPr>
            </w:pPr>
            <w:r>
              <w:rPr>
                <w:rFonts w:ascii="Arial" w:cs="Arial" w:eastAsia="Arial" w:hAnsi="Arial"/>
                <w:sz w:val="11"/>
                <w:szCs w:val="11"/>
                <w:color w:val="auto"/>
              </w:rPr>
              <w:t>New York:</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Office (includes base retail)</w:t>
            </w:r>
            <w:r>
              <w:rPr>
                <w:rFonts w:ascii="Arial" w:cs="Arial" w:eastAsia="Arial" w:hAnsi="Arial"/>
                <w:sz w:val="7"/>
                <w:szCs w:val="7"/>
                <w:b w:val="1"/>
                <w:bCs w:val="1"/>
                <w:color w:val="auto"/>
              </w:rPr>
              <w:t>(1)(2)(5)</w:t>
            </w:r>
          </w:p>
        </w:tc>
        <w:tc>
          <w:tcPr>
            <w:tcW w:w="220" w:type="dxa"/>
            <w:vAlign w:val="bottom"/>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155,305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142,751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155,899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463,167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436,265</w:t>
            </w:r>
          </w:p>
        </w:tc>
        <w:tc>
          <w:tcPr>
            <w:tcW w:w="0" w:type="dxa"/>
            <w:vAlign w:val="bottom"/>
          </w:tcPr>
          <w:p>
            <w:pPr>
              <w:spacing w:after="0"/>
              <w:rPr>
                <w:sz w:val="1"/>
                <w:szCs w:val="1"/>
                <w:color w:val="auto"/>
              </w:rPr>
            </w:pPr>
          </w:p>
        </w:tc>
      </w:tr>
      <w:tr>
        <w:trPr>
          <w:trHeight w:val="158"/>
        </w:trPr>
        <w:tc>
          <w:tcPr>
            <w:tcW w:w="5860" w:type="dxa"/>
            <w:vAlign w:val="bottom"/>
            <w:gridSpan w:val="2"/>
          </w:tcPr>
          <w:p>
            <w:pPr>
              <w:ind w:left="120"/>
              <w:spacing w:after="0"/>
              <w:rPr>
                <w:sz w:val="20"/>
                <w:szCs w:val="20"/>
                <w:color w:val="auto"/>
              </w:rPr>
            </w:pPr>
            <w:r>
              <w:rPr>
                <w:rFonts w:ascii="Arial" w:cs="Arial" w:eastAsia="Arial" w:hAnsi="Arial"/>
                <w:sz w:val="11"/>
                <w:szCs w:val="11"/>
                <w:color w:val="auto"/>
              </w:rPr>
              <w:t>Street Retail</w:t>
            </w:r>
            <w:r>
              <w:rPr>
                <w:rFonts w:ascii="Arial" w:cs="Arial" w:eastAsia="Arial" w:hAnsi="Arial"/>
                <w:sz w:val="7"/>
                <w:szCs w:val="7"/>
                <w:b w:val="1"/>
                <w:bCs w:val="1"/>
                <w:color w:val="auto"/>
              </w:rPr>
              <w:t>(1)</w:t>
            </w: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44,398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40,169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49,754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135,391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124,622</w:t>
            </w:r>
          </w:p>
        </w:tc>
        <w:tc>
          <w:tcPr>
            <w:tcW w:w="0" w:type="dxa"/>
            <w:vAlign w:val="bottom"/>
          </w:tcPr>
          <w:p>
            <w:pPr>
              <w:spacing w:after="0"/>
              <w:rPr>
                <w:sz w:val="1"/>
                <w:szCs w:val="1"/>
                <w:color w:val="auto"/>
              </w:rPr>
            </w:pPr>
          </w:p>
        </w:tc>
      </w:tr>
      <w:tr>
        <w:trPr>
          <w:trHeight w:val="165"/>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7,068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6,354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17,827</w:t>
            </w:r>
          </w:p>
        </w:tc>
        <w:tc>
          <w:tcPr>
            <w:tcW w:w="0" w:type="dxa"/>
            <w:vAlign w:val="bottom"/>
          </w:tcPr>
          <w:p>
            <w:pPr>
              <w:spacing w:after="0"/>
              <w:rPr>
                <w:sz w:val="1"/>
                <w:szCs w:val="1"/>
                <w:color w:val="auto"/>
              </w:rPr>
            </w:pPr>
          </w:p>
        </w:tc>
      </w:tr>
      <w:tr>
        <w:trPr>
          <w:trHeight w:val="158"/>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Alexander's</w:t>
            </w:r>
            <w:r>
              <w:rPr>
                <w:rFonts w:ascii="Arial" w:cs="Arial" w:eastAsia="Arial" w:hAnsi="Arial"/>
                <w:sz w:val="7"/>
                <w:szCs w:val="7"/>
                <w:b w:val="1"/>
                <w:bCs w:val="1"/>
                <w:color w:val="auto"/>
              </w:rPr>
              <w:t>(3)(6)</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11,227</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9,509</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22,933</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29,391</w:t>
            </w:r>
          </w:p>
        </w:tc>
        <w:tc>
          <w:tcPr>
            <w:tcW w:w="0" w:type="dxa"/>
            <w:vAlign w:val="bottom"/>
          </w:tcPr>
          <w:p>
            <w:pPr>
              <w:spacing w:after="0"/>
              <w:rPr>
                <w:sz w:val="1"/>
                <w:szCs w:val="1"/>
                <w:color w:val="auto"/>
              </w:rPr>
            </w:pPr>
          </w:p>
        </w:tc>
      </w:tr>
      <w:tr>
        <w:trPr>
          <w:trHeight w:val="156"/>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Total New York</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217,998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198,418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214,957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641,484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608,105</w:t>
            </w:r>
          </w:p>
        </w:tc>
        <w:tc>
          <w:tcPr>
            <w:tcW w:w="0" w:type="dxa"/>
            <w:vAlign w:val="bottom"/>
          </w:tcPr>
          <w:p>
            <w:pPr>
              <w:spacing w:after="0"/>
              <w:rPr>
                <w:sz w:val="1"/>
                <w:szCs w:val="1"/>
                <w:color w:val="auto"/>
              </w:rPr>
            </w:pPr>
          </w:p>
        </w:tc>
      </w:tr>
      <w:tr>
        <w:trPr>
          <w:trHeight w:val="138"/>
        </w:trPr>
        <w:tc>
          <w:tcPr>
            <w:tcW w:w="5840" w:type="dxa"/>
            <w:vAlign w:val="bottom"/>
          </w:tcPr>
          <w:p>
            <w:pPr>
              <w:ind w:left="20"/>
              <w:spacing w:after="0"/>
              <w:rPr>
                <w:sz w:val="20"/>
                <w:szCs w:val="20"/>
                <w:color w:val="auto"/>
              </w:rPr>
            </w:pPr>
            <w:r>
              <w:rPr>
                <w:rFonts w:ascii="Arial" w:cs="Arial" w:eastAsia="Arial" w:hAnsi="Arial"/>
                <w:sz w:val="11"/>
                <w:szCs w:val="11"/>
                <w:color w:val="auto"/>
              </w:rPr>
              <w:t>Other:</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THE MART</w:t>
            </w:r>
            <w:r>
              <w:rPr>
                <w:rFonts w:ascii="Arial" w:cs="Arial" w:eastAsia="Arial" w:hAnsi="Arial"/>
                <w:sz w:val="7"/>
                <w:szCs w:val="7"/>
                <w:b w:val="1"/>
                <w:bCs w:val="1"/>
                <w:color w:val="auto"/>
              </w:rPr>
              <w:t>(4)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15,571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28,873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62,069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56,042</w:t>
            </w:r>
          </w:p>
        </w:tc>
        <w:tc>
          <w:tcPr>
            <w:tcW w:w="0" w:type="dxa"/>
            <w:vAlign w:val="bottom"/>
          </w:tcPr>
          <w:p>
            <w:pPr>
              <w:spacing w:after="0"/>
              <w:rPr>
                <w:sz w:val="1"/>
                <w:szCs w:val="1"/>
                <w:color w:val="auto"/>
              </w:rPr>
            </w:pPr>
          </w:p>
        </w:tc>
      </w:tr>
      <w:tr>
        <w:trPr>
          <w:trHeight w:val="158"/>
        </w:trPr>
        <w:tc>
          <w:tcPr>
            <w:tcW w:w="5860" w:type="dxa"/>
            <w:vAlign w:val="bottom"/>
            <w:gridSpan w:val="2"/>
          </w:tcPr>
          <w:p>
            <w:pPr>
              <w:ind w:left="120"/>
              <w:spacing w:after="0"/>
              <w:rPr>
                <w:sz w:val="20"/>
                <w:szCs w:val="20"/>
                <w:color w:val="auto"/>
              </w:rPr>
            </w:pPr>
            <w:r>
              <w:rPr>
                <w:rFonts w:ascii="Arial" w:cs="Arial" w:eastAsia="Arial" w:hAnsi="Arial"/>
                <w:sz w:val="11"/>
                <w:szCs w:val="11"/>
                <w:color w:val="auto"/>
              </w:rPr>
              <w:t>555 California Street</w:t>
            </w: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12,112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16,455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8,962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29,933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55,276</w:t>
            </w:r>
          </w:p>
        </w:tc>
        <w:tc>
          <w:tcPr>
            <w:tcW w:w="0" w:type="dxa"/>
            <w:vAlign w:val="bottom"/>
          </w:tcPr>
          <w:p>
            <w:pPr>
              <w:spacing w:after="0"/>
              <w:rPr>
                <w:sz w:val="1"/>
                <w:szCs w:val="1"/>
                <w:color w:val="auto"/>
              </w:rPr>
            </w:pPr>
          </w:p>
        </w:tc>
      </w:tr>
      <w:tr>
        <w:trPr>
          <w:trHeight w:val="161"/>
        </w:trPr>
        <w:tc>
          <w:tcPr>
            <w:tcW w:w="58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investments</w:t>
            </w: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9,978</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7,790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10,391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26,413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17,597</w:t>
            </w:r>
          </w:p>
        </w:tc>
        <w:tc>
          <w:tcPr>
            <w:tcW w:w="0" w:type="dxa"/>
            <w:vAlign w:val="bottom"/>
          </w:tcPr>
          <w:p>
            <w:pPr>
              <w:spacing w:after="0"/>
              <w:rPr>
                <w:sz w:val="1"/>
                <w:szCs w:val="1"/>
                <w:color w:val="auto"/>
              </w:rPr>
            </w:pPr>
          </w:p>
        </w:tc>
      </w:tr>
      <w:tr>
        <w:trPr>
          <w:trHeight w:val="152"/>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Other</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37,661</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37,512</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48,226</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118,415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128,915</w:t>
            </w:r>
          </w:p>
        </w:tc>
        <w:tc>
          <w:tcPr>
            <w:tcW w:w="0" w:type="dxa"/>
            <w:vAlign w:val="bottom"/>
          </w:tcPr>
          <w:p>
            <w:pPr>
              <w:spacing w:after="0"/>
              <w:rPr>
                <w:sz w:val="1"/>
                <w:szCs w:val="1"/>
                <w:color w:val="auto"/>
              </w:rPr>
            </w:pPr>
          </w:p>
        </w:tc>
      </w:tr>
      <w:tr>
        <w:trPr>
          <w:trHeight w:val="17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NOI at share - cash basis</w:t>
            </w:r>
          </w:p>
        </w:tc>
        <w:tc>
          <w:tcPr>
            <w:tcW w:w="220" w:type="dxa"/>
            <w:vAlign w:val="bottom"/>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255,659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235,930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263,183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759,899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737,020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6" w:lineRule="exact"/>
        <w:rPr>
          <w:sz w:val="20"/>
          <w:szCs w:val="20"/>
          <w:color w:val="auto"/>
        </w:rPr>
      </w:pPr>
    </w:p>
    <w:p>
      <w:pPr>
        <w:jc w:val="both"/>
        <w:ind w:left="260" w:hanging="254"/>
        <w:spacing w:after="0" w:line="265" w:lineRule="auto"/>
        <w:tabs>
          <w:tab w:leader="none" w:pos="249" w:val="left"/>
        </w:tabs>
        <w:numPr>
          <w:ilvl w:val="0"/>
          <w:numId w:val="16"/>
        </w:numPr>
        <w:rPr>
          <w:rFonts w:ascii="Arial" w:cs="Arial" w:eastAsia="Arial" w:hAnsi="Arial"/>
          <w:sz w:val="11"/>
          <w:szCs w:val="11"/>
          <w:b w:val="1"/>
          <w:bCs w:val="1"/>
          <w:color w:val="auto"/>
        </w:rPr>
      </w:pPr>
      <w:r>
        <w:rPr>
          <w:rFonts w:ascii="Arial" w:cs="Arial" w:eastAsia="Arial" w:hAnsi="Arial"/>
          <w:sz w:val="11"/>
          <w:szCs w:val="11"/>
          <w:color w:val="auto"/>
        </w:rPr>
        <w:t>During the first quarter of 2026, we reclassified retail assets located at the base of our office buildings from the retail subsegment to the office subsegment. The retail subsegment was renamed “Street Retail” and now comprises standalone retail properties and mixed-use assets with prominent retail components, including related signage, with a concentration on High Streets such as Fifth Avenue, Madison Avenue and Times Square. Please see our Property Table on pages 36 - 43 for the composition of each subsegment. Prior period balances have been reclassified to conform to current period presentation. This change applies only to net operating income; all other operating metrics, including occupancy, leasing activity, and lease expirations continue to be presented based on space type.</w:t>
      </w:r>
    </w:p>
    <w:p>
      <w:pPr>
        <w:ind w:left="260" w:hanging="254"/>
        <w:spacing w:after="0" w:line="265" w:lineRule="auto"/>
        <w:tabs>
          <w:tab w:leader="none" w:pos="249" w:val="left"/>
        </w:tabs>
        <w:numPr>
          <w:ilvl w:val="0"/>
          <w:numId w:val="16"/>
        </w:numPr>
        <w:rPr>
          <w:rFonts w:ascii="Arial" w:cs="Arial" w:eastAsia="Arial" w:hAnsi="Arial"/>
          <w:sz w:val="11"/>
          <w:szCs w:val="11"/>
          <w:b w:val="1"/>
          <w:bCs w:val="1"/>
          <w:color w:val="auto"/>
        </w:rPr>
      </w:pPr>
      <w:r>
        <w:rPr>
          <w:rFonts w:ascii="Arial" w:cs="Arial" w:eastAsia="Arial" w:hAnsi="Arial"/>
          <w:sz w:val="11"/>
          <w:szCs w:val="11"/>
          <w:color w:val="auto"/>
        </w:rPr>
        <w:t>Includes BMS NOI of $4,931, $6,985, $7,306, $22,407 and $21,505 for the three months ended September 30, 2026 and 2025 and June 30, 2026 and the nine months ended September 30, 2026 and 2025, respectively.</w:t>
      </w:r>
    </w:p>
    <w:p>
      <w:pPr>
        <w:spacing w:after="0" w:line="140" w:lineRule="exact"/>
        <w:rPr>
          <w:rFonts w:ascii="Arial" w:cs="Arial" w:eastAsia="Arial" w:hAnsi="Arial"/>
          <w:sz w:val="11"/>
          <w:szCs w:val="11"/>
          <w:b w:val="1"/>
          <w:bCs w:val="1"/>
          <w:color w:val="auto"/>
        </w:rPr>
      </w:pPr>
    </w:p>
    <w:p>
      <w:pPr>
        <w:ind w:left="260" w:hanging="254"/>
        <w:spacing w:after="0"/>
        <w:tabs>
          <w:tab w:leader="none" w:pos="260" w:val="left"/>
        </w:tabs>
        <w:numPr>
          <w:ilvl w:val="0"/>
          <w:numId w:val="16"/>
        </w:numPr>
        <w:rPr>
          <w:rFonts w:ascii="Arial" w:cs="Arial" w:eastAsia="Arial" w:hAnsi="Arial"/>
          <w:sz w:val="11"/>
          <w:szCs w:val="11"/>
          <w:b w:val="1"/>
          <w:bCs w:val="1"/>
          <w:color w:val="auto"/>
        </w:rPr>
      </w:pPr>
      <w:r>
        <w:rPr>
          <w:rFonts w:ascii="Arial" w:cs="Arial" w:eastAsia="Arial" w:hAnsi="Arial"/>
          <w:sz w:val="11"/>
          <w:szCs w:val="11"/>
          <w:color w:val="auto"/>
        </w:rPr>
        <w:t>The three and nine months ended September 30, 2026 include termination income at the Rego Park shopping center.</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16"/>
        </w:numPr>
        <w:rPr>
          <w:rFonts w:ascii="Arial" w:cs="Arial" w:eastAsia="Arial" w:hAnsi="Arial"/>
          <w:sz w:val="11"/>
          <w:szCs w:val="11"/>
          <w:b w:val="1"/>
          <w:bCs w:val="1"/>
          <w:color w:val="auto"/>
        </w:rPr>
      </w:pPr>
      <w:r>
        <w:rPr>
          <w:rFonts w:ascii="Arial" w:cs="Arial" w:eastAsia="Arial" w:hAnsi="Arial"/>
          <w:sz w:val="11"/>
          <w:szCs w:val="11"/>
          <w:color w:val="auto"/>
        </w:rPr>
        <w:t>The three months ended June 30, 2026 includes the impact of a reversal of a prior period tax accrual resulting from a property tax reassessment.</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16"/>
        </w:numPr>
        <w:rPr>
          <w:rFonts w:ascii="Arial" w:cs="Arial" w:eastAsia="Arial" w:hAnsi="Arial"/>
          <w:sz w:val="11"/>
          <w:szCs w:val="11"/>
          <w:b w:val="1"/>
          <w:bCs w:val="1"/>
          <w:color w:val="auto"/>
        </w:rPr>
      </w:pPr>
      <w:r>
        <w:rPr>
          <w:rFonts w:ascii="Arial" w:cs="Arial" w:eastAsia="Arial" w:hAnsi="Arial"/>
          <w:sz w:val="11"/>
          <w:szCs w:val="11"/>
          <w:color w:val="auto"/>
        </w:rPr>
        <w:t>The nine months ended September 30, 2025 includes the impact of the payment of $22,361 for prior period PENN 1 ground rent owed based on the rent reset determination.</w:t>
      </w:r>
    </w:p>
    <w:p>
      <w:pPr>
        <w:spacing w:after="0" w:line="2" w:lineRule="exact"/>
        <w:rPr>
          <w:rFonts w:ascii="Arial" w:cs="Arial" w:eastAsia="Arial" w:hAnsi="Arial"/>
          <w:sz w:val="11"/>
          <w:szCs w:val="11"/>
          <w:b w:val="1"/>
          <w:bCs w:val="1"/>
          <w:color w:val="auto"/>
        </w:rPr>
      </w:pPr>
    </w:p>
    <w:p>
      <w:pPr>
        <w:ind w:left="260" w:hanging="254"/>
        <w:spacing w:after="0" w:line="290" w:lineRule="auto"/>
        <w:tabs>
          <w:tab w:leader="none" w:pos="249" w:val="left"/>
        </w:tabs>
        <w:numPr>
          <w:ilvl w:val="0"/>
          <w:numId w:val="16"/>
        </w:numPr>
        <w:rPr>
          <w:rFonts w:ascii="Arial" w:cs="Arial" w:eastAsia="Arial" w:hAnsi="Arial"/>
          <w:sz w:val="11"/>
          <w:szCs w:val="11"/>
          <w:b w:val="1"/>
          <w:bCs w:val="1"/>
          <w:color w:val="auto"/>
        </w:rPr>
      </w:pPr>
      <w:r>
        <w:rPr>
          <w:rFonts w:ascii="Arial" w:cs="Arial" w:eastAsia="Arial" w:hAnsi="Arial"/>
          <w:sz w:val="11"/>
          <w:szCs w:val="11"/>
          <w:color w:val="auto"/>
        </w:rPr>
        <w:t>2026 includes the impact of the lease amendment entered into between Alexander’s and Bloomberg L.P. (“Bloomberg”), which provided Bloomberg with a rent abatement for the period of April 1, 2026 to December 1, 2026 with a corresponding reduction to Bloomberg’s tenant fund.</w:t>
      </w: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26" w:lineRule="exact"/>
        <w:rPr>
          <w:rFonts w:ascii="Arial" w:cs="Arial" w:eastAsia="Arial" w:hAnsi="Arial"/>
          <w:sz w:val="11"/>
          <w:szCs w:val="11"/>
          <w:b w:val="1"/>
          <w:bCs w:val="1"/>
          <w:color w:val="auto"/>
        </w:rPr>
      </w:pPr>
    </w:p>
    <w:p>
      <w:pPr>
        <w:ind w:left="5580" w:hanging="87"/>
        <w:spacing w:after="0"/>
        <w:tabs>
          <w:tab w:leader="none" w:pos="55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13 -</w:t>
      </w:r>
    </w:p>
    <w:p>
      <w:pPr>
        <w:sectPr>
          <w:pgSz w:w="11900" w:h="16838" w:orient="portrait"/>
          <w:cols w:equalWidth="0" w:num="1">
            <w:col w:w="11280"/>
          </w:cols>
          <w:pgMar w:left="300" w:top="981" w:right="31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SAME STORE NOI AT SHARE AND SAME STORE NOI AT SHARE - CASH BASIS (NON-GAAP)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462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6985"/>
                    </a:xfrm>
                    <a:prstGeom prst="rect">
                      <a:avLst/>
                    </a:prstGeom>
                    <a:noFill/>
                  </pic:spPr>
                </pic:pic>
              </a:graphicData>
            </a:graphic>
          </wp:anchor>
        </w:drawing>
      </w:r>
    </w:p>
    <w:p>
      <w:pPr>
        <w:spacing w:after="0" w:line="126" w:lineRule="exact"/>
        <w:rPr>
          <w:sz w:val="20"/>
          <w:szCs w:val="20"/>
          <w:color w:val="auto"/>
        </w:rPr>
      </w:pPr>
    </w:p>
    <w:p>
      <w:pPr>
        <w:ind w:left="6060"/>
        <w:spacing w:after="0"/>
        <w:tabs>
          <w:tab w:leader="none" w:pos="7280" w:val="left"/>
          <w:tab w:leader="none" w:pos="8640" w:val="left"/>
          <w:tab w:leader="none" w:pos="9880" w:val="left"/>
        </w:tabs>
        <w:rPr>
          <w:sz w:val="20"/>
          <w:szCs w:val="20"/>
          <w:color w:val="auto"/>
        </w:rPr>
      </w:pPr>
      <w:r>
        <w:rPr>
          <w:rFonts w:ascii="Arial" w:cs="Arial" w:eastAsia="Arial" w:hAnsi="Arial"/>
          <w:sz w:val="11"/>
          <w:szCs w:val="11"/>
          <w:b w:val="1"/>
          <w:bCs w:val="1"/>
          <w:color w:val="auto"/>
        </w:rPr>
        <w:t>Total</w:t>
      </w:r>
      <w:r>
        <w:rPr>
          <w:sz w:val="20"/>
          <w:szCs w:val="20"/>
          <w:color w:val="auto"/>
        </w:rPr>
        <w:tab/>
      </w:r>
      <w:r>
        <w:rPr>
          <w:rFonts w:ascii="Arial" w:cs="Arial" w:eastAsia="Arial" w:hAnsi="Arial"/>
          <w:sz w:val="11"/>
          <w:szCs w:val="11"/>
          <w:b w:val="1"/>
          <w:bCs w:val="1"/>
          <w:color w:val="auto"/>
        </w:rPr>
        <w:t>New York</w:t>
      </w:r>
      <w:r>
        <w:rPr>
          <w:rFonts w:ascii="Arial" w:cs="Arial" w:eastAsia="Arial" w:hAnsi="Arial"/>
          <w:sz w:val="14"/>
          <w:szCs w:val="14"/>
          <w:b w:val="1"/>
          <w:bCs w:val="1"/>
          <w:color w:val="auto"/>
          <w:vertAlign w:val="superscript"/>
        </w:rPr>
        <w:t>(2)</w:t>
      </w:r>
      <w:r>
        <w:rPr>
          <w:sz w:val="20"/>
          <w:szCs w:val="20"/>
          <w:color w:val="auto"/>
        </w:rPr>
        <w:tab/>
      </w:r>
      <w:r>
        <w:rPr>
          <w:rFonts w:ascii="Arial" w:cs="Arial" w:eastAsia="Arial" w:hAnsi="Arial"/>
          <w:sz w:val="11"/>
          <w:szCs w:val="11"/>
          <w:b w:val="1"/>
          <w:bCs w:val="1"/>
          <w:color w:val="auto"/>
        </w:rPr>
        <w:t>THE MART</w:t>
      </w:r>
      <w:r>
        <w:rPr>
          <w:rFonts w:ascii="Arial" w:cs="Arial" w:eastAsia="Arial" w:hAnsi="Arial"/>
          <w:sz w:val="14"/>
          <w:szCs w:val="14"/>
          <w:b w:val="1"/>
          <w:bCs w:val="1"/>
          <w:color w:val="auto"/>
          <w:vertAlign w:val="superscript"/>
        </w:rPr>
        <w:t>(3)</w:t>
      </w:r>
      <w:r>
        <w:rPr>
          <w:sz w:val="20"/>
          <w:szCs w:val="20"/>
          <w:color w:val="auto"/>
        </w:rPr>
        <w:tab/>
      </w:r>
      <w:r>
        <w:rPr>
          <w:rFonts w:ascii="Arial" w:cs="Arial" w:eastAsia="Arial" w:hAnsi="Arial"/>
          <w:sz w:val="11"/>
          <w:szCs w:val="11"/>
          <w:b w:val="1"/>
          <w:bCs w:val="1"/>
          <w:color w:val="auto"/>
        </w:rPr>
        <w:t>555 California Street</w:t>
      </w:r>
      <w:r>
        <w:rPr>
          <w:rFonts w:ascii="Arial" w:cs="Arial" w:eastAsia="Arial" w:hAnsi="Arial"/>
          <w:sz w:val="14"/>
          <w:szCs w:val="14"/>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0</wp:posOffset>
            </wp:positionV>
            <wp:extent cx="36487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ind w:left="20"/>
        <w:spacing w:after="0" w:line="238" w:lineRule="auto"/>
        <w:rPr>
          <w:sz w:val="20"/>
          <w:szCs w:val="20"/>
          <w:color w:val="auto"/>
        </w:rPr>
      </w:pPr>
      <w:r>
        <w:rPr>
          <w:rFonts w:ascii="Arial" w:cs="Arial" w:eastAsia="Arial" w:hAnsi="Arial"/>
          <w:sz w:val="11"/>
          <w:szCs w:val="11"/>
          <w:color w:val="auto"/>
        </w:rPr>
        <w:t>Same store NOI at share % increase (decrease)</w:t>
      </w:r>
      <w:r>
        <w:rPr>
          <w:rFonts w:ascii="Arial" w:cs="Arial" w:eastAsia="Arial" w:hAnsi="Arial"/>
          <w:sz w:val="14"/>
          <w:szCs w:val="14"/>
          <w:b w:val="1"/>
          <w:bCs w:val="1"/>
          <w:color w:val="auto"/>
          <w:vertAlign w:val="superscript"/>
        </w:rPr>
        <w:t>(1)</w:t>
      </w:r>
      <w:r>
        <w:rPr>
          <w:rFonts w:ascii="Arial" w:cs="Arial" w:eastAsia="Arial" w:hAnsi="Arial"/>
          <w:sz w:val="11"/>
          <w:szCs w:val="11"/>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Three months ended September 30,</w:t>
            </w:r>
          </w:p>
        </w:tc>
        <w:tc>
          <w:tcPr>
            <w:tcW w:w="3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 compared to September 30, 2025</w:t>
            </w:r>
          </w:p>
        </w:tc>
        <w:tc>
          <w:tcPr>
            <w:tcW w:w="2120" w:type="dxa"/>
            <w:vAlign w:val="bottom"/>
            <w:shd w:val="clear" w:color="auto" w:fill="CCEEFF"/>
          </w:tcPr>
          <w:p>
            <w:pPr>
              <w:jc w:val="right"/>
              <w:ind w:right="463"/>
              <w:spacing w:after="0"/>
              <w:rPr>
                <w:sz w:val="20"/>
                <w:szCs w:val="20"/>
                <w:color w:val="auto"/>
              </w:rPr>
            </w:pPr>
            <w:r>
              <w:rPr>
                <w:rFonts w:ascii="Arial" w:cs="Arial" w:eastAsia="Arial" w:hAnsi="Arial"/>
                <w:sz w:val="11"/>
                <w:szCs w:val="11"/>
                <w:color w:val="auto"/>
              </w:rPr>
              <w:t>9.0 %</w:t>
            </w:r>
          </w:p>
        </w:tc>
        <w:tc>
          <w:tcPr>
            <w:tcW w:w="138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10.2 %</w:t>
            </w:r>
          </w:p>
        </w:tc>
        <w:tc>
          <w:tcPr>
            <w:tcW w:w="148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rPr>
              <w:t>4.0 %</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(3.4)%</w:t>
            </w:r>
          </w:p>
        </w:tc>
      </w:tr>
      <w:tr>
        <w:trPr>
          <w:trHeight w:val="158"/>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Nine months ended September 30, 2026 compared to September 30, 2025</w:t>
            </w:r>
          </w:p>
        </w:tc>
        <w:tc>
          <w:tcPr>
            <w:tcW w:w="2120" w:type="dxa"/>
            <w:vAlign w:val="bottom"/>
          </w:tcPr>
          <w:p>
            <w:pPr>
              <w:jc w:val="right"/>
              <w:ind w:right="463"/>
              <w:spacing w:after="0"/>
              <w:rPr>
                <w:sz w:val="20"/>
                <w:szCs w:val="20"/>
                <w:color w:val="auto"/>
              </w:rPr>
            </w:pPr>
            <w:r>
              <w:rPr>
                <w:rFonts w:ascii="Arial" w:cs="Arial" w:eastAsia="Arial" w:hAnsi="Arial"/>
                <w:sz w:val="11"/>
                <w:szCs w:val="11"/>
                <w:color w:val="auto"/>
              </w:rPr>
              <w:t>8.4 %</w:t>
            </w:r>
          </w:p>
        </w:tc>
        <w:tc>
          <w:tcPr>
            <w:tcW w:w="1380" w:type="dxa"/>
            <w:vAlign w:val="bottom"/>
          </w:tcPr>
          <w:p>
            <w:pPr>
              <w:jc w:val="right"/>
              <w:ind w:right="443"/>
              <w:spacing w:after="0"/>
              <w:rPr>
                <w:sz w:val="20"/>
                <w:szCs w:val="20"/>
                <w:color w:val="auto"/>
              </w:rPr>
            </w:pPr>
            <w:r>
              <w:rPr>
                <w:rFonts w:ascii="Arial" w:cs="Arial" w:eastAsia="Arial" w:hAnsi="Arial"/>
                <w:sz w:val="11"/>
                <w:szCs w:val="11"/>
                <w:color w:val="auto"/>
              </w:rPr>
              <w:t>10.4 %</w:t>
            </w:r>
          </w:p>
        </w:tc>
        <w:tc>
          <w:tcPr>
            <w:tcW w:w="1480" w:type="dxa"/>
            <w:vAlign w:val="bottom"/>
          </w:tcPr>
          <w:p>
            <w:pPr>
              <w:jc w:val="right"/>
              <w:ind w:right="523"/>
              <w:spacing w:after="0"/>
              <w:rPr>
                <w:sz w:val="20"/>
                <w:szCs w:val="20"/>
                <w:color w:val="auto"/>
              </w:rPr>
            </w:pPr>
            <w:r>
              <w:rPr>
                <w:rFonts w:ascii="Arial" w:cs="Arial" w:eastAsia="Arial" w:hAnsi="Arial"/>
                <w:sz w:val="11"/>
                <w:szCs w:val="11"/>
                <w:color w:val="auto"/>
              </w:rPr>
              <w:t>5.3 %</w:t>
            </w:r>
          </w:p>
        </w:tc>
        <w:tc>
          <w:tcPr>
            <w:tcW w:w="1060" w:type="dxa"/>
            <w:vAlign w:val="bottom"/>
          </w:tcPr>
          <w:p>
            <w:pPr>
              <w:jc w:val="right"/>
              <w:ind w:right="23"/>
              <w:spacing w:after="0"/>
              <w:rPr>
                <w:sz w:val="20"/>
                <w:szCs w:val="20"/>
                <w:color w:val="auto"/>
              </w:rPr>
            </w:pPr>
            <w:r>
              <w:rPr>
                <w:rFonts w:ascii="Arial" w:cs="Arial" w:eastAsia="Arial" w:hAnsi="Arial"/>
                <w:sz w:val="11"/>
                <w:szCs w:val="11"/>
                <w:color w:val="auto"/>
              </w:rPr>
              <w:t>(13.2)%</w:t>
            </w:r>
          </w:p>
        </w:tc>
      </w:tr>
      <w:tr>
        <w:trPr>
          <w:trHeight w:val="165"/>
        </w:trPr>
        <w:tc>
          <w:tcPr>
            <w:tcW w:w="1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Three months ended September 30,</w:t>
            </w:r>
          </w:p>
        </w:tc>
        <w:tc>
          <w:tcPr>
            <w:tcW w:w="3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 compared to June 30, 2026</w:t>
            </w:r>
          </w:p>
        </w:tc>
        <w:tc>
          <w:tcPr>
            <w:tcW w:w="2120" w:type="dxa"/>
            <w:vAlign w:val="bottom"/>
            <w:shd w:val="clear" w:color="auto" w:fill="CCEEFF"/>
          </w:tcPr>
          <w:p>
            <w:pPr>
              <w:jc w:val="right"/>
              <w:ind w:right="463"/>
              <w:spacing w:after="0"/>
              <w:rPr>
                <w:sz w:val="20"/>
                <w:szCs w:val="20"/>
                <w:color w:val="auto"/>
              </w:rPr>
            </w:pPr>
            <w:r>
              <w:rPr>
                <w:rFonts w:ascii="Arial" w:cs="Arial" w:eastAsia="Arial" w:hAnsi="Arial"/>
                <w:sz w:val="11"/>
                <w:szCs w:val="11"/>
                <w:color w:val="auto"/>
              </w:rPr>
              <w:t>(4.1)%</w:t>
            </w:r>
          </w:p>
        </w:tc>
        <w:tc>
          <w:tcPr>
            <w:tcW w:w="138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0.5 %</w:t>
            </w:r>
          </w:p>
        </w:tc>
        <w:tc>
          <w:tcPr>
            <w:tcW w:w="148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rPr>
              <w:t>(49.4)%</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6.6 %</w:t>
            </w:r>
          </w:p>
        </w:tc>
      </w:tr>
    </w:tbl>
    <w:p>
      <w:pPr>
        <w:spacing w:after="0" w:line="173" w:lineRule="exact"/>
        <w:rPr>
          <w:sz w:val="20"/>
          <w:szCs w:val="20"/>
          <w:color w:val="auto"/>
        </w:rPr>
      </w:pPr>
    </w:p>
    <w:p>
      <w:pPr>
        <w:ind w:left="20"/>
        <w:spacing w:after="0"/>
        <w:rPr>
          <w:sz w:val="20"/>
          <w:szCs w:val="20"/>
          <w:color w:val="auto"/>
        </w:rPr>
      </w:pPr>
      <w:r>
        <w:rPr>
          <w:rFonts w:ascii="Arial" w:cs="Arial" w:eastAsia="Arial" w:hAnsi="Arial"/>
          <w:sz w:val="11"/>
          <w:szCs w:val="11"/>
          <w:color w:val="auto"/>
        </w:rPr>
        <w:t>Same store NOI at share - cash basis % increase (decrease)</w:t>
      </w:r>
      <w:r>
        <w:rPr>
          <w:rFonts w:ascii="Arial" w:cs="Arial" w:eastAsia="Arial" w:hAnsi="Arial"/>
          <w:sz w:val="14"/>
          <w:szCs w:val="14"/>
          <w:b w:val="1"/>
          <w:bCs w:val="1"/>
          <w:color w:val="auto"/>
          <w:vertAlign w:val="superscript"/>
        </w:rPr>
        <w:t>(1)</w:t>
      </w:r>
      <w:r>
        <w:rPr>
          <w:rFonts w:ascii="Arial" w:cs="Arial" w:eastAsia="Arial" w:hAnsi="Arial"/>
          <w:sz w:val="11"/>
          <w:szCs w:val="11"/>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Three months ended September 30,</w:t>
            </w:r>
          </w:p>
        </w:tc>
        <w:tc>
          <w:tcPr>
            <w:tcW w:w="3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 compared to September 30, 2025</w:t>
            </w:r>
          </w:p>
        </w:tc>
        <w:tc>
          <w:tcPr>
            <w:tcW w:w="2120" w:type="dxa"/>
            <w:vAlign w:val="bottom"/>
            <w:shd w:val="clear" w:color="auto" w:fill="CCEEFF"/>
          </w:tcPr>
          <w:p>
            <w:pPr>
              <w:jc w:val="right"/>
              <w:ind w:right="463"/>
              <w:spacing w:after="0"/>
              <w:rPr>
                <w:sz w:val="20"/>
                <w:szCs w:val="20"/>
                <w:color w:val="auto"/>
              </w:rPr>
            </w:pPr>
            <w:r>
              <w:rPr>
                <w:rFonts w:ascii="Arial" w:cs="Arial" w:eastAsia="Arial" w:hAnsi="Arial"/>
                <w:sz w:val="11"/>
                <w:szCs w:val="11"/>
                <w:color w:val="auto"/>
              </w:rPr>
              <w:t>3.2 %</w:t>
            </w:r>
          </w:p>
        </w:tc>
        <w:tc>
          <w:tcPr>
            <w:tcW w:w="138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4.9 %</w:t>
            </w:r>
          </w:p>
        </w:tc>
        <w:tc>
          <w:tcPr>
            <w:tcW w:w="148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rPr>
              <w:t>16.3 %</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(26.4)%</w:t>
            </w:r>
          </w:p>
        </w:tc>
      </w:tr>
      <w:tr>
        <w:trPr>
          <w:trHeight w:val="158"/>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Nine months ended September 30, 2026 compared to September 30, 2025</w:t>
            </w:r>
          </w:p>
        </w:tc>
        <w:tc>
          <w:tcPr>
            <w:tcW w:w="2120" w:type="dxa"/>
            <w:vAlign w:val="bottom"/>
          </w:tcPr>
          <w:p>
            <w:pPr>
              <w:jc w:val="right"/>
              <w:ind w:right="463"/>
              <w:spacing w:after="0"/>
              <w:rPr>
                <w:sz w:val="20"/>
                <w:szCs w:val="20"/>
                <w:color w:val="auto"/>
              </w:rPr>
            </w:pPr>
            <w:r>
              <w:rPr>
                <w:rFonts w:ascii="Arial" w:cs="Arial" w:eastAsia="Arial" w:hAnsi="Arial"/>
                <w:sz w:val="11"/>
                <w:szCs w:val="11"/>
                <w:color w:val="auto"/>
              </w:rPr>
              <w:t>1.6 %</w:t>
            </w:r>
          </w:p>
        </w:tc>
        <w:tc>
          <w:tcPr>
            <w:tcW w:w="1380" w:type="dxa"/>
            <w:vAlign w:val="bottom"/>
          </w:tcPr>
          <w:p>
            <w:pPr>
              <w:jc w:val="right"/>
              <w:ind w:right="443"/>
              <w:spacing w:after="0"/>
              <w:rPr>
                <w:sz w:val="20"/>
                <w:szCs w:val="20"/>
                <w:color w:val="auto"/>
              </w:rPr>
            </w:pPr>
            <w:r>
              <w:rPr>
                <w:rFonts w:ascii="Arial" w:cs="Arial" w:eastAsia="Arial" w:hAnsi="Arial"/>
                <w:sz w:val="11"/>
                <w:szCs w:val="11"/>
                <w:color w:val="auto"/>
              </w:rPr>
              <w:t>4.8 %</w:t>
            </w:r>
          </w:p>
        </w:tc>
        <w:tc>
          <w:tcPr>
            <w:tcW w:w="1480" w:type="dxa"/>
            <w:vAlign w:val="bottom"/>
          </w:tcPr>
          <w:p>
            <w:pPr>
              <w:jc w:val="right"/>
              <w:ind w:right="523"/>
              <w:spacing w:after="0"/>
              <w:rPr>
                <w:sz w:val="20"/>
                <w:szCs w:val="20"/>
                <w:color w:val="auto"/>
              </w:rPr>
            </w:pPr>
            <w:r>
              <w:rPr>
                <w:rFonts w:ascii="Arial" w:cs="Arial" w:eastAsia="Arial" w:hAnsi="Arial"/>
                <w:sz w:val="11"/>
                <w:szCs w:val="11"/>
                <w:color w:val="auto"/>
              </w:rPr>
              <w:t>11.0 %</w:t>
            </w:r>
          </w:p>
        </w:tc>
        <w:tc>
          <w:tcPr>
            <w:tcW w:w="1060" w:type="dxa"/>
            <w:vAlign w:val="bottom"/>
          </w:tcPr>
          <w:p>
            <w:pPr>
              <w:jc w:val="right"/>
              <w:ind w:right="23"/>
              <w:spacing w:after="0"/>
              <w:rPr>
                <w:sz w:val="20"/>
                <w:szCs w:val="20"/>
                <w:color w:val="auto"/>
              </w:rPr>
            </w:pPr>
            <w:r>
              <w:rPr>
                <w:rFonts w:ascii="Arial" w:cs="Arial" w:eastAsia="Arial" w:hAnsi="Arial"/>
                <w:sz w:val="11"/>
                <w:szCs w:val="11"/>
                <w:color w:val="auto"/>
              </w:rPr>
              <w:t>(42.5)%</w:t>
            </w:r>
          </w:p>
        </w:tc>
      </w:tr>
      <w:tr>
        <w:trPr>
          <w:trHeight w:val="165"/>
        </w:trPr>
        <w:tc>
          <w:tcPr>
            <w:tcW w:w="1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Three months ended September 30,</w:t>
            </w:r>
          </w:p>
        </w:tc>
        <w:tc>
          <w:tcPr>
            <w:tcW w:w="3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 compared to June 30, 2026</w:t>
            </w:r>
          </w:p>
        </w:tc>
        <w:tc>
          <w:tcPr>
            <w:tcW w:w="2120" w:type="dxa"/>
            <w:vAlign w:val="bottom"/>
            <w:shd w:val="clear" w:color="auto" w:fill="CCEEFF"/>
          </w:tcPr>
          <w:p>
            <w:pPr>
              <w:jc w:val="right"/>
              <w:ind w:right="463"/>
              <w:spacing w:after="0"/>
              <w:rPr>
                <w:sz w:val="20"/>
                <w:szCs w:val="20"/>
                <w:color w:val="auto"/>
              </w:rPr>
            </w:pPr>
            <w:r>
              <w:rPr>
                <w:rFonts w:ascii="Arial" w:cs="Arial" w:eastAsia="Arial" w:hAnsi="Arial"/>
                <w:sz w:val="11"/>
                <w:szCs w:val="11"/>
                <w:color w:val="auto"/>
              </w:rPr>
              <w:t>(5.5)%</w:t>
            </w:r>
          </w:p>
        </w:tc>
        <w:tc>
          <w:tcPr>
            <w:tcW w:w="138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(1.3)%</w:t>
            </w:r>
          </w:p>
        </w:tc>
        <w:tc>
          <w:tcPr>
            <w:tcW w:w="148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rPr>
              <w:t>(46.6)%</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35.1 %</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38" w:lineRule="exact"/>
        <w:rPr>
          <w:sz w:val="20"/>
          <w:szCs w:val="20"/>
          <w:color w:val="auto"/>
        </w:rPr>
      </w:pPr>
    </w:p>
    <w:p>
      <w:pPr>
        <w:ind w:left="260" w:hanging="254"/>
        <w:spacing w:after="0"/>
        <w:tabs>
          <w:tab w:leader="none" w:pos="260" w:val="left"/>
        </w:tabs>
        <w:numPr>
          <w:ilvl w:val="0"/>
          <w:numId w:val="17"/>
        </w:numPr>
        <w:rPr>
          <w:rFonts w:ascii="Arial" w:cs="Arial" w:eastAsia="Arial" w:hAnsi="Arial"/>
          <w:sz w:val="11"/>
          <w:szCs w:val="11"/>
          <w:b w:val="1"/>
          <w:bCs w:val="1"/>
          <w:color w:val="auto"/>
        </w:rPr>
      </w:pPr>
      <w:r>
        <w:rPr>
          <w:rFonts w:ascii="Arial" w:cs="Arial" w:eastAsia="Arial" w:hAnsi="Arial"/>
          <w:sz w:val="11"/>
          <w:szCs w:val="11"/>
          <w:color w:val="auto"/>
        </w:rPr>
        <w:t xml:space="preserve">See pages ix through xiv in the </w:t>
      </w:r>
      <w:r>
        <w:rPr>
          <w:rFonts w:ascii="Arial" w:cs="Arial" w:eastAsia="Arial" w:hAnsi="Arial"/>
          <w:sz w:val="11"/>
          <w:szCs w:val="11"/>
          <w:i w:val="1"/>
          <w:iCs w:val="1"/>
          <w:color w:val="auto"/>
        </w:rPr>
        <w:t>Appendix</w:t>
      </w:r>
      <w:r>
        <w:rPr>
          <w:rFonts w:ascii="Arial" w:cs="Arial" w:eastAsia="Arial" w:hAnsi="Arial"/>
          <w:sz w:val="11"/>
          <w:szCs w:val="11"/>
          <w:color w:val="auto"/>
        </w:rPr>
        <w:t xml:space="preserve"> for same store NOI at share and same store NOI at share - cash basis reconciliations.</w:t>
      </w:r>
    </w:p>
    <w:p>
      <w:pPr>
        <w:spacing w:after="0" w:line="23" w:lineRule="exact"/>
        <w:rPr>
          <w:rFonts w:ascii="Arial" w:cs="Arial" w:eastAsia="Arial" w:hAnsi="Arial"/>
          <w:sz w:val="11"/>
          <w:szCs w:val="11"/>
          <w:b w:val="1"/>
          <w:bCs w:val="1"/>
          <w:color w:val="auto"/>
        </w:rPr>
      </w:pPr>
    </w:p>
    <w:p>
      <w:pPr>
        <w:ind w:left="260" w:hanging="254"/>
        <w:spacing w:after="0" w:line="255" w:lineRule="auto"/>
        <w:tabs>
          <w:tab w:leader="none" w:pos="249" w:val="left"/>
        </w:tabs>
        <w:numPr>
          <w:ilvl w:val="0"/>
          <w:numId w:val="17"/>
        </w:numPr>
        <w:rPr>
          <w:rFonts w:ascii="Arial" w:cs="Arial" w:eastAsia="Arial" w:hAnsi="Arial"/>
          <w:sz w:val="11"/>
          <w:szCs w:val="11"/>
          <w:b w:val="1"/>
          <w:bCs w:val="1"/>
          <w:color w:val="auto"/>
        </w:rPr>
      </w:pPr>
      <w:r>
        <w:rPr>
          <w:rFonts w:ascii="Arial" w:cs="Arial" w:eastAsia="Arial" w:hAnsi="Arial"/>
          <w:sz w:val="11"/>
          <w:szCs w:val="11"/>
          <w:color w:val="auto"/>
        </w:rPr>
        <w:t>Excluding the impact of the rent abatement provided to Bloomberg, which was offset by a corresponding reduction to Bloomberg’s tenant fund, New York same store NOI at share - cash basis increased by 8.4% and 7.1% for the three and nine months ended September 30, 2026, respectively, compared to the same periods in 2025.</w:t>
      </w:r>
    </w:p>
    <w:p>
      <w:pPr>
        <w:ind w:left="260" w:hanging="254"/>
        <w:spacing w:after="0"/>
        <w:tabs>
          <w:tab w:leader="none" w:pos="260" w:val="left"/>
        </w:tabs>
        <w:numPr>
          <w:ilvl w:val="0"/>
          <w:numId w:val="17"/>
        </w:numPr>
        <w:rPr>
          <w:rFonts w:ascii="Arial" w:cs="Arial" w:eastAsia="Arial" w:hAnsi="Arial"/>
          <w:sz w:val="11"/>
          <w:szCs w:val="11"/>
          <w:b w:val="1"/>
          <w:bCs w:val="1"/>
          <w:color w:val="auto"/>
        </w:rPr>
      </w:pPr>
      <w:r>
        <w:rPr>
          <w:rFonts w:ascii="Arial" w:cs="Arial" w:eastAsia="Arial" w:hAnsi="Arial"/>
          <w:sz w:val="11"/>
          <w:szCs w:val="11"/>
          <w:color w:val="auto"/>
        </w:rPr>
        <w:t>The three months ended June 30, 2026 includes the impact of a reversal of a prior period tax accrual resulting from a property tax reassessment.</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17"/>
        </w:numPr>
        <w:rPr>
          <w:rFonts w:ascii="Arial" w:cs="Arial" w:eastAsia="Arial" w:hAnsi="Arial"/>
          <w:sz w:val="11"/>
          <w:szCs w:val="11"/>
          <w:b w:val="1"/>
          <w:bCs w:val="1"/>
          <w:color w:val="auto"/>
        </w:rPr>
      </w:pPr>
      <w:r>
        <w:rPr>
          <w:rFonts w:ascii="Arial" w:cs="Arial" w:eastAsia="Arial" w:hAnsi="Arial"/>
          <w:sz w:val="11"/>
          <w:szCs w:val="11"/>
          <w:color w:val="auto"/>
        </w:rPr>
        <w:t>Variance in same store NOI at share vs. same store NOI at share - cash basis is primarily due to GAAP rent commencing on new leases with free rent periods.</w:t>
      </w:r>
    </w:p>
    <w:p>
      <w:pPr>
        <w:spacing w:after="0" w:line="200" w:lineRule="exact"/>
        <w:rPr>
          <w:rFonts w:ascii="Arial" w:cs="Arial" w:eastAsia="Arial" w:hAnsi="Arial"/>
          <w:sz w:val="11"/>
          <w:szCs w:val="11"/>
          <w:b w:val="1"/>
          <w:bCs w:val="1"/>
          <w:color w:val="auto"/>
        </w:rPr>
      </w:pPr>
    </w:p>
    <w:p>
      <w:pPr>
        <w:spacing w:after="0" w:line="272" w:lineRule="exact"/>
        <w:rPr>
          <w:rFonts w:ascii="Arial" w:cs="Arial" w:eastAsia="Arial" w:hAnsi="Arial"/>
          <w:sz w:val="11"/>
          <w:szCs w:val="11"/>
          <w:b w:val="1"/>
          <w:bCs w:val="1"/>
          <w:color w:val="auto"/>
        </w:rPr>
      </w:pPr>
    </w:p>
    <w:p>
      <w:pPr>
        <w:ind w:left="5580" w:hanging="87"/>
        <w:spacing w:after="0"/>
        <w:tabs>
          <w:tab w:leader="none" w:pos="55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14 -</w:t>
      </w:r>
    </w:p>
    <w:p>
      <w:pPr>
        <w:sectPr>
          <w:pgSz w:w="11900" w:h="16838" w:orient="portrait"/>
          <w:cols w:equalWidth="0" w:num="1">
            <w:col w:w="11280"/>
          </w:cols>
          <w:pgMar w:left="300" w:top="981" w:right="31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LEASING ACTIVITY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(Square feet in thousands)</w:t>
      </w:r>
    </w:p>
    <w:p>
      <w:pPr>
        <w:spacing w:after="0" w:line="153" w:lineRule="exact"/>
        <w:rPr>
          <w:sz w:val="20"/>
          <w:szCs w:val="20"/>
          <w:color w:val="auto"/>
        </w:rPr>
      </w:pPr>
    </w:p>
    <w:p>
      <w:pPr>
        <w:spacing w:after="0" w:line="309" w:lineRule="auto"/>
        <w:rPr>
          <w:sz w:val="20"/>
          <w:szCs w:val="20"/>
          <w:color w:val="auto"/>
        </w:rPr>
      </w:pPr>
      <w:r>
        <w:rPr>
          <w:rFonts w:ascii="Arial" w:cs="Arial" w:eastAsia="Arial" w:hAnsi="Arial"/>
          <w:sz w:val="11"/>
          <w:szCs w:val="11"/>
          <w:color w:val="auto"/>
        </w:rPr>
        <w:t>The leasing activity and related statistics in the table below are based on leases signed during the period and are not intended to coincide with the commencement of rental revenue in accordance with GAAP. Second generation relet space represents square footage that has not been vacant for more than nine months and tenant improvements and leasing commissions are based on our share of square feet leased during the period.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1"/>
                <w:szCs w:val="11"/>
                <w:b w:val="1"/>
                <w:bCs w:val="1"/>
                <w:color w:val="auto"/>
              </w:rPr>
              <w:t>New York</w:t>
            </w:r>
          </w:p>
        </w:tc>
        <w:tc>
          <w:tcPr>
            <w:tcW w:w="1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2"/>
        </w:trPr>
        <w:tc>
          <w:tcPr>
            <w:tcW w:w="4460" w:type="dxa"/>
            <w:vAlign w:val="bottom"/>
          </w:tcPr>
          <w:p>
            <w:pPr>
              <w:spacing w:after="0"/>
              <w:rPr>
                <w:sz w:val="13"/>
                <w:szCs w:val="13"/>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Office</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1"/>
                <w:szCs w:val="11"/>
                <w:b w:val="1"/>
                <w:bCs w:val="1"/>
                <w:color w:val="auto"/>
              </w:rPr>
              <w:t>Retail</w:t>
            </w:r>
          </w:p>
        </w:tc>
        <w:tc>
          <w:tcPr>
            <w:tcW w:w="320" w:type="dxa"/>
            <w:vAlign w:val="bottom"/>
          </w:tcPr>
          <w:p>
            <w:pPr>
              <w:spacing w:after="0"/>
              <w:rPr>
                <w:sz w:val="13"/>
                <w:szCs w:val="13"/>
                <w:color w:val="auto"/>
              </w:rPr>
            </w:pPr>
          </w:p>
        </w:tc>
        <w:tc>
          <w:tcPr>
            <w:tcW w:w="1400" w:type="dxa"/>
            <w:vAlign w:val="bottom"/>
          </w:tcPr>
          <w:p>
            <w:pPr>
              <w:jc w:val="right"/>
              <w:ind w:right="503"/>
              <w:spacing w:after="0"/>
              <w:rPr>
                <w:sz w:val="20"/>
                <w:szCs w:val="20"/>
                <w:color w:val="auto"/>
              </w:rPr>
            </w:pPr>
            <w:r>
              <w:rPr>
                <w:rFonts w:ascii="Arial" w:cs="Arial" w:eastAsia="Arial" w:hAnsi="Arial"/>
                <w:sz w:val="11"/>
                <w:szCs w:val="11"/>
                <w:b w:val="1"/>
                <w:bCs w:val="1"/>
                <w:color w:val="auto"/>
              </w:rPr>
              <w:t>THE MART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b w:val="1"/>
                <w:bCs w:val="1"/>
                <w:color w:val="auto"/>
              </w:rPr>
              <w:t>555 California Street</w:t>
            </w:r>
          </w:p>
        </w:tc>
      </w:tr>
      <w:tr>
        <w:trPr>
          <w:trHeight w:val="142"/>
        </w:trPr>
        <w:tc>
          <w:tcPr>
            <w:tcW w:w="4460" w:type="dxa"/>
            <w:vAlign w:val="bottom"/>
          </w:tcPr>
          <w:p>
            <w:pPr>
              <w:ind w:left="20"/>
              <w:spacing w:after="0"/>
              <w:rPr>
                <w:sz w:val="20"/>
                <w:szCs w:val="20"/>
                <w:color w:val="auto"/>
              </w:rPr>
            </w:pPr>
            <w:r>
              <w:rPr>
                <w:rFonts w:ascii="Arial" w:cs="Arial" w:eastAsia="Arial" w:hAnsi="Arial"/>
                <w:sz w:val="11"/>
                <w:szCs w:val="11"/>
                <w:b w:val="1"/>
                <w:bCs w:val="1"/>
                <w:color w:val="auto"/>
              </w:rPr>
              <w:t>Three Months Ended September 30, 2026</w:t>
            </w:r>
          </w:p>
        </w:tc>
        <w:tc>
          <w:tcPr>
            <w:tcW w:w="1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r>
      <w:tr>
        <w:trPr>
          <w:trHeight w:val="162"/>
        </w:trPr>
        <w:tc>
          <w:tcPr>
            <w:tcW w:w="44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Total square feet leased</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489</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55</w:t>
            </w:r>
          </w:p>
        </w:tc>
      </w:tr>
      <w:tr>
        <w:trPr>
          <w:trHeight w:val="158"/>
        </w:trPr>
        <w:tc>
          <w:tcPr>
            <w:tcW w:w="4460" w:type="dxa"/>
            <w:vAlign w:val="bottom"/>
          </w:tcPr>
          <w:p>
            <w:pPr>
              <w:ind w:left="280"/>
              <w:spacing w:after="0"/>
              <w:rPr>
                <w:sz w:val="20"/>
                <w:szCs w:val="20"/>
                <w:color w:val="auto"/>
              </w:rPr>
            </w:pPr>
            <w:r>
              <w:rPr>
                <w:rFonts w:ascii="Arial" w:cs="Arial" w:eastAsia="Arial" w:hAnsi="Arial"/>
                <w:sz w:val="11"/>
                <w:szCs w:val="11"/>
                <w:color w:val="auto"/>
              </w:rPr>
              <w:t>Our share of square feet leased:</w:t>
            </w:r>
          </w:p>
        </w:tc>
        <w:tc>
          <w:tcPr>
            <w:tcW w:w="112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443</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ind w:right="103"/>
              <w:spacing w:after="0"/>
              <w:rPr>
                <w:sz w:val="20"/>
                <w:szCs w:val="20"/>
                <w:color w:val="auto"/>
              </w:rPr>
            </w:pPr>
            <w:r>
              <w:rPr>
                <w:rFonts w:ascii="Arial" w:cs="Arial" w:eastAsia="Arial" w:hAnsi="Arial"/>
                <w:sz w:val="11"/>
                <w:szCs w:val="11"/>
                <w:color w:val="auto"/>
              </w:rPr>
              <w:t>33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38</w:t>
            </w:r>
          </w:p>
        </w:tc>
      </w:tr>
      <w:tr>
        <w:trPr>
          <w:trHeight w:val="165"/>
        </w:trPr>
        <w:tc>
          <w:tcPr>
            <w:tcW w:w="4460" w:type="dxa"/>
            <w:vAlign w:val="bottom"/>
            <w:shd w:val="clear" w:color="auto" w:fill="CCEEFF"/>
          </w:tcPr>
          <w:p>
            <w:pPr>
              <w:ind w:left="540"/>
              <w:spacing w:after="0"/>
              <w:rPr>
                <w:sz w:val="20"/>
                <w:szCs w:val="20"/>
                <w:color w:val="auto"/>
              </w:rPr>
            </w:pPr>
            <w:r>
              <w:rPr>
                <w:rFonts w:ascii="Arial" w:cs="Arial" w:eastAsia="Arial" w:hAnsi="Arial"/>
                <w:sz w:val="11"/>
                <w:szCs w:val="11"/>
                <w:color w:val="auto"/>
              </w:rPr>
              <w:t>Initial rent</w:t>
            </w:r>
            <w:r>
              <w:rPr>
                <w:rFonts w:ascii="Arial" w:cs="Arial" w:eastAsia="Arial" w:hAnsi="Arial"/>
                <w:sz w:val="7"/>
                <w:szCs w:val="7"/>
                <w:b w:val="1"/>
                <w:bCs w:val="1"/>
                <w:color w:val="auto"/>
              </w:rPr>
              <w:t>(1)</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122.96</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496.83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63.50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163.18</w:t>
            </w:r>
          </w:p>
        </w:tc>
      </w:tr>
      <w:tr>
        <w:trPr>
          <w:trHeight w:val="158"/>
        </w:trPr>
        <w:tc>
          <w:tcPr>
            <w:tcW w:w="4460" w:type="dxa"/>
            <w:vAlign w:val="bottom"/>
          </w:tcPr>
          <w:p>
            <w:pPr>
              <w:ind w:left="540"/>
              <w:spacing w:after="0"/>
              <w:rPr>
                <w:sz w:val="20"/>
                <w:szCs w:val="20"/>
                <w:color w:val="auto"/>
              </w:rPr>
            </w:pPr>
            <w:r>
              <w:rPr>
                <w:rFonts w:ascii="Arial" w:cs="Arial" w:eastAsia="Arial" w:hAnsi="Arial"/>
                <w:sz w:val="11"/>
                <w:szCs w:val="11"/>
                <w:color w:val="auto"/>
              </w:rPr>
              <w:t>Weighted average lease term (years)</w:t>
            </w:r>
          </w:p>
        </w:tc>
        <w:tc>
          <w:tcPr>
            <w:tcW w:w="112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9.5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ind w:right="103"/>
              <w:spacing w:after="0"/>
              <w:rPr>
                <w:sz w:val="20"/>
                <w:szCs w:val="20"/>
                <w:color w:val="auto"/>
              </w:rPr>
            </w:pPr>
            <w:r>
              <w:rPr>
                <w:rFonts w:ascii="Arial" w:cs="Arial" w:eastAsia="Arial" w:hAnsi="Arial"/>
                <w:sz w:val="11"/>
                <w:szCs w:val="11"/>
                <w:color w:val="auto"/>
              </w:rPr>
              <w:t>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10.8</w:t>
            </w:r>
          </w:p>
        </w:tc>
      </w:tr>
      <w:tr>
        <w:trPr>
          <w:trHeight w:val="165"/>
        </w:trPr>
        <w:tc>
          <w:tcPr>
            <w:tcW w:w="4460" w:type="dxa"/>
            <w:vAlign w:val="bottom"/>
            <w:shd w:val="clear" w:color="auto" w:fill="CCEEFF"/>
          </w:tcPr>
          <w:p>
            <w:pPr>
              <w:ind w:left="540"/>
              <w:spacing w:after="0"/>
              <w:rPr>
                <w:sz w:val="20"/>
                <w:szCs w:val="20"/>
                <w:color w:val="auto"/>
              </w:rPr>
            </w:pPr>
            <w:r>
              <w:rPr>
                <w:rFonts w:ascii="Arial" w:cs="Arial" w:eastAsia="Arial" w:hAnsi="Arial"/>
                <w:sz w:val="11"/>
                <w:szCs w:val="11"/>
                <w:color w:val="auto"/>
              </w:rPr>
              <w:t>Second generation relet space:</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58"/>
        </w:trPr>
        <w:tc>
          <w:tcPr>
            <w:tcW w:w="4460" w:type="dxa"/>
            <w:vAlign w:val="bottom"/>
          </w:tcPr>
          <w:p>
            <w:pPr>
              <w:ind w:left="800"/>
              <w:spacing w:after="0"/>
              <w:rPr>
                <w:sz w:val="20"/>
                <w:szCs w:val="20"/>
                <w:color w:val="auto"/>
              </w:rPr>
            </w:pPr>
            <w:r>
              <w:rPr>
                <w:rFonts w:ascii="Arial" w:cs="Arial" w:eastAsia="Arial" w:hAnsi="Arial"/>
                <w:sz w:val="11"/>
                <w:szCs w:val="11"/>
                <w:color w:val="auto"/>
              </w:rPr>
              <w:t>Square feet</w:t>
            </w:r>
          </w:p>
        </w:tc>
        <w:tc>
          <w:tcPr>
            <w:tcW w:w="112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283</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ind w:right="103"/>
              <w:spacing w:after="0"/>
              <w:rPr>
                <w:sz w:val="20"/>
                <w:szCs w:val="20"/>
                <w:color w:val="auto"/>
              </w:rPr>
            </w:pPr>
            <w:r>
              <w:rPr>
                <w:rFonts w:ascii="Arial" w:cs="Arial" w:eastAsia="Arial" w:hAnsi="Arial"/>
                <w:sz w:val="11"/>
                <w:szCs w:val="11"/>
                <w:color w:val="auto"/>
              </w:rPr>
              <w:t>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38</w:t>
            </w:r>
          </w:p>
        </w:tc>
      </w:tr>
      <w:tr>
        <w:trPr>
          <w:trHeight w:val="165"/>
        </w:trPr>
        <w:tc>
          <w:tcPr>
            <w:tcW w:w="44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GAAP basis: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58"/>
        </w:trPr>
        <w:tc>
          <w:tcPr>
            <w:tcW w:w="4460" w:type="dxa"/>
            <w:vAlign w:val="bottom"/>
          </w:tcPr>
          <w:p>
            <w:pPr>
              <w:ind w:left="1060"/>
              <w:spacing w:after="0"/>
              <w:rPr>
                <w:sz w:val="20"/>
                <w:szCs w:val="20"/>
                <w:color w:val="auto"/>
              </w:rPr>
            </w:pPr>
            <w:r>
              <w:rPr>
                <w:rFonts w:ascii="Arial" w:cs="Arial" w:eastAsia="Arial" w:hAnsi="Arial"/>
                <w:sz w:val="11"/>
                <w:szCs w:val="11"/>
                <w:color w:val="auto"/>
              </w:rPr>
              <w:t>Straight-line rent</w:t>
            </w:r>
            <w:r>
              <w:rPr>
                <w:rFonts w:ascii="Arial" w:cs="Arial" w:eastAsia="Arial" w:hAnsi="Arial"/>
                <w:sz w:val="7"/>
                <w:szCs w:val="7"/>
                <w:b w:val="1"/>
                <w:bCs w:val="1"/>
                <w:color w:val="auto"/>
              </w:rPr>
              <w:t>(2)</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116.95</w:t>
            </w:r>
          </w:p>
        </w:tc>
        <w:tc>
          <w:tcPr>
            <w:tcW w:w="60" w:type="dxa"/>
            <w:vAlign w:val="bottom"/>
          </w:tcPr>
          <w:p>
            <w:pPr>
              <w:spacing w:after="0"/>
              <w:rPr>
                <w:sz w:val="13"/>
                <w:szCs w:val="13"/>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644.96</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103"/>
              <w:spacing w:after="0"/>
              <w:rPr>
                <w:sz w:val="20"/>
                <w:szCs w:val="20"/>
                <w:color w:val="auto"/>
              </w:rPr>
            </w:pPr>
            <w:r>
              <w:rPr>
                <w:rFonts w:ascii="Arial" w:cs="Arial" w:eastAsia="Arial" w:hAnsi="Arial"/>
                <w:sz w:val="11"/>
                <w:szCs w:val="11"/>
                <w:color w:val="auto"/>
              </w:rPr>
              <w:t>61.53</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179.47</w:t>
            </w:r>
          </w:p>
        </w:tc>
      </w:tr>
      <w:tr>
        <w:trPr>
          <w:trHeight w:val="165"/>
        </w:trPr>
        <w:tc>
          <w:tcPr>
            <w:tcW w:w="4460" w:type="dxa"/>
            <w:vAlign w:val="bottom"/>
            <w:shd w:val="clear" w:color="auto" w:fill="CCEEFF"/>
          </w:tcPr>
          <w:p>
            <w:pPr>
              <w:ind w:left="1060"/>
              <w:spacing w:after="0"/>
              <w:rPr>
                <w:sz w:val="20"/>
                <w:szCs w:val="20"/>
                <w:color w:val="auto"/>
              </w:rPr>
            </w:pPr>
            <w:r>
              <w:rPr>
                <w:rFonts w:ascii="Arial" w:cs="Arial" w:eastAsia="Arial" w:hAnsi="Arial"/>
                <w:sz w:val="11"/>
                <w:szCs w:val="11"/>
                <w:color w:val="auto"/>
              </w:rPr>
              <w:t>Prior straight-line rent</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85.25</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617.21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54.63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112.91</w:t>
            </w:r>
          </w:p>
        </w:tc>
      </w:tr>
      <w:tr>
        <w:trPr>
          <w:trHeight w:val="158"/>
        </w:trPr>
        <w:tc>
          <w:tcPr>
            <w:tcW w:w="4460" w:type="dxa"/>
            <w:vAlign w:val="bottom"/>
          </w:tcPr>
          <w:p>
            <w:pPr>
              <w:ind w:left="1060"/>
              <w:spacing w:after="0"/>
              <w:rPr>
                <w:sz w:val="20"/>
                <w:szCs w:val="20"/>
                <w:color w:val="auto"/>
              </w:rPr>
            </w:pPr>
            <w:r>
              <w:rPr>
                <w:rFonts w:ascii="Arial" w:cs="Arial" w:eastAsia="Arial" w:hAnsi="Arial"/>
                <w:sz w:val="11"/>
                <w:szCs w:val="11"/>
                <w:color w:val="auto"/>
              </w:rPr>
              <w:t>Percentage increase</w:t>
            </w: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37.2 %</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4.5 %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12.6 %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59.0 %</w:t>
            </w:r>
          </w:p>
        </w:tc>
      </w:tr>
      <w:tr>
        <w:trPr>
          <w:trHeight w:val="165"/>
        </w:trPr>
        <w:tc>
          <w:tcPr>
            <w:tcW w:w="44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Cash basis (non-GAAP):</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58"/>
        </w:trPr>
        <w:tc>
          <w:tcPr>
            <w:tcW w:w="4460" w:type="dxa"/>
            <w:vAlign w:val="bottom"/>
          </w:tcPr>
          <w:p>
            <w:pPr>
              <w:ind w:left="1060"/>
              <w:spacing w:after="0"/>
              <w:rPr>
                <w:sz w:val="20"/>
                <w:szCs w:val="20"/>
                <w:color w:val="auto"/>
              </w:rPr>
            </w:pPr>
            <w:r>
              <w:rPr>
                <w:rFonts w:ascii="Arial" w:cs="Arial" w:eastAsia="Arial" w:hAnsi="Arial"/>
                <w:sz w:val="11"/>
                <w:szCs w:val="11"/>
                <w:color w:val="auto"/>
              </w:rPr>
              <w:t>Initial rent</w:t>
            </w:r>
            <w:r>
              <w:rPr>
                <w:rFonts w:ascii="Arial" w:cs="Arial" w:eastAsia="Arial" w:hAnsi="Arial"/>
                <w:sz w:val="7"/>
                <w:szCs w:val="7"/>
                <w:b w:val="1"/>
                <w:bCs w:val="1"/>
                <w:color w:val="auto"/>
              </w:rPr>
              <w:t>(1)</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119.90</w:t>
            </w:r>
          </w:p>
        </w:tc>
        <w:tc>
          <w:tcPr>
            <w:tcW w:w="60" w:type="dxa"/>
            <w:vAlign w:val="bottom"/>
          </w:tcPr>
          <w:p>
            <w:pPr>
              <w:spacing w:after="0"/>
              <w:rPr>
                <w:sz w:val="13"/>
                <w:szCs w:val="13"/>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641.47</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103"/>
              <w:spacing w:after="0"/>
              <w:rPr>
                <w:sz w:val="20"/>
                <w:szCs w:val="20"/>
                <w:color w:val="auto"/>
              </w:rPr>
            </w:pPr>
            <w:r>
              <w:rPr>
                <w:rFonts w:ascii="Arial" w:cs="Arial" w:eastAsia="Arial" w:hAnsi="Arial"/>
                <w:sz w:val="11"/>
                <w:szCs w:val="11"/>
                <w:color w:val="auto"/>
              </w:rPr>
              <w:t>62.94</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163.18</w:t>
            </w:r>
          </w:p>
        </w:tc>
      </w:tr>
      <w:tr>
        <w:trPr>
          <w:trHeight w:val="165"/>
        </w:trPr>
        <w:tc>
          <w:tcPr>
            <w:tcW w:w="4460" w:type="dxa"/>
            <w:vAlign w:val="bottom"/>
            <w:shd w:val="clear" w:color="auto" w:fill="CCEEFF"/>
          </w:tcPr>
          <w:p>
            <w:pPr>
              <w:ind w:left="1060"/>
              <w:spacing w:after="0"/>
              <w:rPr>
                <w:sz w:val="20"/>
                <w:szCs w:val="20"/>
                <w:color w:val="auto"/>
              </w:rPr>
            </w:pPr>
            <w:r>
              <w:rPr>
                <w:rFonts w:ascii="Arial" w:cs="Arial" w:eastAsia="Arial" w:hAnsi="Arial"/>
                <w:sz w:val="11"/>
                <w:szCs w:val="11"/>
                <w:color w:val="auto"/>
              </w:rPr>
              <w:t>Prior escalated rent</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95.25</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760.91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58.45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118.21</w:t>
            </w:r>
          </w:p>
        </w:tc>
      </w:tr>
      <w:tr>
        <w:trPr>
          <w:trHeight w:val="158"/>
        </w:trPr>
        <w:tc>
          <w:tcPr>
            <w:tcW w:w="4460" w:type="dxa"/>
            <w:vAlign w:val="bottom"/>
          </w:tcPr>
          <w:p>
            <w:pPr>
              <w:ind w:left="1060"/>
              <w:spacing w:after="0"/>
              <w:rPr>
                <w:sz w:val="20"/>
                <w:szCs w:val="20"/>
                <w:color w:val="auto"/>
              </w:rPr>
            </w:pPr>
            <w:r>
              <w:rPr>
                <w:rFonts w:ascii="Arial" w:cs="Arial" w:eastAsia="Arial" w:hAnsi="Arial"/>
                <w:sz w:val="11"/>
                <w:szCs w:val="11"/>
                <w:color w:val="auto"/>
              </w:rPr>
              <w:t>Percentage increase (decrease)</w:t>
            </w: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25.9 %</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(15.7)%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7.7 %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38.0 %</w:t>
            </w:r>
          </w:p>
        </w:tc>
      </w:tr>
      <w:tr>
        <w:trPr>
          <w:trHeight w:val="165"/>
        </w:trPr>
        <w:tc>
          <w:tcPr>
            <w:tcW w:w="4460" w:type="dxa"/>
            <w:vAlign w:val="bottom"/>
            <w:shd w:val="clear" w:color="auto" w:fill="CCEEFF"/>
          </w:tcPr>
          <w:p>
            <w:pPr>
              <w:ind w:left="540"/>
              <w:spacing w:after="0"/>
              <w:rPr>
                <w:sz w:val="20"/>
                <w:szCs w:val="20"/>
                <w:color w:val="auto"/>
              </w:rPr>
            </w:pPr>
            <w:r>
              <w:rPr>
                <w:rFonts w:ascii="Arial" w:cs="Arial" w:eastAsia="Arial" w:hAnsi="Arial"/>
                <w:sz w:val="11"/>
                <w:szCs w:val="11"/>
                <w:color w:val="auto"/>
              </w:rPr>
              <w:t>Tenant improvements and leasing commissions: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58"/>
        </w:trPr>
        <w:tc>
          <w:tcPr>
            <w:tcW w:w="4460" w:type="dxa"/>
            <w:vAlign w:val="bottom"/>
          </w:tcPr>
          <w:p>
            <w:pPr>
              <w:ind w:left="800"/>
              <w:spacing w:after="0"/>
              <w:rPr>
                <w:sz w:val="20"/>
                <w:szCs w:val="20"/>
                <w:color w:val="auto"/>
              </w:rPr>
            </w:pPr>
            <w:r>
              <w:rPr>
                <w:rFonts w:ascii="Arial" w:cs="Arial" w:eastAsia="Arial" w:hAnsi="Arial"/>
                <w:sz w:val="11"/>
                <w:szCs w:val="11"/>
                <w:color w:val="auto"/>
              </w:rPr>
              <w:t>Per square foot</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139.83</w:t>
            </w:r>
          </w:p>
        </w:tc>
        <w:tc>
          <w:tcPr>
            <w:tcW w:w="60" w:type="dxa"/>
            <w:vAlign w:val="bottom"/>
          </w:tcPr>
          <w:p>
            <w:pPr>
              <w:spacing w:after="0"/>
              <w:rPr>
                <w:sz w:val="13"/>
                <w:szCs w:val="13"/>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191.23</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103"/>
              <w:spacing w:after="0"/>
              <w:rPr>
                <w:sz w:val="20"/>
                <w:szCs w:val="20"/>
                <w:color w:val="auto"/>
              </w:rPr>
            </w:pPr>
            <w:r>
              <w:rPr>
                <w:rFonts w:ascii="Arial" w:cs="Arial" w:eastAsia="Arial" w:hAnsi="Arial"/>
                <w:sz w:val="11"/>
                <w:szCs w:val="11"/>
                <w:color w:val="auto"/>
              </w:rPr>
              <w:t>51.69</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182.00</w:t>
            </w:r>
          </w:p>
        </w:tc>
      </w:tr>
      <w:tr>
        <w:trPr>
          <w:trHeight w:val="165"/>
        </w:trPr>
        <w:tc>
          <w:tcPr>
            <w:tcW w:w="44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Per square foot per annum</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14.72</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26.93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9.23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16.85</w:t>
            </w:r>
          </w:p>
        </w:tc>
      </w:tr>
      <w:tr>
        <w:trPr>
          <w:trHeight w:val="154"/>
        </w:trPr>
        <w:tc>
          <w:tcPr>
            <w:tcW w:w="4460" w:type="dxa"/>
            <w:vAlign w:val="bottom"/>
          </w:tcPr>
          <w:p>
            <w:pPr>
              <w:ind w:left="1060"/>
              <w:spacing w:after="0"/>
              <w:rPr>
                <w:sz w:val="20"/>
                <w:szCs w:val="20"/>
                <w:color w:val="auto"/>
              </w:rPr>
            </w:pPr>
            <w:r>
              <w:rPr>
                <w:rFonts w:ascii="Arial" w:cs="Arial" w:eastAsia="Arial" w:hAnsi="Arial"/>
                <w:sz w:val="11"/>
                <w:szCs w:val="11"/>
                <w:color w:val="auto"/>
              </w:rPr>
              <w:t>Percentage of initial rent</w:t>
            </w: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12.0 %</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5.4 %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14.5 %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10.3 %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49" w:lineRule="exact"/>
        <w:rPr>
          <w:sz w:val="20"/>
          <w:szCs w:val="20"/>
          <w:color w:val="auto"/>
        </w:rPr>
      </w:pPr>
    </w:p>
    <w:p>
      <w:pPr>
        <w:ind w:left="260" w:hanging="254"/>
        <w:spacing w:after="0" w:line="264" w:lineRule="auto"/>
        <w:tabs>
          <w:tab w:leader="none" w:pos="249" w:val="left"/>
        </w:tabs>
        <w:numPr>
          <w:ilvl w:val="0"/>
          <w:numId w:val="18"/>
        </w:numPr>
        <w:rPr>
          <w:rFonts w:ascii="Arial" w:cs="Arial" w:eastAsia="Arial" w:hAnsi="Arial"/>
          <w:sz w:val="11"/>
          <w:szCs w:val="11"/>
          <w:b w:val="1"/>
          <w:bCs w:val="1"/>
          <w:color w:val="auto"/>
        </w:rPr>
      </w:pPr>
      <w:r>
        <w:rPr>
          <w:rFonts w:ascii="Arial" w:cs="Arial" w:eastAsia="Arial" w:hAnsi="Arial"/>
          <w:sz w:val="11"/>
          <w:szCs w:val="11"/>
          <w:color w:val="auto"/>
        </w:rPr>
        <w:t>Represents the cash basis weighted average starting rent per square foot, which is generally indicative of market rents. Most leases include free rent and periodic step-ups in rent which are not included in the initial cash basis rent per square foot but are included in the GAAP basis straight-line rent per square foot.</w:t>
      </w:r>
    </w:p>
    <w:p>
      <w:pPr>
        <w:ind w:left="260" w:hanging="254"/>
        <w:spacing w:after="0"/>
        <w:tabs>
          <w:tab w:leader="none" w:pos="260" w:val="left"/>
        </w:tabs>
        <w:numPr>
          <w:ilvl w:val="0"/>
          <w:numId w:val="18"/>
        </w:numPr>
        <w:rPr>
          <w:rFonts w:ascii="Arial" w:cs="Arial" w:eastAsia="Arial" w:hAnsi="Arial"/>
          <w:sz w:val="11"/>
          <w:szCs w:val="11"/>
          <w:b w:val="1"/>
          <w:bCs w:val="1"/>
          <w:color w:val="auto"/>
        </w:rPr>
      </w:pPr>
      <w:r>
        <w:rPr>
          <w:rFonts w:ascii="Arial" w:cs="Arial" w:eastAsia="Arial" w:hAnsi="Arial"/>
          <w:sz w:val="11"/>
          <w:szCs w:val="11"/>
          <w:color w:val="auto"/>
        </w:rPr>
        <w:t>Represents the GAAP basis weighted average rent per square foot that is recognized over the term of the respective leases and includes the effect of free rent and periodic step-ups in rent.</w:t>
      </w: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53" w:lineRule="exact"/>
        <w:rPr>
          <w:rFonts w:ascii="Arial" w:cs="Arial" w:eastAsia="Arial" w:hAnsi="Arial"/>
          <w:sz w:val="11"/>
          <w:szCs w:val="11"/>
          <w:b w:val="1"/>
          <w:bCs w:val="1"/>
          <w:color w:val="auto"/>
        </w:rPr>
      </w:pPr>
    </w:p>
    <w:p>
      <w:pPr>
        <w:ind w:left="5580" w:hanging="87"/>
        <w:spacing w:after="0"/>
        <w:tabs>
          <w:tab w:leader="none" w:pos="55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15 -</w:t>
      </w:r>
    </w:p>
    <w:p>
      <w:pPr>
        <w:sectPr>
          <w:pgSz w:w="11900" w:h="16838" w:orient="portrait"/>
          <w:cols w:equalWidth="0" w:num="1">
            <w:col w:w="11280"/>
          </w:cols>
          <w:pgMar w:left="300" w:top="981" w:right="319" w:bottom="1440" w:gutter="0" w:footer="0" w:header="0"/>
        </w:sectPr>
      </w:pPr>
    </w:p>
    <w:bookmarkStart w:id="36" w:name="page37"/>
    <w:bookmarkEnd w:id="36"/>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LEASING ACTIVITY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(Square feet in thousands)</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The leasing activity and related statistics in the table below are based on leases signed during the period and are not intended to coincide with the commencement of rental revenue in accordance with GAAP. Second generation relet space represents square footage that has not been vacant for more than nine months and tenant improvements and leasing commissions are based on our share of square feet leased during the period.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1"/>
                <w:szCs w:val="11"/>
                <w:b w:val="1"/>
                <w:bCs w:val="1"/>
                <w:color w:val="auto"/>
              </w:rPr>
              <w:t>New York</w:t>
            </w:r>
          </w:p>
        </w:tc>
        <w:tc>
          <w:tcPr>
            <w:tcW w:w="1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2"/>
        </w:trPr>
        <w:tc>
          <w:tcPr>
            <w:tcW w:w="4180" w:type="dxa"/>
            <w:vAlign w:val="bottom"/>
          </w:tcPr>
          <w:p>
            <w:pPr>
              <w:spacing w:after="0"/>
              <w:rPr>
                <w:sz w:val="13"/>
                <w:szCs w:val="13"/>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Office</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1"/>
                <w:szCs w:val="11"/>
                <w:b w:val="1"/>
                <w:bCs w:val="1"/>
                <w:color w:val="auto"/>
              </w:rPr>
              <w:t>Retail</w:t>
            </w:r>
          </w:p>
        </w:tc>
        <w:tc>
          <w:tcPr>
            <w:tcW w:w="320" w:type="dxa"/>
            <w:vAlign w:val="bottom"/>
          </w:tcPr>
          <w:p>
            <w:pPr>
              <w:spacing w:after="0"/>
              <w:rPr>
                <w:sz w:val="13"/>
                <w:szCs w:val="13"/>
                <w:color w:val="auto"/>
              </w:rPr>
            </w:pPr>
          </w:p>
        </w:tc>
        <w:tc>
          <w:tcPr>
            <w:tcW w:w="1400" w:type="dxa"/>
            <w:vAlign w:val="bottom"/>
          </w:tcPr>
          <w:p>
            <w:pPr>
              <w:jc w:val="right"/>
              <w:ind w:right="503"/>
              <w:spacing w:after="0"/>
              <w:rPr>
                <w:sz w:val="20"/>
                <w:szCs w:val="20"/>
                <w:color w:val="auto"/>
              </w:rPr>
            </w:pPr>
            <w:r>
              <w:rPr>
                <w:rFonts w:ascii="Arial" w:cs="Arial" w:eastAsia="Arial" w:hAnsi="Arial"/>
                <w:sz w:val="11"/>
                <w:szCs w:val="11"/>
                <w:b w:val="1"/>
                <w:bCs w:val="1"/>
                <w:color w:val="auto"/>
              </w:rPr>
              <w:t>THE MART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243"/>
              <w:spacing w:after="0"/>
              <w:rPr>
                <w:sz w:val="20"/>
                <w:szCs w:val="20"/>
                <w:color w:val="auto"/>
              </w:rPr>
            </w:pPr>
            <w:r>
              <w:rPr>
                <w:rFonts w:ascii="Arial" w:cs="Arial" w:eastAsia="Arial" w:hAnsi="Arial"/>
                <w:sz w:val="11"/>
                <w:szCs w:val="11"/>
                <w:b w:val="1"/>
                <w:bCs w:val="1"/>
                <w:color w:val="auto"/>
              </w:rPr>
              <w:t>555 California Street</w:t>
            </w:r>
          </w:p>
        </w:tc>
      </w:tr>
      <w:tr>
        <w:trPr>
          <w:trHeight w:val="142"/>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Nine Months Ended September 30, 2026</w:t>
            </w:r>
          </w:p>
        </w:tc>
        <w:tc>
          <w:tcPr>
            <w:tcW w:w="1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r>
      <w:tr>
        <w:trPr>
          <w:trHeight w:val="162"/>
        </w:trPr>
        <w:tc>
          <w:tcPr>
            <w:tcW w:w="41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Total square feet leased</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1,148</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166</w:t>
            </w:r>
          </w:p>
        </w:tc>
      </w:tr>
      <w:tr>
        <w:trPr>
          <w:trHeight w:val="158"/>
        </w:trPr>
        <w:tc>
          <w:tcPr>
            <w:tcW w:w="4180" w:type="dxa"/>
            <w:vAlign w:val="bottom"/>
          </w:tcPr>
          <w:p>
            <w:pPr>
              <w:ind w:left="280"/>
              <w:spacing w:after="0"/>
              <w:rPr>
                <w:sz w:val="20"/>
                <w:szCs w:val="20"/>
                <w:color w:val="auto"/>
              </w:rPr>
            </w:pPr>
            <w:r>
              <w:rPr>
                <w:rFonts w:ascii="Arial" w:cs="Arial" w:eastAsia="Arial" w:hAnsi="Arial"/>
                <w:sz w:val="11"/>
                <w:szCs w:val="11"/>
                <w:color w:val="auto"/>
              </w:rPr>
              <w:t>Our share of square feet leased:</w:t>
            </w:r>
          </w:p>
        </w:tc>
        <w:tc>
          <w:tcPr>
            <w:tcW w:w="112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993</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ind w:right="83"/>
              <w:spacing w:after="0"/>
              <w:rPr>
                <w:sz w:val="20"/>
                <w:szCs w:val="20"/>
                <w:color w:val="auto"/>
              </w:rPr>
            </w:pPr>
            <w:r>
              <w:rPr>
                <w:rFonts w:ascii="Arial" w:cs="Arial" w:eastAsia="Arial" w:hAnsi="Arial"/>
                <w:sz w:val="11"/>
                <w:szCs w:val="11"/>
                <w:color w:val="auto"/>
              </w:rPr>
              <w:t>155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Arial" w:cs="Arial" w:eastAsia="Arial" w:hAnsi="Arial"/>
                <w:sz w:val="11"/>
                <w:szCs w:val="11"/>
                <w:color w:val="auto"/>
              </w:rPr>
              <w:t>115</w:t>
            </w:r>
          </w:p>
        </w:tc>
      </w:tr>
      <w:tr>
        <w:trPr>
          <w:trHeight w:val="165"/>
        </w:trPr>
        <w:tc>
          <w:tcPr>
            <w:tcW w:w="41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Initial rent</w:t>
            </w:r>
            <w:r>
              <w:rPr>
                <w:rFonts w:ascii="Arial" w:cs="Arial" w:eastAsia="Arial" w:hAnsi="Arial"/>
                <w:sz w:val="14"/>
                <w:szCs w:val="14"/>
                <w:b w:val="1"/>
                <w:bCs w:val="1"/>
                <w:color w:val="auto"/>
                <w:vertAlign w:val="superscript"/>
              </w:rPr>
              <w:t>(1)</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113.09</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402.59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58.08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148.50</w:t>
            </w:r>
          </w:p>
        </w:tc>
      </w:tr>
      <w:tr>
        <w:trPr>
          <w:trHeight w:val="158"/>
        </w:trPr>
        <w:tc>
          <w:tcPr>
            <w:tcW w:w="4180" w:type="dxa"/>
            <w:vAlign w:val="bottom"/>
          </w:tcPr>
          <w:p>
            <w:pPr>
              <w:ind w:left="540"/>
              <w:spacing w:after="0"/>
              <w:rPr>
                <w:sz w:val="20"/>
                <w:szCs w:val="20"/>
                <w:color w:val="auto"/>
              </w:rPr>
            </w:pPr>
            <w:r>
              <w:rPr>
                <w:rFonts w:ascii="Arial" w:cs="Arial" w:eastAsia="Arial" w:hAnsi="Arial"/>
                <w:sz w:val="11"/>
                <w:szCs w:val="11"/>
                <w:color w:val="auto"/>
              </w:rPr>
              <w:t>Weighted average lease term (years)</w:t>
            </w:r>
          </w:p>
        </w:tc>
        <w:tc>
          <w:tcPr>
            <w:tcW w:w="112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8.9</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ind w:right="83"/>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Arial" w:cs="Arial" w:eastAsia="Arial" w:hAnsi="Arial"/>
                <w:sz w:val="11"/>
                <w:szCs w:val="11"/>
                <w:color w:val="auto"/>
              </w:rPr>
              <w:t>9.3</w:t>
            </w:r>
          </w:p>
        </w:tc>
      </w:tr>
      <w:tr>
        <w:trPr>
          <w:trHeight w:val="165"/>
        </w:trPr>
        <w:tc>
          <w:tcPr>
            <w:tcW w:w="41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Second generation relet space:</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58"/>
        </w:trPr>
        <w:tc>
          <w:tcPr>
            <w:tcW w:w="4180" w:type="dxa"/>
            <w:vAlign w:val="bottom"/>
          </w:tcPr>
          <w:p>
            <w:pPr>
              <w:ind w:left="800"/>
              <w:spacing w:after="0"/>
              <w:rPr>
                <w:sz w:val="20"/>
                <w:szCs w:val="20"/>
                <w:color w:val="auto"/>
              </w:rPr>
            </w:pPr>
            <w:r>
              <w:rPr>
                <w:rFonts w:ascii="Arial" w:cs="Arial" w:eastAsia="Arial" w:hAnsi="Arial"/>
                <w:sz w:val="11"/>
                <w:szCs w:val="11"/>
                <w:color w:val="auto"/>
              </w:rPr>
              <w:t>Square feet</w:t>
            </w:r>
          </w:p>
        </w:tc>
        <w:tc>
          <w:tcPr>
            <w:tcW w:w="112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547</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ind w:right="83"/>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Arial" w:cs="Arial" w:eastAsia="Arial" w:hAnsi="Arial"/>
                <w:sz w:val="11"/>
                <w:szCs w:val="11"/>
                <w:color w:val="auto"/>
              </w:rPr>
              <w:t>96</w:t>
            </w:r>
          </w:p>
        </w:tc>
      </w:tr>
      <w:tr>
        <w:trPr>
          <w:trHeight w:val="165"/>
        </w:trPr>
        <w:tc>
          <w:tcPr>
            <w:tcW w:w="41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GAAP basis: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1"/>
        </w:trPr>
        <w:tc>
          <w:tcPr>
            <w:tcW w:w="4180" w:type="dxa"/>
            <w:vAlign w:val="bottom"/>
          </w:tcPr>
          <w:p>
            <w:pPr>
              <w:ind w:left="1060"/>
              <w:spacing w:after="0"/>
              <w:rPr>
                <w:sz w:val="20"/>
                <w:szCs w:val="20"/>
                <w:color w:val="auto"/>
              </w:rPr>
            </w:pPr>
            <w:r>
              <w:rPr>
                <w:rFonts w:ascii="Arial" w:cs="Arial" w:eastAsia="Arial" w:hAnsi="Arial"/>
                <w:sz w:val="11"/>
                <w:szCs w:val="11"/>
                <w:color w:val="auto"/>
              </w:rPr>
              <w:t>Straight-line rent</w:t>
            </w:r>
            <w:r>
              <w:rPr>
                <w:rFonts w:ascii="Arial" w:cs="Arial" w:eastAsia="Arial" w:hAnsi="Arial"/>
                <w:sz w:val="14"/>
                <w:szCs w:val="14"/>
                <w:b w:val="1"/>
                <w:bCs w:val="1"/>
                <w:color w:val="auto"/>
                <w:vertAlign w:val="superscript"/>
              </w:rPr>
              <w:t>(2)</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107.36</w:t>
            </w:r>
          </w:p>
        </w:tc>
        <w:tc>
          <w:tcPr>
            <w:tcW w:w="60" w:type="dxa"/>
            <w:vAlign w:val="bottom"/>
          </w:tcPr>
          <w:p>
            <w:pPr>
              <w:spacing w:after="0"/>
              <w:rPr>
                <w:sz w:val="14"/>
                <w:szCs w:val="14"/>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419.40</w:t>
            </w:r>
          </w:p>
        </w:tc>
        <w:tc>
          <w:tcPr>
            <w:tcW w:w="80" w:type="dxa"/>
            <w:vAlign w:val="bottom"/>
          </w:tcPr>
          <w:p>
            <w:pPr>
              <w:spacing w:after="0"/>
              <w:rPr>
                <w:sz w:val="14"/>
                <w:szCs w:val="14"/>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83"/>
              <w:spacing w:after="0"/>
              <w:rPr>
                <w:sz w:val="20"/>
                <w:szCs w:val="20"/>
                <w:color w:val="auto"/>
              </w:rPr>
            </w:pPr>
            <w:r>
              <w:rPr>
                <w:rFonts w:ascii="Arial" w:cs="Arial" w:eastAsia="Arial" w:hAnsi="Arial"/>
                <w:sz w:val="11"/>
                <w:szCs w:val="11"/>
                <w:color w:val="auto"/>
              </w:rPr>
              <w:t>62.44</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520" w:type="dxa"/>
            <w:vAlign w:val="bottom"/>
          </w:tcPr>
          <w:p>
            <w:pPr>
              <w:jc w:val="right"/>
              <w:ind w:right="83"/>
              <w:spacing w:after="0"/>
              <w:rPr>
                <w:sz w:val="20"/>
                <w:szCs w:val="20"/>
                <w:color w:val="auto"/>
              </w:rPr>
            </w:pPr>
            <w:r>
              <w:rPr>
                <w:rFonts w:ascii="Arial" w:cs="Arial" w:eastAsia="Arial" w:hAnsi="Arial"/>
                <w:sz w:val="11"/>
                <w:szCs w:val="11"/>
                <w:color w:val="auto"/>
              </w:rPr>
              <w:t>165.04</w:t>
            </w:r>
          </w:p>
        </w:tc>
      </w:tr>
      <w:tr>
        <w:trPr>
          <w:trHeight w:val="161"/>
        </w:trPr>
        <w:tc>
          <w:tcPr>
            <w:tcW w:w="4180" w:type="dxa"/>
            <w:vAlign w:val="bottom"/>
            <w:shd w:val="clear" w:color="auto" w:fill="CCEEFF"/>
          </w:tcPr>
          <w:p>
            <w:pPr>
              <w:ind w:left="1060"/>
              <w:spacing w:after="0"/>
              <w:rPr>
                <w:sz w:val="20"/>
                <w:szCs w:val="20"/>
                <w:color w:val="auto"/>
              </w:rPr>
            </w:pPr>
            <w:r>
              <w:rPr>
                <w:rFonts w:ascii="Arial" w:cs="Arial" w:eastAsia="Arial" w:hAnsi="Arial"/>
                <w:sz w:val="11"/>
                <w:szCs w:val="11"/>
                <w:color w:val="auto"/>
              </w:rPr>
              <w:t>Prior straight-line rent</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86.90</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384.23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56.06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119.06</w:t>
            </w:r>
          </w:p>
        </w:tc>
      </w:tr>
      <w:tr>
        <w:trPr>
          <w:trHeight w:val="158"/>
        </w:trPr>
        <w:tc>
          <w:tcPr>
            <w:tcW w:w="4180" w:type="dxa"/>
            <w:vAlign w:val="bottom"/>
          </w:tcPr>
          <w:p>
            <w:pPr>
              <w:ind w:left="1060"/>
              <w:spacing w:after="0"/>
              <w:rPr>
                <w:sz w:val="20"/>
                <w:szCs w:val="20"/>
                <w:color w:val="auto"/>
              </w:rPr>
            </w:pPr>
            <w:r>
              <w:rPr>
                <w:rFonts w:ascii="Arial" w:cs="Arial" w:eastAsia="Arial" w:hAnsi="Arial"/>
                <w:sz w:val="11"/>
                <w:szCs w:val="11"/>
                <w:color w:val="auto"/>
              </w:rPr>
              <w:t>Percentage increase</w:t>
            </w: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23.5 %</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9.2 %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11.4 %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38.6 %</w:t>
            </w:r>
          </w:p>
        </w:tc>
      </w:tr>
      <w:tr>
        <w:trPr>
          <w:trHeight w:val="165"/>
        </w:trPr>
        <w:tc>
          <w:tcPr>
            <w:tcW w:w="41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Cash basis (non-GAAP):</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1"/>
        </w:trPr>
        <w:tc>
          <w:tcPr>
            <w:tcW w:w="4180" w:type="dxa"/>
            <w:vAlign w:val="bottom"/>
          </w:tcPr>
          <w:p>
            <w:pPr>
              <w:ind w:left="1060"/>
              <w:spacing w:after="0"/>
              <w:rPr>
                <w:sz w:val="20"/>
                <w:szCs w:val="20"/>
                <w:color w:val="auto"/>
              </w:rPr>
            </w:pPr>
            <w:r>
              <w:rPr>
                <w:rFonts w:ascii="Arial" w:cs="Arial" w:eastAsia="Arial" w:hAnsi="Arial"/>
                <w:sz w:val="11"/>
                <w:szCs w:val="11"/>
                <w:color w:val="auto"/>
              </w:rPr>
              <w:t>Initial rent</w:t>
            </w:r>
            <w:r>
              <w:rPr>
                <w:rFonts w:ascii="Arial" w:cs="Arial" w:eastAsia="Arial" w:hAnsi="Arial"/>
                <w:sz w:val="14"/>
                <w:szCs w:val="14"/>
                <w:b w:val="1"/>
                <w:bCs w:val="1"/>
                <w:color w:val="auto"/>
                <w:vertAlign w:val="superscript"/>
              </w:rPr>
              <w:t>(1)</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111.15</w:t>
            </w:r>
          </w:p>
        </w:tc>
        <w:tc>
          <w:tcPr>
            <w:tcW w:w="60" w:type="dxa"/>
            <w:vAlign w:val="bottom"/>
          </w:tcPr>
          <w:p>
            <w:pPr>
              <w:spacing w:after="0"/>
              <w:rPr>
                <w:sz w:val="14"/>
                <w:szCs w:val="14"/>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416.86</w:t>
            </w:r>
          </w:p>
        </w:tc>
        <w:tc>
          <w:tcPr>
            <w:tcW w:w="80" w:type="dxa"/>
            <w:vAlign w:val="bottom"/>
          </w:tcPr>
          <w:p>
            <w:pPr>
              <w:spacing w:after="0"/>
              <w:rPr>
                <w:sz w:val="14"/>
                <w:szCs w:val="14"/>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83"/>
              <w:spacing w:after="0"/>
              <w:rPr>
                <w:sz w:val="20"/>
                <w:szCs w:val="20"/>
                <w:color w:val="auto"/>
              </w:rPr>
            </w:pPr>
            <w:r>
              <w:rPr>
                <w:rFonts w:ascii="Arial" w:cs="Arial" w:eastAsia="Arial" w:hAnsi="Arial"/>
                <w:sz w:val="11"/>
                <w:szCs w:val="11"/>
                <w:color w:val="auto"/>
              </w:rPr>
              <w:t>63.44</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520" w:type="dxa"/>
            <w:vAlign w:val="bottom"/>
          </w:tcPr>
          <w:p>
            <w:pPr>
              <w:jc w:val="right"/>
              <w:ind w:right="83"/>
              <w:spacing w:after="0"/>
              <w:rPr>
                <w:sz w:val="20"/>
                <w:szCs w:val="20"/>
                <w:color w:val="auto"/>
              </w:rPr>
            </w:pPr>
            <w:r>
              <w:rPr>
                <w:rFonts w:ascii="Arial" w:cs="Arial" w:eastAsia="Arial" w:hAnsi="Arial"/>
                <w:sz w:val="11"/>
                <w:szCs w:val="11"/>
                <w:color w:val="auto"/>
              </w:rPr>
              <w:t>162.98</w:t>
            </w:r>
          </w:p>
        </w:tc>
      </w:tr>
      <w:tr>
        <w:trPr>
          <w:trHeight w:val="161"/>
        </w:trPr>
        <w:tc>
          <w:tcPr>
            <w:tcW w:w="4180" w:type="dxa"/>
            <w:vAlign w:val="bottom"/>
            <w:shd w:val="clear" w:color="auto" w:fill="CCEEFF"/>
          </w:tcPr>
          <w:p>
            <w:pPr>
              <w:ind w:left="1060"/>
              <w:spacing w:after="0"/>
              <w:rPr>
                <w:sz w:val="20"/>
                <w:szCs w:val="20"/>
                <w:color w:val="auto"/>
              </w:rPr>
            </w:pPr>
            <w:r>
              <w:rPr>
                <w:rFonts w:ascii="Arial" w:cs="Arial" w:eastAsia="Arial" w:hAnsi="Arial"/>
                <w:sz w:val="11"/>
                <w:szCs w:val="11"/>
                <w:color w:val="auto"/>
              </w:rPr>
              <w:t>Prior escalated rent</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95.14</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448.73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60.94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128.30</w:t>
            </w:r>
          </w:p>
        </w:tc>
      </w:tr>
      <w:tr>
        <w:trPr>
          <w:trHeight w:val="158"/>
        </w:trPr>
        <w:tc>
          <w:tcPr>
            <w:tcW w:w="4180" w:type="dxa"/>
            <w:vAlign w:val="bottom"/>
          </w:tcPr>
          <w:p>
            <w:pPr>
              <w:ind w:left="1060"/>
              <w:spacing w:after="0"/>
              <w:rPr>
                <w:sz w:val="20"/>
                <w:szCs w:val="20"/>
                <w:color w:val="auto"/>
              </w:rPr>
            </w:pPr>
            <w:r>
              <w:rPr>
                <w:rFonts w:ascii="Arial" w:cs="Arial" w:eastAsia="Arial" w:hAnsi="Arial"/>
                <w:sz w:val="11"/>
                <w:szCs w:val="11"/>
                <w:color w:val="auto"/>
              </w:rPr>
              <w:t>Percentage increase (decrease)</w:t>
            </w: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16.8 %</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4.1 %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27.0 %</w:t>
            </w:r>
          </w:p>
        </w:tc>
      </w:tr>
      <w:tr>
        <w:trPr>
          <w:trHeight w:val="165"/>
        </w:trPr>
        <w:tc>
          <w:tcPr>
            <w:tcW w:w="41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Tenant improvements and leasing commissions:</w:t>
            </w: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58"/>
        </w:trPr>
        <w:tc>
          <w:tcPr>
            <w:tcW w:w="4180" w:type="dxa"/>
            <w:vAlign w:val="bottom"/>
          </w:tcPr>
          <w:p>
            <w:pPr>
              <w:ind w:left="800"/>
              <w:spacing w:after="0"/>
              <w:rPr>
                <w:sz w:val="20"/>
                <w:szCs w:val="20"/>
                <w:color w:val="auto"/>
              </w:rPr>
            </w:pPr>
            <w:r>
              <w:rPr>
                <w:rFonts w:ascii="Arial" w:cs="Arial" w:eastAsia="Arial" w:hAnsi="Arial"/>
                <w:sz w:val="11"/>
                <w:szCs w:val="11"/>
                <w:color w:val="auto"/>
              </w:rPr>
              <w:t>Per square foot</w:t>
            </w:r>
          </w:p>
        </w:tc>
        <w:tc>
          <w:tcPr>
            <w:tcW w:w="1120" w:type="dxa"/>
            <w:vAlign w:val="bottom"/>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03"/>
              <w:spacing w:after="0"/>
              <w:rPr>
                <w:sz w:val="20"/>
                <w:szCs w:val="20"/>
                <w:color w:val="auto"/>
              </w:rPr>
            </w:pPr>
            <w:r>
              <w:rPr>
                <w:rFonts w:ascii="Arial" w:cs="Arial" w:eastAsia="Arial" w:hAnsi="Arial"/>
                <w:sz w:val="11"/>
                <w:szCs w:val="11"/>
                <w:color w:val="auto"/>
              </w:rPr>
              <w:t>132.02</w:t>
            </w:r>
          </w:p>
        </w:tc>
        <w:tc>
          <w:tcPr>
            <w:tcW w:w="60" w:type="dxa"/>
            <w:vAlign w:val="bottom"/>
          </w:tcPr>
          <w:p>
            <w:pPr>
              <w:spacing w:after="0"/>
              <w:rPr>
                <w:sz w:val="13"/>
                <w:szCs w:val="13"/>
                <w:color w:val="auto"/>
              </w:rPr>
            </w:pPr>
          </w:p>
        </w:tc>
        <w:tc>
          <w:tcPr>
            <w:tcW w:w="480" w:type="dxa"/>
            <w:vAlign w:val="bottom"/>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83"/>
              <w:spacing w:after="0"/>
              <w:rPr>
                <w:sz w:val="20"/>
                <w:szCs w:val="20"/>
                <w:color w:val="auto"/>
              </w:rPr>
            </w:pPr>
            <w:r>
              <w:rPr>
                <w:rFonts w:ascii="Arial" w:cs="Arial" w:eastAsia="Arial" w:hAnsi="Arial"/>
                <w:sz w:val="11"/>
                <w:szCs w:val="11"/>
                <w:color w:val="auto"/>
              </w:rPr>
              <w:t>109.17</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83"/>
              <w:spacing w:after="0"/>
              <w:rPr>
                <w:sz w:val="20"/>
                <w:szCs w:val="20"/>
                <w:color w:val="auto"/>
              </w:rPr>
            </w:pPr>
            <w:r>
              <w:rPr>
                <w:rFonts w:ascii="Arial" w:cs="Arial" w:eastAsia="Arial" w:hAnsi="Arial"/>
                <w:sz w:val="11"/>
                <w:szCs w:val="11"/>
                <w:color w:val="auto"/>
              </w:rPr>
              <w:t>78.54</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520" w:type="dxa"/>
            <w:vAlign w:val="bottom"/>
          </w:tcPr>
          <w:p>
            <w:pPr>
              <w:jc w:val="right"/>
              <w:ind w:right="83"/>
              <w:spacing w:after="0"/>
              <w:rPr>
                <w:sz w:val="20"/>
                <w:szCs w:val="20"/>
                <w:color w:val="auto"/>
              </w:rPr>
            </w:pPr>
            <w:r>
              <w:rPr>
                <w:rFonts w:ascii="Arial" w:cs="Arial" w:eastAsia="Arial" w:hAnsi="Arial"/>
                <w:sz w:val="11"/>
                <w:szCs w:val="11"/>
                <w:color w:val="auto"/>
              </w:rPr>
              <w:t>166.95</w:t>
            </w:r>
          </w:p>
        </w:tc>
      </w:tr>
      <w:tr>
        <w:trPr>
          <w:trHeight w:val="165"/>
        </w:trPr>
        <w:tc>
          <w:tcPr>
            <w:tcW w:w="41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Per square foot per annum</w:t>
            </w:r>
          </w:p>
        </w:tc>
        <w:tc>
          <w:tcPr>
            <w:tcW w:w="1120" w:type="dxa"/>
            <w:vAlign w:val="bottom"/>
            <w:shd w:val="clear" w:color="auto" w:fill="CCEEFF"/>
          </w:tcPr>
          <w:p>
            <w:pPr>
              <w:jc w:val="right"/>
              <w:ind w:right="98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14.83</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19.49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12.08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17.95</w:t>
            </w:r>
          </w:p>
        </w:tc>
      </w:tr>
      <w:tr>
        <w:trPr>
          <w:trHeight w:val="154"/>
        </w:trPr>
        <w:tc>
          <w:tcPr>
            <w:tcW w:w="4180" w:type="dxa"/>
            <w:vAlign w:val="bottom"/>
          </w:tcPr>
          <w:p>
            <w:pPr>
              <w:ind w:left="1060"/>
              <w:spacing w:after="0"/>
              <w:rPr>
                <w:sz w:val="20"/>
                <w:szCs w:val="20"/>
                <w:color w:val="auto"/>
              </w:rPr>
            </w:pPr>
            <w:r>
              <w:rPr>
                <w:rFonts w:ascii="Arial" w:cs="Arial" w:eastAsia="Arial" w:hAnsi="Arial"/>
                <w:sz w:val="11"/>
                <w:szCs w:val="11"/>
                <w:color w:val="auto"/>
              </w:rPr>
              <w:t>Percentage of initial rent</w:t>
            </w:r>
          </w:p>
        </w:tc>
        <w:tc>
          <w:tcPr>
            <w:tcW w:w="1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13.1 %</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4.8 %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20.8 %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12.1 %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49" w:lineRule="exact"/>
        <w:rPr>
          <w:sz w:val="20"/>
          <w:szCs w:val="20"/>
          <w:color w:val="auto"/>
        </w:rPr>
      </w:pPr>
    </w:p>
    <w:p>
      <w:pPr>
        <w:ind w:left="260" w:hanging="254"/>
        <w:spacing w:after="0" w:line="264" w:lineRule="auto"/>
        <w:tabs>
          <w:tab w:leader="none" w:pos="249" w:val="left"/>
        </w:tabs>
        <w:numPr>
          <w:ilvl w:val="0"/>
          <w:numId w:val="19"/>
        </w:numPr>
        <w:rPr>
          <w:rFonts w:ascii="Arial" w:cs="Arial" w:eastAsia="Arial" w:hAnsi="Arial"/>
          <w:sz w:val="11"/>
          <w:szCs w:val="11"/>
          <w:b w:val="1"/>
          <w:bCs w:val="1"/>
          <w:color w:val="auto"/>
        </w:rPr>
      </w:pPr>
      <w:r>
        <w:rPr>
          <w:rFonts w:ascii="Arial" w:cs="Arial" w:eastAsia="Arial" w:hAnsi="Arial"/>
          <w:sz w:val="11"/>
          <w:szCs w:val="11"/>
          <w:color w:val="auto"/>
        </w:rPr>
        <w:t>Represents the cash basis weighted average starting rent per square foot, which is generally indicative of market rents. Most leases include free rent and periodic step-ups in rent which are not included in the initial cash basis rent per square foot but are included in the GAAP basis straight-line rent per square foot.</w:t>
      </w:r>
    </w:p>
    <w:p>
      <w:pPr>
        <w:ind w:left="260" w:hanging="254"/>
        <w:spacing w:after="0"/>
        <w:tabs>
          <w:tab w:leader="none" w:pos="260" w:val="left"/>
        </w:tabs>
        <w:numPr>
          <w:ilvl w:val="0"/>
          <w:numId w:val="19"/>
        </w:numPr>
        <w:rPr>
          <w:rFonts w:ascii="Arial" w:cs="Arial" w:eastAsia="Arial" w:hAnsi="Arial"/>
          <w:sz w:val="11"/>
          <w:szCs w:val="11"/>
          <w:b w:val="1"/>
          <w:bCs w:val="1"/>
          <w:color w:val="auto"/>
        </w:rPr>
      </w:pPr>
      <w:r>
        <w:rPr>
          <w:rFonts w:ascii="Arial" w:cs="Arial" w:eastAsia="Arial" w:hAnsi="Arial"/>
          <w:sz w:val="11"/>
          <w:szCs w:val="11"/>
          <w:color w:val="auto"/>
        </w:rPr>
        <w:t>Represents the GAAP basis weighted average rent per square foot that is recognized over the term of the respective leases and includes the effect of free rent and periodic step-ups in rent.</w:t>
      </w:r>
    </w:p>
    <w:p>
      <w:pPr>
        <w:spacing w:after="0" w:line="200" w:lineRule="exact"/>
        <w:rPr>
          <w:rFonts w:ascii="Arial" w:cs="Arial" w:eastAsia="Arial" w:hAnsi="Arial"/>
          <w:sz w:val="11"/>
          <w:szCs w:val="11"/>
          <w:b w:val="1"/>
          <w:bCs w:val="1"/>
          <w:color w:val="auto"/>
        </w:rPr>
      </w:pPr>
    </w:p>
    <w:p>
      <w:pPr>
        <w:spacing w:after="0" w:line="272" w:lineRule="exact"/>
        <w:rPr>
          <w:rFonts w:ascii="Arial" w:cs="Arial" w:eastAsia="Arial" w:hAnsi="Arial"/>
          <w:sz w:val="11"/>
          <w:szCs w:val="11"/>
          <w:b w:val="1"/>
          <w:bCs w:val="1"/>
          <w:color w:val="auto"/>
        </w:rPr>
      </w:pPr>
    </w:p>
    <w:p>
      <w:pPr>
        <w:ind w:left="5580" w:hanging="87"/>
        <w:spacing w:after="0"/>
        <w:tabs>
          <w:tab w:leader="none" w:pos="55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16 -</w:t>
      </w:r>
    </w:p>
    <w:p>
      <w:pPr>
        <w:sectPr>
          <w:pgSz w:w="11900" w:h="16838" w:orient="portrait"/>
          <w:cols w:equalWidth="0" w:num="1">
            <w:col w:w="11280"/>
          </w:cols>
          <w:pgMar w:left="300" w:top="981" w:right="31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LEASE EXPIRATIONS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71602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(Amounts in thousands)</w:t>
      </w:r>
    </w:p>
    <w:p>
      <w:pPr>
        <w:spacing w:after="0" w:line="170" w:lineRule="exact"/>
        <w:rPr>
          <w:sz w:val="20"/>
          <w:szCs w:val="20"/>
          <w:color w:val="auto"/>
        </w:rPr>
      </w:pPr>
    </w:p>
    <w:p>
      <w:pPr>
        <w:jc w:val="center"/>
        <w:ind w:right="-899"/>
        <w:spacing w:after="0"/>
        <w:rPr>
          <w:sz w:val="20"/>
          <w:szCs w:val="20"/>
          <w:color w:val="auto"/>
        </w:rPr>
      </w:pPr>
      <w:r>
        <w:rPr>
          <w:rFonts w:ascii="Arial" w:cs="Arial" w:eastAsia="Arial" w:hAnsi="Arial"/>
          <w:sz w:val="14"/>
          <w:szCs w:val="14"/>
          <w:b w:val="1"/>
          <w:bCs w:val="1"/>
          <w:color w:val="auto"/>
        </w:rPr>
        <w:t>Our Share of Square Feet of Expiring Leases</w:t>
      </w:r>
    </w:p>
    <w:p>
      <w:pPr>
        <w:jc w:val="center"/>
        <w:ind w:right="-899"/>
        <w:spacing w:after="0"/>
        <w:rPr>
          <w:sz w:val="20"/>
          <w:szCs w:val="20"/>
          <w:color w:val="auto"/>
        </w:rPr>
      </w:pPr>
      <w:r>
        <w:rPr>
          <w:rFonts w:ascii="Arial" w:cs="Arial" w:eastAsia="Arial" w:hAnsi="Arial"/>
          <w:sz w:val="14"/>
          <w:szCs w:val="14"/>
          <w:b w:val="1"/>
          <w:bCs w:val="1"/>
          <w:color w:val="auto"/>
        </w:rPr>
        <w:t>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185420</wp:posOffset>
            </wp:positionV>
            <wp:extent cx="5841365" cy="29038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1365" cy="290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New York Office</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1,153</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1,137</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1,104</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744</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624</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475</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1,316</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6,882</w:t>
            </w:r>
          </w:p>
        </w:tc>
        <w:tc>
          <w:tcPr>
            <w:tcW w:w="0" w:type="dxa"/>
            <w:vAlign w:val="bottom"/>
          </w:tcPr>
          <w:p>
            <w:pPr>
              <w:spacing w:after="0"/>
              <w:rPr>
                <w:sz w:val="1"/>
                <w:szCs w:val="1"/>
                <w:color w:val="auto"/>
              </w:rPr>
            </w:pPr>
          </w:p>
        </w:tc>
      </w:tr>
      <w:tr>
        <w:trPr>
          <w:trHeight w:val="158"/>
        </w:trPr>
        <w:tc>
          <w:tcPr>
            <w:tcW w:w="1160" w:type="dxa"/>
            <w:vAlign w:val="bottom"/>
          </w:tcPr>
          <w:p>
            <w:pPr>
              <w:ind w:left="20"/>
              <w:spacing w:after="0"/>
              <w:rPr>
                <w:sz w:val="20"/>
                <w:szCs w:val="20"/>
                <w:color w:val="auto"/>
              </w:rPr>
            </w:pPr>
            <w:r>
              <w:rPr>
                <w:rFonts w:ascii="Arial" w:cs="Arial" w:eastAsia="Arial" w:hAnsi="Arial"/>
                <w:sz w:val="11"/>
                <w:szCs w:val="11"/>
                <w:color w:val="auto"/>
              </w:rPr>
              <w:t>New York Retail</w:t>
            </w:r>
          </w:p>
        </w:tc>
        <w:tc>
          <w:tcPr>
            <w:tcW w:w="68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65</w:t>
            </w:r>
          </w:p>
        </w:tc>
        <w:tc>
          <w:tcPr>
            <w:tcW w:w="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36</w:t>
            </w:r>
          </w:p>
        </w:tc>
        <w:tc>
          <w:tcPr>
            <w:tcW w:w="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143</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w:t>
            </w: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35</w:t>
            </w:r>
          </w:p>
        </w:tc>
        <w:tc>
          <w:tcPr>
            <w:tcW w:w="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146</w:t>
            </w:r>
          </w:p>
        </w:tc>
        <w:tc>
          <w:tcPr>
            <w:tcW w:w="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144</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363</w:t>
            </w: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THE MART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186</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739</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182</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58"/>
        </w:trPr>
        <w:tc>
          <w:tcPr>
            <w:tcW w:w="1160" w:type="dxa"/>
            <w:vAlign w:val="bottom"/>
          </w:tcPr>
          <w:p>
            <w:pPr>
              <w:ind w:left="20"/>
              <w:spacing w:after="0"/>
              <w:rPr>
                <w:sz w:val="20"/>
                <w:szCs w:val="20"/>
                <w:color w:val="auto"/>
              </w:rPr>
            </w:pPr>
            <w:r>
              <w:rPr>
                <w:rFonts w:ascii="Arial" w:cs="Arial" w:eastAsia="Arial" w:hAnsi="Arial"/>
                <w:sz w:val="11"/>
                <w:szCs w:val="11"/>
                <w:color w:val="auto"/>
              </w:rPr>
              <w:t>555 California Street</w:t>
            </w:r>
          </w:p>
        </w:tc>
        <w:tc>
          <w:tcPr>
            <w:tcW w:w="68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21</w:t>
            </w:r>
          </w:p>
        </w:tc>
        <w:tc>
          <w:tcPr>
            <w:tcW w:w="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179</w:t>
            </w:r>
          </w:p>
        </w:tc>
        <w:tc>
          <w:tcPr>
            <w:tcW w:w="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107</w:t>
            </w:r>
          </w:p>
        </w:tc>
        <w:tc>
          <w:tcPr>
            <w:tcW w:w="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210</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107</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363</w:t>
            </w:r>
          </w:p>
        </w:tc>
        <w:tc>
          <w:tcPr>
            <w:tcW w:w="0" w:type="dxa"/>
            <w:vAlign w:val="bottom"/>
          </w:tcPr>
          <w:p>
            <w:pPr>
              <w:spacing w:after="0"/>
              <w:rPr>
                <w:sz w:val="1"/>
                <w:szCs w:val="1"/>
                <w:color w:val="auto"/>
              </w:rPr>
            </w:pPr>
          </w:p>
        </w:tc>
      </w:tr>
      <w:tr>
        <w:trPr>
          <w:trHeight w:val="181"/>
        </w:trPr>
        <w:tc>
          <w:tcPr>
            <w:tcW w:w="1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1,373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2,120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1,429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1,005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1,360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775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711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1,581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1,165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7,720</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i w:val="1"/>
                <w:iCs w:val="1"/>
                <w:color w:val="auto"/>
              </w:rPr>
              <w:t>% of total</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60" w:type="dxa"/>
            <w:vAlign w:val="bottom"/>
            <w:vMerge w:val="continue"/>
          </w:tcPr>
          <w:p>
            <w:pPr>
              <w:spacing w:after="0"/>
              <w:rPr>
                <w:sz w:val="10"/>
                <w:szCs w:val="10"/>
                <w:color w:val="auto"/>
              </w:rPr>
            </w:pPr>
          </w:p>
        </w:tc>
        <w:tc>
          <w:tcPr>
            <w:tcW w:w="68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0.6%</w:t>
            </w:r>
          </w:p>
        </w:tc>
        <w:tc>
          <w:tcPr>
            <w:tcW w:w="80" w:type="dxa"/>
            <w:vAlign w:val="bottom"/>
          </w:tcPr>
          <w:p>
            <w:pPr>
              <w:spacing w:after="0"/>
              <w:rPr>
                <w:sz w:val="10"/>
                <w:szCs w:val="10"/>
                <w:color w:val="auto"/>
              </w:rPr>
            </w:pPr>
          </w:p>
        </w:tc>
        <w:tc>
          <w:tcPr>
            <w:tcW w:w="68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6.6%</w:t>
            </w:r>
          </w:p>
        </w:tc>
        <w:tc>
          <w:tcPr>
            <w:tcW w:w="6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10.2%</w:t>
            </w:r>
          </w:p>
        </w:tc>
        <w:tc>
          <w:tcPr>
            <w:tcW w:w="6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6.9%</w:t>
            </w:r>
          </w:p>
        </w:tc>
        <w:tc>
          <w:tcPr>
            <w:tcW w:w="6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4.9%</w:t>
            </w:r>
          </w:p>
        </w:tc>
        <w:tc>
          <w:tcPr>
            <w:tcW w:w="6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6.6%</w:t>
            </w:r>
          </w:p>
        </w:tc>
        <w:tc>
          <w:tcPr>
            <w:tcW w:w="6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6.5%</w:t>
            </w:r>
          </w:p>
        </w:tc>
        <w:tc>
          <w:tcPr>
            <w:tcW w:w="8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3.7%</w:t>
            </w:r>
          </w:p>
        </w:tc>
        <w:tc>
          <w:tcPr>
            <w:tcW w:w="6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3.4%</w:t>
            </w:r>
          </w:p>
        </w:tc>
        <w:tc>
          <w:tcPr>
            <w:tcW w:w="6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7.6%</w:t>
            </w:r>
          </w:p>
        </w:tc>
        <w:tc>
          <w:tcPr>
            <w:tcW w:w="6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5.6%</w:t>
            </w:r>
          </w:p>
        </w:tc>
        <w:tc>
          <w:tcPr>
            <w:tcW w:w="60" w:type="dxa"/>
            <w:vAlign w:val="bottom"/>
          </w:tcPr>
          <w:p>
            <w:pPr>
              <w:spacing w:after="0"/>
              <w:rPr>
                <w:sz w:val="10"/>
                <w:szCs w:val="10"/>
                <w:color w:val="auto"/>
              </w:rPr>
            </w:pPr>
          </w:p>
        </w:tc>
        <w:tc>
          <w:tcPr>
            <w:tcW w:w="700" w:type="dxa"/>
            <w:vAlign w:val="bottom"/>
          </w:tcPr>
          <w:p>
            <w:pPr>
              <w:jc w:val="right"/>
              <w:ind w:right="43"/>
              <w:spacing w:after="0" w:line="117" w:lineRule="exact"/>
              <w:rPr>
                <w:sz w:val="20"/>
                <w:szCs w:val="20"/>
                <w:color w:val="auto"/>
              </w:rPr>
            </w:pPr>
            <w:r>
              <w:rPr>
                <w:rFonts w:ascii="Arial" w:cs="Arial" w:eastAsia="Arial" w:hAnsi="Arial"/>
                <w:sz w:val="11"/>
                <w:szCs w:val="11"/>
                <w:i w:val="1"/>
                <w:iCs w:val="1"/>
                <w:color w:val="auto"/>
              </w:rPr>
              <w:t>37.4%</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7"/>
          <w:szCs w:val="7"/>
          <w:color w:val="auto"/>
        </w:rPr>
        <w:t>_______________________________</w:t>
      </w:r>
    </w:p>
    <w:p>
      <w:pPr>
        <w:spacing w:after="0" w:line="38" w:lineRule="exact"/>
        <w:rPr>
          <w:sz w:val="20"/>
          <w:szCs w:val="20"/>
          <w:color w:val="auto"/>
        </w:rPr>
      </w:pPr>
    </w:p>
    <w:p>
      <w:pPr>
        <w:ind w:left="280" w:hanging="165"/>
        <w:spacing w:after="0"/>
        <w:tabs>
          <w:tab w:leader="none" w:pos="280" w:val="left"/>
        </w:tabs>
        <w:numPr>
          <w:ilvl w:val="0"/>
          <w:numId w:val="20"/>
        </w:numPr>
        <w:rPr>
          <w:rFonts w:ascii="Arial" w:cs="Arial" w:eastAsia="Arial" w:hAnsi="Arial"/>
          <w:sz w:val="11"/>
          <w:szCs w:val="11"/>
          <w:b w:val="1"/>
          <w:bCs w:val="1"/>
          <w:color w:val="auto"/>
        </w:rPr>
      </w:pPr>
      <w:r>
        <w:rPr>
          <w:rFonts w:ascii="Arial" w:cs="Arial" w:eastAsia="Arial" w:hAnsi="Arial"/>
          <w:sz w:val="11"/>
          <w:szCs w:val="11"/>
          <w:color w:val="auto"/>
        </w:rPr>
        <w:t>Includes month-to-month leases, holdover tenants, and leases expiring on the last day of the current quarter.</w:t>
      </w:r>
    </w:p>
    <w:p>
      <w:pPr>
        <w:spacing w:after="0" w:line="278" w:lineRule="exact"/>
        <w:rPr>
          <w:rFonts w:ascii="Arial" w:cs="Arial" w:eastAsia="Arial" w:hAnsi="Arial"/>
          <w:sz w:val="11"/>
          <w:szCs w:val="11"/>
          <w:b w:val="1"/>
          <w:bCs w:val="1"/>
          <w:color w:val="auto"/>
        </w:rPr>
      </w:pPr>
    </w:p>
    <w:p>
      <w:pPr>
        <w:ind w:left="5560" w:hanging="87"/>
        <w:spacing w:after="0"/>
        <w:tabs>
          <w:tab w:leader="none" w:pos="5560" w:val="left"/>
        </w:tabs>
        <w:numPr>
          <w:ilvl w:val="1"/>
          <w:numId w:val="20"/>
        </w:numPr>
        <w:rPr>
          <w:rFonts w:ascii="Arial" w:cs="Arial" w:eastAsia="Arial" w:hAnsi="Arial"/>
          <w:sz w:val="13"/>
          <w:szCs w:val="13"/>
          <w:color w:val="auto"/>
        </w:rPr>
      </w:pPr>
      <w:r>
        <w:rPr>
          <w:rFonts w:ascii="Arial" w:cs="Arial" w:eastAsia="Arial" w:hAnsi="Arial"/>
          <w:sz w:val="13"/>
          <w:szCs w:val="13"/>
          <w:color w:val="auto"/>
        </w:rPr>
        <w:t>17 -</w:t>
      </w:r>
    </w:p>
    <w:p>
      <w:pPr>
        <w:sectPr>
          <w:pgSz w:w="11900" w:h="16838" w:orient="portrait"/>
          <w:cols w:equalWidth="0" w:num="1">
            <w:col w:w="10340"/>
          </w:cols>
          <w:pgMar w:left="320" w:top="981" w:right="1239" w:bottom="1440" w:gutter="0" w:footer="0" w:header="0"/>
        </w:sectPr>
      </w:pPr>
    </w:p>
    <w:bookmarkStart w:id="38" w:name="page39"/>
    <w:bookmarkEnd w:id="38"/>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LEASE EXPIRATIONS DETAIL (unaudited)</w:t>
      </w:r>
    </w:p>
    <w:p>
      <w:pPr>
        <w:ind w:left="20"/>
        <w:spacing w:after="0"/>
        <w:rPr>
          <w:sz w:val="20"/>
          <w:szCs w:val="20"/>
          <w:color w:val="auto"/>
        </w:rPr>
      </w:pPr>
      <w:r>
        <w:rPr>
          <w:rFonts w:ascii="Arial" w:cs="Arial" w:eastAsia="Arial" w:hAnsi="Arial"/>
          <w:sz w:val="20"/>
          <w:szCs w:val="20"/>
          <w:color w:val="auto"/>
        </w:rPr>
        <w:t>NEW YORK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602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Our Share of</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40" w:type="dxa"/>
            <w:vAlign w:val="bottom"/>
            <w:gridSpan w:val="4"/>
          </w:tcPr>
          <w:p>
            <w:pPr>
              <w:jc w:val="right"/>
              <w:ind w:right="543"/>
              <w:spacing w:after="0"/>
              <w:rPr>
                <w:sz w:val="20"/>
                <w:szCs w:val="20"/>
                <w:color w:val="auto"/>
              </w:rPr>
            </w:pPr>
            <w:r>
              <w:rPr>
                <w:rFonts w:ascii="Arial" w:cs="Arial" w:eastAsia="Arial" w:hAnsi="Arial"/>
                <w:sz w:val="11"/>
                <w:szCs w:val="11"/>
                <w:b w:val="1"/>
                <w:bCs w:val="1"/>
                <w:color w:val="auto"/>
              </w:rPr>
              <w:t>Annualized Escalated Rents</w:t>
            </w:r>
          </w:p>
        </w:tc>
        <w:tc>
          <w:tcPr>
            <w:tcW w:w="24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Percentage of</w:t>
            </w:r>
          </w:p>
        </w:tc>
        <w:tc>
          <w:tcPr>
            <w:tcW w:w="0" w:type="dxa"/>
            <w:vAlign w:val="bottom"/>
          </w:tcPr>
          <w:p>
            <w:pPr>
              <w:spacing w:after="0"/>
              <w:rPr>
                <w:sz w:val="1"/>
                <w:szCs w:val="1"/>
                <w:color w:val="auto"/>
              </w:rPr>
            </w:pPr>
          </w:p>
        </w:tc>
      </w:tr>
      <w:tr>
        <w:trPr>
          <w:trHeight w:val="54"/>
        </w:trPr>
        <w:tc>
          <w:tcPr>
            <w:tcW w:w="29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40" w:type="dxa"/>
            <w:vAlign w:val="bottom"/>
            <w:gridSpan w:val="4"/>
            <w:vMerge w:val="restart"/>
          </w:tcPr>
          <w:p>
            <w:pPr>
              <w:jc w:val="right"/>
              <w:ind w:right="803"/>
              <w:spacing w:after="0"/>
              <w:rPr>
                <w:sz w:val="20"/>
                <w:szCs w:val="20"/>
                <w:color w:val="auto"/>
              </w:rPr>
            </w:pPr>
            <w:r>
              <w:rPr>
                <w:rFonts w:ascii="Arial" w:cs="Arial" w:eastAsia="Arial" w:hAnsi="Arial"/>
                <w:sz w:val="11"/>
                <w:szCs w:val="11"/>
                <w:b w:val="1"/>
                <w:bCs w:val="1"/>
                <w:color w:val="auto"/>
              </w:rPr>
              <w:t>of Expiring Leases</w:t>
            </w:r>
          </w:p>
        </w:tc>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920" w:type="dxa"/>
            <w:vAlign w:val="bottom"/>
          </w:tcPr>
          <w:p>
            <w:pPr>
              <w:spacing w:after="0"/>
              <w:rPr>
                <w:sz w:val="8"/>
                <w:szCs w:val="8"/>
                <w:color w:val="auto"/>
              </w:rPr>
            </w:pPr>
          </w:p>
        </w:tc>
        <w:tc>
          <w:tcPr>
            <w:tcW w:w="2460" w:type="dxa"/>
            <w:vAlign w:val="bottom"/>
            <w:gridSpan w:val="2"/>
          </w:tcPr>
          <w:p>
            <w:pPr>
              <w:ind w:left="700"/>
              <w:spacing w:after="0" w:line="94" w:lineRule="exact"/>
              <w:rPr>
                <w:sz w:val="20"/>
                <w:szCs w:val="20"/>
                <w:color w:val="auto"/>
              </w:rPr>
            </w:pPr>
            <w:r>
              <w:rPr>
                <w:rFonts w:ascii="Arial" w:cs="Arial" w:eastAsia="Arial" w:hAnsi="Arial"/>
                <w:sz w:val="10"/>
                <w:szCs w:val="10"/>
                <w:b w:val="1"/>
                <w:bCs w:val="1"/>
                <w:color w:val="auto"/>
              </w:rPr>
              <w:t>Period of Lease</w:t>
            </w:r>
          </w:p>
        </w:tc>
        <w:tc>
          <w:tcPr>
            <w:tcW w:w="13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Square Feet</w:t>
            </w:r>
          </w:p>
        </w:tc>
        <w:tc>
          <w:tcPr>
            <w:tcW w:w="2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Annualized</w:t>
            </w:r>
          </w:p>
        </w:tc>
        <w:tc>
          <w:tcPr>
            <w:tcW w:w="0" w:type="dxa"/>
            <w:vAlign w:val="bottom"/>
          </w:tcPr>
          <w:p>
            <w:pPr>
              <w:spacing w:after="0"/>
              <w:rPr>
                <w:sz w:val="1"/>
                <w:szCs w:val="1"/>
                <w:color w:val="auto"/>
              </w:rPr>
            </w:pPr>
          </w:p>
        </w:tc>
      </w:tr>
      <w:tr>
        <w:trPr>
          <w:trHeight w:val="152"/>
        </w:trPr>
        <w:tc>
          <w:tcPr>
            <w:tcW w:w="2920" w:type="dxa"/>
            <w:vAlign w:val="bottom"/>
            <w:tcBorders>
              <w:bottom w:val="single" w:sz="8" w:color="CCEEFF"/>
            </w:tcBorders>
          </w:tcPr>
          <w:p>
            <w:pPr>
              <w:spacing w:after="0"/>
              <w:rPr>
                <w:sz w:val="13"/>
                <w:szCs w:val="13"/>
                <w:color w:val="auto"/>
              </w:rPr>
            </w:pPr>
          </w:p>
        </w:tc>
        <w:tc>
          <w:tcPr>
            <w:tcW w:w="2260" w:type="dxa"/>
            <w:vAlign w:val="bottom"/>
            <w:tcBorders>
              <w:bottom w:val="single" w:sz="8" w:color="auto"/>
            </w:tcBorders>
          </w:tcPr>
          <w:p>
            <w:pPr>
              <w:ind w:left="860"/>
              <w:spacing w:after="0"/>
              <w:rPr>
                <w:sz w:val="20"/>
                <w:szCs w:val="20"/>
                <w:color w:val="auto"/>
              </w:rPr>
            </w:pPr>
            <w:r>
              <w:rPr>
                <w:rFonts w:ascii="Arial" w:cs="Arial" w:eastAsia="Arial" w:hAnsi="Arial"/>
                <w:sz w:val="11"/>
                <w:szCs w:val="11"/>
                <w:b w:val="1"/>
                <w:bCs w:val="1"/>
                <w:color w:val="auto"/>
              </w:rPr>
              <w:t>Expiration</w:t>
            </w:r>
          </w:p>
        </w:tc>
        <w:tc>
          <w:tcPr>
            <w:tcW w:w="2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 Expiring Leases</w:t>
            </w:r>
            <w:r>
              <w:rPr>
                <w:rFonts w:ascii="Arial" w:cs="Arial" w:eastAsia="Arial" w:hAnsi="Arial"/>
                <w:sz w:val="7"/>
                <w:szCs w:val="7"/>
                <w:b w:val="1"/>
                <w:bCs w:val="1"/>
                <w:color w:val="auto"/>
              </w:rPr>
              <w:t>(1)</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Total</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Per Sq. Ft.</w:t>
            </w:r>
          </w:p>
        </w:tc>
        <w:tc>
          <w:tcPr>
            <w:tcW w:w="24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Escalated Rent</w:t>
            </w:r>
          </w:p>
        </w:tc>
        <w:tc>
          <w:tcPr>
            <w:tcW w:w="0" w:type="dxa"/>
            <w:vAlign w:val="bottom"/>
          </w:tcPr>
          <w:p>
            <w:pPr>
              <w:spacing w:after="0"/>
              <w:rPr>
                <w:sz w:val="1"/>
                <w:szCs w:val="1"/>
                <w:color w:val="auto"/>
              </w:rPr>
            </w:pPr>
          </w:p>
        </w:tc>
      </w:tr>
      <w:tr>
        <w:trPr>
          <w:trHeight w:val="152"/>
        </w:trPr>
        <w:tc>
          <w:tcPr>
            <w:tcW w:w="29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Office:</w:t>
            </w:r>
          </w:p>
        </w:tc>
        <w:tc>
          <w:tcPr>
            <w:tcW w:w="246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1"/>
                <w:szCs w:val="11"/>
                <w:color w:val="auto"/>
              </w:rPr>
              <w:t>Third Quarter 2026</w:t>
            </w:r>
            <w:r>
              <w:rPr>
                <w:rFonts w:ascii="Arial" w:cs="Arial" w:eastAsia="Arial" w:hAnsi="Arial"/>
                <w:sz w:val="14"/>
                <w:szCs w:val="14"/>
                <w:b w:val="1"/>
                <w:bCs w:val="1"/>
                <w:color w:val="auto"/>
                <w:vertAlign w:val="superscript"/>
              </w:rPr>
              <w:t>(2)</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31,000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2,442,000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78.77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0.2 %</w:t>
            </w:r>
          </w:p>
        </w:tc>
        <w:tc>
          <w:tcPr>
            <w:tcW w:w="0" w:type="dxa"/>
            <w:vAlign w:val="bottom"/>
          </w:tcPr>
          <w:p>
            <w:pPr>
              <w:spacing w:after="0"/>
              <w:rPr>
                <w:sz w:val="1"/>
                <w:szCs w:val="1"/>
                <w:color w:val="auto"/>
              </w:rPr>
            </w:pPr>
          </w:p>
        </w:tc>
      </w:tr>
      <w:tr>
        <w:trPr>
          <w:trHeight w:val="55"/>
        </w:trPr>
        <w:tc>
          <w:tcPr>
            <w:tcW w:w="29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920" w:type="dxa"/>
            <w:vAlign w:val="bottom"/>
            <w:shd w:val="clear" w:color="auto" w:fill="CCEEFF"/>
          </w:tcPr>
          <w:p>
            <w:pPr>
              <w:spacing w:after="0"/>
              <w:rPr>
                <w:sz w:val="13"/>
                <w:szCs w:val="13"/>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Fourth Quarter 2026</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27,000</w:t>
            </w:r>
          </w:p>
        </w:tc>
        <w:tc>
          <w:tcPr>
            <w:tcW w:w="2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2,308,000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85.48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0.2 %</w:t>
            </w:r>
          </w:p>
        </w:tc>
        <w:tc>
          <w:tcPr>
            <w:tcW w:w="0" w:type="dxa"/>
            <w:vAlign w:val="bottom"/>
          </w:tcPr>
          <w:p>
            <w:pPr>
              <w:spacing w:after="0"/>
              <w:rPr>
                <w:sz w:val="1"/>
                <w:szCs w:val="1"/>
                <w:color w:val="auto"/>
              </w:rPr>
            </w:pPr>
          </w:p>
        </w:tc>
      </w:tr>
      <w:tr>
        <w:trPr>
          <w:trHeight w:val="59"/>
        </w:trPr>
        <w:tc>
          <w:tcPr>
            <w:tcW w:w="29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First Quarter 2027</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354,000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30,765,000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86.91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460" w:type="dxa"/>
            <w:vAlign w:val="bottom"/>
            <w:gridSpan w:val="2"/>
          </w:tcPr>
          <w:p>
            <w:pPr>
              <w:ind w:left="20"/>
              <w:spacing w:after="0"/>
              <w:rPr>
                <w:sz w:val="20"/>
                <w:szCs w:val="20"/>
                <w:color w:val="auto"/>
              </w:rPr>
            </w:pPr>
            <w:r>
              <w:rPr>
                <w:rFonts w:ascii="Arial" w:cs="Arial" w:eastAsia="Arial" w:hAnsi="Arial"/>
                <w:sz w:val="11"/>
                <w:szCs w:val="11"/>
                <w:color w:val="auto"/>
              </w:rPr>
              <w:t>Second Quarter 2027</w:t>
            </w: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512,000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44,683,000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87.27</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Third Quarter 2027</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6,222,000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87.63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0.5 %</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Fourth Quarter 2027</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216,000</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16,880,000</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78.15</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spacing w:after="0"/>
              <w:rPr>
                <w:sz w:val="13"/>
                <w:szCs w:val="13"/>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2027</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1,153,000</w:t>
            </w:r>
          </w:p>
        </w:tc>
        <w:tc>
          <w:tcPr>
            <w:tcW w:w="2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98,550,000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85.47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7.5 %</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2028</w:t>
            </w:r>
          </w:p>
        </w:tc>
        <w:tc>
          <w:tcPr>
            <w:tcW w:w="200" w:type="dxa"/>
            <w:vAlign w:val="bottom"/>
          </w:tcPr>
          <w:p>
            <w:pPr>
              <w:spacing w:after="0"/>
              <w:rPr>
                <w:sz w:val="12"/>
                <w:szCs w:val="12"/>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1,137,000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85,418,000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75.13</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6.5 %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2029</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1,104,000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85,933,000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77.84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6.5 %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2030</w:t>
            </w:r>
          </w:p>
        </w:tc>
        <w:tc>
          <w:tcPr>
            <w:tcW w:w="2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744,000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69,610,000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93.56</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5.3 %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2031</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929,000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89,634,000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96.48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6.8 %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2032</w:t>
            </w:r>
          </w:p>
        </w:tc>
        <w:tc>
          <w:tcPr>
            <w:tcW w:w="2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705,000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63,763,000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90.44</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4.9 %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2033</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624,000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56,252,000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90.15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2034</w:t>
            </w:r>
          </w:p>
        </w:tc>
        <w:tc>
          <w:tcPr>
            <w:tcW w:w="2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475,000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45,928,000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96.69</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3.5 %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2035</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1,316,000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116,490,000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88.52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8.9 %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2036</w:t>
            </w:r>
          </w:p>
        </w:tc>
        <w:tc>
          <w:tcPr>
            <w:tcW w:w="2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500,000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49,816,000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99.63</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3.8 %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Thereafter</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6,882,000</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8"/>
                <w:szCs w:val="8"/>
                <w:b w:val="1"/>
                <w:bCs w:val="1"/>
                <w:color w:val="auto"/>
              </w:rPr>
              <w:t>(3)</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547,635,000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79.57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41.6 %</w:t>
            </w: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Retail:</w:t>
            </w: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Third Quarter 2026</w:t>
            </w:r>
            <w:r>
              <w:rPr>
                <w:rFonts w:ascii="Arial" w:cs="Arial" w:eastAsia="Arial" w:hAnsi="Arial"/>
                <w:sz w:val="14"/>
                <w:szCs w:val="14"/>
                <w:b w:val="1"/>
                <w:bCs w:val="1"/>
                <w:color w:val="auto"/>
                <w:vertAlign w:val="superscript"/>
              </w:rPr>
              <w:t>(2)</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4,000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157,000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55"/>
        </w:trPr>
        <w:tc>
          <w:tcPr>
            <w:tcW w:w="29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920" w:type="dxa"/>
            <w:vAlign w:val="bottom"/>
            <w:shd w:val="clear" w:color="auto" w:fill="CCEEFF"/>
          </w:tcPr>
          <w:p>
            <w:pPr>
              <w:spacing w:after="0"/>
              <w:rPr>
                <w:sz w:val="13"/>
                <w:szCs w:val="13"/>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Fourth Quarter 2026</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11,000</w:t>
            </w:r>
          </w:p>
        </w:tc>
        <w:tc>
          <w:tcPr>
            <w:tcW w:w="2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1,494,000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135.82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0.6 %</w:t>
            </w:r>
          </w:p>
        </w:tc>
        <w:tc>
          <w:tcPr>
            <w:tcW w:w="0" w:type="dxa"/>
            <w:vAlign w:val="bottom"/>
          </w:tcPr>
          <w:p>
            <w:pPr>
              <w:spacing w:after="0"/>
              <w:rPr>
                <w:sz w:val="1"/>
                <w:szCs w:val="1"/>
                <w:color w:val="auto"/>
              </w:rPr>
            </w:pPr>
          </w:p>
        </w:tc>
      </w:tr>
      <w:tr>
        <w:trPr>
          <w:trHeight w:val="59"/>
        </w:trPr>
        <w:tc>
          <w:tcPr>
            <w:tcW w:w="29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First Quarter 2027</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5,769,000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2,884.50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460" w:type="dxa"/>
            <w:vAlign w:val="bottom"/>
            <w:gridSpan w:val="2"/>
          </w:tcPr>
          <w:p>
            <w:pPr>
              <w:ind w:left="20"/>
              <w:spacing w:after="0"/>
              <w:rPr>
                <w:sz w:val="20"/>
                <w:szCs w:val="20"/>
                <w:color w:val="auto"/>
              </w:rPr>
            </w:pPr>
            <w:r>
              <w:rPr>
                <w:rFonts w:ascii="Arial" w:cs="Arial" w:eastAsia="Arial" w:hAnsi="Arial"/>
                <w:sz w:val="11"/>
                <w:szCs w:val="11"/>
                <w:color w:val="auto"/>
              </w:rPr>
              <w:t>Second Quarter 2027</w:t>
            </w: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5,000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324,000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64.80</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Third Quarter 2027</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7,767,000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1,553.40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Fourth Quarter 2027</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1,000</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804,000</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804.00</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0.3 %</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spacing w:after="0"/>
              <w:rPr>
                <w:sz w:val="13"/>
                <w:szCs w:val="13"/>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2027</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13,000</w:t>
            </w:r>
          </w:p>
        </w:tc>
        <w:tc>
          <w:tcPr>
            <w:tcW w:w="2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14,664,000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5.6 %</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2028</w:t>
            </w:r>
          </w:p>
        </w:tc>
        <w:tc>
          <w:tcPr>
            <w:tcW w:w="200" w:type="dxa"/>
            <w:vAlign w:val="bottom"/>
          </w:tcPr>
          <w:p>
            <w:pPr>
              <w:spacing w:after="0"/>
              <w:rPr>
                <w:sz w:val="12"/>
                <w:szCs w:val="12"/>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65,000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21,063,000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324.05</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8.1 %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2029</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11,545,000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320.69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2030</w:t>
            </w:r>
          </w:p>
        </w:tc>
        <w:tc>
          <w:tcPr>
            <w:tcW w:w="2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143,000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23,441,000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163.92</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9.0 %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2031</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29,236,000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596.65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11.2 %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2032</w:t>
            </w:r>
          </w:p>
        </w:tc>
        <w:tc>
          <w:tcPr>
            <w:tcW w:w="2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83,000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34,764,000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418.84</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13.3 %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2033</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12,041,000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344.03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4.6 %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2034</w:t>
            </w:r>
          </w:p>
        </w:tc>
        <w:tc>
          <w:tcPr>
            <w:tcW w:w="2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146,000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21,213,000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145.29</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8.1 %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2035</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11,780,000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535.45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260" w:type="dxa"/>
            <w:vAlign w:val="bottom"/>
          </w:tcPr>
          <w:p>
            <w:pPr>
              <w:ind w:left="20"/>
              <w:spacing w:after="0"/>
              <w:rPr>
                <w:sz w:val="20"/>
                <w:szCs w:val="20"/>
                <w:color w:val="auto"/>
              </w:rPr>
            </w:pPr>
            <w:r>
              <w:rPr>
                <w:rFonts w:ascii="Arial" w:cs="Arial" w:eastAsia="Arial" w:hAnsi="Arial"/>
                <w:sz w:val="11"/>
                <w:szCs w:val="11"/>
                <w:color w:val="auto"/>
              </w:rPr>
              <w:t>2036</w:t>
            </w:r>
          </w:p>
        </w:tc>
        <w:tc>
          <w:tcPr>
            <w:tcW w:w="2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144,000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17,600,000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122.22</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6.8 %</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Thereafter</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363,000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61,634,000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169.79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23.7 %</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w:t>
      </w:r>
    </w:p>
    <w:p>
      <w:pPr>
        <w:spacing w:after="0" w:line="12" w:lineRule="exact"/>
        <w:rPr>
          <w:sz w:val="20"/>
          <w:szCs w:val="20"/>
          <w:color w:val="auto"/>
        </w:rPr>
      </w:pPr>
    </w:p>
    <w:p>
      <w:pPr>
        <w:ind w:left="280" w:hanging="274"/>
        <w:spacing w:after="0"/>
        <w:tabs>
          <w:tab w:leader="none" w:pos="280" w:val="left"/>
        </w:tabs>
        <w:numPr>
          <w:ilvl w:val="0"/>
          <w:numId w:val="21"/>
        </w:numPr>
        <w:rPr>
          <w:rFonts w:ascii="Arial" w:cs="Arial" w:eastAsia="Arial" w:hAnsi="Arial"/>
          <w:sz w:val="11"/>
          <w:szCs w:val="11"/>
          <w:b w:val="1"/>
          <w:bCs w:val="1"/>
          <w:color w:val="auto"/>
        </w:rPr>
      </w:pPr>
      <w:r>
        <w:rPr>
          <w:rFonts w:ascii="Arial" w:cs="Arial" w:eastAsia="Arial" w:hAnsi="Arial"/>
          <w:sz w:val="11"/>
          <w:szCs w:val="11"/>
          <w:color w:val="auto"/>
        </w:rPr>
        <w:t>Excludes storage, vacancy and other.</w:t>
      </w:r>
    </w:p>
    <w:p>
      <w:pPr>
        <w:spacing w:after="0" w:line="5" w:lineRule="exact"/>
        <w:rPr>
          <w:rFonts w:ascii="Arial" w:cs="Arial" w:eastAsia="Arial" w:hAnsi="Arial"/>
          <w:sz w:val="11"/>
          <w:szCs w:val="11"/>
          <w:b w:val="1"/>
          <w:bCs w:val="1"/>
          <w:color w:val="auto"/>
        </w:rPr>
      </w:pPr>
    </w:p>
    <w:p>
      <w:pPr>
        <w:ind w:left="280" w:hanging="274"/>
        <w:spacing w:after="0"/>
        <w:tabs>
          <w:tab w:leader="none" w:pos="280" w:val="left"/>
        </w:tabs>
        <w:numPr>
          <w:ilvl w:val="0"/>
          <w:numId w:val="21"/>
        </w:numPr>
        <w:rPr>
          <w:rFonts w:ascii="Arial" w:cs="Arial" w:eastAsia="Arial" w:hAnsi="Arial"/>
          <w:sz w:val="11"/>
          <w:szCs w:val="11"/>
          <w:b w:val="1"/>
          <w:bCs w:val="1"/>
          <w:color w:val="auto"/>
        </w:rPr>
      </w:pPr>
      <w:r>
        <w:rPr>
          <w:rFonts w:ascii="Arial" w:cs="Arial" w:eastAsia="Arial" w:hAnsi="Arial"/>
          <w:sz w:val="11"/>
          <w:szCs w:val="11"/>
          <w:color w:val="auto"/>
        </w:rPr>
        <w:t>Includes month-to-month leases, holdover tenants, and leases expiring on the last day of the current quarter.</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21"/>
        </w:numPr>
        <w:rPr>
          <w:rFonts w:ascii="Arial" w:cs="Arial" w:eastAsia="Arial" w:hAnsi="Arial"/>
          <w:sz w:val="11"/>
          <w:szCs w:val="11"/>
          <w:b w:val="1"/>
          <w:bCs w:val="1"/>
          <w:color w:val="auto"/>
        </w:rPr>
      </w:pPr>
      <w:r>
        <w:rPr>
          <w:rFonts w:ascii="Arial" w:cs="Arial" w:eastAsia="Arial" w:hAnsi="Arial"/>
          <w:sz w:val="11"/>
          <w:szCs w:val="11"/>
          <w:color w:val="auto"/>
        </w:rPr>
        <w:t>Assumes U.S. Post Office exercises all lease renewal options through 2038 for 492,000 square feet at 909 Third Avenue given the below-market rent on their options.</w:t>
      </w:r>
    </w:p>
    <w:p>
      <w:pPr>
        <w:spacing w:after="0" w:line="278" w:lineRule="exact"/>
        <w:rPr>
          <w:rFonts w:ascii="Arial" w:cs="Arial" w:eastAsia="Arial" w:hAnsi="Arial"/>
          <w:sz w:val="11"/>
          <w:szCs w:val="11"/>
          <w:b w:val="1"/>
          <w:bCs w:val="1"/>
          <w:color w:val="auto"/>
        </w:rPr>
      </w:pPr>
    </w:p>
    <w:p>
      <w:pPr>
        <w:ind w:left="5580" w:hanging="87"/>
        <w:spacing w:after="0"/>
        <w:tabs>
          <w:tab w:leader="none" w:pos="55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18 -</w:t>
      </w:r>
    </w:p>
    <w:p>
      <w:pPr>
        <w:sectPr>
          <w:pgSz w:w="11900" w:h="16838" w:orient="portrait"/>
          <w:cols w:equalWidth="0" w:num="1">
            <w:col w:w="11280"/>
          </w:cols>
          <w:pgMar w:left="300" w:top="976" w:right="319" w:bottom="1440" w:gutter="0" w:footer="0" w:header="0"/>
        </w:sectPr>
      </w:pPr>
    </w:p>
    <w:bookmarkStart w:id="39" w:name="page40"/>
    <w:bookmarkEnd w:id="39"/>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LEASE EXPIRATIONS DETAIL (unaudited)</w:t>
      </w:r>
    </w:p>
    <w:p>
      <w:pPr>
        <w:ind w:left="20"/>
        <w:spacing w:after="0"/>
        <w:rPr>
          <w:sz w:val="20"/>
          <w:szCs w:val="20"/>
          <w:color w:val="auto"/>
        </w:rPr>
      </w:pPr>
      <w:r>
        <w:rPr>
          <w:rFonts w:ascii="Arial" w:cs="Arial" w:eastAsia="Arial" w:hAnsi="Arial"/>
          <w:sz w:val="20"/>
          <w:szCs w:val="20"/>
          <w:color w:val="auto"/>
        </w:rPr>
        <w:t>OTHER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9691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9125" cy="698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Our Share of</w:t>
            </w:r>
          </w:p>
        </w:tc>
        <w:tc>
          <w:tcPr>
            <w:tcW w:w="280" w:type="dxa"/>
            <w:vAlign w:val="bottom"/>
          </w:tcPr>
          <w:p>
            <w:pPr>
              <w:spacing w:after="0"/>
              <w:rPr>
                <w:sz w:val="10"/>
                <w:szCs w:val="10"/>
                <w:color w:val="auto"/>
              </w:rPr>
            </w:pPr>
          </w:p>
        </w:tc>
        <w:tc>
          <w:tcPr>
            <w:tcW w:w="2400" w:type="dxa"/>
            <w:vAlign w:val="bottom"/>
            <w:gridSpan w:val="4"/>
          </w:tcPr>
          <w:p>
            <w:pPr>
              <w:jc w:val="right"/>
              <w:ind w:right="523"/>
              <w:spacing w:after="0"/>
              <w:rPr>
                <w:sz w:val="20"/>
                <w:szCs w:val="20"/>
                <w:color w:val="auto"/>
              </w:rPr>
            </w:pPr>
            <w:r>
              <w:rPr>
                <w:rFonts w:ascii="Arial" w:cs="Arial" w:eastAsia="Arial" w:hAnsi="Arial"/>
                <w:sz w:val="11"/>
                <w:szCs w:val="11"/>
                <w:b w:val="1"/>
                <w:bCs w:val="1"/>
                <w:color w:val="auto"/>
              </w:rPr>
              <w:t>Annualized Escalated Rents</w:t>
            </w:r>
          </w:p>
        </w:tc>
        <w:tc>
          <w:tcPr>
            <w:tcW w:w="22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Percentage of</w:t>
            </w:r>
          </w:p>
        </w:tc>
        <w:tc>
          <w:tcPr>
            <w:tcW w:w="0" w:type="dxa"/>
            <w:vAlign w:val="bottom"/>
          </w:tcPr>
          <w:p>
            <w:pPr>
              <w:spacing w:after="0"/>
              <w:rPr>
                <w:sz w:val="1"/>
                <w:szCs w:val="1"/>
                <w:color w:val="auto"/>
              </w:rPr>
            </w:pPr>
          </w:p>
        </w:tc>
      </w:tr>
      <w:tr>
        <w:trPr>
          <w:trHeight w:val="116"/>
        </w:trPr>
        <w:tc>
          <w:tcPr>
            <w:tcW w:w="29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0" w:type="dxa"/>
            <w:vAlign w:val="bottom"/>
            <w:gridSpan w:val="4"/>
          </w:tcPr>
          <w:p>
            <w:pPr>
              <w:jc w:val="right"/>
              <w:ind w:right="783"/>
              <w:spacing w:after="0" w:line="116" w:lineRule="exact"/>
              <w:rPr>
                <w:sz w:val="20"/>
                <w:szCs w:val="20"/>
                <w:color w:val="auto"/>
              </w:rPr>
            </w:pPr>
            <w:r>
              <w:rPr>
                <w:rFonts w:ascii="Arial" w:cs="Arial" w:eastAsia="Arial" w:hAnsi="Arial"/>
                <w:sz w:val="11"/>
                <w:szCs w:val="11"/>
                <w:b w:val="1"/>
                <w:bCs w:val="1"/>
                <w:color w:val="auto"/>
              </w:rPr>
              <w:t>of Expiring Leases</w:t>
            </w:r>
          </w:p>
        </w:tc>
        <w:tc>
          <w:tcPr>
            <w:tcW w:w="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900" w:type="dxa"/>
            <w:vAlign w:val="bottom"/>
          </w:tcPr>
          <w:p>
            <w:pPr>
              <w:spacing w:after="0"/>
              <w:rPr>
                <w:sz w:val="2"/>
                <w:szCs w:val="2"/>
                <w:color w:val="auto"/>
              </w:rPr>
            </w:pPr>
          </w:p>
        </w:tc>
        <w:tc>
          <w:tcPr>
            <w:tcW w:w="2400" w:type="dxa"/>
            <w:vAlign w:val="bottom"/>
            <w:gridSpan w:val="2"/>
            <w:vMerge w:val="restart"/>
          </w:tcPr>
          <w:p>
            <w:pPr>
              <w:ind w:left="660"/>
              <w:spacing w:after="0" w:line="86" w:lineRule="exact"/>
              <w:rPr>
                <w:sz w:val="20"/>
                <w:szCs w:val="20"/>
                <w:color w:val="auto"/>
              </w:rPr>
            </w:pPr>
            <w:r>
              <w:rPr>
                <w:rFonts w:ascii="Arial" w:cs="Arial" w:eastAsia="Arial" w:hAnsi="Arial"/>
                <w:sz w:val="9"/>
                <w:szCs w:val="9"/>
                <w:b w:val="1"/>
                <w:bCs w:val="1"/>
                <w:color w:val="auto"/>
              </w:rPr>
              <w:t>Period of Lease</w:t>
            </w:r>
          </w:p>
        </w:tc>
        <w:tc>
          <w:tcPr>
            <w:tcW w:w="1460" w:type="dxa"/>
            <w:vAlign w:val="bottom"/>
            <w:gridSpan w:val="2"/>
            <w:vMerge w:val="restart"/>
          </w:tcPr>
          <w:p>
            <w:pPr>
              <w:jc w:val="center"/>
              <w:ind w:right="240"/>
              <w:spacing w:after="0" w:line="86" w:lineRule="exact"/>
              <w:rPr>
                <w:sz w:val="20"/>
                <w:szCs w:val="20"/>
                <w:color w:val="auto"/>
              </w:rPr>
            </w:pPr>
            <w:r>
              <w:rPr>
                <w:rFonts w:ascii="Arial" w:cs="Arial" w:eastAsia="Arial" w:hAnsi="Arial"/>
                <w:sz w:val="9"/>
                <w:szCs w:val="9"/>
                <w:b w:val="1"/>
                <w:bCs w:val="1"/>
                <w:color w:val="auto"/>
              </w:rPr>
              <w:t>Square Feet</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auto"/>
              </w:rPr>
              <w:t>Annualized</w:t>
            </w:r>
          </w:p>
        </w:tc>
        <w:tc>
          <w:tcPr>
            <w:tcW w:w="0" w:type="dxa"/>
            <w:vAlign w:val="bottom"/>
          </w:tcPr>
          <w:p>
            <w:pPr>
              <w:spacing w:after="0"/>
              <w:rPr>
                <w:sz w:val="1"/>
                <w:szCs w:val="1"/>
                <w:color w:val="auto"/>
              </w:rPr>
            </w:pPr>
          </w:p>
        </w:tc>
      </w:tr>
      <w:tr>
        <w:trPr>
          <w:trHeight w:val="34"/>
        </w:trPr>
        <w:tc>
          <w:tcPr>
            <w:tcW w:w="2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THE MART</w:t>
            </w:r>
          </w:p>
        </w:tc>
        <w:tc>
          <w:tcPr>
            <w:tcW w:w="2400" w:type="dxa"/>
            <w:vAlign w:val="bottom"/>
            <w:gridSpan w:val="2"/>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423"/>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restart"/>
          </w:tcPr>
          <w:p>
            <w:pPr>
              <w:jc w:val="right"/>
              <w:ind w:right="283"/>
              <w:spacing w:after="0"/>
              <w:rPr>
                <w:sz w:val="20"/>
                <w:szCs w:val="20"/>
                <w:color w:val="auto"/>
              </w:rPr>
            </w:pPr>
            <w:r>
              <w:rPr>
                <w:rFonts w:ascii="Arial" w:cs="Arial" w:eastAsia="Arial" w:hAnsi="Arial"/>
                <w:sz w:val="11"/>
                <w:szCs w:val="11"/>
                <w:b w:val="1"/>
                <w:bCs w:val="1"/>
                <w:color w:val="auto"/>
              </w:rPr>
              <w:t>Per Sq. Ft.</w:t>
            </w:r>
          </w:p>
        </w:tc>
        <w:tc>
          <w:tcPr>
            <w:tcW w:w="22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900" w:type="dxa"/>
            <w:vAlign w:val="bottom"/>
            <w:tcBorders>
              <w:bottom w:val="single" w:sz="8" w:color="CCEEFF"/>
            </w:tcBorders>
            <w:vMerge w:val="continue"/>
          </w:tcPr>
          <w:p>
            <w:pPr>
              <w:spacing w:after="0"/>
              <w:rPr>
                <w:sz w:val="13"/>
                <w:szCs w:val="13"/>
                <w:color w:val="auto"/>
              </w:rPr>
            </w:pPr>
          </w:p>
        </w:tc>
        <w:tc>
          <w:tcPr>
            <w:tcW w:w="216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Expiration</w:t>
            </w:r>
          </w:p>
        </w:tc>
        <w:tc>
          <w:tcPr>
            <w:tcW w:w="24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 Expiring Leases</w:t>
            </w:r>
            <w:r>
              <w:rPr>
                <w:rFonts w:ascii="Arial" w:cs="Arial" w:eastAsia="Arial" w:hAnsi="Arial"/>
                <w:sz w:val="7"/>
                <w:szCs w:val="7"/>
                <w:b w:val="1"/>
                <w:bCs w:val="1"/>
                <w:color w:val="auto"/>
              </w:rPr>
              <w:t>(1)</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Escalated Rent</w:t>
            </w: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Office / Showroom / Retail:</w:t>
            </w:r>
          </w:p>
        </w:tc>
        <w:tc>
          <w:tcPr>
            <w:tcW w:w="240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1"/>
                <w:szCs w:val="11"/>
                <w:color w:val="auto"/>
              </w:rPr>
              <w:t>Third Quarter 2026</w:t>
            </w:r>
            <w:r>
              <w:rPr>
                <w:rFonts w:ascii="Arial" w:cs="Arial" w:eastAsia="Arial" w:hAnsi="Arial"/>
                <w:sz w:val="14"/>
                <w:szCs w:val="14"/>
                <w:b w:val="1"/>
                <w:bCs w:val="1"/>
                <w:color w:val="auto"/>
                <w:vertAlign w:val="superscript"/>
              </w:rPr>
              <w:t>(2)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12,000</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661,000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55.08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0.4 %</w:t>
            </w:r>
          </w:p>
        </w:tc>
        <w:tc>
          <w:tcPr>
            <w:tcW w:w="0" w:type="dxa"/>
            <w:vAlign w:val="bottom"/>
          </w:tcPr>
          <w:p>
            <w:pPr>
              <w:spacing w:after="0"/>
              <w:rPr>
                <w:sz w:val="1"/>
                <w:szCs w:val="1"/>
                <w:color w:val="auto"/>
              </w:rPr>
            </w:pPr>
          </w:p>
        </w:tc>
      </w:tr>
      <w:tr>
        <w:trPr>
          <w:trHeight w:val="55"/>
        </w:trPr>
        <w:tc>
          <w:tcPr>
            <w:tcW w:w="29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9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Fourth Quarter 2026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14,000</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897,000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64.07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0.6 %</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9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First Quarter 2027</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1,831,000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49.49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400" w:type="dxa"/>
            <w:vAlign w:val="bottom"/>
            <w:gridSpan w:val="2"/>
          </w:tcPr>
          <w:p>
            <w:pPr>
              <w:ind w:left="20"/>
              <w:spacing w:after="0"/>
              <w:rPr>
                <w:sz w:val="20"/>
                <w:szCs w:val="20"/>
                <w:color w:val="auto"/>
              </w:rPr>
            </w:pPr>
            <w:r>
              <w:rPr>
                <w:rFonts w:ascii="Arial" w:cs="Arial" w:eastAsia="Arial" w:hAnsi="Arial"/>
                <w:sz w:val="11"/>
                <w:szCs w:val="11"/>
                <w:color w:val="auto"/>
              </w:rPr>
              <w:t>Second Quarter 2027</w:t>
            </w:r>
          </w:p>
        </w:tc>
        <w:tc>
          <w:tcPr>
            <w:tcW w:w="1220" w:type="dxa"/>
            <w:vAlign w:val="bottom"/>
          </w:tcPr>
          <w:p>
            <w:pPr>
              <w:jc w:val="right"/>
              <w:spacing w:after="0"/>
              <w:rPr>
                <w:sz w:val="20"/>
                <w:szCs w:val="20"/>
                <w:color w:val="auto"/>
              </w:rPr>
            </w:pPr>
            <w:r>
              <w:rPr>
                <w:rFonts w:ascii="Arial" w:cs="Arial" w:eastAsia="Arial" w:hAnsi="Arial"/>
                <w:sz w:val="11"/>
                <w:szCs w:val="11"/>
                <w:color w:val="auto"/>
              </w:rPr>
              <w:t>21,000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1,668,000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79.43</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Third Quarter 2027</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3,766,000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58"/>
        </w:trPr>
        <w:tc>
          <w:tcPr>
            <w:tcW w:w="2900" w:type="dxa"/>
            <w:vAlign w:val="bottom"/>
            <w:tcBorders>
              <w:bottom w:val="single" w:sz="8" w:color="CCEEFF"/>
            </w:tcBorders>
          </w:tcPr>
          <w:p>
            <w:pPr>
              <w:spacing w:after="0"/>
              <w:rPr>
                <w:sz w:val="13"/>
                <w:szCs w:val="13"/>
                <w:color w:val="auto"/>
              </w:rPr>
            </w:pPr>
          </w:p>
        </w:tc>
        <w:tc>
          <w:tcPr>
            <w:tcW w:w="24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Fourth Quarter 2027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61,000</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3,773,000</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61.85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2.6 %</w:t>
            </w:r>
          </w:p>
        </w:tc>
        <w:tc>
          <w:tcPr>
            <w:tcW w:w="0" w:type="dxa"/>
            <w:vAlign w:val="bottom"/>
          </w:tcPr>
          <w:p>
            <w:pPr>
              <w:spacing w:after="0"/>
              <w:rPr>
                <w:sz w:val="1"/>
                <w:szCs w:val="1"/>
                <w:color w:val="auto"/>
              </w:rPr>
            </w:pPr>
          </w:p>
        </w:tc>
      </w:tr>
      <w:tr>
        <w:trPr>
          <w:trHeight w:val="156"/>
        </w:trPr>
        <w:tc>
          <w:tcPr>
            <w:tcW w:w="290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2027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186,000</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11,038,000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59.34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7.4 %</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2028</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739,000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37,556,000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50.82</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25.6 %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2029</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10,363,000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2030</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109,000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6,524,000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59.85</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2031</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17,775,000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51.82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12.0 %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2032</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549,000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26,882,000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48.97</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18.2 %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2033</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5,245,000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51.93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2034</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90,000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4,731,000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52.57</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2035</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1,690,000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2036</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414,000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19,303,000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46.63</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13.1 %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Thereafter</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5,055,000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45.13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279"/>
        </w:trPr>
        <w:tc>
          <w:tcPr>
            <w:tcW w:w="2900" w:type="dxa"/>
            <w:vAlign w:val="bottom"/>
          </w:tcPr>
          <w:p>
            <w:pPr>
              <w:ind w:left="20"/>
              <w:spacing w:after="0"/>
              <w:rPr>
                <w:sz w:val="20"/>
                <w:szCs w:val="20"/>
                <w:color w:val="auto"/>
              </w:rPr>
            </w:pPr>
            <w:r>
              <w:rPr>
                <w:rFonts w:ascii="Arial" w:cs="Arial" w:eastAsia="Arial" w:hAnsi="Arial"/>
                <w:sz w:val="11"/>
                <w:szCs w:val="11"/>
                <w:b w:val="1"/>
                <w:bCs w:val="1"/>
                <w:color w:val="auto"/>
              </w:rPr>
              <w:t>555 California Street</w:t>
            </w: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Office / Retail:</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Third Quarter 2026</w:t>
            </w:r>
            <w:r>
              <w:rPr>
                <w:rFonts w:ascii="Arial" w:cs="Arial" w:eastAsia="Arial" w:hAnsi="Arial"/>
                <w:sz w:val="14"/>
                <w:szCs w:val="14"/>
                <w:b w:val="1"/>
                <w:bCs w:val="1"/>
                <w:color w:val="auto"/>
                <w:vertAlign w:val="superscript"/>
              </w:rPr>
              <w:t>(2)</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9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Fourth Quarter 2026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30,000</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3,247,000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108.23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9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First Quarter 2027</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400" w:type="dxa"/>
            <w:vAlign w:val="bottom"/>
            <w:gridSpan w:val="2"/>
          </w:tcPr>
          <w:p>
            <w:pPr>
              <w:ind w:left="20"/>
              <w:spacing w:after="0"/>
              <w:rPr>
                <w:sz w:val="20"/>
                <w:szCs w:val="20"/>
                <w:color w:val="auto"/>
              </w:rPr>
            </w:pPr>
            <w:r>
              <w:rPr>
                <w:rFonts w:ascii="Arial" w:cs="Arial" w:eastAsia="Arial" w:hAnsi="Arial"/>
                <w:sz w:val="11"/>
                <w:szCs w:val="11"/>
                <w:color w:val="auto"/>
              </w:rPr>
              <w:t>Second Quarter 2027</w:t>
            </w:r>
          </w:p>
        </w:tc>
        <w:tc>
          <w:tcPr>
            <w:tcW w:w="14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Third Quarter 2027</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2,585,000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123.10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400" w:type="dxa"/>
            <w:vAlign w:val="bottom"/>
            <w:gridSpan w:val="2"/>
          </w:tcPr>
          <w:p>
            <w:pPr>
              <w:ind w:left="20"/>
              <w:spacing w:after="0"/>
              <w:rPr>
                <w:sz w:val="20"/>
                <w:szCs w:val="20"/>
                <w:color w:val="auto"/>
              </w:rPr>
            </w:pPr>
            <w:r>
              <w:rPr>
                <w:rFonts w:ascii="Arial" w:cs="Arial" w:eastAsia="Arial" w:hAnsi="Arial"/>
                <w:sz w:val="11"/>
                <w:szCs w:val="11"/>
                <w:color w:val="auto"/>
              </w:rPr>
              <w:t>Fourth Quarter 2027</w:t>
            </w:r>
          </w:p>
        </w:tc>
        <w:tc>
          <w:tcPr>
            <w:tcW w:w="14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56"/>
        </w:trPr>
        <w:tc>
          <w:tcPr>
            <w:tcW w:w="290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2027</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21,000</w:t>
            </w:r>
          </w:p>
        </w:tc>
        <w:tc>
          <w:tcPr>
            <w:tcW w:w="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2,585,000</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123.10</w:t>
            </w:r>
          </w:p>
        </w:tc>
        <w:tc>
          <w:tcPr>
            <w:tcW w:w="15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2028</w:t>
            </w: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179,000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15,567,000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86.97</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13.5 %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2029</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11,671,000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109.07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10.1 %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2030</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788,000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87.56</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0.7 %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2031</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3,696,000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94.77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2032</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1,543,000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118.69</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2033</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1,902,000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126.80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2034</w:t>
            </w:r>
          </w:p>
        </w:tc>
        <w:tc>
          <w:tcPr>
            <w:tcW w:w="240" w:type="dxa"/>
            <w:vAlign w:val="bottom"/>
          </w:tcPr>
          <w:p>
            <w:pPr>
              <w:spacing w:after="0"/>
              <w:rPr>
                <w:sz w:val="13"/>
                <w:szCs w:val="13"/>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2035</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20,388,000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97.09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17.7 %</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Arial" w:cs="Arial" w:eastAsia="Arial" w:hAnsi="Arial"/>
                <w:sz w:val="11"/>
                <w:szCs w:val="11"/>
                <w:color w:val="auto"/>
              </w:rPr>
              <w:t>2036</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107,000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14,543,000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135.92</w:t>
            </w:r>
          </w:p>
        </w:tc>
        <w:tc>
          <w:tcPr>
            <w:tcW w:w="1540" w:type="dxa"/>
            <w:vAlign w:val="bottom"/>
            <w:gridSpan w:val="2"/>
          </w:tcPr>
          <w:p>
            <w:pPr>
              <w:jc w:val="right"/>
              <w:spacing w:after="0"/>
              <w:rPr>
                <w:sz w:val="20"/>
                <w:szCs w:val="20"/>
                <w:color w:val="auto"/>
              </w:rPr>
            </w:pPr>
            <w:r>
              <w:rPr>
                <w:rFonts w:ascii="Arial" w:cs="Arial" w:eastAsia="Arial" w:hAnsi="Arial"/>
                <w:sz w:val="11"/>
                <w:szCs w:val="11"/>
                <w:color w:val="auto"/>
              </w:rPr>
              <w:t>12.6 %</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Thereafter</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363,000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39,288,000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108.23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34.2 %</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27" w:lineRule="exact"/>
        <w:rPr>
          <w:sz w:val="20"/>
          <w:szCs w:val="20"/>
          <w:color w:val="auto"/>
        </w:rPr>
      </w:pPr>
    </w:p>
    <w:p>
      <w:pPr>
        <w:ind w:left="280" w:hanging="274"/>
        <w:spacing w:after="0"/>
        <w:tabs>
          <w:tab w:leader="none" w:pos="280" w:val="left"/>
        </w:tabs>
        <w:numPr>
          <w:ilvl w:val="0"/>
          <w:numId w:val="22"/>
        </w:numPr>
        <w:rPr>
          <w:rFonts w:ascii="Arial" w:cs="Arial" w:eastAsia="Arial" w:hAnsi="Arial"/>
          <w:sz w:val="11"/>
          <w:szCs w:val="11"/>
          <w:b w:val="1"/>
          <w:bCs w:val="1"/>
          <w:color w:val="auto"/>
        </w:rPr>
      </w:pPr>
      <w:r>
        <w:rPr>
          <w:rFonts w:ascii="Arial" w:cs="Arial" w:eastAsia="Arial" w:hAnsi="Arial"/>
          <w:sz w:val="11"/>
          <w:szCs w:val="11"/>
          <w:color w:val="auto"/>
        </w:rPr>
        <w:t>Excludes storage, vacancy and other.</w:t>
      </w:r>
    </w:p>
    <w:p>
      <w:pPr>
        <w:spacing w:after="0" w:line="23" w:lineRule="exact"/>
        <w:rPr>
          <w:rFonts w:ascii="Arial" w:cs="Arial" w:eastAsia="Arial" w:hAnsi="Arial"/>
          <w:sz w:val="11"/>
          <w:szCs w:val="11"/>
          <w:b w:val="1"/>
          <w:bCs w:val="1"/>
          <w:color w:val="auto"/>
        </w:rPr>
      </w:pPr>
    </w:p>
    <w:p>
      <w:pPr>
        <w:ind w:left="280" w:hanging="274"/>
        <w:spacing w:after="0"/>
        <w:tabs>
          <w:tab w:leader="none" w:pos="280" w:val="left"/>
        </w:tabs>
        <w:numPr>
          <w:ilvl w:val="0"/>
          <w:numId w:val="22"/>
        </w:numPr>
        <w:rPr>
          <w:rFonts w:ascii="Arial" w:cs="Arial" w:eastAsia="Arial" w:hAnsi="Arial"/>
          <w:sz w:val="11"/>
          <w:szCs w:val="11"/>
          <w:b w:val="1"/>
          <w:bCs w:val="1"/>
          <w:color w:val="auto"/>
        </w:rPr>
      </w:pPr>
      <w:r>
        <w:rPr>
          <w:rFonts w:ascii="Arial" w:cs="Arial" w:eastAsia="Arial" w:hAnsi="Arial"/>
          <w:sz w:val="11"/>
          <w:szCs w:val="11"/>
          <w:color w:val="auto"/>
        </w:rPr>
        <w:t>Includes month-to-month leases, holdover tenants, and leases expiring on the last day of the current quarter.</w:t>
      </w:r>
    </w:p>
    <w:p>
      <w:pPr>
        <w:spacing w:after="0" w:line="278" w:lineRule="exact"/>
        <w:rPr>
          <w:rFonts w:ascii="Arial" w:cs="Arial" w:eastAsia="Arial" w:hAnsi="Arial"/>
          <w:sz w:val="11"/>
          <w:szCs w:val="11"/>
          <w:b w:val="1"/>
          <w:bCs w:val="1"/>
          <w:color w:val="auto"/>
        </w:rPr>
      </w:pPr>
    </w:p>
    <w:p>
      <w:pPr>
        <w:ind w:left="5580" w:hanging="87"/>
        <w:spacing w:after="0"/>
        <w:tabs>
          <w:tab w:leader="none" w:pos="55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19 -</w:t>
      </w:r>
    </w:p>
    <w:p>
      <w:pPr>
        <w:sectPr>
          <w:pgSz w:w="11900" w:h="16838" w:orient="portrait"/>
          <w:cols w:equalWidth="0" w:num="1">
            <w:col w:w="10980"/>
          </w:cols>
          <w:pgMar w:left="300" w:top="976" w:right="619" w:bottom="1440" w:gutter="0" w:footer="0" w:header="0"/>
        </w:sectPr>
      </w:pPr>
    </w:p>
    <w:bookmarkStart w:id="40" w:name="page41"/>
    <w:bookmarkEnd w:id="40"/>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CAPITAL EXPENDITURES AND RE/DEVELOPMENT (unaudited)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CONSOLIDATED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center"/>
              <w:ind w:left="223"/>
              <w:spacing w:after="0"/>
              <w:rPr>
                <w:sz w:val="20"/>
                <w:szCs w:val="20"/>
                <w:color w:val="auto"/>
              </w:rPr>
            </w:pPr>
            <w:r>
              <w:rPr>
                <w:rFonts w:ascii="Arial" w:cs="Arial" w:eastAsia="Arial" w:hAnsi="Arial"/>
                <w:sz w:val="11"/>
                <w:szCs w:val="11"/>
                <w:b w:val="1"/>
                <w:bCs w:val="1"/>
                <w:color w:val="auto"/>
              </w:rPr>
              <w:t>For the Nine Months Ended September 30, 2026</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 Company</w:t>
            </w:r>
          </w:p>
        </w:tc>
        <w:tc>
          <w:tcPr>
            <w:tcW w:w="20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New York</w:t>
            </w:r>
          </w:p>
        </w:tc>
        <w:tc>
          <w:tcPr>
            <w:tcW w:w="20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THE MART</w:t>
            </w: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555 California Street</w:t>
            </w:r>
          </w:p>
        </w:tc>
        <w:tc>
          <w:tcPr>
            <w:tcW w:w="260" w:type="dxa"/>
            <w:vAlign w:val="bottom"/>
          </w:tcPr>
          <w:p>
            <w:pPr>
              <w:spacing w:after="0"/>
              <w:rPr>
                <w:sz w:val="13"/>
                <w:szCs w:val="13"/>
                <w:color w:val="auto"/>
              </w:rPr>
            </w:pPr>
          </w:p>
        </w:tc>
        <w:tc>
          <w:tcPr>
            <w:tcW w:w="920" w:type="dxa"/>
            <w:vAlign w:val="bottom"/>
          </w:tcPr>
          <w:p>
            <w:pPr>
              <w:jc w:val="right"/>
              <w:ind w:right="381"/>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42"/>
        </w:trPr>
        <w:tc>
          <w:tcPr>
            <w:tcW w:w="5040" w:type="dxa"/>
            <w:vAlign w:val="bottom"/>
          </w:tcPr>
          <w:p>
            <w:pPr>
              <w:ind w:left="20"/>
              <w:spacing w:after="0"/>
              <w:rPr>
                <w:sz w:val="20"/>
                <w:szCs w:val="20"/>
                <w:color w:val="auto"/>
              </w:rPr>
            </w:pPr>
            <w:r>
              <w:rPr>
                <w:rFonts w:ascii="Arial" w:cs="Arial" w:eastAsia="Arial" w:hAnsi="Arial"/>
                <w:sz w:val="11"/>
                <w:szCs w:val="11"/>
                <w:b w:val="1"/>
                <w:bCs w:val="1"/>
                <w:color w:val="auto"/>
              </w:rPr>
              <w:t>Capital expenditures:</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Expenditures to maintain assets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35,009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5,137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8"/>
        </w:trPr>
        <w:tc>
          <w:tcPr>
            <w:tcW w:w="5040" w:type="dxa"/>
            <w:vAlign w:val="bottom"/>
          </w:tcPr>
          <w:p>
            <w:pPr>
              <w:ind w:left="100"/>
              <w:spacing w:after="0"/>
              <w:rPr>
                <w:sz w:val="20"/>
                <w:szCs w:val="20"/>
                <w:color w:val="auto"/>
              </w:rPr>
            </w:pPr>
            <w:r>
              <w:rPr>
                <w:rFonts w:ascii="Arial" w:cs="Arial" w:eastAsia="Arial" w:hAnsi="Arial"/>
                <w:sz w:val="11"/>
                <w:szCs w:val="11"/>
                <w:color w:val="auto"/>
              </w:rPr>
              <w:t>Tenant improvements</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44,243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40,486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1,302</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2,455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Leasing commissions</w:t>
            </w: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20,489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15,985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377</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4,127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040" w:type="dxa"/>
            <w:vAlign w:val="bottom"/>
          </w:tcPr>
          <w:p>
            <w:pPr>
              <w:ind w:left="100"/>
              <w:spacing w:after="0"/>
              <w:rPr>
                <w:sz w:val="20"/>
                <w:szCs w:val="20"/>
                <w:color w:val="auto"/>
              </w:rPr>
            </w:pPr>
            <w:r>
              <w:rPr>
                <w:rFonts w:ascii="Arial" w:cs="Arial" w:eastAsia="Arial" w:hAnsi="Arial"/>
                <w:sz w:val="11"/>
                <w:szCs w:val="11"/>
                <w:color w:val="auto"/>
              </w:rPr>
              <w:t>Recurring tenant improvements, leasing commissions and other capital expenditures</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118,648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91,480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6,816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20,346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1"/>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Non-recurring capital expenditures</w:t>
            </w:r>
            <w:r>
              <w:rPr>
                <w:rFonts w:ascii="Arial" w:cs="Arial" w:eastAsia="Arial" w:hAnsi="Arial"/>
                <w:sz w:val="14"/>
                <w:szCs w:val="14"/>
                <w:b w:val="1"/>
                <w:bCs w:val="1"/>
                <w:color w:val="auto"/>
                <w:vertAlign w:val="superscript"/>
              </w:rPr>
              <w:t>(1)</w:t>
            </w: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104,054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91,072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10,769</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2,213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5040" w:type="dxa"/>
            <w:vAlign w:val="bottom"/>
          </w:tcPr>
          <w:p>
            <w:pPr>
              <w:ind w:left="100"/>
              <w:spacing w:after="0"/>
              <w:rPr>
                <w:sz w:val="20"/>
                <w:szCs w:val="20"/>
                <w:color w:val="auto"/>
              </w:rPr>
            </w:pPr>
            <w:r>
              <w:rPr>
                <w:rFonts w:ascii="Arial" w:cs="Arial" w:eastAsia="Arial" w:hAnsi="Arial"/>
                <w:sz w:val="11"/>
                <w:szCs w:val="11"/>
                <w:color w:val="auto"/>
              </w:rPr>
              <w:t>Total capital expenditures and leasing commissions</w:t>
            </w: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222,702</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182,552</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17,585</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22,559</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Development and redevelopment expenditures</w:t>
            </w:r>
            <w:r>
              <w:rPr>
                <w:rFonts w:ascii="Arial" w:cs="Arial" w:eastAsia="Arial" w:hAnsi="Arial"/>
                <w:sz w:val="14"/>
                <w:szCs w:val="14"/>
                <w:b w:val="1"/>
                <w:bCs w:val="1"/>
                <w:color w:val="auto"/>
                <w:vertAlign w:val="superscript"/>
              </w:rPr>
              <w:t>(2)</w:t>
            </w:r>
            <w:r>
              <w:rPr>
                <w:rFonts w:ascii="Arial" w:cs="Arial" w:eastAsia="Arial" w:hAnsi="Arial"/>
                <w:sz w:val="11"/>
                <w:szCs w:val="11"/>
                <w:b w:val="1"/>
                <w:bCs w:val="1"/>
                <w:color w:val="auto"/>
              </w:rPr>
              <w:t>:</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623 Fifth Avenue</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26,481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563"/>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5040" w:type="dxa"/>
            <w:vAlign w:val="bottom"/>
          </w:tcPr>
          <w:p>
            <w:pPr>
              <w:ind w:left="100"/>
              <w:spacing w:after="0"/>
              <w:rPr>
                <w:sz w:val="20"/>
                <w:szCs w:val="20"/>
                <w:color w:val="auto"/>
              </w:rPr>
            </w:pPr>
            <w:r>
              <w:rPr>
                <w:rFonts w:ascii="Arial" w:cs="Arial" w:eastAsia="Arial" w:hAnsi="Arial"/>
                <w:sz w:val="11"/>
                <w:szCs w:val="11"/>
                <w:color w:val="auto"/>
              </w:rPr>
              <w:t>PENN 2</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18,227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18,227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5"/>
                <w:szCs w:val="15"/>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PENN 15</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16,852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26,801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26,737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88,297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63"/>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27" w:lineRule="exact"/>
        <w:rPr>
          <w:sz w:val="20"/>
          <w:szCs w:val="20"/>
          <w:color w:val="auto"/>
        </w:rPr>
      </w:pPr>
    </w:p>
    <w:p>
      <w:pPr>
        <w:ind w:left="260" w:hanging="254"/>
        <w:spacing w:after="0"/>
        <w:tabs>
          <w:tab w:leader="none" w:pos="260" w:val="left"/>
        </w:tabs>
        <w:numPr>
          <w:ilvl w:val="0"/>
          <w:numId w:val="23"/>
        </w:numPr>
        <w:rPr>
          <w:rFonts w:ascii="Arial" w:cs="Arial" w:eastAsia="Arial" w:hAnsi="Arial"/>
          <w:sz w:val="11"/>
          <w:szCs w:val="11"/>
          <w:b w:val="1"/>
          <w:bCs w:val="1"/>
          <w:color w:val="auto"/>
        </w:rPr>
      </w:pPr>
      <w:r>
        <w:rPr>
          <w:rFonts w:ascii="Arial" w:cs="Arial" w:eastAsia="Arial" w:hAnsi="Arial"/>
          <w:sz w:val="11"/>
          <w:szCs w:val="11"/>
          <w:color w:val="auto"/>
        </w:rPr>
        <w:t>Primarily tenant improvements and leasing commissions on first generation space.</w:t>
      </w:r>
    </w:p>
    <w:p>
      <w:pPr>
        <w:spacing w:after="0" w:line="23" w:lineRule="exact"/>
        <w:rPr>
          <w:rFonts w:ascii="Arial" w:cs="Arial" w:eastAsia="Arial" w:hAnsi="Arial"/>
          <w:sz w:val="11"/>
          <w:szCs w:val="11"/>
          <w:b w:val="1"/>
          <w:bCs w:val="1"/>
          <w:color w:val="auto"/>
        </w:rPr>
      </w:pPr>
    </w:p>
    <w:p>
      <w:pPr>
        <w:ind w:left="260" w:hanging="254"/>
        <w:spacing w:after="0"/>
        <w:tabs>
          <w:tab w:leader="none" w:pos="260" w:val="left"/>
        </w:tabs>
        <w:numPr>
          <w:ilvl w:val="0"/>
          <w:numId w:val="23"/>
        </w:numPr>
        <w:rPr>
          <w:rFonts w:ascii="Arial" w:cs="Arial" w:eastAsia="Arial" w:hAnsi="Arial"/>
          <w:sz w:val="11"/>
          <w:szCs w:val="11"/>
          <w:b w:val="1"/>
          <w:bCs w:val="1"/>
          <w:color w:val="auto"/>
        </w:rPr>
      </w:pPr>
      <w:r>
        <w:rPr>
          <w:rFonts w:ascii="Arial" w:cs="Arial" w:eastAsia="Arial" w:hAnsi="Arial"/>
          <w:sz w:val="11"/>
          <w:szCs w:val="11"/>
          <w:color w:val="auto"/>
        </w:rPr>
        <w:t>Inclusive of capitalized interest expense, operating expenses and development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- 20 -</w:t>
      </w:r>
    </w:p>
    <w:p>
      <w:pPr>
        <w:sectPr>
          <w:pgSz w:w="11900" w:h="16838" w:orient="portrait"/>
          <w:cols w:equalWidth="0" w:num="1">
            <w:col w:w="11280"/>
          </w:cols>
          <w:pgMar w:left="300" w:top="981" w:right="319" w:bottom="1440" w:gutter="0" w:footer="0" w:header="0"/>
        </w:sectPr>
      </w:pPr>
    </w:p>
    <w:bookmarkStart w:id="41" w:name="page42"/>
    <w:bookmarkEnd w:id="41"/>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DEVELOPMENT/REDEVELOPMENT - ACTIVE PROJECTS AND FUTURE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03008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0085" cy="6985"/>
                    </a:xfrm>
                    <a:prstGeom prst="rect">
                      <a:avLst/>
                    </a:prstGeom>
                    <a:noFill/>
                  </pic:spPr>
                </pic:pic>
              </a:graphicData>
            </a:graphic>
          </wp:anchor>
        </w:drawing>
      </w:r>
    </w:p>
    <w:p>
      <w:pPr>
        <w:sectPr>
          <w:pgSz w:w="11900" w:h="16838" w:orient="portrait"/>
          <w:cols w:equalWidth="0" w:num="1">
            <w:col w:w="11280"/>
          </w:cols>
          <w:pgMar w:left="300" w:top="981" w:right="319" w:bottom="1440" w:gutter="0" w:footer="0" w:header="0"/>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860" w:type="dxa"/>
            <w:vAlign w:val="bottom"/>
          </w:tcPr>
          <w:p>
            <w:pPr>
              <w:ind w:left="20"/>
              <w:spacing w:after="0"/>
              <w:rPr>
                <w:sz w:val="20"/>
                <w:szCs w:val="20"/>
                <w:color w:val="auto"/>
              </w:rPr>
            </w:pPr>
            <w:r>
              <w:rPr>
                <w:rFonts w:ascii="Arial" w:cs="Arial" w:eastAsia="Arial" w:hAnsi="Arial"/>
                <w:sz w:val="11"/>
                <w:szCs w:val="11"/>
                <w:color w:val="auto"/>
              </w:rPr>
              <w:t>(Amounts in thousands, except square feet)</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300"/>
              <w:spacing w:after="0"/>
              <w:rPr>
                <w:sz w:val="20"/>
                <w:szCs w:val="20"/>
                <w:color w:val="auto"/>
              </w:rPr>
            </w:pPr>
            <w:r>
              <w:rPr>
                <w:rFonts w:ascii="Arial" w:cs="Arial" w:eastAsia="Arial" w:hAnsi="Arial"/>
                <w:sz w:val="11"/>
                <w:szCs w:val="11"/>
                <w:b w:val="1"/>
                <w:bCs w:val="1"/>
                <w:color w:val="auto"/>
              </w:rPr>
              <w:t>(at Vornado’s share)</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9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Property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restart"/>
          </w:tcPr>
          <w:p>
            <w:pPr>
              <w:jc w:val="right"/>
              <w:ind w:right="283"/>
              <w:spacing w:after="0"/>
              <w:rPr>
                <w:sz w:val="20"/>
                <w:szCs w:val="20"/>
                <w:color w:val="auto"/>
              </w:rPr>
            </w:pPr>
            <w:r>
              <w:rPr>
                <w:rFonts w:ascii="Arial" w:cs="Arial" w:eastAsia="Arial" w:hAnsi="Arial"/>
                <w:sz w:val="11"/>
                <w:szCs w:val="11"/>
                <w:b w:val="1"/>
                <w:bCs w:val="1"/>
                <w:color w:val="auto"/>
              </w:rPr>
              <w:t>Total Project</w:t>
            </w:r>
          </w:p>
        </w:tc>
        <w:tc>
          <w:tcPr>
            <w:tcW w:w="100" w:type="dxa"/>
            <w:vAlign w:val="bottom"/>
          </w:tcPr>
          <w:p>
            <w:pPr>
              <w:spacing w:after="0"/>
              <w:rPr>
                <w:sz w:val="8"/>
                <w:szCs w:val="8"/>
                <w:color w:val="auto"/>
              </w:rPr>
            </w:pPr>
          </w:p>
        </w:tc>
        <w:tc>
          <w:tcPr>
            <w:tcW w:w="1020" w:type="dxa"/>
            <w:vAlign w:val="bottom"/>
            <w:gridSpan w:val="2"/>
            <w:vMerge w:val="restart"/>
          </w:tcPr>
          <w:p>
            <w:pPr>
              <w:jc w:val="right"/>
              <w:ind w:right="283"/>
              <w:spacing w:after="0"/>
              <w:rPr>
                <w:sz w:val="20"/>
                <w:szCs w:val="20"/>
                <w:color w:val="auto"/>
              </w:rPr>
            </w:pPr>
            <w:r>
              <w:rPr>
                <w:rFonts w:ascii="Arial" w:cs="Arial" w:eastAsia="Arial" w:hAnsi="Arial"/>
                <w:sz w:val="11"/>
                <w:szCs w:val="11"/>
                <w:b w:val="1"/>
                <w:bCs w:val="1"/>
                <w:color w:val="auto"/>
              </w:rPr>
              <w:t>Cash Equity</w:t>
            </w:r>
          </w:p>
        </w:tc>
        <w:tc>
          <w:tcPr>
            <w:tcW w:w="120" w:type="dxa"/>
            <w:vAlign w:val="bottom"/>
          </w:tcPr>
          <w:p>
            <w:pPr>
              <w:spacing w:after="0"/>
              <w:rPr>
                <w:sz w:val="8"/>
                <w:szCs w:val="8"/>
                <w:color w:val="auto"/>
              </w:rPr>
            </w:pPr>
          </w:p>
        </w:tc>
        <w:tc>
          <w:tcPr>
            <w:tcW w:w="98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rPr>
              <w:t>Cash Equity</w:t>
            </w:r>
          </w:p>
        </w:tc>
        <w:tc>
          <w:tcPr>
            <w:tcW w:w="82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Cash Equity</w:t>
            </w:r>
          </w:p>
        </w:tc>
        <w:tc>
          <w:tcPr>
            <w:tcW w:w="0" w:type="dxa"/>
            <w:vAlign w:val="bottom"/>
          </w:tcPr>
          <w:p>
            <w:pPr>
              <w:spacing w:after="0"/>
              <w:rPr>
                <w:sz w:val="1"/>
                <w:szCs w:val="1"/>
                <w:color w:val="auto"/>
              </w:rPr>
            </w:pPr>
          </w:p>
        </w:tc>
      </w:tr>
      <w:tr>
        <w:trPr>
          <w:trHeight w:val="116"/>
        </w:trPr>
        <w:tc>
          <w:tcPr>
            <w:tcW w:w="3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Active Development Projects:</w:t>
            </w:r>
          </w:p>
        </w:tc>
        <w:tc>
          <w:tcPr>
            <w:tcW w:w="90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Rentable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60" w:type="dxa"/>
            <w:vAlign w:val="bottom"/>
            <w:vMerge w:val="continue"/>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Sq. Ft.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Budget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Obligation</w:t>
            </w:r>
          </w:p>
        </w:tc>
        <w:tc>
          <w:tcPr>
            <w:tcW w:w="200" w:type="dxa"/>
            <w:vAlign w:val="bottom"/>
          </w:tcPr>
          <w:p>
            <w:pPr>
              <w:spacing w:after="0"/>
              <w:rPr>
                <w:sz w:val="12"/>
                <w:szCs w:val="12"/>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Funded to Date</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Remaining</w:t>
            </w:r>
          </w:p>
        </w:tc>
        <w:tc>
          <w:tcPr>
            <w:tcW w:w="0" w:type="dxa"/>
            <w:vAlign w:val="bottom"/>
          </w:tcPr>
          <w:p>
            <w:pPr>
              <w:spacing w:after="0"/>
              <w:rPr>
                <w:sz w:val="1"/>
                <w:szCs w:val="1"/>
                <w:color w:val="auto"/>
              </w:rPr>
            </w:pPr>
          </w:p>
        </w:tc>
      </w:tr>
      <w:tr>
        <w:trPr>
          <w:trHeight w:val="154"/>
        </w:trPr>
        <w:tc>
          <w:tcPr>
            <w:tcW w:w="3860" w:type="dxa"/>
            <w:vAlign w:val="bottom"/>
          </w:tcPr>
          <w:p>
            <w:pPr>
              <w:ind w:left="200"/>
              <w:spacing w:after="0"/>
              <w:rPr>
                <w:sz w:val="20"/>
                <w:szCs w:val="20"/>
                <w:color w:val="auto"/>
              </w:rPr>
            </w:pPr>
            <w:r>
              <w:rPr>
                <w:rFonts w:ascii="Arial" w:cs="Arial" w:eastAsia="Arial" w:hAnsi="Arial"/>
                <w:sz w:val="11"/>
                <w:szCs w:val="11"/>
                <w:color w:val="auto"/>
              </w:rPr>
              <w:t>350 Park Avenue (36.1% interest)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1,900,000</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2,134,000</w:t>
            </w:r>
          </w:p>
        </w:tc>
        <w:tc>
          <w:tcPr>
            <w:tcW w:w="200" w:type="dxa"/>
            <w:vAlign w:val="bottom"/>
          </w:tcPr>
          <w:p>
            <w:pPr>
              <w:jc w:val="right"/>
              <w:ind w:right="63"/>
              <w:spacing w:after="0" w:line="69" w:lineRule="exact"/>
              <w:rPr>
                <w:sz w:val="20"/>
                <w:szCs w:val="20"/>
                <w:color w:val="auto"/>
              </w:rPr>
            </w:pPr>
            <w:r>
              <w:rPr>
                <w:rFonts w:ascii="Arial" w:cs="Arial" w:eastAsia="Arial" w:hAnsi="Arial"/>
                <w:sz w:val="7"/>
                <w:szCs w:val="7"/>
                <w:b w:val="1"/>
                <w:bCs w:val="1"/>
                <w:color w:val="auto"/>
                <w:w w:val="92"/>
              </w:rPr>
              <w:t>(1)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290,000</w:t>
            </w:r>
          </w:p>
        </w:tc>
        <w:tc>
          <w:tcPr>
            <w:tcW w:w="200" w:type="dxa"/>
            <w:vAlign w:val="bottom"/>
          </w:tcPr>
          <w:p>
            <w:pPr>
              <w:jc w:val="right"/>
              <w:ind w:right="63"/>
              <w:spacing w:after="0" w:line="69" w:lineRule="exact"/>
              <w:rPr>
                <w:sz w:val="20"/>
                <w:szCs w:val="20"/>
                <w:color w:val="auto"/>
              </w:rPr>
            </w:pPr>
            <w:r>
              <w:rPr>
                <w:rFonts w:ascii="Arial" w:cs="Arial" w:eastAsia="Arial" w:hAnsi="Arial"/>
                <w:sz w:val="7"/>
                <w:szCs w:val="7"/>
                <w:b w:val="1"/>
                <w:bCs w:val="1"/>
                <w:color w:val="auto"/>
                <w:w w:val="92"/>
              </w:rPr>
              <w:t>(2)</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gridSpan w:val="3"/>
          </w:tcPr>
          <w:p>
            <w:pPr>
              <w:ind w:left="640"/>
              <w:spacing w:after="0"/>
              <w:rPr>
                <w:sz w:val="20"/>
                <w:szCs w:val="20"/>
                <w:color w:val="auto"/>
              </w:rPr>
            </w:pPr>
            <w:r>
              <w:rPr>
                <w:rFonts w:ascii="Arial" w:cs="Arial" w:eastAsia="Arial" w:hAnsi="Arial"/>
                <w:sz w:val="11"/>
                <w:szCs w:val="11"/>
                <w:color w:val="auto"/>
              </w:rPr>
              <w:t>—   $</w:t>
            </w:r>
          </w:p>
        </w:tc>
        <w:tc>
          <w:tcPr>
            <w:tcW w:w="820" w:type="dxa"/>
            <w:vAlign w:val="bottom"/>
          </w:tcPr>
          <w:p>
            <w:pPr>
              <w:jc w:val="right"/>
              <w:spacing w:after="0"/>
              <w:rPr>
                <w:sz w:val="20"/>
                <w:szCs w:val="20"/>
                <w:color w:val="auto"/>
              </w:rPr>
            </w:pPr>
            <w:r>
              <w:rPr>
                <w:rFonts w:ascii="Arial" w:cs="Arial" w:eastAsia="Arial" w:hAnsi="Arial"/>
                <w:sz w:val="11"/>
                <w:szCs w:val="11"/>
                <w:color w:val="auto"/>
              </w:rPr>
              <w:t>290,000</w:t>
            </w:r>
          </w:p>
        </w:tc>
        <w:tc>
          <w:tcPr>
            <w:tcW w:w="0" w:type="dxa"/>
            <w:vAlign w:val="bottom"/>
          </w:tcPr>
          <w:p>
            <w:pPr>
              <w:spacing w:after="0"/>
              <w:rPr>
                <w:sz w:val="1"/>
                <w:szCs w:val="1"/>
                <w:color w:val="auto"/>
              </w:rPr>
            </w:pPr>
          </w:p>
        </w:tc>
      </w:tr>
      <w:tr>
        <w:trPr>
          <w:trHeight w:val="161"/>
        </w:trPr>
        <w:tc>
          <w:tcPr>
            <w:tcW w:w="3860" w:type="dxa"/>
            <w:vAlign w:val="bottom"/>
          </w:tcPr>
          <w:p>
            <w:pPr>
              <w:ind w:left="200"/>
              <w:spacing w:after="0"/>
              <w:rPr>
                <w:sz w:val="20"/>
                <w:szCs w:val="20"/>
                <w:color w:val="auto"/>
              </w:rPr>
            </w:pPr>
            <w:r>
              <w:rPr>
                <w:rFonts w:ascii="Arial" w:cs="Arial" w:eastAsia="Arial" w:hAnsi="Arial"/>
                <w:sz w:val="11"/>
                <w:szCs w:val="11"/>
                <w:color w:val="auto"/>
              </w:rPr>
              <w:t>623 Fifth Avenue</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383,000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450,000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450,000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254,269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195,731</w:t>
            </w:r>
          </w:p>
        </w:tc>
        <w:tc>
          <w:tcPr>
            <w:tcW w:w="0" w:type="dxa"/>
            <w:vAlign w:val="bottom"/>
          </w:tcPr>
          <w:p>
            <w:pPr>
              <w:spacing w:after="0"/>
              <w:rPr>
                <w:sz w:val="1"/>
                <w:szCs w:val="1"/>
                <w:color w:val="auto"/>
              </w:rPr>
            </w:pPr>
          </w:p>
        </w:tc>
      </w:tr>
      <w:tr>
        <w:trPr>
          <w:trHeight w:val="375"/>
        </w:trPr>
        <w:tc>
          <w:tcPr>
            <w:tcW w:w="3860" w:type="dxa"/>
            <w:vAlign w:val="bottom"/>
          </w:tcPr>
          <w:p>
            <w:pPr>
              <w:ind w:left="20"/>
              <w:spacing w:after="0"/>
              <w:rPr>
                <w:sz w:val="20"/>
                <w:szCs w:val="20"/>
                <w:color w:val="auto"/>
              </w:rPr>
            </w:pPr>
            <w:r>
              <w:rPr>
                <w:rFonts w:ascii="Arial" w:cs="Arial" w:eastAsia="Arial" w:hAnsi="Arial"/>
                <w:sz w:val="11"/>
                <w:szCs w:val="11"/>
                <w:b w:val="1"/>
                <w:bCs w:val="1"/>
                <w:color w:val="auto"/>
              </w:rPr>
              <w:t>Future Opportunities: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860" w:type="dxa"/>
            <w:vAlign w:val="bottom"/>
          </w:tcPr>
          <w:p>
            <w:pPr>
              <w:ind w:left="140"/>
              <w:spacing w:after="0"/>
              <w:rPr>
                <w:sz w:val="20"/>
                <w:szCs w:val="20"/>
                <w:color w:val="auto"/>
              </w:rPr>
            </w:pPr>
            <w:r>
              <w:rPr>
                <w:rFonts w:ascii="Arial" w:cs="Arial" w:eastAsia="Arial" w:hAnsi="Arial"/>
                <w:sz w:val="11"/>
                <w:szCs w:val="11"/>
                <w:b w:val="1"/>
                <w:bCs w:val="1"/>
                <w:color w:val="auto"/>
              </w:rPr>
              <w:t>New York segment: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Zoning Sq. Ft.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860" w:type="dxa"/>
            <w:vAlign w:val="bottom"/>
          </w:tcPr>
          <w:p>
            <w:pPr>
              <w:ind w:left="280"/>
              <w:spacing w:after="0"/>
              <w:rPr>
                <w:sz w:val="20"/>
                <w:szCs w:val="20"/>
                <w:color w:val="auto"/>
              </w:rPr>
            </w:pPr>
            <w:r>
              <w:rPr>
                <w:rFonts w:ascii="Arial" w:cs="Arial" w:eastAsia="Arial" w:hAnsi="Arial"/>
                <w:sz w:val="11"/>
                <w:szCs w:val="11"/>
                <w:color w:val="auto"/>
              </w:rPr>
              <w:t>PENN District: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PENN 15</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2,052,000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60" w:type="dxa"/>
            <w:vAlign w:val="bottom"/>
          </w:tcPr>
          <w:p>
            <w:pPr>
              <w:ind w:left="360"/>
              <w:spacing w:after="0"/>
              <w:rPr>
                <w:sz w:val="20"/>
                <w:szCs w:val="20"/>
                <w:color w:val="auto"/>
              </w:rPr>
            </w:pPr>
            <w:r>
              <w:rPr>
                <w:rFonts w:ascii="Arial" w:cs="Arial" w:eastAsia="Arial" w:hAnsi="Arial"/>
                <w:sz w:val="11"/>
                <w:szCs w:val="11"/>
                <w:color w:val="auto"/>
              </w:rPr>
              <w:t>34th and Eighth Avenue land</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312,000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Multiple other opportunities</w:t>
            </w: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460"/>
              <w:spacing w:after="0"/>
              <w:rPr>
                <w:sz w:val="20"/>
                <w:szCs w:val="20"/>
                <w:color w:val="auto"/>
              </w:rPr>
            </w:pPr>
            <w:r>
              <w:rPr>
                <w:rFonts w:ascii="Arial" w:cs="Arial" w:eastAsia="Arial" w:hAnsi="Arial"/>
                <w:sz w:val="11"/>
                <w:szCs w:val="11"/>
                <w:color w:val="auto"/>
              </w:rPr>
              <w:t>Total PENN District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2,364,000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260 Eleventh Avenue</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60" w:type="dxa"/>
            <w:vAlign w:val="bottom"/>
          </w:tcPr>
          <w:p>
            <w:pPr>
              <w:ind w:left="360"/>
              <w:spacing w:after="0"/>
              <w:rPr>
                <w:sz w:val="20"/>
                <w:szCs w:val="20"/>
                <w:color w:val="auto"/>
              </w:rPr>
            </w:pPr>
            <w:r>
              <w:rPr>
                <w:rFonts w:ascii="Arial" w:cs="Arial" w:eastAsia="Arial" w:hAnsi="Arial"/>
                <w:sz w:val="11"/>
                <w:szCs w:val="11"/>
                <w:color w:val="auto"/>
              </w:rPr>
              <w:t>3 East 54th Street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233,000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57th Street land (50% interest)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tcPr>
          <w:p>
            <w:pPr>
              <w:ind w:left="140"/>
              <w:spacing w:after="0"/>
              <w:rPr>
                <w:sz w:val="20"/>
                <w:szCs w:val="20"/>
                <w:color w:val="auto"/>
              </w:rPr>
            </w:pPr>
            <w:r>
              <w:rPr>
                <w:rFonts w:ascii="Arial" w:cs="Arial" w:eastAsia="Arial" w:hAnsi="Arial"/>
                <w:sz w:val="11"/>
                <w:szCs w:val="11"/>
                <w:b w:val="1"/>
                <w:bCs w:val="1"/>
                <w:color w:val="auto"/>
              </w:rPr>
              <w:t>Other segment:</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527 West Kinzie land, Chicago</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330,000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tcPr>
          <w:p>
            <w:pPr>
              <w:ind w:left="20"/>
              <w:spacing w:after="0"/>
              <w:rPr>
                <w:sz w:val="20"/>
                <w:szCs w:val="20"/>
                <w:color w:val="auto"/>
              </w:rPr>
            </w:pPr>
            <w:r>
              <w:rPr>
                <w:rFonts w:ascii="Arial" w:cs="Arial" w:eastAsia="Arial" w:hAnsi="Arial"/>
                <w:sz w:val="11"/>
                <w:szCs w:val="11"/>
                <w:b w:val="1"/>
                <w:bCs w:val="1"/>
                <w:color w:val="auto"/>
              </w:rPr>
              <w:t>Total Future Opportunities</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3,357,000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-1720850</wp:posOffset>
            </wp:positionV>
            <wp:extent cx="7160260" cy="109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38" w:lineRule="exact"/>
        <w:rPr>
          <w:sz w:val="20"/>
          <w:szCs w:val="20"/>
          <w:color w:val="auto"/>
        </w:rPr>
      </w:pPr>
    </w:p>
    <w:p>
      <w:pPr>
        <w:ind w:left="260" w:hanging="254"/>
        <w:spacing w:after="0"/>
        <w:tabs>
          <w:tab w:leader="none" w:pos="260" w:val="left"/>
        </w:tabs>
        <w:numPr>
          <w:ilvl w:val="0"/>
          <w:numId w:val="24"/>
        </w:numPr>
        <w:rPr>
          <w:rFonts w:ascii="Arial" w:cs="Arial" w:eastAsia="Arial" w:hAnsi="Arial"/>
          <w:sz w:val="11"/>
          <w:szCs w:val="11"/>
          <w:b w:val="1"/>
          <w:bCs w:val="1"/>
          <w:color w:val="auto"/>
        </w:rPr>
      </w:pPr>
      <w:r>
        <w:rPr>
          <w:rFonts w:ascii="Arial" w:cs="Arial" w:eastAsia="Arial" w:hAnsi="Arial"/>
          <w:sz w:val="11"/>
          <w:szCs w:val="11"/>
          <w:color w:val="auto"/>
        </w:rPr>
        <w:t>Includes our land contribution and is net of development fees and reimbursements paid to Vornado.</w:t>
      </w:r>
    </w:p>
    <w:p>
      <w:pPr>
        <w:spacing w:after="0" w:line="12" w:lineRule="exact"/>
        <w:rPr>
          <w:rFonts w:ascii="Arial" w:cs="Arial" w:eastAsia="Arial" w:hAnsi="Arial"/>
          <w:sz w:val="11"/>
          <w:szCs w:val="11"/>
          <w:b w:val="1"/>
          <w:bCs w:val="1"/>
          <w:color w:val="auto"/>
        </w:rPr>
      </w:pPr>
    </w:p>
    <w:p>
      <w:pPr>
        <w:ind w:left="260" w:hanging="254"/>
        <w:spacing w:after="0"/>
        <w:tabs>
          <w:tab w:leader="none" w:pos="260" w:val="left"/>
        </w:tabs>
        <w:numPr>
          <w:ilvl w:val="0"/>
          <w:numId w:val="24"/>
        </w:numPr>
        <w:rPr>
          <w:rFonts w:ascii="Arial" w:cs="Arial" w:eastAsia="Arial" w:hAnsi="Arial"/>
          <w:sz w:val="11"/>
          <w:szCs w:val="11"/>
          <w:b w:val="1"/>
          <w:bCs w:val="1"/>
          <w:color w:val="auto"/>
        </w:rPr>
      </w:pPr>
      <w:r>
        <w:rPr>
          <w:rFonts w:ascii="Arial" w:cs="Arial" w:eastAsia="Arial" w:hAnsi="Arial"/>
          <w:sz w:val="11"/>
          <w:szCs w:val="11"/>
          <w:color w:val="auto"/>
        </w:rPr>
        <w:t>Calculated as our $2.134 billion share of the projected budget less our share of (i) construction financing, (ii) preferred equity and (iii) our net land contribution.</w:t>
      </w:r>
    </w:p>
    <w:p>
      <w:pPr>
        <w:spacing w:after="0" w:line="2" w:lineRule="exact"/>
        <w:rPr>
          <w:rFonts w:ascii="Arial" w:cs="Arial" w:eastAsia="Arial" w:hAnsi="Arial"/>
          <w:sz w:val="11"/>
          <w:szCs w:val="11"/>
          <w:b w:val="1"/>
          <w:bCs w:val="1"/>
          <w:color w:val="auto"/>
        </w:rPr>
      </w:pPr>
    </w:p>
    <w:p>
      <w:pPr>
        <w:ind w:left="260" w:hanging="254"/>
        <w:spacing w:after="0"/>
        <w:tabs>
          <w:tab w:leader="none" w:pos="260" w:val="left"/>
        </w:tabs>
        <w:numPr>
          <w:ilvl w:val="0"/>
          <w:numId w:val="24"/>
        </w:numPr>
        <w:rPr>
          <w:rFonts w:ascii="Arial" w:cs="Arial" w:eastAsia="Arial" w:hAnsi="Arial"/>
          <w:sz w:val="11"/>
          <w:szCs w:val="11"/>
          <w:b w:val="1"/>
          <w:bCs w:val="1"/>
          <w:color w:val="auto"/>
        </w:rPr>
      </w:pPr>
      <w:r>
        <w:rPr>
          <w:rFonts w:ascii="Arial" w:cs="Arial" w:eastAsia="Arial" w:hAnsi="Arial"/>
          <w:sz w:val="11"/>
          <w:szCs w:val="11"/>
          <w:color w:val="auto"/>
        </w:rPr>
        <w:t>Includes management fee income paid to Vornado.</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Projected</w:t>
            </w: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Projected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040" w:type="dxa"/>
            <w:vAlign w:val="bottom"/>
            <w:gridSpan w:val="2"/>
          </w:tcPr>
          <w:p>
            <w:pPr>
              <w:jc w:val="center"/>
              <w:ind w:right="120"/>
              <w:spacing w:after="0" w:line="116" w:lineRule="exact"/>
              <w:rPr>
                <w:sz w:val="20"/>
                <w:szCs w:val="20"/>
                <w:color w:val="auto"/>
              </w:rPr>
            </w:pPr>
            <w:r>
              <w:rPr>
                <w:rFonts w:ascii="Arial" w:cs="Arial" w:eastAsia="Arial" w:hAnsi="Arial"/>
                <w:sz w:val="11"/>
                <w:szCs w:val="11"/>
                <w:b w:val="1"/>
                <w:bCs w:val="1"/>
                <w:color w:val="auto"/>
              </w:rPr>
              <w:t>Leasing</w:t>
            </w: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4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rPr>
              <w:t>Stabilization</w:t>
            </w:r>
          </w:p>
        </w:tc>
        <w:tc>
          <w:tcPr>
            <w:tcW w:w="9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Unlevered Cash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8"/>
              </w:rPr>
              <w:t>Yield</w:t>
            </w:r>
          </w:p>
        </w:tc>
        <w:tc>
          <w:tcPr>
            <w:tcW w:w="100" w:type="dxa"/>
            <w:vAlign w:val="bottom"/>
            <w:vMerge w:val="restart"/>
          </w:tcPr>
          <w:p>
            <w:pPr>
              <w:jc w:val="right"/>
              <w:spacing w:after="0"/>
              <w:rPr>
                <w:sz w:val="20"/>
                <w:szCs w:val="20"/>
                <w:color w:val="auto"/>
              </w:rPr>
            </w:pPr>
            <w:r>
              <w:rPr>
                <w:rFonts w:ascii="Arial" w:cs="Arial" w:eastAsia="Arial" w:hAnsi="Arial"/>
                <w:sz w:val="7"/>
                <w:szCs w:val="7"/>
                <w:b w:val="1"/>
                <w:bCs w:val="1"/>
                <w:color w:val="auto"/>
                <w:w w:val="92"/>
              </w:rPr>
              <w:t>(3)</w:t>
            </w:r>
          </w:p>
        </w:tc>
        <w:tc>
          <w:tcPr>
            <w:tcW w:w="0" w:type="dxa"/>
            <w:vAlign w:val="bottom"/>
          </w:tcPr>
          <w:p>
            <w:pPr>
              <w:spacing w:after="0"/>
              <w:rPr>
                <w:sz w:val="1"/>
                <w:szCs w:val="1"/>
                <w:color w:val="auto"/>
              </w:rPr>
            </w:pPr>
          </w:p>
        </w:tc>
      </w:tr>
      <w:tr>
        <w:trPr>
          <w:trHeight w:val="60"/>
        </w:trPr>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2030</w:t>
            </w:r>
          </w:p>
        </w:tc>
        <w:tc>
          <w:tcPr>
            <w:tcW w:w="120" w:type="dxa"/>
            <w:vAlign w:val="bottom"/>
          </w:tcPr>
          <w:p>
            <w:pPr>
              <w:spacing w:after="0"/>
              <w:rPr>
                <w:sz w:val="5"/>
                <w:szCs w:val="5"/>
                <w:color w:val="auto"/>
              </w:rPr>
            </w:pPr>
          </w:p>
        </w:tc>
        <w:tc>
          <w:tcPr>
            <w:tcW w:w="92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1"/>
                <w:szCs w:val="11"/>
                <w:color w:val="auto"/>
              </w:rPr>
              <w:t>9.2%</w:t>
            </w: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920" w:type="dxa"/>
            <w:vAlign w:val="bottom"/>
          </w:tcPr>
          <w:p>
            <w:pPr>
              <w:jc w:val="center"/>
              <w:spacing w:after="0"/>
              <w:rPr>
                <w:sz w:val="20"/>
                <w:szCs w:val="20"/>
                <w:color w:val="auto"/>
              </w:rPr>
            </w:pPr>
            <w:r>
              <w:rPr>
                <w:rFonts w:ascii="Arial" w:cs="Arial" w:eastAsia="Arial" w:hAnsi="Arial"/>
                <w:sz w:val="11"/>
                <w:szCs w:val="11"/>
                <w:color w:val="auto"/>
                <w:w w:val="97"/>
              </w:rPr>
              <w:t>2028</w:t>
            </w:r>
          </w:p>
        </w:tc>
        <w:tc>
          <w:tcPr>
            <w:tcW w:w="120" w:type="dxa"/>
            <w:vAlign w:val="bottom"/>
          </w:tcPr>
          <w:p>
            <w:pPr>
              <w:spacing w:after="0"/>
              <w:rPr>
                <w:sz w:val="14"/>
                <w:szCs w:val="14"/>
                <w:color w:val="auto"/>
              </w:rPr>
            </w:pP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67" w:lineRule="exact"/>
        <w:rPr>
          <w:sz w:val="20"/>
          <w:szCs w:val="20"/>
          <w:color w:val="auto"/>
        </w:rPr>
      </w:pPr>
    </w:p>
    <w:p>
      <w:pPr>
        <w:sectPr>
          <w:pgSz w:w="11900" w:h="16838" w:orient="portrait"/>
          <w:cols w:equalWidth="0" w:num="2">
            <w:col w:w="9040" w:space="80"/>
            <w:col w:w="2160"/>
          </w:cols>
          <w:pgMar w:left="300" w:top="981" w:right="319" w:bottom="1440" w:gutter="0" w:footer="0" w:header="0"/>
          <w:type w:val="continuous"/>
        </w:sectPr>
      </w:pPr>
    </w:p>
    <w:p>
      <w:pPr>
        <w:spacing w:after="0" w:line="72" w:lineRule="exact"/>
        <w:rPr>
          <w:sz w:val="20"/>
          <w:szCs w:val="20"/>
          <w:color w:val="auto"/>
        </w:rPr>
      </w:pPr>
    </w:p>
    <w:p>
      <w:pPr>
        <w:spacing w:after="0" w:line="309" w:lineRule="auto"/>
        <w:rPr>
          <w:sz w:val="20"/>
          <w:szCs w:val="20"/>
          <w:color w:val="auto"/>
        </w:rPr>
      </w:pPr>
      <w:r>
        <w:rPr>
          <w:rFonts w:ascii="Arial" w:cs="Arial" w:eastAsia="Arial" w:hAnsi="Arial"/>
          <w:sz w:val="11"/>
          <w:szCs w:val="11"/>
          <w:color w:val="auto"/>
        </w:rPr>
        <w:t>There can be no assurance that the above projects will be completed, completed on schedule or within budget. In addition, there can be no assurance that the Company will be successful in leasing the properties on the expected schedule or at the assumed rental rates.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- 21 -</w:t>
      </w:r>
    </w:p>
    <w:p>
      <w:pPr>
        <w:sectPr>
          <w:pgSz w:w="11900" w:h="16838" w:orient="portrait"/>
          <w:cols w:equalWidth="0" w:num="1">
            <w:col w:w="11280"/>
          </w:cols>
          <w:pgMar w:left="300" w:top="981" w:right="319" w:bottom="1440" w:gutter="0" w:footer="0" w:header="0"/>
          <w:type w:val="continuous"/>
        </w:sectPr>
      </w:pPr>
    </w:p>
    <w:bookmarkStart w:id="42" w:name="page43"/>
    <w:bookmarkEnd w:id="42"/>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UNCONSOLIDATED JOINT VENTURES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(Amounts in thousands)</w:t>
      </w:r>
    </w:p>
    <w:p>
      <w:pPr>
        <w:sectPr>
          <w:pgSz w:w="11900" w:h="16838" w:orient="portrait"/>
          <w:cols w:equalWidth="0" w:num="1">
            <w:col w:w="11280"/>
          </w:cols>
          <w:pgMar w:left="300" w:top="981" w:right="319" w:bottom="1440" w:gutter="0" w:footer="0" w:header="0"/>
        </w:sectPr>
      </w:pPr>
    </w:p>
    <w:p>
      <w:pPr>
        <w:spacing w:after="0" w:line="141" w:lineRule="exact"/>
        <w:rPr>
          <w:sz w:val="20"/>
          <w:szCs w:val="20"/>
          <w:color w:val="auto"/>
        </w:rPr>
      </w:pPr>
    </w:p>
    <w:p>
      <w:pPr>
        <w:ind w:left="4340"/>
        <w:spacing w:after="0"/>
        <w:rPr>
          <w:sz w:val="20"/>
          <w:szCs w:val="20"/>
          <w:color w:val="auto"/>
        </w:rPr>
      </w:pPr>
      <w:r>
        <w:rPr>
          <w:rFonts w:ascii="Arial" w:cs="Arial" w:eastAsia="Arial" w:hAnsi="Arial"/>
          <w:sz w:val="11"/>
          <w:szCs w:val="11"/>
          <w:b w:val="1"/>
          <w:bCs w:val="1"/>
          <w:color w:val="auto"/>
        </w:rPr>
        <w:t>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20320</wp:posOffset>
            </wp:positionV>
            <wp:extent cx="13119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11910" cy="698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Company's</w:t>
      </w:r>
    </w:p>
    <w:p>
      <w:pPr>
        <w:ind w:left="4200"/>
        <w:spacing w:after="0" w:line="211" w:lineRule="auto"/>
        <w:tabs>
          <w:tab w:leader="none" w:pos="5360" w:val="left"/>
        </w:tabs>
        <w:rPr>
          <w:sz w:val="20"/>
          <w:szCs w:val="20"/>
          <w:color w:val="auto"/>
        </w:rPr>
      </w:pPr>
      <w:r>
        <w:rPr>
          <w:rFonts w:ascii="Arial" w:cs="Arial" w:eastAsia="Arial" w:hAnsi="Arial"/>
          <w:sz w:val="11"/>
          <w:szCs w:val="11"/>
          <w:b w:val="1"/>
          <w:bCs w:val="1"/>
          <w:color w:val="auto"/>
        </w:rPr>
        <w:t>Percentage</w:t>
      </w:r>
      <w:r>
        <w:rPr>
          <w:sz w:val="20"/>
          <w:szCs w:val="20"/>
          <w:color w:val="auto"/>
        </w:rPr>
        <w:tab/>
      </w:r>
      <w:r>
        <w:rPr>
          <w:rFonts w:ascii="Arial" w:cs="Arial" w:eastAsia="Arial" w:hAnsi="Arial"/>
          <w:sz w:val="11"/>
          <w:szCs w:val="11"/>
          <w:b w:val="1"/>
          <w:bCs w:val="1"/>
          <w:color w:val="auto"/>
        </w:rPr>
        <w:t>Carrying</w:t>
      </w:r>
    </w:p>
    <w:p>
      <w:pPr>
        <w:ind w:left="4220"/>
        <w:spacing w:after="0"/>
        <w:tabs>
          <w:tab w:leader="none" w:pos="5380" w:val="left"/>
        </w:tabs>
        <w:rPr>
          <w:sz w:val="20"/>
          <w:szCs w:val="20"/>
          <w:color w:val="auto"/>
        </w:rPr>
      </w:pPr>
      <w:r>
        <w:rPr>
          <w:rFonts w:ascii="Arial" w:cs="Arial" w:eastAsia="Arial" w:hAnsi="Arial"/>
          <w:sz w:val="11"/>
          <w:szCs w:val="11"/>
          <w:b w:val="1"/>
          <w:bCs w:val="1"/>
          <w:color w:val="auto"/>
        </w:rPr>
        <w:t>Ownership</w:t>
      </w:r>
      <w:r>
        <w:rPr>
          <w:sz w:val="20"/>
          <w:szCs w:val="20"/>
          <w:color w:val="auto"/>
        </w:rPr>
        <w:tab/>
      </w:r>
      <w:r>
        <w:rPr>
          <w:rFonts w:ascii="Arial" w:cs="Arial" w:eastAsia="Arial" w:hAnsi="Arial"/>
          <w:sz w:val="11"/>
          <w:szCs w:val="11"/>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12700</wp:posOffset>
            </wp:positionV>
            <wp:extent cx="131191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119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b w:val="1"/>
          <w:bCs w:val="1"/>
          <w:u w:val="single" w:color="auto"/>
          <w:color w:val="auto"/>
        </w:rPr>
        <w:t>Joint Venture Name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52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rPr>
              <w:t>Our Share of Net Income (Loss) for the</w:t>
            </w:r>
          </w:p>
        </w:tc>
        <w:tc>
          <w:tcPr>
            <w:tcW w:w="2440" w:type="dxa"/>
            <w:vAlign w:val="bottom"/>
            <w:gridSpan w:val="3"/>
          </w:tcPr>
          <w:p>
            <w:pPr>
              <w:jc w:val="center"/>
              <w:spacing w:after="0"/>
              <w:rPr>
                <w:sz w:val="20"/>
                <w:szCs w:val="20"/>
                <w:color w:val="auto"/>
              </w:rPr>
            </w:pPr>
            <w:r>
              <w:rPr>
                <w:rFonts w:ascii="Arial" w:cs="Arial" w:eastAsia="Arial" w:hAnsi="Arial"/>
                <w:sz w:val="11"/>
                <w:szCs w:val="11"/>
                <w:b w:val="1"/>
                <w:bCs w:val="1"/>
                <w:color w:val="auto"/>
              </w:rPr>
              <w:t>Our Share of NOI (non-GAAP) for the Three</w:t>
            </w:r>
          </w:p>
        </w:tc>
      </w:tr>
      <w:tr>
        <w:trPr>
          <w:trHeight w:val="148"/>
        </w:trPr>
        <w:tc>
          <w:tcPr>
            <w:tcW w:w="252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rPr>
              <w:t>Three Months Ended September 30,</w:t>
            </w:r>
          </w:p>
        </w:tc>
        <w:tc>
          <w:tcPr>
            <w:tcW w:w="2440" w:type="dxa"/>
            <w:vAlign w:val="bottom"/>
            <w:gridSpan w:val="3"/>
          </w:tcPr>
          <w:p>
            <w:pPr>
              <w:jc w:val="center"/>
              <w:spacing w:after="0"/>
              <w:rPr>
                <w:sz w:val="20"/>
                <w:szCs w:val="20"/>
                <w:color w:val="auto"/>
              </w:rPr>
            </w:pPr>
            <w:r>
              <w:rPr>
                <w:rFonts w:ascii="Arial" w:cs="Arial" w:eastAsia="Arial" w:hAnsi="Arial"/>
                <w:sz w:val="11"/>
                <w:szCs w:val="11"/>
                <w:b w:val="1"/>
                <w:bCs w:val="1"/>
                <w:color w:val="auto"/>
              </w:rPr>
              <w:t>Months Ended September 30,</w:t>
            </w:r>
          </w:p>
        </w:tc>
      </w:tr>
      <w:tr>
        <w:trPr>
          <w:trHeight w:val="378"/>
        </w:trPr>
        <w:tc>
          <w:tcPr>
            <w:tcW w:w="11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8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2025</w:t>
            </w:r>
          </w:p>
        </w:tc>
      </w:tr>
    </w:tbl>
    <w:p>
      <w:pPr>
        <w:spacing w:after="0" w:line="155" w:lineRule="exact"/>
        <w:rPr>
          <w:sz w:val="20"/>
          <w:szCs w:val="20"/>
          <w:color w:val="auto"/>
        </w:rPr>
      </w:pPr>
    </w:p>
    <w:p>
      <w:pPr>
        <w:sectPr>
          <w:pgSz w:w="11900" w:h="16838" w:orient="portrait"/>
          <w:cols w:equalWidth="0" w:num="2">
            <w:col w:w="5900" w:space="420"/>
            <w:col w:w="4960"/>
          </w:cols>
          <w:pgMar w:left="300" w:top="981" w:right="31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3120" w:type="dxa"/>
            <w:vAlign w:val="bottom"/>
          </w:tcPr>
          <w:p>
            <w:pPr>
              <w:ind w:left="20"/>
              <w:spacing w:after="0"/>
              <w:rPr>
                <w:sz w:val="20"/>
                <w:szCs w:val="20"/>
                <w:color w:val="auto"/>
              </w:rPr>
            </w:pPr>
            <w:r>
              <w:rPr>
                <w:rFonts w:ascii="Arial" w:cs="Arial" w:eastAsia="Arial" w:hAnsi="Arial"/>
                <w:sz w:val="11"/>
                <w:szCs w:val="11"/>
                <w:color w:val="auto"/>
              </w:rPr>
              <w:t>New York:</w:t>
            </w:r>
          </w:p>
        </w:tc>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Fifth Avenue and Times Square JV</w:t>
            </w:r>
            <w:r>
              <w:rPr>
                <w:rFonts w:ascii="Arial" w:cs="Arial" w:eastAsia="Arial" w:hAnsi="Arial"/>
                <w:sz w:val="14"/>
                <w:szCs w:val="14"/>
                <w:b w:val="1"/>
                <w:bCs w:val="1"/>
                <w:color w:val="auto"/>
                <w:vertAlign w:val="superscript"/>
              </w:rPr>
              <w:t>(1)</w:t>
            </w:r>
          </w:p>
        </w:tc>
        <w:tc>
          <w:tcPr>
            <w:tcW w:w="1920" w:type="dxa"/>
            <w:vAlign w:val="bottom"/>
            <w:shd w:val="clear" w:color="auto" w:fill="CCEEFF"/>
          </w:tcPr>
          <w:p>
            <w:pPr>
              <w:jc w:val="center"/>
              <w:ind w:left="803"/>
              <w:spacing w:after="0"/>
              <w:rPr>
                <w:sz w:val="20"/>
                <w:szCs w:val="20"/>
                <w:color w:val="auto"/>
              </w:rPr>
            </w:pPr>
            <w:r>
              <w:rPr>
                <w:rFonts w:ascii="Arial" w:cs="Arial" w:eastAsia="Arial" w:hAnsi="Arial"/>
                <w:sz w:val="11"/>
                <w:szCs w:val="11"/>
                <w:color w:val="auto"/>
              </w:rPr>
              <w:t>51.5%</w:t>
            </w: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1,531,737</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9,893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8,527</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26,546</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24,169</w:t>
            </w:r>
          </w:p>
        </w:tc>
        <w:tc>
          <w:tcPr>
            <w:tcW w:w="0" w:type="dxa"/>
            <w:vAlign w:val="bottom"/>
          </w:tcPr>
          <w:p>
            <w:pPr>
              <w:spacing w:after="0"/>
              <w:rPr>
                <w:sz w:val="1"/>
                <w:szCs w:val="1"/>
                <w:color w:val="auto"/>
              </w:rPr>
            </w:pPr>
          </w:p>
        </w:tc>
      </w:tr>
      <w:tr>
        <w:trPr>
          <w:trHeight w:val="161"/>
        </w:trPr>
        <w:tc>
          <w:tcPr>
            <w:tcW w:w="3120" w:type="dxa"/>
            <w:vAlign w:val="bottom"/>
          </w:tcPr>
          <w:p>
            <w:pPr>
              <w:ind w:left="280"/>
              <w:spacing w:after="0"/>
              <w:rPr>
                <w:sz w:val="20"/>
                <w:szCs w:val="20"/>
                <w:color w:val="auto"/>
              </w:rPr>
            </w:pPr>
            <w:r>
              <w:rPr>
                <w:rFonts w:ascii="Arial" w:cs="Arial" w:eastAsia="Arial" w:hAnsi="Arial"/>
                <w:sz w:val="11"/>
                <w:szCs w:val="11"/>
                <w:color w:val="auto"/>
              </w:rPr>
              <w:t>Park Avenue Plaza</w:t>
            </w:r>
            <w:r>
              <w:rPr>
                <w:rFonts w:ascii="Arial" w:cs="Arial" w:eastAsia="Arial" w:hAnsi="Arial"/>
                <w:sz w:val="14"/>
                <w:szCs w:val="14"/>
                <w:b w:val="1"/>
                <w:bCs w:val="1"/>
                <w:color w:val="auto"/>
                <w:vertAlign w:val="superscript"/>
              </w:rPr>
              <w:t>(2)</w:t>
            </w:r>
          </w:p>
        </w:tc>
        <w:tc>
          <w:tcPr>
            <w:tcW w:w="1920" w:type="dxa"/>
            <w:vAlign w:val="bottom"/>
          </w:tcPr>
          <w:p>
            <w:pPr>
              <w:jc w:val="center"/>
              <w:ind w:left="803"/>
              <w:spacing w:after="0"/>
              <w:rPr>
                <w:sz w:val="20"/>
                <w:szCs w:val="20"/>
                <w:color w:val="auto"/>
              </w:rPr>
            </w:pPr>
            <w:r>
              <w:rPr>
                <w:rFonts w:ascii="Arial" w:cs="Arial" w:eastAsia="Arial" w:hAnsi="Arial"/>
                <w:sz w:val="11"/>
                <w:szCs w:val="11"/>
                <w:color w:val="auto"/>
              </w:rPr>
              <w:t>49.0%</w:t>
            </w:r>
          </w:p>
        </w:tc>
        <w:tc>
          <w:tcPr>
            <w:tcW w:w="320" w:type="dxa"/>
            <w:vAlign w:val="bottom"/>
          </w:tcPr>
          <w:p>
            <w:pPr>
              <w:spacing w:after="0"/>
              <w:rPr>
                <w:sz w:val="14"/>
                <w:szCs w:val="14"/>
                <w:color w:val="auto"/>
              </w:rPr>
            </w:pPr>
          </w:p>
        </w:tc>
        <w:tc>
          <w:tcPr>
            <w:tcW w:w="960" w:type="dxa"/>
            <w:vAlign w:val="bottom"/>
          </w:tcPr>
          <w:p>
            <w:pPr>
              <w:jc w:val="right"/>
              <w:ind w:right="243"/>
              <w:spacing w:after="0"/>
              <w:rPr>
                <w:sz w:val="20"/>
                <w:szCs w:val="20"/>
                <w:color w:val="auto"/>
              </w:rPr>
            </w:pPr>
            <w:r>
              <w:rPr>
                <w:rFonts w:ascii="Arial" w:cs="Arial" w:eastAsia="Arial" w:hAnsi="Arial"/>
                <w:sz w:val="11"/>
                <w:szCs w:val="11"/>
                <w:color w:val="auto"/>
              </w:rPr>
              <w:t>233,142</w:t>
            </w:r>
          </w:p>
        </w:tc>
        <w:tc>
          <w:tcPr>
            <w:tcW w:w="4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1,933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12,170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280 Park Avenue</w:t>
            </w:r>
          </w:p>
        </w:tc>
        <w:tc>
          <w:tcPr>
            <w:tcW w:w="1920" w:type="dxa"/>
            <w:vAlign w:val="bottom"/>
            <w:shd w:val="clear" w:color="auto" w:fill="CCEEFF"/>
          </w:tcPr>
          <w:p>
            <w:pPr>
              <w:jc w:val="center"/>
              <w:ind w:left="803"/>
              <w:spacing w:after="0"/>
              <w:rPr>
                <w:sz w:val="20"/>
                <w:szCs w:val="20"/>
                <w:color w:val="auto"/>
              </w:rPr>
            </w:pPr>
            <w:r>
              <w:rPr>
                <w:rFonts w:ascii="Arial" w:cs="Arial" w:eastAsia="Arial" w:hAnsi="Arial"/>
                <w:sz w:val="11"/>
                <w:szCs w:val="11"/>
                <w:color w:val="auto"/>
              </w:rPr>
              <w:t>50.0%</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137,220</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(3,424)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(3,712)</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10,152</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8,859</w:t>
            </w:r>
          </w:p>
        </w:tc>
        <w:tc>
          <w:tcPr>
            <w:tcW w:w="0" w:type="dxa"/>
            <w:vAlign w:val="bottom"/>
          </w:tcPr>
          <w:p>
            <w:pPr>
              <w:spacing w:after="0"/>
              <w:rPr>
                <w:sz w:val="1"/>
                <w:szCs w:val="1"/>
                <w:color w:val="auto"/>
              </w:rPr>
            </w:pPr>
          </w:p>
        </w:tc>
      </w:tr>
      <w:tr>
        <w:trPr>
          <w:trHeight w:val="161"/>
        </w:trPr>
        <w:tc>
          <w:tcPr>
            <w:tcW w:w="3120" w:type="dxa"/>
            <w:vAlign w:val="bottom"/>
          </w:tcPr>
          <w:p>
            <w:pPr>
              <w:ind w:left="280"/>
              <w:spacing w:after="0"/>
              <w:rPr>
                <w:sz w:val="20"/>
                <w:szCs w:val="20"/>
                <w:color w:val="auto"/>
              </w:rPr>
            </w:pPr>
            <w:r>
              <w:rPr>
                <w:rFonts w:ascii="Arial" w:cs="Arial" w:eastAsia="Arial" w:hAnsi="Arial"/>
                <w:sz w:val="11"/>
                <w:szCs w:val="11"/>
                <w:color w:val="auto"/>
              </w:rPr>
              <w:t>Alexander's</w:t>
            </w:r>
            <w:r>
              <w:rPr>
                <w:rFonts w:ascii="Arial" w:cs="Arial" w:eastAsia="Arial" w:hAnsi="Arial"/>
                <w:sz w:val="14"/>
                <w:szCs w:val="14"/>
                <w:b w:val="1"/>
                <w:bCs w:val="1"/>
                <w:color w:val="auto"/>
                <w:vertAlign w:val="superscript"/>
              </w:rPr>
              <w:t>(3)</w:t>
            </w:r>
          </w:p>
        </w:tc>
        <w:tc>
          <w:tcPr>
            <w:tcW w:w="1920" w:type="dxa"/>
            <w:vAlign w:val="bottom"/>
          </w:tcPr>
          <w:p>
            <w:pPr>
              <w:jc w:val="center"/>
              <w:ind w:left="803"/>
              <w:spacing w:after="0"/>
              <w:rPr>
                <w:sz w:val="20"/>
                <w:szCs w:val="20"/>
                <w:color w:val="auto"/>
              </w:rPr>
            </w:pPr>
            <w:r>
              <w:rPr>
                <w:rFonts w:ascii="Arial" w:cs="Arial" w:eastAsia="Arial" w:hAnsi="Arial"/>
                <w:sz w:val="11"/>
                <w:szCs w:val="11"/>
                <w:color w:val="auto"/>
              </w:rPr>
              <w:t>32.4%</w:t>
            </w:r>
          </w:p>
        </w:tc>
        <w:tc>
          <w:tcPr>
            <w:tcW w:w="320" w:type="dxa"/>
            <w:vAlign w:val="bottom"/>
          </w:tcPr>
          <w:p>
            <w:pPr>
              <w:spacing w:after="0"/>
              <w:rPr>
                <w:sz w:val="14"/>
                <w:szCs w:val="14"/>
                <w:color w:val="auto"/>
              </w:rPr>
            </w:pPr>
          </w:p>
        </w:tc>
        <w:tc>
          <w:tcPr>
            <w:tcW w:w="960" w:type="dxa"/>
            <w:vAlign w:val="bottom"/>
          </w:tcPr>
          <w:p>
            <w:pPr>
              <w:jc w:val="right"/>
              <w:ind w:right="243"/>
              <w:spacing w:after="0"/>
              <w:rPr>
                <w:sz w:val="20"/>
                <w:szCs w:val="20"/>
                <w:color w:val="auto"/>
              </w:rPr>
            </w:pPr>
            <w:r>
              <w:rPr>
                <w:rFonts w:ascii="Arial" w:cs="Arial" w:eastAsia="Arial" w:hAnsi="Arial"/>
                <w:sz w:val="11"/>
                <w:szCs w:val="11"/>
                <w:color w:val="auto"/>
              </w:rPr>
              <w:t>84,267</w:t>
            </w:r>
          </w:p>
        </w:tc>
        <w:tc>
          <w:tcPr>
            <w:tcW w:w="4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8,805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2,069</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14,970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8,770</w:t>
            </w:r>
          </w:p>
        </w:tc>
        <w:tc>
          <w:tcPr>
            <w:tcW w:w="0" w:type="dxa"/>
            <w:vAlign w:val="bottom"/>
          </w:tcPr>
          <w:p>
            <w:pPr>
              <w:spacing w:after="0"/>
              <w:rPr>
                <w:sz w:val="1"/>
                <w:szCs w:val="1"/>
                <w:color w:val="auto"/>
              </w:rPr>
            </w:pPr>
          </w:p>
        </w:tc>
      </w:tr>
      <w:tr>
        <w:trPr>
          <w:trHeight w:val="161"/>
        </w:trPr>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Independence Plaza</w:t>
            </w:r>
          </w:p>
        </w:tc>
        <w:tc>
          <w:tcPr>
            <w:tcW w:w="1920" w:type="dxa"/>
            <w:vAlign w:val="bottom"/>
            <w:shd w:val="clear" w:color="auto" w:fill="CCEEFF"/>
          </w:tcPr>
          <w:p>
            <w:pPr>
              <w:jc w:val="center"/>
              <w:ind w:left="803"/>
              <w:spacing w:after="0"/>
              <w:rPr>
                <w:sz w:val="20"/>
                <w:szCs w:val="20"/>
                <w:color w:val="auto"/>
              </w:rPr>
            </w:pPr>
            <w:r>
              <w:rPr>
                <w:rFonts w:ascii="Arial" w:cs="Arial" w:eastAsia="Arial" w:hAnsi="Arial"/>
                <w:sz w:val="11"/>
                <w:szCs w:val="11"/>
                <w:color w:val="auto"/>
              </w:rPr>
              <w:t>50.1%</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65,733</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7,357</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6,456</w:t>
            </w:r>
          </w:p>
        </w:tc>
        <w:tc>
          <w:tcPr>
            <w:tcW w:w="0" w:type="dxa"/>
            <w:vAlign w:val="bottom"/>
          </w:tcPr>
          <w:p>
            <w:pPr>
              <w:spacing w:after="0"/>
              <w:rPr>
                <w:sz w:val="1"/>
                <w:szCs w:val="1"/>
                <w:color w:val="auto"/>
              </w:rPr>
            </w:pPr>
          </w:p>
        </w:tc>
      </w:tr>
      <w:tr>
        <w:trPr>
          <w:trHeight w:val="161"/>
        </w:trPr>
        <w:tc>
          <w:tcPr>
            <w:tcW w:w="3120" w:type="dxa"/>
            <w:vAlign w:val="bottom"/>
          </w:tcPr>
          <w:p>
            <w:pPr>
              <w:ind w:left="280"/>
              <w:spacing w:after="0"/>
              <w:rPr>
                <w:sz w:val="20"/>
                <w:szCs w:val="20"/>
                <w:color w:val="auto"/>
              </w:rPr>
            </w:pPr>
            <w:r>
              <w:rPr>
                <w:rFonts w:ascii="Arial" w:cs="Arial" w:eastAsia="Arial" w:hAnsi="Arial"/>
                <w:sz w:val="11"/>
                <w:szCs w:val="11"/>
                <w:color w:val="auto"/>
              </w:rPr>
              <w:t>7 West 34th Street</w:t>
            </w:r>
          </w:p>
        </w:tc>
        <w:tc>
          <w:tcPr>
            <w:tcW w:w="1920" w:type="dxa"/>
            <w:vAlign w:val="bottom"/>
          </w:tcPr>
          <w:p>
            <w:pPr>
              <w:jc w:val="center"/>
              <w:ind w:left="803"/>
              <w:spacing w:after="0"/>
              <w:rPr>
                <w:sz w:val="20"/>
                <w:szCs w:val="20"/>
                <w:color w:val="auto"/>
              </w:rPr>
            </w:pPr>
            <w:r>
              <w:rPr>
                <w:rFonts w:ascii="Arial" w:cs="Arial" w:eastAsia="Arial" w:hAnsi="Arial"/>
                <w:sz w:val="11"/>
                <w:szCs w:val="11"/>
                <w:color w:val="auto"/>
              </w:rPr>
              <w:t>53.0%</w:t>
            </w:r>
          </w:p>
        </w:tc>
        <w:tc>
          <w:tcPr>
            <w:tcW w:w="320" w:type="dxa"/>
            <w:vAlign w:val="bottom"/>
          </w:tcPr>
          <w:p>
            <w:pPr>
              <w:spacing w:after="0"/>
              <w:rPr>
                <w:sz w:val="14"/>
                <w:szCs w:val="14"/>
                <w:color w:val="auto"/>
              </w:rPr>
            </w:pPr>
          </w:p>
        </w:tc>
        <w:tc>
          <w:tcPr>
            <w:tcW w:w="960" w:type="dxa"/>
            <w:vAlign w:val="bottom"/>
          </w:tcPr>
          <w:p>
            <w:pPr>
              <w:jc w:val="right"/>
              <w:ind w:right="63"/>
              <w:spacing w:after="0" w:line="162" w:lineRule="exact"/>
              <w:rPr>
                <w:sz w:val="20"/>
                <w:szCs w:val="20"/>
                <w:color w:val="auto"/>
              </w:rPr>
            </w:pPr>
            <w:r>
              <w:rPr>
                <w:rFonts w:ascii="Arial" w:cs="Arial" w:eastAsia="Arial" w:hAnsi="Arial"/>
                <w:sz w:val="11"/>
                <w:szCs w:val="11"/>
                <w:color w:val="auto"/>
              </w:rPr>
              <w:t xml:space="preserve">(44,659) </w:t>
            </w:r>
            <w:r>
              <w:rPr>
                <w:rFonts w:ascii="Arial" w:cs="Arial" w:eastAsia="Arial" w:hAnsi="Arial"/>
                <w:sz w:val="17"/>
                <w:szCs w:val="17"/>
                <w:b w:val="1"/>
                <w:bCs w:val="1"/>
                <w:color w:val="auto"/>
                <w:vertAlign w:val="superscript"/>
              </w:rPr>
              <w:t>(4)</w:t>
            </w:r>
          </w:p>
        </w:tc>
        <w:tc>
          <w:tcPr>
            <w:tcW w:w="4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1,085</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3,018</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3,560</w:t>
            </w:r>
          </w:p>
        </w:tc>
        <w:tc>
          <w:tcPr>
            <w:tcW w:w="0" w:type="dxa"/>
            <w:vAlign w:val="bottom"/>
          </w:tcPr>
          <w:p>
            <w:pPr>
              <w:spacing w:after="0"/>
              <w:rPr>
                <w:sz w:val="1"/>
                <w:szCs w:val="1"/>
                <w:color w:val="auto"/>
              </w:rPr>
            </w:pPr>
          </w:p>
        </w:tc>
      </w:tr>
      <w:tr>
        <w:trPr>
          <w:trHeight w:val="161"/>
        </w:trPr>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West 57th Street properties</w:t>
            </w:r>
          </w:p>
        </w:tc>
        <w:tc>
          <w:tcPr>
            <w:tcW w:w="1920" w:type="dxa"/>
            <w:vAlign w:val="bottom"/>
            <w:shd w:val="clear" w:color="auto" w:fill="CCEEFF"/>
          </w:tcPr>
          <w:p>
            <w:pPr>
              <w:jc w:val="center"/>
              <w:ind w:left="803"/>
              <w:spacing w:after="0"/>
              <w:rPr>
                <w:sz w:val="20"/>
                <w:szCs w:val="20"/>
                <w:color w:val="auto"/>
              </w:rPr>
            </w:pPr>
            <w:r>
              <w:rPr>
                <w:rFonts w:ascii="Arial" w:cs="Arial" w:eastAsia="Arial" w:hAnsi="Arial"/>
                <w:sz w:val="11"/>
                <w:szCs w:val="11"/>
                <w:color w:val="auto"/>
              </w:rPr>
              <w:t>50.0%</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36,405</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61"/>
        </w:trPr>
        <w:tc>
          <w:tcPr>
            <w:tcW w:w="3120" w:type="dxa"/>
            <w:vAlign w:val="bottom"/>
          </w:tcPr>
          <w:p>
            <w:pPr>
              <w:ind w:left="280"/>
              <w:spacing w:after="0"/>
              <w:rPr>
                <w:sz w:val="20"/>
                <w:szCs w:val="20"/>
                <w:color w:val="auto"/>
              </w:rPr>
            </w:pPr>
            <w:r>
              <w:rPr>
                <w:rFonts w:ascii="Arial" w:cs="Arial" w:eastAsia="Arial" w:hAnsi="Arial"/>
                <w:sz w:val="11"/>
                <w:szCs w:val="11"/>
                <w:color w:val="auto"/>
              </w:rPr>
              <w:t>85 Tenth Avenue</w:t>
            </w:r>
          </w:p>
        </w:tc>
        <w:tc>
          <w:tcPr>
            <w:tcW w:w="1920" w:type="dxa"/>
            <w:vAlign w:val="bottom"/>
          </w:tcPr>
          <w:p>
            <w:pPr>
              <w:jc w:val="center"/>
              <w:ind w:left="803"/>
              <w:spacing w:after="0"/>
              <w:rPr>
                <w:sz w:val="20"/>
                <w:szCs w:val="20"/>
                <w:color w:val="auto"/>
              </w:rPr>
            </w:pPr>
            <w:r>
              <w:rPr>
                <w:rFonts w:ascii="Arial" w:cs="Arial" w:eastAsia="Arial" w:hAnsi="Arial"/>
                <w:sz w:val="11"/>
                <w:szCs w:val="11"/>
                <w:color w:val="auto"/>
              </w:rPr>
              <w:t>49.9%</w:t>
            </w:r>
          </w:p>
        </w:tc>
        <w:tc>
          <w:tcPr>
            <w:tcW w:w="320" w:type="dxa"/>
            <w:vAlign w:val="bottom"/>
          </w:tcPr>
          <w:p>
            <w:pPr>
              <w:spacing w:after="0"/>
              <w:rPr>
                <w:sz w:val="14"/>
                <w:szCs w:val="14"/>
                <w:color w:val="auto"/>
              </w:rPr>
            </w:pPr>
          </w:p>
        </w:tc>
        <w:tc>
          <w:tcPr>
            <w:tcW w:w="960" w:type="dxa"/>
            <w:vAlign w:val="bottom"/>
          </w:tcPr>
          <w:p>
            <w:pPr>
              <w:jc w:val="right"/>
              <w:ind w:right="63"/>
              <w:spacing w:after="0" w:line="162" w:lineRule="exact"/>
              <w:rPr>
                <w:sz w:val="20"/>
                <w:szCs w:val="20"/>
                <w:color w:val="auto"/>
              </w:rPr>
            </w:pPr>
            <w:r>
              <w:rPr>
                <w:rFonts w:ascii="Arial" w:cs="Arial" w:eastAsia="Arial" w:hAnsi="Arial"/>
                <w:sz w:val="11"/>
                <w:szCs w:val="11"/>
                <w:color w:val="auto"/>
              </w:rPr>
              <w:t xml:space="preserve">(29,221) </w:t>
            </w:r>
            <w:r>
              <w:rPr>
                <w:rFonts w:ascii="Arial" w:cs="Arial" w:eastAsia="Arial" w:hAnsi="Arial"/>
                <w:sz w:val="17"/>
                <w:szCs w:val="17"/>
                <w:b w:val="1"/>
                <w:bCs w:val="1"/>
                <w:color w:val="auto"/>
                <w:vertAlign w:val="superscript"/>
              </w:rPr>
              <w:t>(4)</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(2,156)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(1,364)</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4,192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4,094</w:t>
            </w:r>
          </w:p>
        </w:tc>
        <w:tc>
          <w:tcPr>
            <w:tcW w:w="0" w:type="dxa"/>
            <w:vAlign w:val="bottom"/>
          </w:tcPr>
          <w:p>
            <w:pPr>
              <w:spacing w:after="0"/>
              <w:rPr>
                <w:sz w:val="1"/>
                <w:szCs w:val="1"/>
                <w:color w:val="auto"/>
              </w:rPr>
            </w:pPr>
          </w:p>
        </w:tc>
      </w:tr>
      <w:tr>
        <w:trPr>
          <w:trHeight w:val="161"/>
        </w:trPr>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61 Ninth Avenue</w:t>
            </w:r>
          </w:p>
        </w:tc>
        <w:tc>
          <w:tcPr>
            <w:tcW w:w="1920" w:type="dxa"/>
            <w:vAlign w:val="bottom"/>
            <w:shd w:val="clear" w:color="auto" w:fill="CCEEFF"/>
          </w:tcPr>
          <w:p>
            <w:pPr>
              <w:jc w:val="center"/>
              <w:ind w:left="803"/>
              <w:spacing w:after="0"/>
              <w:rPr>
                <w:sz w:val="20"/>
                <w:szCs w:val="20"/>
                <w:color w:val="auto"/>
              </w:rPr>
            </w:pPr>
            <w:r>
              <w:rPr>
                <w:rFonts w:ascii="Arial" w:cs="Arial" w:eastAsia="Arial" w:hAnsi="Arial"/>
                <w:sz w:val="11"/>
                <w:szCs w:val="11"/>
                <w:color w:val="auto"/>
              </w:rPr>
              <w:t>45.1%</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550</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1,958</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1,904</w:t>
            </w:r>
          </w:p>
        </w:tc>
        <w:tc>
          <w:tcPr>
            <w:tcW w:w="0" w:type="dxa"/>
            <w:vAlign w:val="bottom"/>
          </w:tcPr>
          <w:p>
            <w:pPr>
              <w:spacing w:after="0"/>
              <w:rPr>
                <w:sz w:val="1"/>
                <w:szCs w:val="1"/>
                <w:color w:val="auto"/>
              </w:rPr>
            </w:pPr>
          </w:p>
        </w:tc>
      </w:tr>
      <w:tr>
        <w:trPr>
          <w:trHeight w:val="158"/>
        </w:trPr>
        <w:tc>
          <w:tcPr>
            <w:tcW w:w="31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net</w:t>
            </w:r>
          </w:p>
        </w:tc>
        <w:tc>
          <w:tcPr>
            <w:tcW w:w="1920" w:type="dxa"/>
            <w:vAlign w:val="bottom"/>
            <w:tcBorders>
              <w:bottom w:val="single" w:sz="8" w:color="CCEEFF"/>
            </w:tcBorders>
          </w:tcPr>
          <w:p>
            <w:pPr>
              <w:jc w:val="center"/>
              <w:ind w:left="803"/>
              <w:spacing w:after="0"/>
              <w:rPr>
                <w:sz w:val="20"/>
                <w:szCs w:val="20"/>
                <w:color w:val="auto"/>
              </w:rPr>
            </w:pPr>
            <w:r>
              <w:rPr>
                <w:rFonts w:ascii="Arial" w:cs="Arial" w:eastAsia="Arial" w:hAnsi="Arial"/>
                <w:sz w:val="11"/>
                <w:szCs w:val="11"/>
                <w:color w:val="auto"/>
              </w:rPr>
              <w:t>Various</w:t>
            </w:r>
          </w:p>
        </w:tc>
        <w:tc>
          <w:tcPr>
            <w:tcW w:w="3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ind w:right="243"/>
              <w:spacing w:after="0"/>
              <w:rPr>
                <w:sz w:val="20"/>
                <w:szCs w:val="20"/>
                <w:color w:val="auto"/>
              </w:rPr>
            </w:pPr>
            <w:r>
              <w:rPr>
                <w:rFonts w:ascii="Arial" w:cs="Arial" w:eastAsia="Arial" w:hAnsi="Arial"/>
                <w:sz w:val="11"/>
                <w:szCs w:val="11"/>
                <w:color w:val="auto"/>
              </w:rPr>
              <w:t>24,063</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3,642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13,956</w:t>
            </w:r>
          </w:p>
        </w:tc>
        <w:tc>
          <w:tcPr>
            <w:tcW w:w="180" w:type="dxa"/>
            <w:vAlign w:val="bottom"/>
            <w:tcBorders>
              <w:bottom w:val="single" w:sz="8" w:color="CCEEFF"/>
            </w:tcBorders>
          </w:tcPr>
          <w:p>
            <w:pPr>
              <w:jc w:val="right"/>
              <w:ind w:right="7"/>
              <w:spacing w:after="0"/>
              <w:rPr>
                <w:sz w:val="20"/>
                <w:szCs w:val="20"/>
                <w:color w:val="auto"/>
              </w:rPr>
            </w:pPr>
            <w:r>
              <w:rPr>
                <w:rFonts w:ascii="Arial" w:cs="Arial" w:eastAsia="Arial" w:hAnsi="Arial"/>
                <w:sz w:val="9"/>
                <w:szCs w:val="9"/>
                <w:b w:val="1"/>
                <w:bCs w:val="1"/>
                <w:color w:val="auto"/>
                <w:w w:val="90"/>
              </w:rPr>
              <w:t>(5)</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4,371</w:t>
            </w:r>
          </w:p>
        </w:tc>
        <w:tc>
          <w:tcPr>
            <w:tcW w:w="2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4,508</w:t>
            </w:r>
          </w:p>
        </w:tc>
        <w:tc>
          <w:tcPr>
            <w:tcW w:w="0" w:type="dxa"/>
            <w:vAlign w:val="bottom"/>
          </w:tcPr>
          <w:p>
            <w:pPr>
              <w:spacing w:after="0"/>
              <w:rPr>
                <w:sz w:val="1"/>
                <w:szCs w:val="1"/>
                <w:color w:val="auto"/>
              </w:rPr>
            </w:pPr>
          </w:p>
        </w:tc>
      </w:tr>
      <w:tr>
        <w:trPr>
          <w:trHeight w:val="152"/>
        </w:trPr>
        <w:tc>
          <w:tcPr>
            <w:tcW w:w="3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18,916</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19,881</w:t>
            </w:r>
          </w:p>
        </w:tc>
        <w:tc>
          <w:tcPr>
            <w:tcW w:w="1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84,877</w:t>
            </w:r>
          </w:p>
        </w:tc>
        <w:tc>
          <w:tcPr>
            <w:tcW w:w="2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62,420</w:t>
            </w:r>
          </w:p>
        </w:tc>
        <w:tc>
          <w:tcPr>
            <w:tcW w:w="0" w:type="dxa"/>
            <w:vAlign w:val="bottom"/>
          </w:tcPr>
          <w:p>
            <w:pPr>
              <w:spacing w:after="0"/>
              <w:rPr>
                <w:sz w:val="1"/>
                <w:szCs w:val="1"/>
                <w:color w:val="auto"/>
              </w:rPr>
            </w:pPr>
          </w:p>
        </w:tc>
      </w:tr>
      <w:tr>
        <w:trPr>
          <w:trHeight w:val="328"/>
        </w:trPr>
        <w:tc>
          <w:tcPr>
            <w:tcW w:w="3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20" w:type="dxa"/>
            <w:vAlign w:val="bottom"/>
          </w:tcPr>
          <w:p>
            <w:pPr>
              <w:ind w:left="280"/>
              <w:spacing w:after="0"/>
              <w:rPr>
                <w:sz w:val="20"/>
                <w:szCs w:val="20"/>
                <w:color w:val="auto"/>
              </w:rPr>
            </w:pPr>
            <w:r>
              <w:rPr>
                <w:rFonts w:ascii="Arial" w:cs="Arial" w:eastAsia="Arial" w:hAnsi="Arial"/>
                <w:sz w:val="11"/>
                <w:szCs w:val="11"/>
                <w:color w:val="auto"/>
              </w:rPr>
              <w:t>Alexander's corporate fee income</w:t>
            </w:r>
          </w:p>
        </w:tc>
        <w:tc>
          <w:tcPr>
            <w:tcW w:w="1920" w:type="dxa"/>
            <w:vAlign w:val="bottom"/>
          </w:tcPr>
          <w:p>
            <w:pPr>
              <w:jc w:val="center"/>
              <w:ind w:left="803"/>
              <w:spacing w:after="0"/>
              <w:rPr>
                <w:sz w:val="20"/>
                <w:szCs w:val="20"/>
                <w:color w:val="auto"/>
              </w:rPr>
            </w:pPr>
            <w:r>
              <w:rPr>
                <w:rFonts w:ascii="Arial" w:cs="Arial" w:eastAsia="Arial" w:hAnsi="Arial"/>
                <w:sz w:val="11"/>
                <w:szCs w:val="11"/>
                <w:color w:val="auto"/>
              </w:rPr>
              <w:t>32.4%</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3,013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1,405</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1,200</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843</w:t>
            </w: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Rosslyn Plaza</w:t>
            </w:r>
          </w:p>
        </w:tc>
        <w:tc>
          <w:tcPr>
            <w:tcW w:w="1920" w:type="dxa"/>
            <w:vAlign w:val="bottom"/>
            <w:shd w:val="clear" w:color="auto" w:fill="CCEEFF"/>
          </w:tcPr>
          <w:p>
            <w:pPr>
              <w:jc w:val="center"/>
              <w:ind w:left="803"/>
              <w:spacing w:after="0"/>
              <w:rPr>
                <w:sz w:val="20"/>
                <w:szCs w:val="20"/>
                <w:color w:val="auto"/>
              </w:rPr>
            </w:pPr>
            <w:r>
              <w:rPr>
                <w:rFonts w:ascii="Arial" w:cs="Arial" w:eastAsia="Arial" w:hAnsi="Arial"/>
                <w:sz w:val="11"/>
                <w:szCs w:val="11"/>
                <w:color w:val="auto"/>
              </w:rPr>
              <w:t>43.7% to 50.4%</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34,748</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158"/>
        </w:trPr>
        <w:tc>
          <w:tcPr>
            <w:tcW w:w="31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net</w:t>
            </w:r>
          </w:p>
        </w:tc>
        <w:tc>
          <w:tcPr>
            <w:tcW w:w="1920" w:type="dxa"/>
            <w:vAlign w:val="bottom"/>
            <w:tcBorders>
              <w:bottom w:val="single" w:sz="8" w:color="CCEEFF"/>
            </w:tcBorders>
          </w:tcPr>
          <w:p>
            <w:pPr>
              <w:jc w:val="center"/>
              <w:ind w:left="803"/>
              <w:spacing w:after="0"/>
              <w:rPr>
                <w:sz w:val="20"/>
                <w:szCs w:val="20"/>
                <w:color w:val="auto"/>
              </w:rPr>
            </w:pPr>
            <w:r>
              <w:rPr>
                <w:rFonts w:ascii="Arial" w:cs="Arial" w:eastAsia="Arial" w:hAnsi="Arial"/>
                <w:sz w:val="11"/>
                <w:szCs w:val="11"/>
                <w:color w:val="auto"/>
              </w:rPr>
              <w:t>Various</w:t>
            </w:r>
          </w:p>
        </w:tc>
        <w:tc>
          <w:tcPr>
            <w:tcW w:w="3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ind w:right="243"/>
              <w:spacing w:after="0"/>
              <w:rPr>
                <w:sz w:val="20"/>
                <w:szCs w:val="20"/>
                <w:color w:val="auto"/>
              </w:rPr>
            </w:pPr>
            <w:r>
              <w:rPr>
                <w:rFonts w:ascii="Arial" w:cs="Arial" w:eastAsia="Arial" w:hAnsi="Arial"/>
                <w:sz w:val="11"/>
                <w:szCs w:val="11"/>
                <w:color w:val="auto"/>
              </w:rPr>
              <w:t>96,305</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1,701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815</w:t>
            </w:r>
          </w:p>
        </w:tc>
        <w:tc>
          <w:tcPr>
            <w:tcW w:w="1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2,540</w:t>
            </w:r>
          </w:p>
        </w:tc>
        <w:tc>
          <w:tcPr>
            <w:tcW w:w="2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1,339</w:t>
            </w:r>
          </w:p>
        </w:tc>
        <w:tc>
          <w:tcPr>
            <w:tcW w:w="0" w:type="dxa"/>
            <w:vAlign w:val="bottom"/>
          </w:tcPr>
          <w:p>
            <w:pPr>
              <w:spacing w:after="0"/>
              <w:rPr>
                <w:sz w:val="1"/>
                <w:szCs w:val="1"/>
                <w:color w:val="auto"/>
              </w:rPr>
            </w:pPr>
          </w:p>
        </w:tc>
      </w:tr>
      <w:tr>
        <w:trPr>
          <w:trHeight w:val="152"/>
        </w:trPr>
        <w:tc>
          <w:tcPr>
            <w:tcW w:w="3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4,402</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2,059</w:t>
            </w:r>
          </w:p>
        </w:tc>
        <w:tc>
          <w:tcPr>
            <w:tcW w:w="1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3,931</w:t>
            </w:r>
          </w:p>
        </w:tc>
        <w:tc>
          <w:tcPr>
            <w:tcW w:w="2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2,464</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1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23,318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21,940</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88,808</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64,884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7"/>
                <w:szCs w:val="7"/>
                <w:color w:val="auto"/>
              </w:rPr>
              <w:t>________________________________</w:t>
            </w:r>
          </w:p>
        </w:tc>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12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60" w:hanging="254"/>
        <w:spacing w:after="0"/>
        <w:tabs>
          <w:tab w:leader="none" w:pos="260" w:val="left"/>
        </w:tabs>
        <w:numPr>
          <w:ilvl w:val="0"/>
          <w:numId w:val="25"/>
        </w:numPr>
        <w:rPr>
          <w:rFonts w:ascii="Arial" w:cs="Arial" w:eastAsia="Arial" w:hAnsi="Arial"/>
          <w:sz w:val="11"/>
          <w:szCs w:val="11"/>
          <w:b w:val="1"/>
          <w:bCs w:val="1"/>
          <w:color w:val="auto"/>
        </w:rPr>
      </w:pPr>
      <w:r>
        <w:rPr>
          <w:rFonts w:ascii="Arial" w:cs="Arial" w:eastAsia="Arial" w:hAnsi="Arial"/>
          <w:sz w:val="11"/>
          <w:szCs w:val="11"/>
          <w:color w:val="auto"/>
        </w:rPr>
        <w:t>Includes $6,241 of income on our return on preferred equity, net of our share of expenses for the three months ended September 30, 2026 and 2025.</w:t>
      </w:r>
    </w:p>
    <w:p>
      <w:pPr>
        <w:spacing w:after="0" w:line="12" w:lineRule="exact"/>
        <w:rPr>
          <w:rFonts w:ascii="Arial" w:cs="Arial" w:eastAsia="Arial" w:hAnsi="Arial"/>
          <w:sz w:val="11"/>
          <w:szCs w:val="11"/>
          <w:b w:val="1"/>
          <w:bCs w:val="1"/>
          <w:color w:val="auto"/>
        </w:rPr>
      </w:pPr>
    </w:p>
    <w:p>
      <w:pPr>
        <w:ind w:left="260" w:hanging="254"/>
        <w:spacing w:after="0"/>
        <w:tabs>
          <w:tab w:leader="none" w:pos="260" w:val="left"/>
        </w:tabs>
        <w:numPr>
          <w:ilvl w:val="0"/>
          <w:numId w:val="25"/>
        </w:numPr>
        <w:rPr>
          <w:rFonts w:ascii="Arial" w:cs="Arial" w:eastAsia="Arial" w:hAnsi="Arial"/>
          <w:sz w:val="11"/>
          <w:szCs w:val="11"/>
          <w:b w:val="1"/>
          <w:bCs w:val="1"/>
          <w:color w:val="auto"/>
        </w:rPr>
      </w:pPr>
      <w:r>
        <w:rPr>
          <w:rFonts w:ascii="Arial" w:cs="Arial" w:eastAsia="Arial" w:hAnsi="Arial"/>
          <w:sz w:val="11"/>
          <w:szCs w:val="11"/>
          <w:color w:val="auto"/>
        </w:rPr>
        <w:t>On June 11, 2026, we completed the purchase of a 49.0% interest in Park Avenue Plaza. See page 3 for details.</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25"/>
        </w:numPr>
        <w:rPr>
          <w:rFonts w:ascii="Arial" w:cs="Arial" w:eastAsia="Arial" w:hAnsi="Arial"/>
          <w:sz w:val="11"/>
          <w:szCs w:val="11"/>
          <w:b w:val="1"/>
          <w:bCs w:val="1"/>
          <w:color w:val="auto"/>
        </w:rPr>
      </w:pPr>
      <w:r>
        <w:rPr>
          <w:rFonts w:ascii="Arial" w:cs="Arial" w:eastAsia="Arial" w:hAnsi="Arial"/>
          <w:sz w:val="11"/>
          <w:szCs w:val="11"/>
          <w:color w:val="auto"/>
        </w:rPr>
        <w:t>2026 includes termination income at the Rego Park shopping center.</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25"/>
        </w:numPr>
        <w:rPr>
          <w:rFonts w:ascii="Arial" w:cs="Arial" w:eastAsia="Arial" w:hAnsi="Arial"/>
          <w:sz w:val="11"/>
          <w:szCs w:val="11"/>
          <w:b w:val="1"/>
          <w:bCs w:val="1"/>
          <w:color w:val="auto"/>
        </w:rPr>
      </w:pPr>
      <w:r>
        <w:rPr>
          <w:rFonts w:ascii="Arial" w:cs="Arial" w:eastAsia="Arial" w:hAnsi="Arial"/>
          <w:sz w:val="11"/>
          <w:szCs w:val="11"/>
          <w:color w:val="auto"/>
        </w:rPr>
        <w:t>Our negative basis results from distributions in excess of our investment.</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25"/>
        </w:numPr>
        <w:rPr>
          <w:rFonts w:ascii="Arial" w:cs="Arial" w:eastAsia="Arial" w:hAnsi="Arial"/>
          <w:sz w:val="11"/>
          <w:szCs w:val="11"/>
          <w:b w:val="1"/>
          <w:bCs w:val="1"/>
          <w:color w:val="auto"/>
        </w:rPr>
      </w:pPr>
      <w:r>
        <w:rPr>
          <w:rFonts w:ascii="Arial" w:cs="Arial" w:eastAsia="Arial" w:hAnsi="Arial"/>
          <w:sz w:val="11"/>
          <w:szCs w:val="11"/>
          <w:color w:val="auto"/>
        </w:rPr>
        <w:t>Includes our $11,002 gain from the sale of 512 West 22nd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- 22 -</w:t>
      </w:r>
    </w:p>
    <w:p>
      <w:pPr>
        <w:sectPr>
          <w:pgSz w:w="11900" w:h="16838" w:orient="portrait"/>
          <w:cols w:equalWidth="0" w:num="1">
            <w:col w:w="11280"/>
          </w:cols>
          <w:pgMar w:left="300" w:top="981" w:right="319" w:bottom="1440"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UNCONSOLIDATED JOINT VENTURES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Borders>
              <w:top w:val="single" w:sz="8" w:color="auto"/>
            </w:tcBorders>
          </w:tcPr>
          <w:p>
            <w:pPr>
              <w:spacing w:after="0"/>
              <w:rPr>
                <w:sz w:val="13"/>
                <w:szCs w:val="13"/>
                <w:color w:val="auto"/>
              </w:rPr>
            </w:pPr>
          </w:p>
        </w:tc>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(Amounts in thousands)</w:t>
            </w:r>
          </w:p>
        </w:tc>
        <w:tc>
          <w:tcPr>
            <w:tcW w:w="1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Percentage</w:t>
            </w:r>
          </w:p>
        </w:tc>
        <w:tc>
          <w:tcPr>
            <w:tcW w:w="120" w:type="dxa"/>
            <w:vAlign w:val="bottom"/>
          </w:tcPr>
          <w:p>
            <w:pPr>
              <w:spacing w:after="0"/>
              <w:rPr>
                <w:sz w:val="12"/>
                <w:szCs w:val="12"/>
                <w:color w:val="auto"/>
              </w:rPr>
            </w:pPr>
          </w:p>
        </w:tc>
        <w:tc>
          <w:tcPr>
            <w:tcW w:w="2600" w:type="dxa"/>
            <w:vAlign w:val="bottom"/>
            <w:gridSpan w:val="4"/>
          </w:tcPr>
          <w:p>
            <w:pPr>
              <w:jc w:val="right"/>
              <w:ind w:right="123"/>
              <w:spacing w:after="0"/>
              <w:rPr>
                <w:sz w:val="20"/>
                <w:szCs w:val="20"/>
                <w:color w:val="auto"/>
              </w:rPr>
            </w:pPr>
            <w:r>
              <w:rPr>
                <w:rFonts w:ascii="Arial" w:cs="Arial" w:eastAsia="Arial" w:hAnsi="Arial"/>
                <w:sz w:val="11"/>
                <w:szCs w:val="11"/>
                <w:b w:val="1"/>
                <w:bCs w:val="1"/>
                <w:color w:val="auto"/>
              </w:rPr>
              <w:t>Our Share of Net Income (Loss) for the Nine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right"/>
              <w:ind w:right="103"/>
              <w:spacing w:after="0"/>
              <w:rPr>
                <w:sz w:val="20"/>
                <w:szCs w:val="20"/>
                <w:color w:val="auto"/>
              </w:rPr>
            </w:pPr>
            <w:r>
              <w:rPr>
                <w:rFonts w:ascii="Arial" w:cs="Arial" w:eastAsia="Arial" w:hAnsi="Arial"/>
                <w:sz w:val="11"/>
                <w:szCs w:val="11"/>
                <w:b w:val="1"/>
                <w:bCs w:val="1"/>
                <w:color w:val="auto"/>
              </w:rPr>
              <w:t>Our Share of NOI (non-GAAP) for the Nine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gridSpan w:val="4"/>
            <w:vMerge w:val="restart"/>
          </w:tcPr>
          <w:p>
            <w:pPr>
              <w:jc w:val="right"/>
              <w:ind w:right="503"/>
              <w:spacing w:after="0"/>
              <w:rPr>
                <w:sz w:val="20"/>
                <w:szCs w:val="20"/>
                <w:color w:val="auto"/>
              </w:rPr>
            </w:pPr>
            <w:r>
              <w:rPr>
                <w:rFonts w:ascii="Arial" w:cs="Arial" w:eastAsia="Arial" w:hAnsi="Arial"/>
                <w:sz w:val="11"/>
                <w:szCs w:val="11"/>
                <w:b w:val="1"/>
                <w:bCs w:val="1"/>
                <w:color w:val="auto"/>
              </w:rPr>
              <w:t>Months Ended September 30,</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gridSpan w:val="4"/>
            <w:vMerge w:val="restart"/>
          </w:tcPr>
          <w:p>
            <w:pPr>
              <w:jc w:val="right"/>
              <w:ind w:right="443"/>
              <w:spacing w:after="0"/>
              <w:rPr>
                <w:sz w:val="20"/>
                <w:szCs w:val="20"/>
                <w:color w:val="auto"/>
              </w:rPr>
            </w:pPr>
            <w:r>
              <w:rPr>
                <w:rFonts w:ascii="Arial" w:cs="Arial" w:eastAsia="Arial" w:hAnsi="Arial"/>
                <w:sz w:val="11"/>
                <w:szCs w:val="11"/>
                <w:b w:val="1"/>
                <w:bCs w:val="1"/>
                <w:color w:val="auto"/>
              </w:rPr>
              <w:t>Months Ended 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340" w:type="dxa"/>
            <w:vAlign w:val="bottom"/>
            <w:gridSpan w:val="2"/>
          </w:tcPr>
          <w:p>
            <w:pPr>
              <w:jc w:val="center"/>
              <w:ind w:right="60"/>
              <w:spacing w:after="0" w:line="94" w:lineRule="exact"/>
              <w:rPr>
                <w:sz w:val="20"/>
                <w:szCs w:val="20"/>
                <w:color w:val="auto"/>
              </w:rPr>
            </w:pPr>
            <w:r>
              <w:rPr>
                <w:rFonts w:ascii="Arial" w:cs="Arial" w:eastAsia="Arial" w:hAnsi="Arial"/>
                <w:sz w:val="10"/>
                <w:szCs w:val="10"/>
                <w:b w:val="1"/>
                <w:bCs w:val="1"/>
                <w:color w:val="auto"/>
              </w:rPr>
              <w:t>Ownership at</w:t>
            </w:r>
          </w:p>
        </w:tc>
        <w:tc>
          <w:tcPr>
            <w:tcW w:w="12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September 30, 2026</w:t>
            </w:r>
          </w:p>
        </w:tc>
        <w:tc>
          <w:tcPr>
            <w:tcW w:w="120" w:type="dxa"/>
            <w:vAlign w:val="bottom"/>
          </w:tcPr>
          <w:p>
            <w:pPr>
              <w:spacing w:after="0"/>
              <w:rPr>
                <w:sz w:val="13"/>
                <w:szCs w:val="13"/>
                <w:color w:val="auto"/>
              </w:rPr>
            </w:pPr>
          </w:p>
        </w:tc>
        <w:tc>
          <w:tcPr>
            <w:tcW w:w="1120" w:type="dxa"/>
            <w:vAlign w:val="bottom"/>
          </w:tcPr>
          <w:p>
            <w:pPr>
              <w:jc w:val="right"/>
              <w:ind w:right="443"/>
              <w:spacing w:after="0"/>
              <w:rPr>
                <w:sz w:val="20"/>
                <w:szCs w:val="20"/>
                <w:color w:val="auto"/>
              </w:rPr>
            </w:pPr>
            <w:r>
              <w:rPr>
                <w:rFonts w:ascii="Arial" w:cs="Arial" w:eastAsia="Arial" w:hAnsi="Arial"/>
                <w:sz w:val="11"/>
                <w:szCs w:val="11"/>
                <w:b w:val="1"/>
                <w:bCs w:val="1"/>
                <w:color w:val="auto"/>
              </w:rPr>
              <w:t>2026</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43"/>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443"/>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4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80" w:type="dxa"/>
            <w:vAlign w:val="bottom"/>
            <w:tcBorders>
              <w:bottom w:val="single" w:sz="8" w:color="auto"/>
            </w:tcBorders>
          </w:tcPr>
          <w:p>
            <w:pPr>
              <w:spacing w:after="0" w:line="110" w:lineRule="exact"/>
              <w:rPr>
                <w:sz w:val="20"/>
                <w:szCs w:val="20"/>
                <w:color w:val="auto"/>
              </w:rPr>
            </w:pPr>
            <w:r>
              <w:rPr>
                <w:rFonts w:ascii="Arial" w:cs="Arial" w:eastAsia="Arial" w:hAnsi="Arial"/>
                <w:sz w:val="11"/>
                <w:szCs w:val="11"/>
                <w:b w:val="1"/>
                <w:bCs w:val="1"/>
                <w:color w:val="auto"/>
              </w:rPr>
              <w:t>Joint Venture Name</w:t>
            </w:r>
          </w:p>
        </w:tc>
        <w:tc>
          <w:tcPr>
            <w:tcW w:w="330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Arial" w:cs="Arial" w:eastAsia="Arial" w:hAnsi="Arial"/>
                <w:sz w:val="11"/>
                <w:szCs w:val="11"/>
                <w:color w:val="auto"/>
              </w:rPr>
              <w:t>New York:</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Arial" w:cs="Arial" w:eastAsia="Arial" w:hAnsi="Arial"/>
                <w:sz w:val="11"/>
                <w:szCs w:val="11"/>
                <w:color w:val="auto"/>
              </w:rPr>
              <w:t>Fifth Avenue and Times Square JV:</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Equity in net income</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13,588</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11,772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81,581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73,048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80" w:type="dxa"/>
            <w:vAlign w:val="bottom"/>
            <w:gridSpan w:val="2"/>
          </w:tcPr>
          <w:p>
            <w:pPr>
              <w:ind w:left="380"/>
              <w:spacing w:after="0"/>
              <w:rPr>
                <w:sz w:val="20"/>
                <w:szCs w:val="20"/>
                <w:color w:val="auto"/>
              </w:rPr>
            </w:pPr>
            <w:r>
              <w:rPr>
                <w:rFonts w:ascii="Arial" w:cs="Arial" w:eastAsia="Arial" w:hAnsi="Arial"/>
                <w:sz w:val="11"/>
                <w:szCs w:val="11"/>
                <w:color w:val="auto"/>
              </w:rPr>
              <w:t>Return on preferred equity, net of our share of the expense</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18,519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21,287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Net gain on sale</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76,162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32,107</w:t>
            </w: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109,221</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81,581</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73,048</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Park Avenue Plaza</w:t>
            </w:r>
            <w:r>
              <w:rPr>
                <w:rFonts w:ascii="Arial" w:cs="Arial" w:eastAsia="Arial" w:hAnsi="Arial"/>
                <w:sz w:val="14"/>
                <w:szCs w:val="14"/>
                <w:b w:val="1"/>
                <w:bCs w:val="1"/>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2,135</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80" w:type="dxa"/>
            <w:vAlign w:val="bottom"/>
            <w:gridSpan w:val="2"/>
          </w:tcPr>
          <w:p>
            <w:pPr>
              <w:ind w:left="260"/>
              <w:spacing w:after="0"/>
              <w:rPr>
                <w:sz w:val="20"/>
                <w:szCs w:val="20"/>
                <w:color w:val="auto"/>
              </w:rPr>
            </w:pPr>
            <w:r>
              <w:rPr>
                <w:rFonts w:ascii="Arial" w:cs="Arial" w:eastAsia="Arial" w:hAnsi="Arial"/>
                <w:sz w:val="11"/>
                <w:szCs w:val="11"/>
                <w:color w:val="auto"/>
              </w:rPr>
              <w:t>280 Park Avenue</w:t>
            </w:r>
          </w:p>
        </w:tc>
        <w:tc>
          <w:tcPr>
            <w:tcW w:w="1260" w:type="dxa"/>
            <w:vAlign w:val="bottom"/>
          </w:tcPr>
          <w:p>
            <w:pPr>
              <w:jc w:val="center"/>
              <w:spacing w:after="0"/>
              <w:rPr>
                <w:sz w:val="20"/>
                <w:szCs w:val="20"/>
                <w:color w:val="auto"/>
              </w:rPr>
            </w:pPr>
            <w:r>
              <w:rPr>
                <w:rFonts w:ascii="Arial" w:cs="Arial" w:eastAsia="Arial" w:hAnsi="Arial"/>
                <w:sz w:val="11"/>
                <w:szCs w:val="11"/>
                <w:color w:val="auto"/>
              </w:rPr>
              <w:t>50.0%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(8,620)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(11,969)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30,524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26,110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Alexander's</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56,908</w:t>
            </w: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9"/>
                <w:szCs w:val="9"/>
                <w:b w:val="1"/>
                <w:bCs w:val="1"/>
                <w:color w:val="auto"/>
                <w:w w:val="90"/>
              </w:rPr>
              <w:t>(2)</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7,911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26,594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80" w:type="dxa"/>
            <w:vAlign w:val="bottom"/>
            <w:gridSpan w:val="2"/>
          </w:tcPr>
          <w:p>
            <w:pPr>
              <w:ind w:left="260"/>
              <w:spacing w:after="0"/>
              <w:rPr>
                <w:sz w:val="20"/>
                <w:szCs w:val="20"/>
                <w:color w:val="auto"/>
              </w:rPr>
            </w:pPr>
            <w:r>
              <w:rPr>
                <w:rFonts w:ascii="Arial" w:cs="Arial" w:eastAsia="Arial" w:hAnsi="Arial"/>
                <w:sz w:val="11"/>
                <w:szCs w:val="11"/>
                <w:color w:val="auto"/>
              </w:rPr>
              <w:t>Independence Plaza</w:t>
            </w:r>
          </w:p>
        </w:tc>
        <w:tc>
          <w:tcPr>
            <w:tcW w:w="1260" w:type="dxa"/>
            <w:vAlign w:val="bottom"/>
          </w:tcPr>
          <w:p>
            <w:pPr>
              <w:jc w:val="center"/>
              <w:spacing w:after="0"/>
              <w:rPr>
                <w:sz w:val="20"/>
                <w:szCs w:val="20"/>
                <w:color w:val="auto"/>
              </w:rPr>
            </w:pPr>
            <w:r>
              <w:rPr>
                <w:rFonts w:ascii="Arial" w:cs="Arial" w:eastAsia="Arial" w:hAnsi="Arial"/>
                <w:sz w:val="11"/>
                <w:szCs w:val="11"/>
                <w:color w:val="auto"/>
              </w:rPr>
              <w:t>50.1%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367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1,512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21,048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19,010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7 West 34th Street</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2,271</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5,195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13,049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80" w:type="dxa"/>
            <w:vAlign w:val="bottom"/>
            <w:gridSpan w:val="2"/>
          </w:tcPr>
          <w:p>
            <w:pPr>
              <w:ind w:left="260"/>
              <w:spacing w:after="0"/>
              <w:rPr>
                <w:sz w:val="20"/>
                <w:szCs w:val="20"/>
                <w:color w:val="auto"/>
              </w:rPr>
            </w:pPr>
            <w:r>
              <w:rPr>
                <w:rFonts w:ascii="Arial" w:cs="Arial" w:eastAsia="Arial" w:hAnsi="Arial"/>
                <w:sz w:val="11"/>
                <w:szCs w:val="11"/>
                <w:color w:val="auto"/>
              </w:rPr>
              <w:t>West 57th Street properties</w:t>
            </w:r>
          </w:p>
        </w:tc>
        <w:tc>
          <w:tcPr>
            <w:tcW w:w="1260" w:type="dxa"/>
            <w:vAlign w:val="bottom"/>
          </w:tcPr>
          <w:p>
            <w:pPr>
              <w:jc w:val="center"/>
              <w:spacing w:after="0"/>
              <w:rPr>
                <w:sz w:val="20"/>
                <w:szCs w:val="20"/>
                <w:color w:val="auto"/>
              </w:rPr>
            </w:pPr>
            <w:r>
              <w:rPr>
                <w:rFonts w:ascii="Arial" w:cs="Arial" w:eastAsia="Arial" w:hAnsi="Arial"/>
                <w:sz w:val="11"/>
                <w:szCs w:val="11"/>
                <w:color w:val="auto"/>
              </w:rPr>
              <w:t>50.0%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2,054</w:t>
            </w:r>
          </w:p>
        </w:tc>
        <w:tc>
          <w:tcPr>
            <w:tcW w:w="200" w:type="dxa"/>
            <w:vAlign w:val="bottom"/>
          </w:tcPr>
          <w:p>
            <w:pPr>
              <w:jc w:val="right"/>
              <w:ind w:right="30"/>
              <w:spacing w:after="0"/>
              <w:rPr>
                <w:sz w:val="20"/>
                <w:szCs w:val="20"/>
                <w:color w:val="auto"/>
              </w:rPr>
            </w:pPr>
            <w:r>
              <w:rPr>
                <w:rFonts w:ascii="Arial" w:cs="Arial" w:eastAsia="Arial" w:hAnsi="Arial"/>
                <w:sz w:val="9"/>
                <w:szCs w:val="9"/>
                <w:b w:val="1"/>
                <w:bCs w:val="1"/>
                <w:color w:val="auto"/>
                <w:w w:val="90"/>
              </w:rPr>
              <w:t>(3)</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85 Tenth Avenue</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(4,023)</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11,583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80" w:type="dxa"/>
            <w:vAlign w:val="bottom"/>
            <w:gridSpan w:val="2"/>
          </w:tcPr>
          <w:p>
            <w:pPr>
              <w:ind w:left="260"/>
              <w:spacing w:after="0"/>
              <w:rPr>
                <w:sz w:val="20"/>
                <w:szCs w:val="20"/>
                <w:color w:val="auto"/>
              </w:rPr>
            </w:pPr>
            <w:r>
              <w:rPr>
                <w:rFonts w:ascii="Arial" w:cs="Arial" w:eastAsia="Arial" w:hAnsi="Arial"/>
                <w:sz w:val="11"/>
                <w:szCs w:val="11"/>
                <w:color w:val="auto"/>
              </w:rPr>
              <w:t>61 Ninth Avenue</w:t>
            </w:r>
          </w:p>
        </w:tc>
        <w:tc>
          <w:tcPr>
            <w:tcW w:w="1260" w:type="dxa"/>
            <w:vAlign w:val="bottom"/>
          </w:tcPr>
          <w:p>
            <w:pPr>
              <w:jc w:val="center"/>
              <w:spacing w:after="0"/>
              <w:rPr>
                <w:sz w:val="20"/>
                <w:szCs w:val="20"/>
                <w:color w:val="auto"/>
              </w:rPr>
            </w:pPr>
            <w:r>
              <w:rPr>
                <w:rFonts w:ascii="Arial" w:cs="Arial" w:eastAsia="Arial" w:hAnsi="Arial"/>
                <w:sz w:val="11"/>
                <w:szCs w:val="11"/>
                <w:color w:val="auto"/>
              </w:rPr>
              <w:t>45.1%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(247)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(219)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5,772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5,706</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net</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Various</w:t>
            </w: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9,415</w:t>
            </w:r>
          </w:p>
        </w:tc>
        <w:tc>
          <w:tcPr>
            <w:tcW w:w="2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18,426</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9"/>
                <w:szCs w:val="9"/>
                <w:b w:val="1"/>
                <w:bCs w:val="1"/>
                <w:color w:val="auto"/>
                <w:w w:val="90"/>
              </w:rPr>
              <w:t>(4)</w:t>
            </w: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11,724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90,300</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127,264</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221,195</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189,866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gridSpan w:val="2"/>
          </w:tcPr>
          <w:p>
            <w:pPr>
              <w:spacing w:after="0"/>
              <w:rPr>
                <w:sz w:val="20"/>
                <w:szCs w:val="20"/>
                <w:color w:val="auto"/>
              </w:rPr>
            </w:pPr>
            <w:r>
              <w:rPr>
                <w:rFonts w:ascii="Arial" w:cs="Arial" w:eastAsia="Arial" w:hAnsi="Arial"/>
                <w:sz w:val="11"/>
                <w:szCs w:val="11"/>
                <w:color w:val="auto"/>
              </w:rPr>
              <w:t>Other:</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Alexander's corporate fee income</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7,750</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4,444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2,686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80" w:type="dxa"/>
            <w:vAlign w:val="bottom"/>
            <w:gridSpan w:val="2"/>
          </w:tcPr>
          <w:p>
            <w:pPr>
              <w:ind w:left="260"/>
              <w:spacing w:after="0"/>
              <w:rPr>
                <w:sz w:val="20"/>
                <w:szCs w:val="20"/>
                <w:color w:val="auto"/>
              </w:rPr>
            </w:pPr>
            <w:r>
              <w:rPr>
                <w:rFonts w:ascii="Arial" w:cs="Arial" w:eastAsia="Arial" w:hAnsi="Arial"/>
                <w:sz w:val="11"/>
                <w:szCs w:val="11"/>
                <w:color w:val="auto"/>
              </w:rPr>
              <w:t>Rosslyn Plaza</w:t>
            </w:r>
          </w:p>
        </w:tc>
        <w:tc>
          <w:tcPr>
            <w:tcW w:w="1340" w:type="dxa"/>
            <w:vAlign w:val="bottom"/>
            <w:gridSpan w:val="2"/>
          </w:tcPr>
          <w:p>
            <w:pPr>
              <w:jc w:val="center"/>
              <w:ind w:right="60"/>
              <w:spacing w:after="0"/>
              <w:rPr>
                <w:sz w:val="20"/>
                <w:szCs w:val="20"/>
                <w:color w:val="auto"/>
              </w:rPr>
            </w:pPr>
            <w:r>
              <w:rPr>
                <w:rFonts w:ascii="Arial" w:cs="Arial" w:eastAsia="Arial" w:hAnsi="Arial"/>
                <w:sz w:val="11"/>
                <w:szCs w:val="11"/>
                <w:color w:val="auto"/>
              </w:rPr>
              <w:t>43.7% to 50.4%</w:t>
            </w: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(433)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707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1,269</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net</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Various</w:t>
            </w: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1,718</w:t>
            </w:r>
          </w:p>
        </w:tc>
        <w:tc>
          <w:tcPr>
            <w:tcW w:w="2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3,984</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7,807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4,401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9,035</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8,324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12,559</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8,356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99,335</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135,588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233,754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198,222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7"/>
                <w:szCs w:val="7"/>
                <w:color w:val="auto"/>
              </w:rPr>
              <w:t>________________________________</w:t>
            </w: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0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60" w:hanging="254"/>
        <w:spacing w:after="0"/>
        <w:tabs>
          <w:tab w:leader="none" w:pos="260" w:val="left"/>
        </w:tabs>
        <w:numPr>
          <w:ilvl w:val="0"/>
          <w:numId w:val="26"/>
        </w:numPr>
        <w:rPr>
          <w:rFonts w:ascii="Arial" w:cs="Arial" w:eastAsia="Arial" w:hAnsi="Arial"/>
          <w:sz w:val="11"/>
          <w:szCs w:val="11"/>
          <w:b w:val="1"/>
          <w:bCs w:val="1"/>
          <w:color w:val="auto"/>
        </w:rPr>
      </w:pPr>
      <w:r>
        <w:rPr>
          <w:rFonts w:ascii="Arial" w:cs="Arial" w:eastAsia="Arial" w:hAnsi="Arial"/>
          <w:sz w:val="11"/>
          <w:szCs w:val="11"/>
          <w:color w:val="auto"/>
        </w:rPr>
        <w:t>On June 11, 2026, we completed the purchase of a 49.0% interest in Park Avenue Plaza. See page 3 for details.</w:t>
      </w:r>
    </w:p>
    <w:p>
      <w:pPr>
        <w:spacing w:after="0" w:line="12" w:lineRule="exact"/>
        <w:rPr>
          <w:rFonts w:ascii="Arial" w:cs="Arial" w:eastAsia="Arial" w:hAnsi="Arial"/>
          <w:sz w:val="11"/>
          <w:szCs w:val="11"/>
          <w:b w:val="1"/>
          <w:bCs w:val="1"/>
          <w:color w:val="auto"/>
        </w:rPr>
      </w:pPr>
    </w:p>
    <w:p>
      <w:pPr>
        <w:ind w:left="260" w:hanging="254"/>
        <w:spacing w:after="0"/>
        <w:tabs>
          <w:tab w:leader="none" w:pos="260" w:val="left"/>
        </w:tabs>
        <w:numPr>
          <w:ilvl w:val="0"/>
          <w:numId w:val="26"/>
        </w:numPr>
        <w:rPr>
          <w:rFonts w:ascii="Arial" w:cs="Arial" w:eastAsia="Arial" w:hAnsi="Arial"/>
          <w:sz w:val="11"/>
          <w:szCs w:val="11"/>
          <w:b w:val="1"/>
          <w:bCs w:val="1"/>
          <w:color w:val="auto"/>
        </w:rPr>
      </w:pPr>
      <w:r>
        <w:rPr>
          <w:rFonts w:ascii="Arial" w:cs="Arial" w:eastAsia="Arial" w:hAnsi="Arial"/>
          <w:sz w:val="11"/>
          <w:szCs w:val="11"/>
          <w:color w:val="auto"/>
        </w:rPr>
        <w:t>Includes our $44,329 share of the net gain from Alexander’s sale of Rego Park I, see page 3 for details. Additionally, 2026 includes termination income at the Rego Park shopping center.</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26"/>
        </w:numPr>
        <w:rPr>
          <w:rFonts w:ascii="Arial" w:cs="Arial" w:eastAsia="Arial" w:hAnsi="Arial"/>
          <w:sz w:val="11"/>
          <w:szCs w:val="11"/>
          <w:b w:val="1"/>
          <w:bCs w:val="1"/>
          <w:color w:val="auto"/>
        </w:rPr>
      </w:pPr>
      <w:r>
        <w:rPr>
          <w:rFonts w:ascii="Arial" w:cs="Arial" w:eastAsia="Arial" w:hAnsi="Arial"/>
          <w:sz w:val="11"/>
          <w:szCs w:val="11"/>
          <w:color w:val="auto"/>
        </w:rPr>
        <w:t>Includes our $2,527 share of the gain from the sale of 49 West 57th Street.</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26"/>
        </w:numPr>
        <w:rPr>
          <w:rFonts w:ascii="Arial" w:cs="Arial" w:eastAsia="Arial" w:hAnsi="Arial"/>
          <w:sz w:val="11"/>
          <w:szCs w:val="11"/>
          <w:b w:val="1"/>
          <w:bCs w:val="1"/>
          <w:color w:val="auto"/>
        </w:rPr>
      </w:pPr>
      <w:r>
        <w:rPr>
          <w:rFonts w:ascii="Arial" w:cs="Arial" w:eastAsia="Arial" w:hAnsi="Arial"/>
          <w:sz w:val="11"/>
          <w:szCs w:val="11"/>
          <w:color w:val="auto"/>
        </w:rPr>
        <w:t>Includes our $11,002 gain from the sale of 512 West 22nd Street.</w:t>
      </w: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313" w:lineRule="exact"/>
        <w:rPr>
          <w:rFonts w:ascii="Arial" w:cs="Arial" w:eastAsia="Arial" w:hAnsi="Arial"/>
          <w:sz w:val="11"/>
          <w:szCs w:val="11"/>
          <w:b w:val="1"/>
          <w:bCs w:val="1"/>
          <w:color w:val="auto"/>
        </w:rPr>
      </w:pPr>
    </w:p>
    <w:p>
      <w:pPr>
        <w:ind w:left="5580" w:hanging="87"/>
        <w:spacing w:after="0"/>
        <w:tabs>
          <w:tab w:leader="none" w:pos="55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23 -</w:t>
      </w:r>
    </w:p>
    <w:p>
      <w:pPr>
        <w:sectPr>
          <w:pgSz w:w="11900" w:h="16838" w:orient="portrait"/>
          <w:cols w:equalWidth="0" w:num="1">
            <w:col w:w="11280"/>
          </w:cols>
          <w:pgMar w:left="300" w:top="982" w:right="319" w:bottom="1440" w:gutter="0" w:footer="0" w:header="0"/>
        </w:sectPr>
      </w:pPr>
    </w:p>
    <w:bookmarkStart w:id="44" w:name="page45"/>
    <w:bookmarkEnd w:id="44"/>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DEBT ANALYSIS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(Amounts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tcPr>
          <w:p>
            <w:pPr>
              <w:ind w:left="20"/>
              <w:spacing w:after="0"/>
              <w:rPr>
                <w:sz w:val="20"/>
                <w:szCs w:val="20"/>
                <w:color w:val="auto"/>
              </w:rPr>
            </w:pPr>
            <w:r>
              <w:rPr>
                <w:rFonts w:ascii="Arial" w:cs="Arial" w:eastAsia="Arial" w:hAnsi="Arial"/>
                <w:sz w:val="13"/>
                <w:szCs w:val="13"/>
                <w:b w:val="1"/>
                <w:bCs w:val="1"/>
                <w:color w:val="auto"/>
              </w:rPr>
              <w:t>DEBT SUMMARY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left="143"/>
              <w:spacing w:after="0"/>
              <w:rPr>
                <w:sz w:val="20"/>
                <w:szCs w:val="20"/>
                <w:color w:val="auto"/>
              </w:rPr>
            </w:pPr>
            <w:r>
              <w:rPr>
                <w:rFonts w:ascii="Arial" w:cs="Arial" w:eastAsia="Arial" w:hAnsi="Arial"/>
                <w:sz w:val="11"/>
                <w:szCs w:val="11"/>
                <w:b w:val="1"/>
                <w:bCs w:val="1"/>
                <w:color w:val="auto"/>
              </w:rPr>
              <w:t>As of September 30, 2026</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b w:val="1"/>
                <w:bCs w:val="1"/>
                <w:color w:val="auto"/>
              </w:rPr>
              <w:t>Total</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ind w:left="720"/>
              <w:spacing w:after="0"/>
              <w:rPr>
                <w:sz w:val="20"/>
                <w:szCs w:val="20"/>
                <w:color w:val="auto"/>
              </w:rPr>
            </w:pPr>
            <w:r>
              <w:rPr>
                <w:rFonts w:ascii="Arial" w:cs="Arial" w:eastAsia="Arial" w:hAnsi="Arial"/>
                <w:sz w:val="11"/>
                <w:szCs w:val="11"/>
                <w:b w:val="1"/>
                <w:bCs w:val="1"/>
                <w:color w:val="auto"/>
              </w:rPr>
              <w:t>Variable</w:t>
            </w:r>
          </w:p>
        </w:tc>
        <w:tc>
          <w:tcPr>
            <w:tcW w:w="1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743"/>
              <w:spacing w:after="0" w:line="152" w:lineRule="exact"/>
              <w:rPr>
                <w:sz w:val="20"/>
                <w:szCs w:val="20"/>
                <w:color w:val="auto"/>
              </w:rPr>
            </w:pPr>
            <w:r>
              <w:rPr>
                <w:rFonts w:ascii="Arial" w:cs="Arial" w:eastAsia="Arial" w:hAnsi="Arial"/>
                <w:sz w:val="11"/>
                <w:szCs w:val="11"/>
                <w:b w:val="1"/>
                <w:bCs w:val="1"/>
                <w:color w:val="auto"/>
              </w:rPr>
              <w:t>Fixed</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5"/>
          </w:tcPr>
          <w:p>
            <w:pPr>
              <w:jc w:val="center"/>
              <w:ind w:right="80"/>
              <w:spacing w:after="0" w:line="112" w:lineRule="exact"/>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ind w:left="103"/>
              <w:spacing w:after="0" w:line="112" w:lineRule="exact"/>
              <w:rPr>
                <w:sz w:val="20"/>
                <w:szCs w:val="20"/>
                <w:color w:val="auto"/>
              </w:rPr>
            </w:pPr>
            <w:r>
              <w:rPr>
                <w:rFonts w:ascii="Arial" w:cs="Arial" w:eastAsia="Arial" w:hAnsi="Arial"/>
                <w:sz w:val="11"/>
                <w:szCs w:val="11"/>
                <w:b w:val="1"/>
                <w:bCs w:val="1"/>
                <w:color w:val="auto"/>
              </w:rPr>
              <w:t>Weighted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6"/>
        </w:trPr>
        <w:tc>
          <w:tcPr>
            <w:tcW w:w="4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(Contractual debt balances)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jc w:val="center"/>
              <w:ind w:right="80"/>
              <w:spacing w:after="0" w:line="116" w:lineRule="exact"/>
              <w:rPr>
                <w:sz w:val="20"/>
                <w:szCs w:val="20"/>
                <w:color w:val="auto"/>
              </w:rPr>
            </w:pPr>
            <w:r>
              <w:rPr>
                <w:rFonts w:ascii="Arial" w:cs="Arial" w:eastAsia="Arial" w:hAnsi="Arial"/>
                <w:sz w:val="11"/>
                <w:szCs w:val="11"/>
                <w:b w:val="1"/>
                <w:bCs w:val="1"/>
                <w:color w:val="auto"/>
              </w:rPr>
              <w:t>Average Interest</w:t>
            </w:r>
          </w:p>
        </w:tc>
        <w:tc>
          <w:tcPr>
            <w:tcW w:w="100" w:type="dxa"/>
            <w:vAlign w:val="bottom"/>
          </w:tcPr>
          <w:p>
            <w:pPr>
              <w:spacing w:after="0"/>
              <w:rPr>
                <w:sz w:val="10"/>
                <w:szCs w:val="10"/>
                <w:color w:val="auto"/>
              </w:rPr>
            </w:pPr>
          </w:p>
        </w:tc>
        <w:tc>
          <w:tcPr>
            <w:tcW w:w="84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4"/>
          </w:tcPr>
          <w:p>
            <w:pPr>
              <w:jc w:val="center"/>
              <w:ind w:right="483"/>
              <w:spacing w:after="0" w:line="116" w:lineRule="exact"/>
              <w:rPr>
                <w:sz w:val="20"/>
                <w:szCs w:val="20"/>
                <w:color w:val="auto"/>
              </w:rPr>
            </w:pPr>
            <w:r>
              <w:rPr>
                <w:rFonts w:ascii="Arial" w:cs="Arial" w:eastAsia="Arial" w:hAnsi="Arial"/>
                <w:sz w:val="11"/>
                <w:szCs w:val="11"/>
                <w:b w:val="1"/>
                <w:bCs w:val="1"/>
                <w:color w:val="auto"/>
              </w:rPr>
              <w:t>Average Interest</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Average Interest</w:t>
            </w:r>
          </w:p>
        </w:tc>
        <w:tc>
          <w:tcPr>
            <w:tcW w:w="0" w:type="dxa"/>
            <w:vAlign w:val="bottom"/>
          </w:tcPr>
          <w:p>
            <w:pPr>
              <w:spacing w:after="0"/>
              <w:rPr>
                <w:sz w:val="1"/>
                <w:szCs w:val="1"/>
                <w:color w:val="auto"/>
              </w:rPr>
            </w:pPr>
          </w:p>
        </w:tc>
      </w:tr>
      <w:tr>
        <w:trPr>
          <w:trHeight w:val="151"/>
        </w:trPr>
        <w:tc>
          <w:tcPr>
            <w:tcW w:w="47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center"/>
              <w:ind w:right="243"/>
              <w:spacing w:after="0"/>
              <w:rPr>
                <w:sz w:val="20"/>
                <w:szCs w:val="20"/>
                <w:color w:val="auto"/>
              </w:rPr>
            </w:pPr>
            <w:r>
              <w:rPr>
                <w:rFonts w:ascii="Arial" w:cs="Arial" w:eastAsia="Arial" w:hAnsi="Arial"/>
                <w:sz w:val="11"/>
                <w:szCs w:val="11"/>
                <w:b w:val="1"/>
                <w:bCs w:val="1"/>
                <w:color w:val="auto"/>
              </w:rPr>
              <w:t>Rate</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ind w:left="103"/>
              <w:spacing w:after="0"/>
              <w:rPr>
                <w:sz w:val="20"/>
                <w:szCs w:val="20"/>
                <w:color w:val="auto"/>
              </w:rPr>
            </w:pPr>
            <w:r>
              <w:rPr>
                <w:rFonts w:ascii="Arial" w:cs="Arial" w:eastAsia="Arial" w:hAnsi="Arial"/>
                <w:sz w:val="11"/>
                <w:szCs w:val="11"/>
                <w:b w:val="1"/>
                <w:bCs w:val="1"/>
                <w:color w:val="auto"/>
              </w:rPr>
              <w:t>Rate</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52"/>
        </w:trPr>
        <w:tc>
          <w:tcPr>
            <w:tcW w:w="4780" w:type="dxa"/>
            <w:vAlign w:val="bottom"/>
            <w:shd w:val="clear" w:color="auto" w:fill="CCEEFF"/>
          </w:tcPr>
          <w:p>
            <w:pPr>
              <w:ind w:left="20"/>
              <w:spacing w:after="0" w:line="152" w:lineRule="exact"/>
              <w:rPr>
                <w:sz w:val="20"/>
                <w:szCs w:val="20"/>
                <w:color w:val="auto"/>
              </w:rPr>
            </w:pPr>
            <w:r>
              <w:rPr>
                <w:rFonts w:ascii="Arial" w:cs="Arial" w:eastAsia="Arial" w:hAnsi="Arial"/>
                <w:sz w:val="11"/>
                <w:szCs w:val="11"/>
                <w:color w:val="auto"/>
              </w:rPr>
              <w:t>Consolidated debt</w:t>
            </w:r>
            <w:r>
              <w:rPr>
                <w:rFonts w:ascii="Arial" w:cs="Arial" w:eastAsia="Arial" w:hAnsi="Arial"/>
                <w:sz w:val="14"/>
                <w:szCs w:val="14"/>
                <w:b w:val="1"/>
                <w:bCs w:val="1"/>
                <w:color w:val="auto"/>
                <w:vertAlign w:val="superscript"/>
              </w:rPr>
              <w:t>(2)</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7,487,543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center"/>
              <w:ind w:right="243"/>
              <w:spacing w:after="0"/>
              <w:rPr>
                <w:sz w:val="20"/>
                <w:szCs w:val="20"/>
                <w:color w:val="auto"/>
              </w:rPr>
            </w:pPr>
            <w:r>
              <w:rPr>
                <w:rFonts w:ascii="Arial" w:cs="Arial" w:eastAsia="Arial" w:hAnsi="Arial"/>
                <w:sz w:val="11"/>
                <w:szCs w:val="11"/>
                <w:color w:val="auto"/>
              </w:rPr>
              <w:t>4.91%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1,972,543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left="103"/>
              <w:spacing w:after="0"/>
              <w:rPr>
                <w:sz w:val="20"/>
                <w:szCs w:val="20"/>
                <w:color w:val="auto"/>
              </w:rPr>
            </w:pPr>
            <w:r>
              <w:rPr>
                <w:rFonts w:ascii="Arial" w:cs="Arial" w:eastAsia="Arial" w:hAnsi="Arial"/>
                <w:sz w:val="11"/>
                <w:szCs w:val="11"/>
                <w:color w:val="auto"/>
              </w:rPr>
              <w:t>5.49%</w:t>
            </w: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5,515,000</w:t>
            </w:r>
          </w:p>
        </w:tc>
        <w:tc>
          <w:tcPr>
            <w:tcW w:w="1040" w:type="dxa"/>
            <w:vAlign w:val="bottom"/>
            <w:gridSpan w:val="2"/>
            <w:shd w:val="clear" w:color="auto" w:fill="CCEEFF"/>
          </w:tcPr>
          <w:p>
            <w:pPr>
              <w:jc w:val="center"/>
              <w:ind w:left="43"/>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158"/>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 rata share of debt of non-consolidated entities</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2,732,549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gridSpan w:val="3"/>
          </w:tcPr>
          <w:p>
            <w:pPr>
              <w:jc w:val="center"/>
              <w:ind w:right="243"/>
              <w:spacing w:after="0"/>
              <w:rPr>
                <w:sz w:val="20"/>
                <w:szCs w:val="20"/>
                <w:color w:val="auto"/>
              </w:rPr>
            </w:pPr>
            <w:r>
              <w:rPr>
                <w:rFonts w:ascii="Arial" w:cs="Arial" w:eastAsia="Arial" w:hAnsi="Arial"/>
                <w:sz w:val="11"/>
                <w:szCs w:val="11"/>
                <w:color w:val="auto"/>
              </w:rPr>
              <w:t>5.58%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386,502</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center"/>
              <w:ind w:left="103"/>
              <w:spacing w:after="0"/>
              <w:rPr>
                <w:sz w:val="20"/>
                <w:szCs w:val="20"/>
                <w:color w:val="auto"/>
              </w:rPr>
            </w:pPr>
            <w:r>
              <w:rPr>
                <w:rFonts w:ascii="Arial" w:cs="Arial" w:eastAsia="Arial" w:hAnsi="Arial"/>
                <w:sz w:val="11"/>
                <w:szCs w:val="11"/>
                <w:color w:val="auto"/>
              </w:rPr>
              <w:t>6.62%</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2,346,047</w:t>
            </w:r>
          </w:p>
        </w:tc>
        <w:tc>
          <w:tcPr>
            <w:tcW w:w="1040" w:type="dxa"/>
            <w:vAlign w:val="bottom"/>
            <w:tcBorders>
              <w:bottom w:val="single" w:sz="8" w:color="CCEEFF"/>
            </w:tcBorders>
            <w:gridSpan w:val="2"/>
          </w:tcPr>
          <w:p>
            <w:pPr>
              <w:jc w:val="center"/>
              <w:ind w:left="43"/>
              <w:spacing w:after="0"/>
              <w:rPr>
                <w:sz w:val="20"/>
                <w:szCs w:val="20"/>
                <w:color w:val="auto"/>
              </w:rPr>
            </w:pPr>
            <w:r>
              <w:rPr>
                <w:rFonts w:ascii="Arial" w:cs="Arial" w:eastAsia="Arial" w:hAnsi="Arial"/>
                <w:sz w:val="11"/>
                <w:szCs w:val="11"/>
                <w:color w:val="auto"/>
              </w:rPr>
              <w:t>5.41%</w:t>
            </w:r>
          </w:p>
        </w:tc>
        <w:tc>
          <w:tcPr>
            <w:tcW w:w="0" w:type="dxa"/>
            <w:vAlign w:val="bottom"/>
          </w:tcPr>
          <w:p>
            <w:pPr>
              <w:spacing w:after="0"/>
              <w:rPr>
                <w:sz w:val="1"/>
                <w:szCs w:val="1"/>
                <w:color w:val="auto"/>
              </w:rPr>
            </w:pPr>
          </w:p>
        </w:tc>
      </w:tr>
      <w:tr>
        <w:trPr>
          <w:trHeight w:val="156"/>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10,220,092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center"/>
              <w:ind w:right="243"/>
              <w:spacing w:after="0"/>
              <w:rPr>
                <w:sz w:val="20"/>
                <w:szCs w:val="20"/>
                <w:color w:val="auto"/>
              </w:rPr>
            </w:pPr>
            <w:r>
              <w:rPr>
                <w:rFonts w:ascii="Arial" w:cs="Arial" w:eastAsia="Arial" w:hAnsi="Arial"/>
                <w:sz w:val="11"/>
                <w:szCs w:val="11"/>
                <w:color w:val="auto"/>
              </w:rPr>
              <w:t>5.09%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2,359,045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left="103"/>
              <w:spacing w:after="0"/>
              <w:rPr>
                <w:sz w:val="20"/>
                <w:szCs w:val="20"/>
                <w:color w:val="auto"/>
              </w:rPr>
            </w:pPr>
            <w:r>
              <w:rPr>
                <w:rFonts w:ascii="Arial" w:cs="Arial" w:eastAsia="Arial" w:hAnsi="Arial"/>
                <w:sz w:val="11"/>
                <w:szCs w:val="11"/>
                <w:color w:val="auto"/>
              </w:rPr>
              <w:t>5.68%</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7,861,047</w:t>
            </w:r>
          </w:p>
        </w:tc>
        <w:tc>
          <w:tcPr>
            <w:tcW w:w="1040" w:type="dxa"/>
            <w:vAlign w:val="bottom"/>
            <w:gridSpan w:val="2"/>
            <w:shd w:val="clear" w:color="auto" w:fill="CCEEFF"/>
          </w:tcPr>
          <w:p>
            <w:pPr>
              <w:jc w:val="center"/>
              <w:ind w:left="43"/>
              <w:spacing w:after="0"/>
              <w:rPr>
                <w:sz w:val="20"/>
                <w:szCs w:val="20"/>
                <w:color w:val="auto"/>
              </w:rPr>
            </w:pPr>
            <w:r>
              <w:rPr>
                <w:rFonts w:ascii="Arial" w:cs="Arial" w:eastAsia="Arial" w:hAnsi="Arial"/>
                <w:sz w:val="11"/>
                <w:szCs w:val="11"/>
                <w:color w:val="auto"/>
              </w:rPr>
              <w:t>4.92%</w:t>
            </w:r>
          </w:p>
        </w:tc>
        <w:tc>
          <w:tcPr>
            <w:tcW w:w="0" w:type="dxa"/>
            <w:vAlign w:val="bottom"/>
          </w:tcPr>
          <w:p>
            <w:pPr>
              <w:spacing w:after="0"/>
              <w:rPr>
                <w:sz w:val="1"/>
                <w:szCs w:val="1"/>
                <w:color w:val="auto"/>
              </w:rPr>
            </w:pPr>
          </w:p>
        </w:tc>
      </w:tr>
      <w:tr>
        <w:trPr>
          <w:trHeight w:val="123"/>
        </w:trPr>
        <w:tc>
          <w:tcPr>
            <w:tcW w:w="48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Less: Noncontrolling interests' share of consolidated debt (1290 Avenue of the Americas and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(645,000)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(645,000)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78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555 California Street)</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Company's pro rata share of total debt</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9,575,092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center"/>
              <w:ind w:right="243"/>
              <w:spacing w:after="0"/>
              <w:rPr>
                <w:sz w:val="20"/>
                <w:szCs w:val="20"/>
                <w:color w:val="auto"/>
              </w:rPr>
            </w:pPr>
            <w:r>
              <w:rPr>
                <w:rFonts w:ascii="Arial" w:cs="Arial" w:eastAsia="Arial" w:hAnsi="Arial"/>
                <w:sz w:val="11"/>
                <w:szCs w:val="11"/>
                <w:color w:val="auto"/>
              </w:rPr>
              <w:t>5.04%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1,714,045</w:t>
            </w:r>
          </w:p>
        </w:tc>
        <w:tc>
          <w:tcPr>
            <w:tcW w:w="140" w:type="dxa"/>
            <w:vAlign w:val="bottom"/>
            <w:gridSpan w:val="2"/>
            <w:shd w:val="clear" w:color="auto" w:fill="CCEEFF"/>
          </w:tcPr>
          <w:p>
            <w:pPr>
              <w:jc w:val="right"/>
              <w:ind w:right="20"/>
              <w:spacing w:after="0" w:line="80" w:lineRule="exact"/>
              <w:rPr>
                <w:sz w:val="20"/>
                <w:szCs w:val="20"/>
                <w:color w:val="auto"/>
              </w:rPr>
            </w:pPr>
            <w:r>
              <w:rPr>
                <w:rFonts w:ascii="Arial" w:cs="Arial" w:eastAsia="Arial" w:hAnsi="Arial"/>
                <w:sz w:val="7"/>
                <w:szCs w:val="7"/>
                <w:b w:val="1"/>
                <w:bCs w:val="1"/>
                <w:color w:val="auto"/>
              </w:rPr>
              <w:t>(3)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center"/>
              <w:ind w:left="103"/>
              <w:spacing w:after="0"/>
              <w:rPr>
                <w:sz w:val="20"/>
                <w:szCs w:val="20"/>
                <w:color w:val="auto"/>
              </w:rPr>
            </w:pPr>
            <w:r>
              <w:rPr>
                <w:rFonts w:ascii="Arial" w:cs="Arial" w:eastAsia="Arial" w:hAnsi="Arial"/>
                <w:sz w:val="11"/>
                <w:szCs w:val="11"/>
                <w:color w:val="auto"/>
              </w:rPr>
              <w:t>5.62%</w:t>
            </w: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7,861,047</w:t>
            </w:r>
          </w:p>
        </w:tc>
        <w:tc>
          <w:tcPr>
            <w:tcW w:w="1040" w:type="dxa"/>
            <w:vAlign w:val="bottom"/>
            <w:gridSpan w:val="2"/>
            <w:shd w:val="clear" w:color="auto" w:fill="CCEEFF"/>
          </w:tcPr>
          <w:p>
            <w:pPr>
              <w:jc w:val="center"/>
              <w:ind w:left="43"/>
              <w:spacing w:after="0"/>
              <w:rPr>
                <w:sz w:val="20"/>
                <w:szCs w:val="20"/>
                <w:color w:val="auto"/>
              </w:rPr>
            </w:pPr>
            <w:r>
              <w:rPr>
                <w:rFonts w:ascii="Arial" w:cs="Arial" w:eastAsia="Arial" w:hAnsi="Arial"/>
                <w:sz w:val="11"/>
                <w:szCs w:val="11"/>
                <w:color w:val="auto"/>
              </w:rPr>
              <w:t>4.92%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7"/>
                <w:szCs w:val="7"/>
                <w:color w:val="auto"/>
              </w:rPr>
              <w:t>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780" w:type="dxa"/>
            <w:vAlign w:val="bottom"/>
          </w:tcPr>
          <w:p>
            <w:pPr>
              <w:spacing w:after="0"/>
              <w:rPr>
                <w:sz w:val="20"/>
                <w:szCs w:val="20"/>
                <w:color w:val="auto"/>
              </w:rPr>
            </w:pPr>
            <w:r>
              <w:rPr>
                <w:rFonts w:ascii="Arial" w:cs="Arial" w:eastAsia="Arial" w:hAnsi="Arial"/>
                <w:sz w:val="11"/>
                <w:szCs w:val="11"/>
                <w:color w:val="auto"/>
              </w:rPr>
              <w:t>See notes below</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Arial" w:cs="Arial" w:eastAsia="Arial" w:hAnsi="Arial"/>
                <w:sz w:val="13"/>
                <w:szCs w:val="13"/>
                <w:b w:val="1"/>
                <w:bCs w:val="1"/>
                <w:color w:val="auto"/>
              </w:rPr>
              <w:t>NET DEBT TO EBITDAre, AS ADJUSTED (unaudited)</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5"/>
          </w:tcPr>
          <w:p>
            <w:pPr>
              <w:jc w:val="right"/>
              <w:ind w:right="3"/>
              <w:spacing w:after="0"/>
              <w:rPr>
                <w:sz w:val="20"/>
                <w:szCs w:val="20"/>
                <w:color w:val="auto"/>
              </w:rPr>
            </w:pPr>
            <w:r>
              <w:rPr>
                <w:rFonts w:ascii="Arial" w:cs="Arial" w:eastAsia="Arial" w:hAnsi="Arial"/>
                <w:sz w:val="11"/>
                <w:szCs w:val="11"/>
                <w:b w:val="1"/>
                <w:bCs w:val="1"/>
                <w:color w:val="auto"/>
                <w:w w:val="97"/>
              </w:rPr>
              <w:t>As of and For the Trailing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00" w:type="dxa"/>
            <w:vAlign w:val="bottom"/>
            <w:gridSpan w:val="9"/>
          </w:tcPr>
          <w:p>
            <w:pPr>
              <w:jc w:val="center"/>
              <w:ind w:right="405"/>
              <w:spacing w:after="0"/>
              <w:rPr>
                <w:sz w:val="20"/>
                <w:szCs w:val="20"/>
                <w:color w:val="auto"/>
              </w:rPr>
            </w:pPr>
            <w:r>
              <w:rPr>
                <w:rFonts w:ascii="Arial" w:cs="Arial" w:eastAsia="Arial" w:hAnsi="Arial"/>
                <w:sz w:val="11"/>
                <w:szCs w:val="11"/>
                <w:b w:val="1"/>
                <w:bCs w:val="1"/>
                <w:color w:val="auto"/>
                <w:w w:val="98"/>
              </w:rPr>
              <w:t>For the Year Ended December 31,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4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4"/>
            <w:vMerge w:val="restart"/>
          </w:tcPr>
          <w:p>
            <w:pPr>
              <w:jc w:val="right"/>
              <w:ind w:right="83"/>
              <w:spacing w:after="0" w:line="97" w:lineRule="exact"/>
              <w:rPr>
                <w:sz w:val="20"/>
                <w:szCs w:val="20"/>
                <w:color w:val="auto"/>
              </w:rPr>
            </w:pPr>
            <w:r>
              <w:rPr>
                <w:rFonts w:ascii="Arial" w:cs="Arial" w:eastAsia="Arial" w:hAnsi="Arial"/>
                <w:sz w:val="11"/>
                <w:szCs w:val="11"/>
                <w:b w:val="1"/>
                <w:bCs w:val="1"/>
                <w:color w:val="auto"/>
              </w:rPr>
              <w:t>Twelve Months Ended</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right"/>
              <w:ind w:right="543"/>
              <w:spacing w:after="0"/>
              <w:rPr>
                <w:sz w:val="20"/>
                <w:szCs w:val="20"/>
                <w:color w:val="auto"/>
              </w:rPr>
            </w:pPr>
            <w:r>
              <w:rPr>
                <w:rFonts w:ascii="Arial" w:cs="Arial" w:eastAsia="Arial" w:hAnsi="Arial"/>
                <w:sz w:val="11"/>
                <w:szCs w:val="11"/>
                <w:b w:val="1"/>
                <w:bCs w:val="1"/>
                <w:color w:val="auto"/>
                <w:w w:val="89"/>
              </w:rPr>
              <w:t>2025</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restart"/>
          </w:tcPr>
          <w:p>
            <w:pPr>
              <w:jc w:val="right"/>
              <w:ind w:right="63"/>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gridSpan w:val="2"/>
            <w:vMerge w:val="restart"/>
          </w:tcPr>
          <w:p>
            <w:pPr>
              <w:jc w:val="right"/>
              <w:ind w:right="60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line="20" w:lineRule="exact"/>
              <w:rPr>
                <w:sz w:val="1"/>
                <w:szCs w:val="1"/>
                <w:color w:val="auto"/>
              </w:rPr>
            </w:pPr>
          </w:p>
        </w:tc>
      </w:tr>
      <w:tr>
        <w:trPr>
          <w:trHeight w:val="150"/>
        </w:trPr>
        <w:tc>
          <w:tcPr>
            <w:tcW w:w="47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1"/>
                <w:szCs w:val="11"/>
                <w:b w:val="1"/>
                <w:bCs w:val="1"/>
                <w:color w:val="auto"/>
                <w:w w:val="99"/>
              </w:rPr>
              <w:t xml:space="preserve">September 30, 2026 </w:t>
            </w:r>
            <w:r>
              <w:rPr>
                <w:rFonts w:ascii="Arial" w:cs="Arial" w:eastAsia="Arial" w:hAnsi="Arial"/>
                <w:sz w:val="13"/>
                <w:szCs w:val="13"/>
                <w:b w:val="1"/>
                <w:bCs w:val="1"/>
                <w:color w:val="auto"/>
                <w:w w:val="99"/>
                <w:vertAlign w:val="superscript"/>
              </w:rPr>
              <w:t>(4)</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Secured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4,869,543</w:t>
            </w:r>
          </w:p>
        </w:tc>
        <w:tc>
          <w:tcPr>
            <w:tcW w:w="660" w:type="dxa"/>
            <w:vAlign w:val="bottom"/>
            <w:gridSpan w:val="3"/>
            <w:shd w:val="clear" w:color="auto" w:fill="CCEEFF"/>
          </w:tcPr>
          <w:p>
            <w:pPr>
              <w:jc w:val="right"/>
              <w:ind w:right="34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4,944,037</w:t>
            </w:r>
          </w:p>
        </w:tc>
        <w:tc>
          <w:tcPr>
            <w:tcW w:w="220" w:type="dxa"/>
            <w:vAlign w:val="bottom"/>
            <w:gridSpan w:val="3"/>
            <w:shd w:val="clear" w:color="auto" w:fill="CCEEFF"/>
          </w:tcPr>
          <w:p>
            <w:pPr>
              <w:jc w:val="center"/>
              <w:ind w:left="107"/>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5,707,176</w:t>
            </w:r>
          </w:p>
        </w:tc>
        <w:tc>
          <w:tcPr>
            <w:tcW w:w="600" w:type="dxa"/>
            <w:vAlign w:val="bottom"/>
            <w:gridSpan w:val="2"/>
            <w:shd w:val="clear" w:color="auto" w:fill="CCEEFF"/>
          </w:tcPr>
          <w:p>
            <w:pPr>
              <w:jc w:val="right"/>
              <w:ind w:right="405"/>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5,729,615</w:t>
            </w:r>
          </w:p>
        </w:tc>
        <w:tc>
          <w:tcPr>
            <w:tcW w:w="0" w:type="dxa"/>
            <w:vAlign w:val="bottom"/>
          </w:tcPr>
          <w:p>
            <w:pPr>
              <w:spacing w:after="0"/>
              <w:rPr>
                <w:sz w:val="1"/>
                <w:szCs w:val="1"/>
                <w:color w:val="auto"/>
              </w:rPr>
            </w:pPr>
          </w:p>
        </w:tc>
      </w:tr>
      <w:tr>
        <w:trPr>
          <w:trHeight w:val="158"/>
        </w:trPr>
        <w:tc>
          <w:tcPr>
            <w:tcW w:w="4780" w:type="dxa"/>
            <w:vAlign w:val="bottom"/>
          </w:tcPr>
          <w:p>
            <w:pPr>
              <w:ind w:left="20"/>
              <w:spacing w:after="0"/>
              <w:rPr>
                <w:sz w:val="20"/>
                <w:szCs w:val="20"/>
                <w:color w:val="auto"/>
              </w:rPr>
            </w:pPr>
            <w:r>
              <w:rPr>
                <w:rFonts w:ascii="Arial" w:cs="Arial" w:eastAsia="Arial" w:hAnsi="Arial"/>
                <w:sz w:val="11"/>
                <w:szCs w:val="11"/>
                <w:color w:val="auto"/>
              </w:rPr>
              <w:t>Unsecured debt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color w:val="auto"/>
              </w:rPr>
              <w:t>2,618,000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2,270,420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gridSpan w:val="3"/>
          </w:tcPr>
          <w:p>
            <w:pPr>
              <w:jc w:val="right"/>
              <w:ind w:right="63"/>
              <w:spacing w:after="0"/>
              <w:rPr>
                <w:sz w:val="20"/>
                <w:szCs w:val="20"/>
                <w:color w:val="auto"/>
              </w:rPr>
            </w:pPr>
            <w:r>
              <w:rPr>
                <w:rFonts w:ascii="Arial" w:cs="Arial" w:eastAsia="Arial" w:hAnsi="Arial"/>
                <w:sz w:val="11"/>
                <w:szCs w:val="11"/>
                <w:color w:val="auto"/>
              </w:rPr>
              <w:t>2,575,000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jc w:val="right"/>
              <w:ind w:right="63"/>
              <w:spacing w:after="0"/>
              <w:rPr>
                <w:sz w:val="20"/>
                <w:szCs w:val="20"/>
                <w:color w:val="auto"/>
              </w:rPr>
            </w:pPr>
            <w:r>
              <w:rPr>
                <w:rFonts w:ascii="Arial" w:cs="Arial" w:eastAsia="Arial" w:hAnsi="Arial"/>
                <w:sz w:val="11"/>
                <w:szCs w:val="11"/>
                <w:color w:val="auto"/>
              </w:rPr>
              <w:t>2,575,000</w:t>
            </w:r>
          </w:p>
        </w:tc>
        <w:tc>
          <w:tcPr>
            <w:tcW w:w="0" w:type="dxa"/>
            <w:vAlign w:val="bottom"/>
          </w:tcPr>
          <w:p>
            <w:pPr>
              <w:spacing w:after="0"/>
              <w:rPr>
                <w:sz w:val="1"/>
                <w:szCs w:val="1"/>
                <w:color w:val="auto"/>
              </w:rPr>
            </w:pPr>
          </w:p>
        </w:tc>
      </w:tr>
      <w:tr>
        <w:trPr>
          <w:trHeight w:val="165"/>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 rata share of debt of non-consolidated entities</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2,732,549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2,478,544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2,477,701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2,654,701</w:t>
            </w:r>
          </w:p>
        </w:tc>
        <w:tc>
          <w:tcPr>
            <w:tcW w:w="0" w:type="dxa"/>
            <w:vAlign w:val="bottom"/>
          </w:tcPr>
          <w:p>
            <w:pPr>
              <w:spacing w:after="0"/>
              <w:rPr>
                <w:sz w:val="1"/>
                <w:szCs w:val="1"/>
                <w:color w:val="auto"/>
              </w:rPr>
            </w:pPr>
          </w:p>
        </w:tc>
      </w:tr>
      <w:tr>
        <w:trPr>
          <w:trHeight w:val="158"/>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Noncontrolling interests’ share of consolidated debt</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(645,000)</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(682,247)</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color w:val="auto"/>
              </w:rPr>
              <w:t>(682,059)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color w:val="auto"/>
              </w:rPr>
              <w:t>(682,059)</w:t>
            </w: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Company’s pro rata share of 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9,575,092</w:t>
            </w:r>
          </w:p>
        </w:tc>
        <w:tc>
          <w:tcPr>
            <w:tcW w:w="660" w:type="dxa"/>
            <w:vAlign w:val="bottom"/>
            <w:gridSpan w:val="3"/>
            <w:shd w:val="clear" w:color="auto" w:fill="CCEEFF"/>
          </w:tcPr>
          <w:p>
            <w:pPr>
              <w:jc w:val="right"/>
              <w:ind w:right="343"/>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9,010,754</w:t>
            </w:r>
          </w:p>
        </w:tc>
        <w:tc>
          <w:tcPr>
            <w:tcW w:w="220" w:type="dxa"/>
            <w:vAlign w:val="bottom"/>
            <w:gridSpan w:val="3"/>
            <w:shd w:val="clear" w:color="auto" w:fill="CCEEFF"/>
          </w:tcPr>
          <w:p>
            <w:pPr>
              <w:jc w:val="center"/>
              <w:ind w:left="107"/>
              <w:spacing w:after="0"/>
              <w:rPr>
                <w:sz w:val="20"/>
                <w:szCs w:val="20"/>
                <w:color w:val="auto"/>
              </w:rPr>
            </w:pPr>
            <w:r>
              <w:rPr>
                <w:rFonts w:ascii="Arial" w:cs="Arial" w:eastAsia="Arial" w:hAnsi="Arial"/>
                <w:sz w:val="11"/>
                <w:szCs w:val="11"/>
                <w:b w:val="1"/>
                <w:bCs w:val="1"/>
                <w:color w:val="auto"/>
                <w:w w:val="97"/>
              </w:rPr>
              <w:t>$</w:t>
            </w:r>
          </w:p>
        </w:tc>
        <w:tc>
          <w:tcPr>
            <w:tcW w:w="7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10,077,818</w:t>
            </w:r>
          </w:p>
        </w:tc>
        <w:tc>
          <w:tcPr>
            <w:tcW w:w="600" w:type="dxa"/>
            <w:vAlign w:val="bottom"/>
            <w:gridSpan w:val="2"/>
            <w:shd w:val="clear" w:color="auto" w:fill="CCEEFF"/>
          </w:tcPr>
          <w:p>
            <w:pPr>
              <w:jc w:val="right"/>
              <w:ind w:right="405"/>
              <w:spacing w:after="0"/>
              <w:rPr>
                <w:sz w:val="20"/>
                <w:szCs w:val="20"/>
                <w:color w:val="auto"/>
              </w:rPr>
            </w:pPr>
            <w:r>
              <w:rPr>
                <w:rFonts w:ascii="Arial" w:cs="Arial" w:eastAsia="Arial" w:hAnsi="Arial"/>
                <w:sz w:val="11"/>
                <w:szCs w:val="11"/>
                <w:b w:val="1"/>
                <w:bCs w:val="1"/>
                <w:color w:val="auto"/>
              </w:rPr>
              <w:t>$</w:t>
            </w:r>
          </w:p>
        </w:tc>
        <w:tc>
          <w:tcPr>
            <w:tcW w:w="104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10,277,257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i w:val="1"/>
                <w:iCs w:val="1"/>
                <w:color w:val="auto"/>
              </w:rPr>
              <w:t>% Unsecured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tcPr>
          <w:p>
            <w:pPr>
              <w:jc w:val="right"/>
              <w:spacing w:after="0" w:line="117" w:lineRule="exact"/>
              <w:rPr>
                <w:sz w:val="20"/>
                <w:szCs w:val="20"/>
                <w:color w:val="auto"/>
              </w:rPr>
            </w:pPr>
            <w:r>
              <w:rPr>
                <w:rFonts w:ascii="Arial" w:cs="Arial" w:eastAsia="Arial" w:hAnsi="Arial"/>
                <w:sz w:val="11"/>
                <w:szCs w:val="11"/>
                <w:i w:val="1"/>
                <w:iCs w:val="1"/>
                <w:color w:val="auto"/>
              </w:rPr>
              <w:t>27%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17" w:lineRule="exact"/>
              <w:rPr>
                <w:sz w:val="20"/>
                <w:szCs w:val="20"/>
                <w:color w:val="auto"/>
              </w:rPr>
            </w:pPr>
            <w:r>
              <w:rPr>
                <w:rFonts w:ascii="Arial" w:cs="Arial" w:eastAsia="Arial" w:hAnsi="Arial"/>
                <w:sz w:val="11"/>
                <w:szCs w:val="11"/>
                <w:i w:val="1"/>
                <w:iCs w:val="1"/>
                <w:color w:val="auto"/>
              </w:rPr>
              <w:t>25%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gridSpan w:val="3"/>
          </w:tcPr>
          <w:p>
            <w:pPr>
              <w:ind w:left="400"/>
              <w:spacing w:after="0" w:line="117" w:lineRule="exact"/>
              <w:rPr>
                <w:sz w:val="20"/>
                <w:szCs w:val="20"/>
                <w:color w:val="auto"/>
              </w:rPr>
            </w:pPr>
            <w:r>
              <w:rPr>
                <w:rFonts w:ascii="Arial" w:cs="Arial" w:eastAsia="Arial" w:hAnsi="Arial"/>
                <w:sz w:val="11"/>
                <w:szCs w:val="11"/>
                <w:i w:val="1"/>
                <w:iCs w:val="1"/>
                <w:color w:val="auto"/>
              </w:rPr>
              <w:t>26%</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jc w:val="right"/>
              <w:ind w:right="43"/>
              <w:spacing w:after="0" w:line="117" w:lineRule="exact"/>
              <w:rPr>
                <w:sz w:val="20"/>
                <w:szCs w:val="20"/>
                <w:color w:val="auto"/>
              </w:rPr>
            </w:pPr>
            <w:r>
              <w:rPr>
                <w:rFonts w:ascii="Arial" w:cs="Arial" w:eastAsia="Arial" w:hAnsi="Arial"/>
                <w:sz w:val="11"/>
                <w:szCs w:val="11"/>
                <w:i w:val="1"/>
                <w:iCs w:val="1"/>
                <w:color w:val="auto"/>
              </w:rPr>
              <w:t>25%</w:t>
            </w:r>
          </w:p>
        </w:tc>
        <w:tc>
          <w:tcPr>
            <w:tcW w:w="0" w:type="dxa"/>
            <w:vAlign w:val="bottom"/>
          </w:tcPr>
          <w:p>
            <w:pPr>
              <w:spacing w:after="0"/>
              <w:rPr>
                <w:sz w:val="1"/>
                <w:szCs w:val="1"/>
                <w:color w:val="auto"/>
              </w:rPr>
            </w:pPr>
          </w:p>
        </w:tc>
      </w:tr>
      <w:tr>
        <w:trPr>
          <w:trHeight w:val="136"/>
        </w:trPr>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Company’s pro rata share of 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9,575,092</w:t>
            </w:r>
          </w:p>
        </w:tc>
        <w:tc>
          <w:tcPr>
            <w:tcW w:w="660" w:type="dxa"/>
            <w:vAlign w:val="bottom"/>
            <w:gridSpan w:val="3"/>
            <w:shd w:val="clear" w:color="auto" w:fill="CCEEFF"/>
          </w:tcPr>
          <w:p>
            <w:pPr>
              <w:jc w:val="right"/>
              <w:ind w:right="34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9,010,754</w:t>
            </w:r>
          </w:p>
        </w:tc>
        <w:tc>
          <w:tcPr>
            <w:tcW w:w="220" w:type="dxa"/>
            <w:vAlign w:val="bottom"/>
            <w:gridSpan w:val="3"/>
            <w:shd w:val="clear" w:color="auto" w:fill="CCEEFF"/>
          </w:tcPr>
          <w:p>
            <w:pPr>
              <w:jc w:val="center"/>
              <w:ind w:left="107"/>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10,077,818</w:t>
            </w:r>
          </w:p>
        </w:tc>
        <w:tc>
          <w:tcPr>
            <w:tcW w:w="600" w:type="dxa"/>
            <w:vAlign w:val="bottom"/>
            <w:gridSpan w:val="2"/>
            <w:shd w:val="clear" w:color="auto" w:fill="CCEEFF"/>
          </w:tcPr>
          <w:p>
            <w:pPr>
              <w:jc w:val="right"/>
              <w:ind w:right="405"/>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10,277,257</w:t>
            </w:r>
          </w:p>
        </w:tc>
        <w:tc>
          <w:tcPr>
            <w:tcW w:w="0" w:type="dxa"/>
            <w:vAlign w:val="bottom"/>
          </w:tcPr>
          <w:p>
            <w:pPr>
              <w:spacing w:after="0"/>
              <w:rPr>
                <w:sz w:val="1"/>
                <w:szCs w:val="1"/>
                <w:color w:val="auto"/>
              </w:rPr>
            </w:pPr>
          </w:p>
        </w:tc>
      </w:tr>
      <w:tr>
        <w:trPr>
          <w:trHeight w:val="158"/>
        </w:trPr>
        <w:tc>
          <w:tcPr>
            <w:tcW w:w="4780" w:type="dxa"/>
            <w:vAlign w:val="bottom"/>
          </w:tcPr>
          <w:p>
            <w:pPr>
              <w:ind w:left="20"/>
              <w:spacing w:after="0"/>
              <w:rPr>
                <w:sz w:val="20"/>
                <w:szCs w:val="20"/>
                <w:color w:val="auto"/>
              </w:rPr>
            </w:pPr>
            <w:r>
              <w:rPr>
                <w:rFonts w:ascii="Arial" w:cs="Arial" w:eastAsia="Arial" w:hAnsi="Arial"/>
                <w:sz w:val="11"/>
                <w:szCs w:val="11"/>
                <w:color w:val="auto"/>
              </w:rPr>
              <w:t>Less: Cash and cash equivalents and investments in U.S. Treasury bills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color w:val="auto"/>
              </w:rPr>
              <w:t>(580,496)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(840,850)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gridSpan w:val="3"/>
          </w:tcPr>
          <w:p>
            <w:pPr>
              <w:jc w:val="right"/>
              <w:ind w:right="23"/>
              <w:spacing w:after="0"/>
              <w:rPr>
                <w:sz w:val="20"/>
                <w:szCs w:val="20"/>
                <w:color w:val="auto"/>
              </w:rPr>
            </w:pPr>
            <w:r>
              <w:rPr>
                <w:rFonts w:ascii="Arial" w:cs="Arial" w:eastAsia="Arial" w:hAnsi="Arial"/>
                <w:sz w:val="11"/>
                <w:szCs w:val="11"/>
                <w:color w:val="auto"/>
              </w:rPr>
              <w:t>(733,947)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1"/>
                <w:szCs w:val="11"/>
                <w:color w:val="auto"/>
              </w:rPr>
              <w:t>(997,002)</w:t>
            </w:r>
          </w:p>
        </w:tc>
        <w:tc>
          <w:tcPr>
            <w:tcW w:w="0" w:type="dxa"/>
            <w:vAlign w:val="bottom"/>
          </w:tcPr>
          <w:p>
            <w:pPr>
              <w:spacing w:after="0"/>
              <w:rPr>
                <w:sz w:val="1"/>
                <w:szCs w:val="1"/>
                <w:color w:val="auto"/>
              </w:rPr>
            </w:pPr>
          </w:p>
        </w:tc>
      </w:tr>
      <w:tr>
        <w:trPr>
          <w:trHeight w:val="165"/>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Escrowed cash included within restricted cash on our balance sheet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(90,766)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(99,253)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3"/>
              <w:spacing w:after="0"/>
              <w:rPr>
                <w:sz w:val="20"/>
                <w:szCs w:val="20"/>
                <w:color w:val="auto"/>
              </w:rPr>
            </w:pPr>
            <w:r>
              <w:rPr>
                <w:rFonts w:ascii="Arial" w:cs="Arial" w:eastAsia="Arial" w:hAnsi="Arial"/>
                <w:sz w:val="11"/>
                <w:szCs w:val="11"/>
                <w:color w:val="auto"/>
              </w:rPr>
              <w:t>(187,416)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(221,578)</w:t>
            </w:r>
          </w:p>
        </w:tc>
        <w:tc>
          <w:tcPr>
            <w:tcW w:w="0" w:type="dxa"/>
            <w:vAlign w:val="bottom"/>
          </w:tcPr>
          <w:p>
            <w:pPr>
              <w:spacing w:after="0"/>
              <w:rPr>
                <w:sz w:val="1"/>
                <w:szCs w:val="1"/>
                <w:color w:val="auto"/>
              </w:rPr>
            </w:pPr>
          </w:p>
        </w:tc>
      </w:tr>
      <w:tr>
        <w:trPr>
          <w:trHeight w:val="123"/>
        </w:trPr>
        <w:tc>
          <w:tcPr>
            <w:tcW w:w="4780" w:type="dxa"/>
            <w:vAlign w:val="bottom"/>
          </w:tcPr>
          <w:p>
            <w:pPr>
              <w:ind w:left="20"/>
              <w:spacing w:after="0" w:line="123" w:lineRule="exact"/>
              <w:rPr>
                <w:sz w:val="20"/>
                <w:szCs w:val="20"/>
                <w:color w:val="auto"/>
              </w:rPr>
            </w:pPr>
            <w:r>
              <w:rPr>
                <w:rFonts w:ascii="Arial" w:cs="Arial" w:eastAsia="Arial" w:hAnsi="Arial"/>
                <w:sz w:val="11"/>
                <w:szCs w:val="11"/>
                <w:color w:val="auto"/>
              </w:rPr>
              <w:t>Less: Pro rata share of unconsolidated partially owned entities’ cash and cash equivalents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1"/>
                <w:szCs w:val="11"/>
                <w:color w:val="auto"/>
              </w:rPr>
              <w:t>(265,201)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(195,867)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gridSpan w:val="3"/>
            <w:vMerge w:val="restart"/>
          </w:tcPr>
          <w:p>
            <w:pPr>
              <w:jc w:val="right"/>
              <w:ind w:right="23"/>
              <w:spacing w:after="0"/>
              <w:rPr>
                <w:sz w:val="20"/>
                <w:szCs w:val="20"/>
                <w:color w:val="auto"/>
              </w:rPr>
            </w:pPr>
            <w:r>
              <w:rPr>
                <w:rFonts w:ascii="Arial" w:cs="Arial" w:eastAsia="Arial" w:hAnsi="Arial"/>
                <w:sz w:val="11"/>
                <w:szCs w:val="11"/>
                <w:color w:val="auto"/>
              </w:rPr>
              <w:t>(248,835)</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vMerge w:val="restart"/>
          </w:tcPr>
          <w:p>
            <w:pPr>
              <w:jc w:val="right"/>
              <w:ind w:right="23"/>
              <w:spacing w:after="0"/>
              <w:rPr>
                <w:sz w:val="20"/>
                <w:szCs w:val="20"/>
                <w:color w:val="auto"/>
              </w:rPr>
            </w:pPr>
            <w:r>
              <w:rPr>
                <w:rFonts w:ascii="Arial" w:cs="Arial" w:eastAsia="Arial" w:hAnsi="Arial"/>
                <w:sz w:val="11"/>
                <w:szCs w:val="11"/>
                <w:color w:val="auto"/>
              </w:rPr>
              <w:t>(295,983)</w:t>
            </w:r>
          </w:p>
        </w:tc>
        <w:tc>
          <w:tcPr>
            <w:tcW w:w="0" w:type="dxa"/>
            <w:vAlign w:val="bottom"/>
          </w:tcPr>
          <w:p>
            <w:pPr>
              <w:spacing w:after="0"/>
              <w:rPr>
                <w:sz w:val="1"/>
                <w:szCs w:val="1"/>
                <w:color w:val="auto"/>
              </w:rPr>
            </w:pPr>
          </w:p>
        </w:tc>
      </w:tr>
      <w:tr>
        <w:trPr>
          <w:trHeight w:val="146"/>
        </w:trPr>
        <w:tc>
          <w:tcPr>
            <w:tcW w:w="4780" w:type="dxa"/>
            <w:vAlign w:val="bottom"/>
          </w:tcPr>
          <w:p>
            <w:pPr>
              <w:ind w:left="140"/>
              <w:spacing w:after="0"/>
              <w:rPr>
                <w:sz w:val="20"/>
                <w:szCs w:val="20"/>
                <w:color w:val="auto"/>
              </w:rPr>
            </w:pPr>
            <w:r>
              <w:rPr>
                <w:rFonts w:ascii="Arial" w:cs="Arial" w:eastAsia="Arial" w:hAnsi="Arial"/>
                <w:sz w:val="11"/>
                <w:szCs w:val="11"/>
                <w:color w:val="auto"/>
              </w:rPr>
              <w:t>and escrowed cash</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78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Plus: Noncontrolling interests’ share of cash and cash equivalents, escrowed cash and</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1"/>
                <w:szCs w:val="11"/>
                <w:color w:val="auto"/>
              </w:rPr>
              <w:t>76,271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87,407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129,160</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101,564</w:t>
            </w:r>
          </w:p>
        </w:tc>
        <w:tc>
          <w:tcPr>
            <w:tcW w:w="0" w:type="dxa"/>
            <w:vAlign w:val="bottom"/>
          </w:tcPr>
          <w:p>
            <w:pPr>
              <w:spacing w:after="0"/>
              <w:rPr>
                <w:sz w:val="1"/>
                <w:szCs w:val="1"/>
                <w:color w:val="auto"/>
              </w:rPr>
            </w:pPr>
          </w:p>
        </w:tc>
      </w:tr>
      <w:tr>
        <w:trPr>
          <w:trHeight w:val="146"/>
        </w:trPr>
        <w:tc>
          <w:tcPr>
            <w:tcW w:w="47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investments in U.S. Treasury bills</w:t>
            </w:r>
          </w:p>
        </w:tc>
        <w:tc>
          <w:tcPr>
            <w:tcW w:w="1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gridSpan w:val="3"/>
            <w:vMerge w:val="continue"/>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780" w:type="dxa"/>
            <w:vAlign w:val="bottom"/>
          </w:tcPr>
          <w:p>
            <w:pPr>
              <w:ind w:left="20"/>
              <w:spacing w:after="0"/>
              <w:rPr>
                <w:sz w:val="20"/>
                <w:szCs w:val="20"/>
                <w:color w:val="auto"/>
              </w:rPr>
            </w:pPr>
            <w:r>
              <w:rPr>
                <w:rFonts w:ascii="Arial" w:cs="Arial" w:eastAsia="Arial" w:hAnsi="Arial"/>
                <w:sz w:val="11"/>
                <w:szCs w:val="11"/>
                <w:b w:val="1"/>
                <w:bCs w:val="1"/>
                <w:color w:val="auto"/>
              </w:rPr>
              <w:t>Net debt</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b w:val="1"/>
                <w:bCs w:val="1"/>
                <w:color w:val="auto"/>
              </w:rPr>
              <w:t>8,714,900</w:t>
            </w:r>
          </w:p>
        </w:tc>
        <w:tc>
          <w:tcPr>
            <w:tcW w:w="660" w:type="dxa"/>
            <w:vAlign w:val="bottom"/>
            <w:gridSpan w:val="3"/>
          </w:tcPr>
          <w:p>
            <w:pPr>
              <w:jc w:val="right"/>
              <w:ind w:right="34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7,962,191</w:t>
            </w:r>
          </w:p>
        </w:tc>
        <w:tc>
          <w:tcPr>
            <w:tcW w:w="220" w:type="dxa"/>
            <w:vAlign w:val="bottom"/>
            <w:gridSpan w:val="3"/>
          </w:tcPr>
          <w:p>
            <w:pPr>
              <w:jc w:val="center"/>
              <w:ind w:left="107"/>
              <w:spacing w:after="0"/>
              <w:rPr>
                <w:sz w:val="20"/>
                <w:szCs w:val="20"/>
                <w:color w:val="auto"/>
              </w:rPr>
            </w:pPr>
            <w:r>
              <w:rPr>
                <w:rFonts w:ascii="Arial" w:cs="Arial" w:eastAsia="Arial" w:hAnsi="Arial"/>
                <w:sz w:val="11"/>
                <w:szCs w:val="11"/>
                <w:b w:val="1"/>
                <w:bCs w:val="1"/>
                <w:color w:val="auto"/>
                <w:w w:val="97"/>
              </w:rPr>
              <w:t>$</w:t>
            </w:r>
          </w:p>
        </w:tc>
        <w:tc>
          <w:tcPr>
            <w:tcW w:w="760" w:type="dxa"/>
            <w:vAlign w:val="bottom"/>
          </w:tcPr>
          <w:p>
            <w:pPr>
              <w:spacing w:after="0"/>
              <w:rPr>
                <w:sz w:val="13"/>
                <w:szCs w:val="13"/>
                <w:color w:val="auto"/>
              </w:rPr>
            </w:pPr>
          </w:p>
        </w:tc>
        <w:tc>
          <w:tcPr>
            <w:tcW w:w="72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9,036,780</w:t>
            </w:r>
          </w:p>
        </w:tc>
        <w:tc>
          <w:tcPr>
            <w:tcW w:w="600" w:type="dxa"/>
            <w:vAlign w:val="bottom"/>
            <w:gridSpan w:val="2"/>
          </w:tcPr>
          <w:p>
            <w:pPr>
              <w:jc w:val="right"/>
              <w:ind w:right="405"/>
              <w:spacing w:after="0"/>
              <w:rPr>
                <w:sz w:val="20"/>
                <w:szCs w:val="20"/>
                <w:color w:val="auto"/>
              </w:rPr>
            </w:pPr>
            <w:r>
              <w:rPr>
                <w:rFonts w:ascii="Arial" w:cs="Arial" w:eastAsia="Arial" w:hAnsi="Arial"/>
                <w:sz w:val="11"/>
                <w:szCs w:val="11"/>
                <w:b w:val="1"/>
                <w:bCs w:val="1"/>
                <w:color w:val="auto"/>
              </w:rPr>
              <w:t>$</w:t>
            </w:r>
          </w:p>
        </w:tc>
        <w:tc>
          <w:tcPr>
            <w:tcW w:w="1040" w:type="dxa"/>
            <w:vAlign w:val="bottom"/>
            <w:gridSpan w:val="2"/>
          </w:tcPr>
          <w:p>
            <w:pPr>
              <w:jc w:val="right"/>
              <w:ind w:right="63"/>
              <w:spacing w:after="0"/>
              <w:rPr>
                <w:sz w:val="20"/>
                <w:szCs w:val="20"/>
                <w:color w:val="auto"/>
              </w:rPr>
            </w:pPr>
            <w:r>
              <w:rPr>
                <w:rFonts w:ascii="Arial" w:cs="Arial" w:eastAsia="Arial" w:hAnsi="Arial"/>
                <w:sz w:val="11"/>
                <w:szCs w:val="11"/>
                <w:b w:val="1"/>
                <w:bCs w:val="1"/>
                <w:color w:val="auto"/>
              </w:rPr>
              <w:t>8,864,258</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EBITDAre, as adjusted (non-GAAP)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1,097,576</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1"/>
                <w:szCs w:val="11"/>
                <w:b w:val="1"/>
                <w:bCs w:val="1"/>
                <w:color w:val="auto"/>
                <w:w w:val="97"/>
              </w:rPr>
              <w:t>$</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1,039,843</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3"/>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1,049,320</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1,081,332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Net debt / EBITDAre, as adjusted (non-GAAP)</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7.9 x</w:t>
            </w:r>
          </w:p>
        </w:tc>
        <w:tc>
          <w:tcPr>
            <w:tcW w:w="100" w:type="dxa"/>
            <w:vAlign w:val="bottom"/>
          </w:tcPr>
          <w:p>
            <w:pPr>
              <w:spacing w:after="0"/>
              <w:rPr>
                <w:sz w:val="10"/>
                <w:szCs w:val="10"/>
                <w:color w:val="auto"/>
              </w:rPr>
            </w:pPr>
          </w:p>
        </w:tc>
        <w:tc>
          <w:tcPr>
            <w:tcW w:w="1060" w:type="dxa"/>
            <w:vAlign w:val="bottom"/>
            <w:gridSpan w:val="4"/>
          </w:tcPr>
          <w:p>
            <w:pPr>
              <w:ind w:left="640"/>
              <w:spacing w:after="0" w:line="125" w:lineRule="exact"/>
              <w:rPr>
                <w:sz w:val="20"/>
                <w:szCs w:val="20"/>
                <w:color w:val="auto"/>
              </w:rPr>
            </w:pPr>
            <w:r>
              <w:rPr>
                <w:rFonts w:ascii="Arial" w:cs="Arial" w:eastAsia="Arial" w:hAnsi="Arial"/>
                <w:sz w:val="11"/>
                <w:szCs w:val="11"/>
                <w:b w:val="1"/>
                <w:bCs w:val="1"/>
                <w:color w:val="auto"/>
              </w:rPr>
              <w:t>7.7 x</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jc w:val="right"/>
              <w:spacing w:after="0" w:line="125" w:lineRule="exact"/>
              <w:rPr>
                <w:sz w:val="20"/>
                <w:szCs w:val="20"/>
                <w:color w:val="auto"/>
              </w:rPr>
            </w:pPr>
            <w:r>
              <w:rPr>
                <w:rFonts w:ascii="Arial" w:cs="Arial" w:eastAsia="Arial" w:hAnsi="Arial"/>
                <w:sz w:val="11"/>
                <w:szCs w:val="11"/>
                <w:b w:val="1"/>
                <w:bCs w:val="1"/>
                <w:color w:val="auto"/>
              </w:rPr>
              <w:t>8.6 x</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25" w:lineRule="exact"/>
              <w:rPr>
                <w:sz w:val="20"/>
                <w:szCs w:val="20"/>
                <w:color w:val="auto"/>
              </w:rPr>
            </w:pPr>
            <w:r>
              <w:rPr>
                <w:rFonts w:ascii="Arial" w:cs="Arial" w:eastAsia="Arial" w:hAnsi="Arial"/>
                <w:sz w:val="11"/>
                <w:szCs w:val="11"/>
                <w:b w:val="1"/>
                <w:bCs w:val="1"/>
                <w:color w:val="auto"/>
              </w:rPr>
              <w:t>8.2 x</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49" w:lineRule="exact"/>
        <w:rPr>
          <w:sz w:val="20"/>
          <w:szCs w:val="20"/>
          <w:color w:val="auto"/>
        </w:rPr>
      </w:pPr>
    </w:p>
    <w:p>
      <w:pPr>
        <w:ind w:left="260" w:hanging="254"/>
        <w:spacing w:after="0"/>
        <w:tabs>
          <w:tab w:leader="none" w:pos="260" w:val="left"/>
        </w:tabs>
        <w:numPr>
          <w:ilvl w:val="0"/>
          <w:numId w:val="27"/>
        </w:numPr>
        <w:rPr>
          <w:rFonts w:ascii="Arial" w:cs="Arial" w:eastAsia="Arial" w:hAnsi="Arial"/>
          <w:sz w:val="11"/>
          <w:szCs w:val="11"/>
          <w:b w:val="1"/>
          <w:bCs w:val="1"/>
          <w:color w:val="auto"/>
        </w:rPr>
      </w:pPr>
      <w:r>
        <w:rPr>
          <w:rFonts w:ascii="Arial" w:cs="Arial" w:eastAsia="Arial" w:hAnsi="Arial"/>
          <w:sz w:val="11"/>
          <w:szCs w:val="11"/>
          <w:color w:val="auto"/>
        </w:rPr>
        <w:t>Includes variable rate debt with interest rates fixed by interest rate swap arrangements.</w:t>
      </w:r>
    </w:p>
    <w:p>
      <w:pPr>
        <w:spacing w:after="0" w:line="23" w:lineRule="exact"/>
        <w:rPr>
          <w:rFonts w:ascii="Arial" w:cs="Arial" w:eastAsia="Arial" w:hAnsi="Arial"/>
          <w:sz w:val="11"/>
          <w:szCs w:val="11"/>
          <w:b w:val="1"/>
          <w:bCs w:val="1"/>
          <w:color w:val="auto"/>
        </w:rPr>
      </w:pPr>
    </w:p>
    <w:p>
      <w:pPr>
        <w:ind w:left="260" w:hanging="254"/>
        <w:spacing w:after="0"/>
        <w:tabs>
          <w:tab w:leader="none" w:pos="260" w:val="left"/>
        </w:tabs>
        <w:numPr>
          <w:ilvl w:val="0"/>
          <w:numId w:val="27"/>
        </w:numPr>
        <w:rPr>
          <w:rFonts w:ascii="Arial" w:cs="Arial" w:eastAsia="Arial" w:hAnsi="Arial"/>
          <w:sz w:val="11"/>
          <w:szCs w:val="11"/>
          <w:b w:val="1"/>
          <w:bCs w:val="1"/>
          <w:color w:val="auto"/>
        </w:rPr>
      </w:pPr>
      <w:r>
        <w:rPr>
          <w:rFonts w:ascii="Arial" w:cs="Arial" w:eastAsia="Arial" w:hAnsi="Arial"/>
          <w:sz w:val="11"/>
          <w:szCs w:val="11"/>
          <w:color w:val="auto"/>
        </w:rPr>
        <w:t xml:space="preserve">See page xv in the </w:t>
      </w:r>
      <w:r>
        <w:rPr>
          <w:rFonts w:ascii="Arial" w:cs="Arial" w:eastAsia="Arial" w:hAnsi="Arial"/>
          <w:sz w:val="11"/>
          <w:szCs w:val="11"/>
          <w:i w:val="1"/>
          <w:iCs w:val="1"/>
          <w:color w:val="auto"/>
        </w:rPr>
        <w:t>Appendix</w:t>
      </w:r>
      <w:r>
        <w:rPr>
          <w:rFonts w:ascii="Arial" w:cs="Arial" w:eastAsia="Arial" w:hAnsi="Arial"/>
          <w:sz w:val="11"/>
          <w:szCs w:val="11"/>
          <w:color w:val="auto"/>
        </w:rPr>
        <w:t xml:space="preserve"> for reconciliation of consolidated debt, net as presented on our consolidated balance sheets to consolidated contractual debt as of September 30, 2026.</w:t>
      </w:r>
    </w:p>
    <w:p>
      <w:pPr>
        <w:spacing w:after="0" w:line="2" w:lineRule="exact"/>
        <w:rPr>
          <w:rFonts w:ascii="Arial" w:cs="Arial" w:eastAsia="Arial" w:hAnsi="Arial"/>
          <w:sz w:val="11"/>
          <w:szCs w:val="11"/>
          <w:b w:val="1"/>
          <w:bCs w:val="1"/>
          <w:color w:val="auto"/>
        </w:rPr>
      </w:pPr>
    </w:p>
    <w:p>
      <w:pPr>
        <w:ind w:left="260" w:hanging="254"/>
        <w:spacing w:after="0" w:line="265" w:lineRule="auto"/>
        <w:tabs>
          <w:tab w:leader="none" w:pos="249" w:val="left"/>
        </w:tabs>
        <w:numPr>
          <w:ilvl w:val="0"/>
          <w:numId w:val="27"/>
        </w:numPr>
        <w:rPr>
          <w:rFonts w:ascii="Arial" w:cs="Arial" w:eastAsia="Arial" w:hAnsi="Arial"/>
          <w:sz w:val="11"/>
          <w:szCs w:val="11"/>
          <w:b w:val="1"/>
          <w:bCs w:val="1"/>
          <w:color w:val="auto"/>
        </w:rPr>
      </w:pPr>
      <w:r>
        <w:rPr>
          <w:rFonts w:ascii="Arial" w:cs="Arial" w:eastAsia="Arial" w:hAnsi="Arial"/>
          <w:sz w:val="11"/>
          <w:szCs w:val="11"/>
          <w:color w:val="auto"/>
        </w:rPr>
        <w:t>As of September 30, 2026, $854,027 of variable rate debt (at share) is subject to interest rate cap arrangements, the $860,018 of variable rate debt not subject to interest rate cap arrangements represents 9% of our total pro rata share of debt. See page 30 for details.</w:t>
      </w:r>
    </w:p>
    <w:p>
      <w:pPr>
        <w:ind w:left="260" w:hanging="254"/>
        <w:spacing w:after="0"/>
        <w:tabs>
          <w:tab w:leader="none" w:pos="260" w:val="left"/>
        </w:tabs>
        <w:numPr>
          <w:ilvl w:val="0"/>
          <w:numId w:val="27"/>
        </w:numPr>
        <w:rPr>
          <w:rFonts w:ascii="Arial" w:cs="Arial" w:eastAsia="Arial" w:hAnsi="Arial"/>
          <w:sz w:val="11"/>
          <w:szCs w:val="11"/>
          <w:b w:val="1"/>
          <w:bCs w:val="1"/>
          <w:color w:val="auto"/>
        </w:rPr>
      </w:pPr>
      <w:r>
        <w:rPr>
          <w:rFonts w:ascii="Arial" w:cs="Arial" w:eastAsia="Arial" w:hAnsi="Arial"/>
          <w:sz w:val="11"/>
          <w:szCs w:val="11"/>
          <w:color w:val="auto"/>
        </w:rPr>
        <w:t>Trailing twelve months ended September 30, 2026 EBITDAre, as adjusted, includes a $36,000 adjustment to annualize our share of EBITDAre from Park Avenue Plaza, which we acquired on June 11, 2026.</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See page i in the </w:t>
      </w:r>
      <w:r>
        <w:rPr>
          <w:rFonts w:ascii="Arial" w:cs="Arial" w:eastAsia="Arial" w:hAnsi="Arial"/>
          <w:sz w:val="11"/>
          <w:szCs w:val="11"/>
          <w:i w:val="1"/>
          <w:iCs w:val="1"/>
          <w:color w:val="auto"/>
        </w:rPr>
        <w:t>Appendix</w:t>
      </w:r>
      <w:r>
        <w:rPr>
          <w:rFonts w:ascii="Arial" w:cs="Arial" w:eastAsia="Arial" w:hAnsi="Arial"/>
          <w:sz w:val="11"/>
          <w:szCs w:val="11"/>
          <w:color w:val="auto"/>
        </w:rPr>
        <w:t xml:space="preserve"> for definitions of EBITDAre and net debt to EBITDAre, as adjusted. See reconciliation of net (loss) income to EBITDA to EBITDAre on pages v and vi in the </w:t>
      </w:r>
      <w:r>
        <w:rPr>
          <w:rFonts w:ascii="Arial" w:cs="Arial" w:eastAsia="Arial" w:hAnsi="Arial"/>
          <w:sz w:val="11"/>
          <w:szCs w:val="11"/>
          <w:i w:val="1"/>
          <w:iCs w:val="1"/>
          <w:color w:val="auto"/>
        </w:rPr>
        <w:t>Appendix.</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- 24 -</w:t>
      </w:r>
    </w:p>
    <w:p>
      <w:pPr>
        <w:sectPr>
          <w:pgSz w:w="11900" w:h="16838" w:orient="portrait"/>
          <w:cols w:equalWidth="0" w:num="1">
            <w:col w:w="11280"/>
          </w:cols>
          <w:pgMar w:left="300" w:top="981" w:right="319" w:bottom="1440" w:gutter="0" w:footer="0" w:header="0"/>
        </w:sectPr>
      </w:pPr>
    </w:p>
    <w:bookmarkStart w:id="45" w:name="page46"/>
    <w:bookmarkEnd w:id="45"/>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CORPORATE COVENANT RATIOS AND CREDIT RATINGS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As of</w:t>
            </w:r>
          </w:p>
        </w:tc>
        <w:tc>
          <w:tcPr>
            <w:tcW w:w="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Unsecured Revolving Credit Facilities and Unsecured Term Loan</w:t>
            </w:r>
            <w:r>
              <w:rPr>
                <w:rFonts w:ascii="Arial" w:cs="Arial" w:eastAsia="Arial" w:hAnsi="Arial"/>
                <w:sz w:val="14"/>
                <w:szCs w:val="14"/>
                <w:b w:val="1"/>
                <w:bCs w:val="1"/>
                <w:color w:val="auto"/>
                <w:vertAlign w:val="superscript"/>
              </w:rPr>
              <w:t>(1)</w:t>
            </w:r>
          </w:p>
        </w:tc>
        <w:tc>
          <w:tcPr>
            <w:tcW w:w="6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Required</w:t>
            </w:r>
          </w:p>
        </w:tc>
        <w:tc>
          <w:tcPr>
            <w:tcW w:w="60" w:type="dxa"/>
            <w:vAlign w:val="bottom"/>
            <w:vMerge w:val="restart"/>
          </w:tcPr>
          <w:p>
            <w:pPr>
              <w:spacing w:after="0"/>
              <w:rPr>
                <w:sz w:val="9"/>
                <w:szCs w:val="9"/>
                <w:color w:val="auto"/>
              </w:rPr>
            </w:pPr>
          </w:p>
        </w:tc>
        <w:tc>
          <w:tcPr>
            <w:tcW w:w="1240" w:type="dxa"/>
            <w:vAlign w:val="bottom"/>
            <w:gridSpan w:val="2"/>
          </w:tcPr>
          <w:p>
            <w:pPr>
              <w:ind w:left="180"/>
              <w:spacing w:after="0" w:line="110" w:lineRule="exact"/>
              <w:rPr>
                <w:sz w:val="20"/>
                <w:szCs w:val="20"/>
                <w:color w:val="auto"/>
              </w:rPr>
            </w:pPr>
            <w:r>
              <w:rPr>
                <w:rFonts w:ascii="Arial" w:cs="Arial" w:eastAsia="Arial" w:hAnsi="Arial"/>
                <w:sz w:val="11"/>
                <w:szCs w:val="11"/>
                <w:b w:val="1"/>
                <w:bCs w:val="1"/>
                <w:color w:val="auto"/>
              </w:rPr>
              <w:t>September 30,</w:t>
            </w:r>
          </w:p>
        </w:tc>
        <w:tc>
          <w:tcPr>
            <w:tcW w:w="920" w:type="dxa"/>
            <w:vAlign w:val="bottom"/>
          </w:tcPr>
          <w:p>
            <w:pPr>
              <w:ind w:left="340"/>
              <w:spacing w:after="0" w:line="110" w:lineRule="exact"/>
              <w:rPr>
                <w:sz w:val="20"/>
                <w:szCs w:val="20"/>
                <w:color w:val="auto"/>
              </w:rPr>
            </w:pPr>
            <w:r>
              <w:rPr>
                <w:rFonts w:ascii="Arial" w:cs="Arial" w:eastAsia="Arial" w:hAnsi="Arial"/>
                <w:sz w:val="11"/>
                <w:szCs w:val="11"/>
                <w:b w:val="1"/>
                <w:bCs w:val="1"/>
                <w:color w:val="auto"/>
              </w:rPr>
              <w:t>June 30,</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ind w:left="300"/>
              <w:spacing w:after="0" w:line="110" w:lineRule="exact"/>
              <w:rPr>
                <w:sz w:val="20"/>
                <w:szCs w:val="20"/>
                <w:color w:val="auto"/>
              </w:rPr>
            </w:pPr>
            <w:r>
              <w:rPr>
                <w:rFonts w:ascii="Arial" w:cs="Arial" w:eastAsia="Arial" w:hAnsi="Arial"/>
                <w:sz w:val="11"/>
                <w:szCs w:val="11"/>
                <w:b w:val="1"/>
                <w:bCs w:val="1"/>
                <w:color w:val="auto"/>
              </w:rPr>
              <w:t>March 31,</w:t>
            </w:r>
          </w:p>
        </w:tc>
        <w:tc>
          <w:tcPr>
            <w:tcW w:w="60" w:type="dxa"/>
            <w:vAlign w:val="bottom"/>
          </w:tcPr>
          <w:p>
            <w:pPr>
              <w:spacing w:after="0"/>
              <w:rPr>
                <w:sz w:val="9"/>
                <w:szCs w:val="9"/>
                <w:color w:val="auto"/>
              </w:rPr>
            </w:pPr>
          </w:p>
        </w:tc>
        <w:tc>
          <w:tcPr>
            <w:tcW w:w="1180" w:type="dxa"/>
            <w:vAlign w:val="bottom"/>
          </w:tcPr>
          <w:p>
            <w:pPr>
              <w:ind w:left="200"/>
              <w:spacing w:after="0" w:line="110"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1"/>
        </w:trPr>
        <w:tc>
          <w:tcPr>
            <w:tcW w:w="50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ind w:left="183"/>
              <w:spacing w:after="0"/>
              <w:rPr>
                <w:sz w:val="20"/>
                <w:szCs w:val="20"/>
                <w:color w:val="auto"/>
              </w:rPr>
            </w:pPr>
            <w:r>
              <w:rPr>
                <w:rFonts w:ascii="Arial" w:cs="Arial" w:eastAsia="Arial" w:hAnsi="Arial"/>
                <w:sz w:val="11"/>
                <w:szCs w:val="11"/>
                <w:b w:val="1"/>
                <w:bCs w:val="1"/>
                <w:color w:val="auto"/>
                <w:w w:val="97"/>
              </w:rPr>
              <w:t>2026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2026</w:t>
            </w:r>
          </w:p>
        </w:tc>
        <w:tc>
          <w:tcPr>
            <w:tcW w:w="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0"/>
              <w:spacing w:after="0" w:line="152" w:lineRule="exact"/>
              <w:rPr>
                <w:sz w:val="20"/>
                <w:szCs w:val="20"/>
                <w:color w:val="auto"/>
              </w:rPr>
            </w:pPr>
            <w:r>
              <w:rPr>
                <w:rFonts w:ascii="Arial" w:cs="Arial" w:eastAsia="Arial" w:hAnsi="Arial"/>
                <w:sz w:val="11"/>
                <w:szCs w:val="11"/>
                <w:color w:val="auto"/>
              </w:rPr>
              <w:t>Total outstanding debt/total assets</w:t>
            </w:r>
            <w:r>
              <w:rPr>
                <w:rFonts w:ascii="Arial" w:cs="Arial" w:eastAsia="Arial" w:hAnsi="Arial"/>
                <w:sz w:val="14"/>
                <w:szCs w:val="14"/>
                <w:b w:val="1"/>
                <w:bCs w:val="1"/>
                <w:color w:val="auto"/>
                <w:vertAlign w:val="superscript"/>
              </w:rPr>
              <w:t>(2)</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Less than 60%</w:t>
            </w:r>
          </w:p>
        </w:tc>
        <w:tc>
          <w:tcPr>
            <w:tcW w:w="1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left="183"/>
              <w:spacing w:after="0"/>
              <w:rPr>
                <w:sz w:val="20"/>
                <w:szCs w:val="20"/>
                <w:color w:val="auto"/>
              </w:rPr>
            </w:pPr>
            <w:r>
              <w:rPr>
                <w:rFonts w:ascii="Arial" w:cs="Arial" w:eastAsia="Arial" w:hAnsi="Arial"/>
                <w:sz w:val="11"/>
                <w:szCs w:val="11"/>
                <w:color w:val="auto"/>
              </w:rPr>
              <w:t>34%</w:t>
            </w:r>
          </w:p>
        </w:tc>
        <w:tc>
          <w:tcPr>
            <w:tcW w:w="1480" w:type="dxa"/>
            <w:vAlign w:val="bottom"/>
            <w:gridSpan w:val="3"/>
            <w:shd w:val="clear" w:color="auto" w:fill="CCEEFF"/>
          </w:tcPr>
          <w:p>
            <w:pPr>
              <w:jc w:val="center"/>
              <w:ind w:left="263"/>
              <w:spacing w:after="0"/>
              <w:rPr>
                <w:sz w:val="20"/>
                <w:szCs w:val="20"/>
                <w:color w:val="auto"/>
              </w:rPr>
            </w:pPr>
            <w:r>
              <w:rPr>
                <w:rFonts w:ascii="Arial" w:cs="Arial" w:eastAsia="Arial" w:hAnsi="Arial"/>
                <w:sz w:val="11"/>
                <w:szCs w:val="11"/>
                <w:color w:val="auto"/>
              </w:rPr>
              <w:t>35%</w:t>
            </w:r>
          </w:p>
        </w:tc>
        <w:tc>
          <w:tcPr>
            <w:tcW w:w="124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58"/>
        </w:trPr>
        <w:tc>
          <w:tcPr>
            <w:tcW w:w="5040" w:type="dxa"/>
            <w:vAlign w:val="bottom"/>
          </w:tcPr>
          <w:p>
            <w:pPr>
              <w:ind w:left="20"/>
              <w:spacing w:after="0"/>
              <w:rPr>
                <w:sz w:val="20"/>
                <w:szCs w:val="20"/>
                <w:color w:val="auto"/>
              </w:rPr>
            </w:pPr>
            <w:r>
              <w:rPr>
                <w:rFonts w:ascii="Arial" w:cs="Arial" w:eastAsia="Arial" w:hAnsi="Arial"/>
                <w:sz w:val="11"/>
                <w:szCs w:val="11"/>
                <w:color w:val="auto"/>
              </w:rPr>
              <w:t>Secured debt/total assets</w:t>
            </w:r>
          </w:p>
        </w:tc>
        <w:tc>
          <w:tcPr>
            <w:tcW w:w="6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1"/>
                <w:szCs w:val="11"/>
                <w:color w:val="auto"/>
              </w:rPr>
              <w:t>Less than 50%</w:t>
            </w:r>
          </w:p>
        </w:tc>
        <w:tc>
          <w:tcPr>
            <w:tcW w:w="1160" w:type="dxa"/>
            <w:vAlign w:val="bottom"/>
          </w:tcPr>
          <w:p>
            <w:pPr>
              <w:jc w:val="center"/>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3"/>
                <w:szCs w:val="13"/>
                <w:color w:val="auto"/>
              </w:rPr>
            </w:pPr>
          </w:p>
        </w:tc>
        <w:tc>
          <w:tcPr>
            <w:tcW w:w="920" w:type="dxa"/>
            <w:vAlign w:val="bottom"/>
          </w:tcPr>
          <w:p>
            <w:pPr>
              <w:jc w:val="center"/>
              <w:ind w:left="183"/>
              <w:spacing w:after="0"/>
              <w:rPr>
                <w:sz w:val="20"/>
                <w:szCs w:val="20"/>
                <w:color w:val="auto"/>
              </w:rPr>
            </w:pPr>
            <w:r>
              <w:rPr>
                <w:rFonts w:ascii="Arial" w:cs="Arial" w:eastAsia="Arial" w:hAnsi="Arial"/>
                <w:sz w:val="11"/>
                <w:szCs w:val="11"/>
                <w:color w:val="auto"/>
              </w:rPr>
              <w:t>23%</w:t>
            </w:r>
          </w:p>
        </w:tc>
        <w:tc>
          <w:tcPr>
            <w:tcW w:w="1480" w:type="dxa"/>
            <w:vAlign w:val="bottom"/>
            <w:gridSpan w:val="3"/>
          </w:tcPr>
          <w:p>
            <w:pPr>
              <w:jc w:val="center"/>
              <w:ind w:left="263"/>
              <w:spacing w:after="0"/>
              <w:rPr>
                <w:sz w:val="20"/>
                <w:szCs w:val="20"/>
                <w:color w:val="auto"/>
              </w:rPr>
            </w:pPr>
            <w:r>
              <w:rPr>
                <w:rFonts w:ascii="Arial" w:cs="Arial" w:eastAsia="Arial" w:hAnsi="Arial"/>
                <w:sz w:val="11"/>
                <w:szCs w:val="11"/>
                <w:color w:val="auto"/>
              </w:rPr>
              <w:t>22%</w:t>
            </w:r>
          </w:p>
        </w:tc>
        <w:tc>
          <w:tcPr>
            <w:tcW w:w="1240" w:type="dxa"/>
            <w:vAlign w:val="bottom"/>
            <w:gridSpan w:val="2"/>
          </w:tcPr>
          <w:p>
            <w:pPr>
              <w:jc w:val="center"/>
              <w:ind w:left="23"/>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charge coverage</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Greater than 1.40</w:t>
            </w:r>
          </w:p>
        </w:tc>
        <w:tc>
          <w:tcPr>
            <w:tcW w:w="1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183"/>
              <w:spacing w:after="0"/>
              <w:rPr>
                <w:sz w:val="20"/>
                <w:szCs w:val="20"/>
                <w:color w:val="auto"/>
              </w:rPr>
            </w:pPr>
            <w:r>
              <w:rPr>
                <w:rFonts w:ascii="Arial" w:cs="Arial" w:eastAsia="Arial" w:hAnsi="Arial"/>
                <w:sz w:val="11"/>
                <w:szCs w:val="11"/>
                <w:color w:val="auto"/>
              </w:rPr>
              <w:t>2.02</w:t>
            </w:r>
          </w:p>
        </w:tc>
        <w:tc>
          <w:tcPr>
            <w:tcW w:w="1480" w:type="dxa"/>
            <w:vAlign w:val="bottom"/>
            <w:gridSpan w:val="3"/>
            <w:shd w:val="clear" w:color="auto" w:fill="CCEEFF"/>
          </w:tcPr>
          <w:p>
            <w:pPr>
              <w:jc w:val="center"/>
              <w:ind w:left="243"/>
              <w:spacing w:after="0"/>
              <w:rPr>
                <w:sz w:val="20"/>
                <w:szCs w:val="20"/>
                <w:color w:val="auto"/>
              </w:rPr>
            </w:pPr>
            <w:r>
              <w:rPr>
                <w:rFonts w:ascii="Arial" w:cs="Arial" w:eastAsia="Arial" w:hAnsi="Arial"/>
                <w:sz w:val="11"/>
                <w:szCs w:val="11"/>
                <w:color w:val="auto"/>
              </w:rPr>
              <w:t>1.98</w:t>
            </w:r>
          </w:p>
        </w:tc>
        <w:tc>
          <w:tcPr>
            <w:tcW w:w="124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158"/>
        </w:trPr>
        <w:tc>
          <w:tcPr>
            <w:tcW w:w="5040" w:type="dxa"/>
            <w:vAlign w:val="bottom"/>
          </w:tcPr>
          <w:p>
            <w:pPr>
              <w:ind w:left="20"/>
              <w:spacing w:after="0"/>
              <w:rPr>
                <w:sz w:val="20"/>
                <w:szCs w:val="20"/>
                <w:color w:val="auto"/>
              </w:rPr>
            </w:pPr>
            <w:r>
              <w:rPr>
                <w:rFonts w:ascii="Arial" w:cs="Arial" w:eastAsia="Arial" w:hAnsi="Arial"/>
                <w:sz w:val="11"/>
                <w:szCs w:val="11"/>
                <w:color w:val="auto"/>
              </w:rPr>
              <w:t>Unsecured debt/cap value of unencumbered assets</w:t>
            </w:r>
          </w:p>
        </w:tc>
        <w:tc>
          <w:tcPr>
            <w:tcW w:w="6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1"/>
                <w:szCs w:val="11"/>
                <w:color w:val="auto"/>
              </w:rPr>
              <w:t>Less than 60%</w:t>
            </w:r>
          </w:p>
        </w:tc>
        <w:tc>
          <w:tcPr>
            <w:tcW w:w="1160" w:type="dxa"/>
            <w:vAlign w:val="bottom"/>
          </w:tcPr>
          <w:p>
            <w:pPr>
              <w:jc w:val="center"/>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3"/>
                <w:szCs w:val="13"/>
                <w:color w:val="auto"/>
              </w:rPr>
            </w:pPr>
          </w:p>
        </w:tc>
        <w:tc>
          <w:tcPr>
            <w:tcW w:w="920" w:type="dxa"/>
            <w:vAlign w:val="bottom"/>
          </w:tcPr>
          <w:p>
            <w:pPr>
              <w:jc w:val="center"/>
              <w:ind w:left="183"/>
              <w:spacing w:after="0"/>
              <w:rPr>
                <w:sz w:val="20"/>
                <w:szCs w:val="20"/>
                <w:color w:val="auto"/>
              </w:rPr>
            </w:pPr>
            <w:r>
              <w:rPr>
                <w:rFonts w:ascii="Arial" w:cs="Arial" w:eastAsia="Arial" w:hAnsi="Arial"/>
                <w:sz w:val="11"/>
                <w:szCs w:val="11"/>
                <w:color w:val="auto"/>
              </w:rPr>
              <w:t>22%</w:t>
            </w:r>
          </w:p>
        </w:tc>
        <w:tc>
          <w:tcPr>
            <w:tcW w:w="1480" w:type="dxa"/>
            <w:vAlign w:val="bottom"/>
            <w:gridSpan w:val="3"/>
          </w:tcPr>
          <w:p>
            <w:pPr>
              <w:jc w:val="center"/>
              <w:ind w:left="263"/>
              <w:spacing w:after="0"/>
              <w:rPr>
                <w:sz w:val="20"/>
                <w:szCs w:val="20"/>
                <w:color w:val="auto"/>
              </w:rPr>
            </w:pPr>
            <w:r>
              <w:rPr>
                <w:rFonts w:ascii="Arial" w:cs="Arial" w:eastAsia="Arial" w:hAnsi="Arial"/>
                <w:sz w:val="11"/>
                <w:szCs w:val="11"/>
                <w:color w:val="auto"/>
              </w:rPr>
              <w:t>25%</w:t>
            </w:r>
          </w:p>
        </w:tc>
        <w:tc>
          <w:tcPr>
            <w:tcW w:w="1240" w:type="dxa"/>
            <w:vAlign w:val="bottom"/>
            <w:gridSpan w:val="2"/>
          </w:tcPr>
          <w:p>
            <w:pPr>
              <w:jc w:val="center"/>
              <w:ind w:left="23"/>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Unencumbered coverage ratio</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Greater than 1.75</w:t>
            </w:r>
          </w:p>
        </w:tc>
        <w:tc>
          <w:tcPr>
            <w:tcW w:w="1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6.65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183"/>
              <w:spacing w:after="0"/>
              <w:rPr>
                <w:sz w:val="20"/>
                <w:szCs w:val="20"/>
                <w:color w:val="auto"/>
              </w:rPr>
            </w:pPr>
            <w:r>
              <w:rPr>
                <w:rFonts w:ascii="Arial" w:cs="Arial" w:eastAsia="Arial" w:hAnsi="Arial"/>
                <w:sz w:val="11"/>
                <w:szCs w:val="11"/>
                <w:color w:val="auto"/>
              </w:rPr>
              <w:t>7.43</w:t>
            </w:r>
          </w:p>
        </w:tc>
        <w:tc>
          <w:tcPr>
            <w:tcW w:w="1480" w:type="dxa"/>
            <w:vAlign w:val="bottom"/>
            <w:gridSpan w:val="3"/>
            <w:shd w:val="clear" w:color="auto" w:fill="CCEEFF"/>
          </w:tcPr>
          <w:p>
            <w:pPr>
              <w:jc w:val="center"/>
              <w:ind w:left="243"/>
              <w:spacing w:after="0"/>
              <w:rPr>
                <w:sz w:val="20"/>
                <w:szCs w:val="20"/>
                <w:color w:val="auto"/>
              </w:rPr>
            </w:pPr>
            <w:r>
              <w:rPr>
                <w:rFonts w:ascii="Arial" w:cs="Arial" w:eastAsia="Arial" w:hAnsi="Arial"/>
                <w:sz w:val="11"/>
                <w:szCs w:val="11"/>
                <w:color w:val="auto"/>
              </w:rPr>
              <w:t>7.79</w:t>
            </w:r>
          </w:p>
        </w:tc>
        <w:tc>
          <w:tcPr>
            <w:tcW w:w="124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8.36</w:t>
            </w:r>
          </w:p>
        </w:tc>
        <w:tc>
          <w:tcPr>
            <w:tcW w:w="0" w:type="dxa"/>
            <w:vAlign w:val="bottom"/>
          </w:tcPr>
          <w:p>
            <w:pPr>
              <w:spacing w:after="0"/>
              <w:rPr>
                <w:sz w:val="1"/>
                <w:szCs w:val="1"/>
                <w:color w:val="auto"/>
              </w:rPr>
            </w:pPr>
          </w:p>
        </w:tc>
      </w:tr>
      <w:tr>
        <w:trPr>
          <w:trHeight w:val="28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2031 Unsecured Notes Covenant Ratios</w:t>
            </w:r>
            <w:r>
              <w:rPr>
                <w:rFonts w:ascii="Arial" w:cs="Arial" w:eastAsia="Arial" w:hAnsi="Arial"/>
                <w:sz w:val="14"/>
                <w:szCs w:val="14"/>
                <w:b w:val="1"/>
                <w:bCs w:val="1"/>
                <w:color w:val="auto"/>
                <w:vertAlign w:val="superscript"/>
              </w:rPr>
              <w:t>(1)</w:t>
            </w:r>
          </w:p>
        </w:tc>
        <w:tc>
          <w:tcPr>
            <w:tcW w:w="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0"/>
              <w:spacing w:after="0" w:line="152" w:lineRule="exact"/>
              <w:rPr>
                <w:sz w:val="20"/>
                <w:szCs w:val="20"/>
                <w:color w:val="auto"/>
              </w:rPr>
            </w:pPr>
            <w:r>
              <w:rPr>
                <w:rFonts w:ascii="Arial" w:cs="Arial" w:eastAsia="Arial" w:hAnsi="Arial"/>
                <w:sz w:val="11"/>
                <w:szCs w:val="11"/>
                <w:color w:val="auto"/>
              </w:rPr>
              <w:t>Total outstanding debt/total assets</w:t>
            </w:r>
            <w:r>
              <w:rPr>
                <w:rFonts w:ascii="Arial" w:cs="Arial" w:eastAsia="Arial" w:hAnsi="Arial"/>
                <w:sz w:val="14"/>
                <w:szCs w:val="14"/>
                <w:b w:val="1"/>
                <w:bCs w:val="1"/>
                <w:color w:val="auto"/>
                <w:vertAlign w:val="superscript"/>
              </w:rPr>
              <w:t>(3)</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Less than 65%</w:t>
            </w:r>
          </w:p>
        </w:tc>
        <w:tc>
          <w:tcPr>
            <w:tcW w:w="1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45%</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left="183"/>
              <w:spacing w:after="0"/>
              <w:rPr>
                <w:sz w:val="20"/>
                <w:szCs w:val="20"/>
                <w:color w:val="auto"/>
              </w:rPr>
            </w:pPr>
            <w:r>
              <w:rPr>
                <w:rFonts w:ascii="Arial" w:cs="Arial" w:eastAsia="Arial" w:hAnsi="Arial"/>
                <w:sz w:val="11"/>
                <w:szCs w:val="11"/>
                <w:color w:val="auto"/>
              </w:rPr>
              <w:t>45%</w:t>
            </w:r>
          </w:p>
        </w:tc>
        <w:tc>
          <w:tcPr>
            <w:tcW w:w="1480" w:type="dxa"/>
            <w:vAlign w:val="bottom"/>
            <w:gridSpan w:val="3"/>
            <w:shd w:val="clear" w:color="auto" w:fill="CCEEFF"/>
          </w:tcPr>
          <w:p>
            <w:pPr>
              <w:jc w:val="center"/>
              <w:ind w:left="263"/>
              <w:spacing w:after="0"/>
              <w:rPr>
                <w:sz w:val="20"/>
                <w:szCs w:val="20"/>
                <w:color w:val="auto"/>
              </w:rPr>
            </w:pPr>
            <w:r>
              <w:rPr>
                <w:rFonts w:ascii="Arial" w:cs="Arial" w:eastAsia="Arial" w:hAnsi="Arial"/>
                <w:sz w:val="11"/>
                <w:szCs w:val="11"/>
                <w:color w:val="auto"/>
              </w:rPr>
              <w:t>48%</w:t>
            </w:r>
          </w:p>
        </w:tc>
        <w:tc>
          <w:tcPr>
            <w:tcW w:w="124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58"/>
        </w:trPr>
        <w:tc>
          <w:tcPr>
            <w:tcW w:w="5040" w:type="dxa"/>
            <w:vAlign w:val="bottom"/>
          </w:tcPr>
          <w:p>
            <w:pPr>
              <w:ind w:left="20"/>
              <w:spacing w:after="0"/>
              <w:rPr>
                <w:sz w:val="20"/>
                <w:szCs w:val="20"/>
                <w:color w:val="auto"/>
              </w:rPr>
            </w:pPr>
            <w:r>
              <w:rPr>
                <w:rFonts w:ascii="Arial" w:cs="Arial" w:eastAsia="Arial" w:hAnsi="Arial"/>
                <w:sz w:val="11"/>
                <w:szCs w:val="11"/>
                <w:color w:val="auto"/>
              </w:rPr>
              <w:t>Secured debt/total assets</w:t>
            </w:r>
          </w:p>
        </w:tc>
        <w:tc>
          <w:tcPr>
            <w:tcW w:w="6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1"/>
                <w:szCs w:val="11"/>
                <w:color w:val="auto"/>
              </w:rPr>
              <w:t>Less than 50%</w:t>
            </w:r>
          </w:p>
        </w:tc>
        <w:tc>
          <w:tcPr>
            <w:tcW w:w="1160" w:type="dxa"/>
            <w:vAlign w:val="bottom"/>
          </w:tcPr>
          <w:p>
            <w:pPr>
              <w:jc w:val="center"/>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3"/>
                <w:szCs w:val="13"/>
                <w:color w:val="auto"/>
              </w:rPr>
            </w:pPr>
          </w:p>
        </w:tc>
        <w:tc>
          <w:tcPr>
            <w:tcW w:w="920" w:type="dxa"/>
            <w:vAlign w:val="bottom"/>
          </w:tcPr>
          <w:p>
            <w:pPr>
              <w:jc w:val="center"/>
              <w:ind w:left="183"/>
              <w:spacing w:after="0"/>
              <w:rPr>
                <w:sz w:val="20"/>
                <w:szCs w:val="20"/>
                <w:color w:val="auto"/>
              </w:rPr>
            </w:pPr>
            <w:r>
              <w:rPr>
                <w:rFonts w:ascii="Arial" w:cs="Arial" w:eastAsia="Arial" w:hAnsi="Arial"/>
                <w:sz w:val="11"/>
                <w:szCs w:val="11"/>
                <w:color w:val="auto"/>
              </w:rPr>
              <w:t>32%</w:t>
            </w:r>
          </w:p>
        </w:tc>
        <w:tc>
          <w:tcPr>
            <w:tcW w:w="1480" w:type="dxa"/>
            <w:vAlign w:val="bottom"/>
            <w:gridSpan w:val="3"/>
          </w:tcPr>
          <w:p>
            <w:pPr>
              <w:jc w:val="center"/>
              <w:ind w:left="263"/>
              <w:spacing w:after="0"/>
              <w:rPr>
                <w:sz w:val="20"/>
                <w:szCs w:val="20"/>
                <w:color w:val="auto"/>
              </w:rPr>
            </w:pPr>
            <w:r>
              <w:rPr>
                <w:rFonts w:ascii="Arial" w:cs="Arial" w:eastAsia="Arial" w:hAnsi="Arial"/>
                <w:sz w:val="11"/>
                <w:szCs w:val="11"/>
                <w:color w:val="auto"/>
              </w:rPr>
              <w:t>33%</w:t>
            </w:r>
          </w:p>
        </w:tc>
        <w:tc>
          <w:tcPr>
            <w:tcW w:w="1240" w:type="dxa"/>
            <w:vAlign w:val="bottom"/>
            <w:gridSpan w:val="2"/>
          </w:tcPr>
          <w:p>
            <w:pPr>
              <w:jc w:val="center"/>
              <w:ind w:left="23"/>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coverage ratio (annualized combined EBITDA to annualized interest expense)</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Greater than 1.50</w:t>
            </w:r>
          </w:p>
        </w:tc>
        <w:tc>
          <w:tcPr>
            <w:tcW w:w="1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2.01</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183"/>
              <w:spacing w:after="0"/>
              <w:rPr>
                <w:sz w:val="20"/>
                <w:szCs w:val="20"/>
                <w:color w:val="auto"/>
              </w:rPr>
            </w:pPr>
            <w:r>
              <w:rPr>
                <w:rFonts w:ascii="Arial" w:cs="Arial" w:eastAsia="Arial" w:hAnsi="Arial"/>
                <w:sz w:val="11"/>
                <w:szCs w:val="11"/>
                <w:color w:val="auto"/>
              </w:rPr>
              <w:t>2.02</w:t>
            </w:r>
          </w:p>
        </w:tc>
        <w:tc>
          <w:tcPr>
            <w:tcW w:w="1480" w:type="dxa"/>
            <w:vAlign w:val="bottom"/>
            <w:gridSpan w:val="3"/>
            <w:shd w:val="clear" w:color="auto" w:fill="CCEEFF"/>
          </w:tcPr>
          <w:p>
            <w:pPr>
              <w:jc w:val="center"/>
              <w:ind w:left="243"/>
              <w:spacing w:after="0"/>
              <w:rPr>
                <w:sz w:val="20"/>
                <w:szCs w:val="20"/>
                <w:color w:val="auto"/>
              </w:rPr>
            </w:pPr>
            <w:r>
              <w:rPr>
                <w:rFonts w:ascii="Arial" w:cs="Arial" w:eastAsia="Arial" w:hAnsi="Arial"/>
                <w:sz w:val="11"/>
                <w:szCs w:val="11"/>
                <w:color w:val="auto"/>
              </w:rPr>
              <w:t>1.93</w:t>
            </w:r>
          </w:p>
        </w:tc>
        <w:tc>
          <w:tcPr>
            <w:tcW w:w="124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154"/>
        </w:trPr>
        <w:tc>
          <w:tcPr>
            <w:tcW w:w="5040" w:type="dxa"/>
            <w:vAlign w:val="bottom"/>
          </w:tcPr>
          <w:p>
            <w:pPr>
              <w:ind w:left="20"/>
              <w:spacing w:after="0"/>
              <w:rPr>
                <w:sz w:val="20"/>
                <w:szCs w:val="20"/>
                <w:color w:val="auto"/>
              </w:rPr>
            </w:pPr>
            <w:r>
              <w:rPr>
                <w:rFonts w:ascii="Arial" w:cs="Arial" w:eastAsia="Arial" w:hAnsi="Arial"/>
                <w:sz w:val="11"/>
                <w:szCs w:val="11"/>
                <w:color w:val="auto"/>
              </w:rPr>
              <w:t>Unencumbered assets/unsecured debt</w:t>
            </w:r>
          </w:p>
        </w:tc>
        <w:tc>
          <w:tcPr>
            <w:tcW w:w="6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1"/>
                <w:szCs w:val="11"/>
                <w:color w:val="auto"/>
              </w:rPr>
              <w:t>Greater than 150%</w:t>
            </w:r>
          </w:p>
        </w:tc>
        <w:tc>
          <w:tcPr>
            <w:tcW w:w="1160" w:type="dxa"/>
            <w:vAlign w:val="bottom"/>
          </w:tcPr>
          <w:p>
            <w:pPr>
              <w:jc w:val="center"/>
              <w:spacing w:after="0"/>
              <w:rPr>
                <w:sz w:val="20"/>
                <w:szCs w:val="20"/>
                <w:color w:val="auto"/>
              </w:rPr>
            </w:pPr>
            <w:r>
              <w:rPr>
                <w:rFonts w:ascii="Arial" w:cs="Arial" w:eastAsia="Arial" w:hAnsi="Arial"/>
                <w:sz w:val="11"/>
                <w:szCs w:val="11"/>
                <w:color w:val="auto"/>
              </w:rPr>
              <w:t>461%</w:t>
            </w:r>
          </w:p>
        </w:tc>
        <w:tc>
          <w:tcPr>
            <w:tcW w:w="80" w:type="dxa"/>
            <w:vAlign w:val="bottom"/>
          </w:tcPr>
          <w:p>
            <w:pPr>
              <w:spacing w:after="0"/>
              <w:rPr>
                <w:sz w:val="13"/>
                <w:szCs w:val="13"/>
                <w:color w:val="auto"/>
              </w:rPr>
            </w:pPr>
          </w:p>
        </w:tc>
        <w:tc>
          <w:tcPr>
            <w:tcW w:w="920" w:type="dxa"/>
            <w:vAlign w:val="bottom"/>
          </w:tcPr>
          <w:p>
            <w:pPr>
              <w:jc w:val="center"/>
              <w:ind w:left="183"/>
              <w:spacing w:after="0"/>
              <w:rPr>
                <w:sz w:val="20"/>
                <w:szCs w:val="20"/>
                <w:color w:val="auto"/>
              </w:rPr>
            </w:pPr>
            <w:r>
              <w:rPr>
                <w:rFonts w:ascii="Arial" w:cs="Arial" w:eastAsia="Arial" w:hAnsi="Arial"/>
                <w:sz w:val="11"/>
                <w:szCs w:val="11"/>
                <w:color w:val="auto"/>
                <w:w w:val="99"/>
              </w:rPr>
              <w:t>480%</w:t>
            </w:r>
          </w:p>
        </w:tc>
        <w:tc>
          <w:tcPr>
            <w:tcW w:w="1480" w:type="dxa"/>
            <w:vAlign w:val="bottom"/>
            <w:gridSpan w:val="3"/>
          </w:tcPr>
          <w:p>
            <w:pPr>
              <w:jc w:val="center"/>
              <w:ind w:left="263"/>
              <w:spacing w:after="0"/>
              <w:rPr>
                <w:sz w:val="20"/>
                <w:szCs w:val="20"/>
                <w:color w:val="auto"/>
              </w:rPr>
            </w:pPr>
            <w:r>
              <w:rPr>
                <w:rFonts w:ascii="Arial" w:cs="Arial" w:eastAsia="Arial" w:hAnsi="Arial"/>
                <w:sz w:val="11"/>
                <w:szCs w:val="11"/>
                <w:color w:val="auto"/>
                <w:w w:val="99"/>
              </w:rPr>
              <w:t>421%</w:t>
            </w:r>
          </w:p>
        </w:tc>
        <w:tc>
          <w:tcPr>
            <w:tcW w:w="1240" w:type="dxa"/>
            <w:vAlign w:val="bottom"/>
            <w:gridSpan w:val="2"/>
          </w:tcPr>
          <w:p>
            <w:pPr>
              <w:jc w:val="center"/>
              <w:ind w:left="3"/>
              <w:spacing w:after="0"/>
              <w:rPr>
                <w:sz w:val="20"/>
                <w:szCs w:val="20"/>
                <w:color w:val="auto"/>
              </w:rPr>
            </w:pPr>
            <w:r>
              <w:rPr>
                <w:rFonts w:ascii="Arial" w:cs="Arial" w:eastAsia="Arial" w:hAnsi="Arial"/>
                <w:sz w:val="11"/>
                <w:szCs w:val="11"/>
                <w:color w:val="auto"/>
              </w:rPr>
              <w:t>492%</w:t>
            </w:r>
          </w:p>
        </w:tc>
        <w:tc>
          <w:tcPr>
            <w:tcW w:w="0" w:type="dxa"/>
            <w:vAlign w:val="bottom"/>
          </w:tcPr>
          <w:p>
            <w:pPr>
              <w:spacing w:after="0"/>
              <w:rPr>
                <w:sz w:val="1"/>
                <w:szCs w:val="1"/>
                <w:color w:val="auto"/>
              </w:rPr>
            </w:pPr>
          </w:p>
        </w:tc>
      </w:tr>
      <w:tr>
        <w:trPr>
          <w:trHeight w:val="287"/>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2033 Unsecured Notes Covenant Ratios</w:t>
            </w:r>
            <w:r>
              <w:rPr>
                <w:rFonts w:ascii="Arial" w:cs="Arial" w:eastAsia="Arial" w:hAnsi="Arial"/>
                <w:sz w:val="14"/>
                <w:szCs w:val="14"/>
                <w:b w:val="1"/>
                <w:bCs w:val="1"/>
                <w:color w:val="auto"/>
                <w:vertAlign w:val="superscript"/>
              </w:rPr>
              <w:t>(1)</w:t>
            </w:r>
          </w:p>
        </w:tc>
        <w:tc>
          <w:tcPr>
            <w:tcW w:w="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40" w:type="dxa"/>
            <w:vAlign w:val="bottom"/>
            <w:shd w:val="clear" w:color="auto" w:fill="CCEEFF"/>
          </w:tcPr>
          <w:p>
            <w:pPr>
              <w:ind w:left="20"/>
              <w:spacing w:after="0" w:line="152" w:lineRule="exact"/>
              <w:rPr>
                <w:sz w:val="20"/>
                <w:szCs w:val="20"/>
                <w:color w:val="auto"/>
              </w:rPr>
            </w:pPr>
            <w:r>
              <w:rPr>
                <w:rFonts w:ascii="Arial" w:cs="Arial" w:eastAsia="Arial" w:hAnsi="Arial"/>
                <w:sz w:val="11"/>
                <w:szCs w:val="11"/>
                <w:color w:val="auto"/>
              </w:rPr>
              <w:t>Total outstanding debt/total assets</w:t>
            </w:r>
            <w:r>
              <w:rPr>
                <w:rFonts w:ascii="Arial" w:cs="Arial" w:eastAsia="Arial" w:hAnsi="Arial"/>
                <w:sz w:val="14"/>
                <w:szCs w:val="14"/>
                <w:b w:val="1"/>
                <w:bCs w:val="1"/>
                <w:color w:val="auto"/>
                <w:vertAlign w:val="superscript"/>
              </w:rPr>
              <w:t>(4)</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Less than 65%</w:t>
            </w:r>
          </w:p>
        </w:tc>
        <w:tc>
          <w:tcPr>
            <w:tcW w:w="1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left="183"/>
              <w:spacing w:after="0"/>
              <w:rPr>
                <w:sz w:val="20"/>
                <w:szCs w:val="20"/>
                <w:color w:val="auto"/>
              </w:rPr>
            </w:pPr>
            <w:r>
              <w:rPr>
                <w:rFonts w:ascii="Arial" w:cs="Arial" w:eastAsia="Arial" w:hAnsi="Arial"/>
                <w:sz w:val="11"/>
                <w:szCs w:val="11"/>
                <w:color w:val="auto"/>
              </w:rPr>
              <w:t>41%</w:t>
            </w:r>
          </w:p>
        </w:tc>
        <w:tc>
          <w:tcPr>
            <w:tcW w:w="1480" w:type="dxa"/>
            <w:vAlign w:val="bottom"/>
            <w:gridSpan w:val="3"/>
            <w:shd w:val="clear" w:color="auto" w:fill="CCEEFF"/>
          </w:tcPr>
          <w:p>
            <w:pPr>
              <w:jc w:val="center"/>
              <w:ind w:left="263"/>
              <w:spacing w:after="0"/>
              <w:rPr>
                <w:sz w:val="20"/>
                <w:szCs w:val="20"/>
                <w:color w:val="auto"/>
              </w:rPr>
            </w:pPr>
            <w:r>
              <w:rPr>
                <w:rFonts w:ascii="Arial" w:cs="Arial" w:eastAsia="Arial" w:hAnsi="Arial"/>
                <w:sz w:val="11"/>
                <w:szCs w:val="11"/>
                <w:color w:val="auto"/>
              </w:rPr>
              <w:t>42%</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0"/>
              <w:spacing w:after="0"/>
              <w:rPr>
                <w:sz w:val="20"/>
                <w:szCs w:val="20"/>
                <w:color w:val="auto"/>
              </w:rPr>
            </w:pPr>
            <w:r>
              <w:rPr>
                <w:rFonts w:ascii="Arial" w:cs="Arial" w:eastAsia="Arial" w:hAnsi="Arial"/>
                <w:sz w:val="11"/>
                <w:szCs w:val="11"/>
                <w:color w:val="auto"/>
              </w:rPr>
              <w:t>Secured debt/total assets</w:t>
            </w:r>
          </w:p>
        </w:tc>
        <w:tc>
          <w:tcPr>
            <w:tcW w:w="6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1"/>
                <w:szCs w:val="11"/>
                <w:color w:val="auto"/>
              </w:rPr>
              <w:t>Less than 50%</w:t>
            </w:r>
          </w:p>
        </w:tc>
        <w:tc>
          <w:tcPr>
            <w:tcW w:w="1160" w:type="dxa"/>
            <w:vAlign w:val="bottom"/>
          </w:tcPr>
          <w:p>
            <w:pPr>
              <w:jc w:val="center"/>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920" w:type="dxa"/>
            <w:vAlign w:val="bottom"/>
          </w:tcPr>
          <w:p>
            <w:pPr>
              <w:jc w:val="center"/>
              <w:ind w:left="183"/>
              <w:spacing w:after="0"/>
              <w:rPr>
                <w:sz w:val="20"/>
                <w:szCs w:val="20"/>
                <w:color w:val="auto"/>
              </w:rPr>
            </w:pPr>
            <w:r>
              <w:rPr>
                <w:rFonts w:ascii="Arial" w:cs="Arial" w:eastAsia="Arial" w:hAnsi="Arial"/>
                <w:sz w:val="11"/>
                <w:szCs w:val="11"/>
                <w:color w:val="auto"/>
              </w:rPr>
              <w:t>28%</w:t>
            </w:r>
          </w:p>
        </w:tc>
        <w:tc>
          <w:tcPr>
            <w:tcW w:w="1480" w:type="dxa"/>
            <w:vAlign w:val="bottom"/>
            <w:gridSpan w:val="3"/>
          </w:tcPr>
          <w:p>
            <w:pPr>
              <w:jc w:val="center"/>
              <w:ind w:left="263"/>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coverage ratio (annualized combined EBITDA to annualized interest expense)</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Greater than 1.50</w:t>
            </w:r>
          </w:p>
        </w:tc>
        <w:tc>
          <w:tcPr>
            <w:tcW w:w="1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2.08</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183"/>
              <w:spacing w:after="0"/>
              <w:rPr>
                <w:sz w:val="20"/>
                <w:szCs w:val="20"/>
                <w:color w:val="auto"/>
              </w:rPr>
            </w:pPr>
            <w:r>
              <w:rPr>
                <w:rFonts w:ascii="Arial" w:cs="Arial" w:eastAsia="Arial" w:hAnsi="Arial"/>
                <w:sz w:val="11"/>
                <w:szCs w:val="11"/>
                <w:color w:val="auto"/>
              </w:rPr>
              <w:t>2.13</w:t>
            </w:r>
          </w:p>
        </w:tc>
        <w:tc>
          <w:tcPr>
            <w:tcW w:w="1480" w:type="dxa"/>
            <w:vAlign w:val="bottom"/>
            <w:gridSpan w:val="3"/>
            <w:shd w:val="clear" w:color="auto" w:fill="CCEEFF"/>
          </w:tcPr>
          <w:p>
            <w:pPr>
              <w:jc w:val="center"/>
              <w:ind w:left="243"/>
              <w:spacing w:after="0"/>
              <w:rPr>
                <w:sz w:val="20"/>
                <w:szCs w:val="20"/>
                <w:color w:val="auto"/>
              </w:rPr>
            </w:pPr>
            <w:r>
              <w:rPr>
                <w:rFonts w:ascii="Arial" w:cs="Arial" w:eastAsia="Arial" w:hAnsi="Arial"/>
                <w:sz w:val="11"/>
                <w:szCs w:val="11"/>
                <w:color w:val="auto"/>
              </w:rPr>
              <w:t>2.07</w:t>
            </w: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040" w:type="dxa"/>
            <w:vAlign w:val="bottom"/>
          </w:tcPr>
          <w:p>
            <w:pPr>
              <w:ind w:left="20"/>
              <w:spacing w:after="0"/>
              <w:rPr>
                <w:sz w:val="20"/>
                <w:szCs w:val="20"/>
                <w:color w:val="auto"/>
              </w:rPr>
            </w:pPr>
            <w:r>
              <w:rPr>
                <w:rFonts w:ascii="Arial" w:cs="Arial" w:eastAsia="Arial" w:hAnsi="Arial"/>
                <w:sz w:val="11"/>
                <w:szCs w:val="11"/>
                <w:color w:val="auto"/>
              </w:rPr>
              <w:t>Unencumbered assets/unsecured debt</w:t>
            </w:r>
          </w:p>
        </w:tc>
        <w:tc>
          <w:tcPr>
            <w:tcW w:w="6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1"/>
                <w:szCs w:val="11"/>
                <w:color w:val="auto"/>
              </w:rPr>
              <w:t>Greater than 150%</w:t>
            </w:r>
          </w:p>
        </w:tc>
        <w:tc>
          <w:tcPr>
            <w:tcW w:w="1160" w:type="dxa"/>
            <w:vAlign w:val="bottom"/>
          </w:tcPr>
          <w:p>
            <w:pPr>
              <w:jc w:val="center"/>
              <w:spacing w:after="0"/>
              <w:rPr>
                <w:sz w:val="20"/>
                <w:szCs w:val="20"/>
                <w:color w:val="auto"/>
              </w:rPr>
            </w:pPr>
            <w:r>
              <w:rPr>
                <w:rFonts w:ascii="Arial" w:cs="Arial" w:eastAsia="Arial" w:hAnsi="Arial"/>
                <w:sz w:val="11"/>
                <w:szCs w:val="11"/>
                <w:color w:val="auto"/>
              </w:rPr>
              <w:t>488%</w:t>
            </w:r>
          </w:p>
        </w:tc>
        <w:tc>
          <w:tcPr>
            <w:tcW w:w="80" w:type="dxa"/>
            <w:vAlign w:val="bottom"/>
          </w:tcPr>
          <w:p>
            <w:pPr>
              <w:spacing w:after="0"/>
              <w:rPr>
                <w:sz w:val="13"/>
                <w:szCs w:val="13"/>
                <w:color w:val="auto"/>
              </w:rPr>
            </w:pPr>
          </w:p>
        </w:tc>
        <w:tc>
          <w:tcPr>
            <w:tcW w:w="920" w:type="dxa"/>
            <w:vAlign w:val="bottom"/>
          </w:tcPr>
          <w:p>
            <w:pPr>
              <w:jc w:val="center"/>
              <w:ind w:left="183"/>
              <w:spacing w:after="0"/>
              <w:rPr>
                <w:sz w:val="20"/>
                <w:szCs w:val="20"/>
                <w:color w:val="auto"/>
              </w:rPr>
            </w:pPr>
            <w:r>
              <w:rPr>
                <w:rFonts w:ascii="Arial" w:cs="Arial" w:eastAsia="Arial" w:hAnsi="Arial"/>
                <w:sz w:val="11"/>
                <w:szCs w:val="11"/>
                <w:color w:val="auto"/>
                <w:w w:val="99"/>
              </w:rPr>
              <w:t>483%</w:t>
            </w:r>
          </w:p>
        </w:tc>
        <w:tc>
          <w:tcPr>
            <w:tcW w:w="1480" w:type="dxa"/>
            <w:vAlign w:val="bottom"/>
            <w:gridSpan w:val="3"/>
          </w:tcPr>
          <w:p>
            <w:pPr>
              <w:jc w:val="center"/>
              <w:ind w:left="263"/>
              <w:spacing w:after="0"/>
              <w:rPr>
                <w:sz w:val="20"/>
                <w:szCs w:val="20"/>
                <w:color w:val="auto"/>
              </w:rPr>
            </w:pPr>
            <w:r>
              <w:rPr>
                <w:rFonts w:ascii="Arial" w:cs="Arial" w:eastAsia="Arial" w:hAnsi="Arial"/>
                <w:sz w:val="11"/>
                <w:szCs w:val="11"/>
                <w:color w:val="auto"/>
                <w:w w:val="99"/>
              </w:rPr>
              <w:t>428%</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Consolidated Unencumbered EBITDA</w:t>
            </w:r>
            <w:r>
              <w:rPr>
                <w:rFonts w:ascii="Arial" w:cs="Arial" w:eastAsia="Arial" w:hAnsi="Arial"/>
                <w:sz w:val="7"/>
                <w:szCs w:val="7"/>
                <w:b w:val="1"/>
                <w:bCs w:val="1"/>
                <w:color w:val="auto"/>
              </w:rPr>
              <w:t>(1)</w:t>
            </w:r>
            <w:r>
              <w:rPr>
                <w:rFonts w:ascii="Arial" w:cs="Arial" w:eastAsia="Arial" w:hAnsi="Arial"/>
                <w:sz w:val="11"/>
                <w:szCs w:val="11"/>
                <w:b w:val="1"/>
                <w:bCs w:val="1"/>
                <w:color w:val="auto"/>
              </w:rPr>
              <w:t xml:space="preserve"> (non-GAAP):</w:t>
            </w:r>
          </w:p>
        </w:tc>
        <w:tc>
          <w:tcPr>
            <w:tcW w:w="19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Trailing Twelve Months</w:t>
            </w:r>
          </w:p>
        </w:tc>
      </w:tr>
      <w:tr>
        <w:trPr>
          <w:trHeight w:val="15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New York</w:t>
            </w:r>
          </w:p>
        </w:tc>
        <w:tc>
          <w:tcPr>
            <w:tcW w:w="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361,342</w:t>
            </w:r>
          </w:p>
        </w:tc>
      </w:tr>
      <w:tr>
        <w:trPr>
          <w:trHeight w:val="158"/>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Other</w:t>
            </w: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96,911</w:t>
            </w:r>
          </w:p>
        </w:tc>
      </w:tr>
      <w:tr>
        <w:trPr>
          <w:trHeight w:val="181"/>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458,253</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Credit Ratings</w:t>
            </w:r>
            <w:r>
              <w:rPr>
                <w:rFonts w:ascii="Arial" w:cs="Arial" w:eastAsia="Arial" w:hAnsi="Arial"/>
                <w:sz w:val="14"/>
                <w:szCs w:val="14"/>
                <w:b w:val="1"/>
                <w:bCs w:val="1"/>
                <w:color w:val="auto"/>
                <w:vertAlign w:val="superscript"/>
              </w:rPr>
              <w:t>(5)</w:t>
            </w:r>
            <w:r>
              <w:rPr>
                <w:rFonts w:ascii="Arial" w:cs="Arial" w:eastAsia="Arial" w:hAnsi="Arial"/>
                <w:sz w:val="11"/>
                <w:szCs w:val="11"/>
                <w:b w:val="1"/>
                <w:bCs w:val="1"/>
                <w:color w:val="auto"/>
              </w:rPr>
              <w:t>:</w:t>
            </w:r>
          </w:p>
        </w:tc>
        <w:tc>
          <w:tcPr>
            <w:tcW w:w="40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Rating</w:t>
            </w:r>
          </w:p>
        </w:tc>
        <w:tc>
          <w:tcPr>
            <w:tcW w:w="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Outlook</w:t>
            </w:r>
          </w:p>
        </w:tc>
      </w:tr>
      <w:tr>
        <w:trPr>
          <w:trHeight w:val="152"/>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Moody’s</w:t>
            </w:r>
          </w:p>
        </w:tc>
        <w:tc>
          <w:tcPr>
            <w:tcW w:w="13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Ba1</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Stable</w:t>
            </w:r>
          </w:p>
        </w:tc>
      </w:tr>
      <w:tr>
        <w:trPr>
          <w:trHeight w:val="158"/>
        </w:trPr>
        <w:tc>
          <w:tcPr>
            <w:tcW w:w="5140" w:type="dxa"/>
            <w:vAlign w:val="bottom"/>
            <w:gridSpan w:val="2"/>
          </w:tcPr>
          <w:p>
            <w:pPr>
              <w:ind w:left="20"/>
              <w:spacing w:after="0"/>
              <w:rPr>
                <w:sz w:val="20"/>
                <w:szCs w:val="20"/>
                <w:color w:val="auto"/>
              </w:rPr>
            </w:pPr>
            <w:r>
              <w:rPr>
                <w:rFonts w:ascii="Arial" w:cs="Arial" w:eastAsia="Arial" w:hAnsi="Arial"/>
                <w:sz w:val="11"/>
                <w:szCs w:val="11"/>
                <w:color w:val="auto"/>
              </w:rPr>
              <w:t>S&amp;P</w:t>
            </w:r>
          </w:p>
        </w:tc>
        <w:tc>
          <w:tcPr>
            <w:tcW w:w="1320" w:type="dxa"/>
            <w:vAlign w:val="bottom"/>
            <w:gridSpan w:val="2"/>
          </w:tcPr>
          <w:p>
            <w:pPr>
              <w:jc w:val="center"/>
              <w:ind w:right="60"/>
              <w:spacing w:after="0"/>
              <w:rPr>
                <w:sz w:val="20"/>
                <w:szCs w:val="20"/>
                <w:color w:val="auto"/>
              </w:rPr>
            </w:pPr>
            <w:r>
              <w:rPr>
                <w:rFonts w:ascii="Arial" w:cs="Arial" w:eastAsia="Arial" w:hAnsi="Arial"/>
                <w:sz w:val="11"/>
                <w:szCs w:val="11"/>
                <w:color w:val="auto"/>
              </w:rPr>
              <w:t>BBB-</w:t>
            </w:r>
          </w:p>
        </w:tc>
        <w:tc>
          <w:tcPr>
            <w:tcW w:w="1260" w:type="dxa"/>
            <w:vAlign w:val="bottom"/>
          </w:tcPr>
          <w:p>
            <w:pPr>
              <w:jc w:val="center"/>
              <w:spacing w:after="0"/>
              <w:rPr>
                <w:sz w:val="20"/>
                <w:szCs w:val="20"/>
                <w:color w:val="auto"/>
              </w:rPr>
            </w:pPr>
            <w:r>
              <w:rPr>
                <w:rFonts w:ascii="Arial" w:cs="Arial" w:eastAsia="Arial" w:hAnsi="Arial"/>
                <w:sz w:val="11"/>
                <w:szCs w:val="11"/>
                <w:color w:val="auto"/>
              </w:rPr>
              <w:t>Stable</w:t>
            </w:r>
          </w:p>
        </w:tc>
      </w:tr>
      <w:tr>
        <w:trPr>
          <w:trHeight w:val="165"/>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Fitch</w:t>
            </w:r>
          </w:p>
        </w:tc>
        <w:tc>
          <w:tcPr>
            <w:tcW w:w="132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BB+</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Positive</w:t>
            </w:r>
          </w:p>
        </w:tc>
      </w:tr>
      <w:tr>
        <w:trPr>
          <w:trHeight w:val="162"/>
        </w:trPr>
        <w:tc>
          <w:tcPr>
            <w:tcW w:w="5140" w:type="dxa"/>
            <w:vAlign w:val="bottom"/>
            <w:gridSpan w:val="2"/>
          </w:tcPr>
          <w:p>
            <w:pPr>
              <w:spacing w:after="0"/>
              <w:rPr>
                <w:sz w:val="20"/>
                <w:szCs w:val="20"/>
                <w:color w:val="auto"/>
              </w:rPr>
            </w:pPr>
            <w:r>
              <w:rPr>
                <w:rFonts w:ascii="Arial" w:cs="Arial" w:eastAsia="Arial" w:hAnsi="Arial"/>
                <w:sz w:val="7"/>
                <w:szCs w:val="7"/>
                <w:color w:val="auto"/>
              </w:rPr>
              <w:t>________________________________</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36" w:lineRule="exact"/>
        <w:rPr>
          <w:sz w:val="20"/>
          <w:szCs w:val="20"/>
          <w:color w:val="auto"/>
        </w:rPr>
      </w:pPr>
    </w:p>
    <w:p>
      <w:pPr>
        <w:jc w:val="both"/>
        <w:ind w:left="260" w:hanging="254"/>
        <w:spacing w:after="0" w:line="264" w:lineRule="auto"/>
        <w:tabs>
          <w:tab w:leader="none" w:pos="249" w:val="left"/>
        </w:tabs>
        <w:numPr>
          <w:ilvl w:val="0"/>
          <w:numId w:val="28"/>
        </w:numPr>
        <w:rPr>
          <w:rFonts w:ascii="Arial" w:cs="Arial" w:eastAsia="Arial" w:hAnsi="Arial"/>
          <w:sz w:val="11"/>
          <w:szCs w:val="11"/>
          <w:b w:val="1"/>
          <w:bCs w:val="1"/>
          <w:color w:val="auto"/>
        </w:rPr>
      </w:pPr>
      <w:r>
        <w:rPr>
          <w:rFonts w:ascii="Arial" w:cs="Arial" w:eastAsia="Arial" w:hAnsi="Arial"/>
          <w:sz w:val="11"/>
          <w:szCs w:val="11"/>
          <w:color w:val="auto"/>
        </w:rPr>
        <w:t>Our debt covenant ratios and consolidated unencumbered EBITDA are computed in accordance with the terms of our senior unsecured notes, unsecured revolving credit facilities, and unsecured term loan, as applicable. The methodology used for these computations may differ significantly from similarly titled ratios and amounts of other companies. For additional information regarding the methodology used to compute these ratios, please see our filings with the SEC of our revolving credit facilities, senior debt indentures and applicable prospectuses and prospectus supplements.</w:t>
      </w:r>
    </w:p>
    <w:p>
      <w:pPr>
        <w:spacing w:after="0" w:line="1" w:lineRule="exact"/>
        <w:rPr>
          <w:rFonts w:ascii="Arial" w:cs="Arial" w:eastAsia="Arial" w:hAnsi="Arial"/>
          <w:sz w:val="11"/>
          <w:szCs w:val="11"/>
          <w:b w:val="1"/>
          <w:bCs w:val="1"/>
          <w:color w:val="auto"/>
        </w:rPr>
      </w:pPr>
    </w:p>
    <w:p>
      <w:pPr>
        <w:ind w:left="260" w:hanging="254"/>
        <w:spacing w:after="0"/>
        <w:tabs>
          <w:tab w:leader="none" w:pos="260" w:val="left"/>
        </w:tabs>
        <w:numPr>
          <w:ilvl w:val="0"/>
          <w:numId w:val="28"/>
        </w:numPr>
        <w:rPr>
          <w:rFonts w:ascii="Arial" w:cs="Arial" w:eastAsia="Arial" w:hAnsi="Arial"/>
          <w:sz w:val="11"/>
          <w:szCs w:val="11"/>
          <w:b w:val="1"/>
          <w:bCs w:val="1"/>
          <w:color w:val="auto"/>
        </w:rPr>
      </w:pPr>
      <w:r>
        <w:rPr>
          <w:rFonts w:ascii="Arial" w:cs="Arial" w:eastAsia="Arial" w:hAnsi="Arial"/>
          <w:sz w:val="11"/>
          <w:szCs w:val="11"/>
          <w:color w:val="auto"/>
        </w:rPr>
        <w:t>Total assets calculated as EBITDA capped at the following rates: 6.5% for office, 6.0% for retail, 8.0% for trade shows, and 6.5% for other asset types.</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28"/>
        </w:numPr>
        <w:rPr>
          <w:rFonts w:ascii="Arial" w:cs="Arial" w:eastAsia="Arial" w:hAnsi="Arial"/>
          <w:sz w:val="11"/>
          <w:szCs w:val="11"/>
          <w:b w:val="1"/>
          <w:bCs w:val="1"/>
          <w:color w:val="auto"/>
        </w:rPr>
      </w:pPr>
      <w:r>
        <w:rPr>
          <w:rFonts w:ascii="Arial" w:cs="Arial" w:eastAsia="Arial" w:hAnsi="Arial"/>
          <w:sz w:val="11"/>
          <w:szCs w:val="11"/>
          <w:color w:val="auto"/>
        </w:rPr>
        <w:t>Total assets include EBITDA capped at 7.0% per the terms of our senior unsecured notes covenants.</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28"/>
        </w:numPr>
        <w:rPr>
          <w:rFonts w:ascii="Arial" w:cs="Arial" w:eastAsia="Arial" w:hAnsi="Arial"/>
          <w:sz w:val="11"/>
          <w:szCs w:val="11"/>
          <w:b w:val="1"/>
          <w:bCs w:val="1"/>
          <w:color w:val="auto"/>
        </w:rPr>
      </w:pPr>
      <w:r>
        <w:rPr>
          <w:rFonts w:ascii="Arial" w:cs="Arial" w:eastAsia="Arial" w:hAnsi="Arial"/>
          <w:sz w:val="11"/>
          <w:szCs w:val="11"/>
          <w:color w:val="auto"/>
        </w:rPr>
        <w:t>Total assets calculated as the greater of (i) EBITDA capped at 7.0% and (ii) the depreciated book value of the asset.</w:t>
      </w:r>
    </w:p>
    <w:p>
      <w:pPr>
        <w:spacing w:after="0" w:line="2" w:lineRule="exact"/>
        <w:rPr>
          <w:rFonts w:ascii="Arial" w:cs="Arial" w:eastAsia="Arial" w:hAnsi="Arial"/>
          <w:sz w:val="11"/>
          <w:szCs w:val="11"/>
          <w:b w:val="1"/>
          <w:bCs w:val="1"/>
          <w:color w:val="auto"/>
        </w:rPr>
      </w:pPr>
    </w:p>
    <w:p>
      <w:pPr>
        <w:ind w:left="260" w:hanging="254"/>
        <w:spacing w:after="0"/>
        <w:tabs>
          <w:tab w:leader="none" w:pos="260" w:val="left"/>
        </w:tabs>
        <w:numPr>
          <w:ilvl w:val="0"/>
          <w:numId w:val="28"/>
        </w:numPr>
        <w:rPr>
          <w:rFonts w:ascii="Arial" w:cs="Arial" w:eastAsia="Arial" w:hAnsi="Arial"/>
          <w:sz w:val="11"/>
          <w:szCs w:val="11"/>
          <w:b w:val="1"/>
          <w:bCs w:val="1"/>
          <w:color w:val="auto"/>
        </w:rPr>
      </w:pPr>
      <w:r>
        <w:rPr>
          <w:rFonts w:ascii="Arial" w:cs="Arial" w:eastAsia="Arial" w:hAnsi="Arial"/>
          <w:sz w:val="11"/>
          <w:szCs w:val="11"/>
          <w:color w:val="auto"/>
        </w:rPr>
        <w:t>Credit ratings are provided for informational purposes only and are not a recommendation to buy or sell our securities.</w:t>
      </w:r>
    </w:p>
    <w:p>
      <w:pPr>
        <w:spacing w:after="0" w:line="278" w:lineRule="exact"/>
        <w:rPr>
          <w:rFonts w:ascii="Arial" w:cs="Arial" w:eastAsia="Arial" w:hAnsi="Arial"/>
          <w:sz w:val="11"/>
          <w:szCs w:val="11"/>
          <w:b w:val="1"/>
          <w:bCs w:val="1"/>
          <w:color w:val="auto"/>
        </w:rPr>
      </w:pPr>
    </w:p>
    <w:p>
      <w:pPr>
        <w:ind w:left="5580" w:hanging="87"/>
        <w:spacing w:after="0"/>
        <w:tabs>
          <w:tab w:leader="none" w:pos="5580" w:val="left"/>
        </w:tabs>
        <w:numPr>
          <w:ilvl w:val="1"/>
          <w:numId w:val="28"/>
        </w:numPr>
        <w:rPr>
          <w:rFonts w:ascii="Arial" w:cs="Arial" w:eastAsia="Arial" w:hAnsi="Arial"/>
          <w:sz w:val="13"/>
          <w:szCs w:val="13"/>
          <w:color w:val="auto"/>
        </w:rPr>
      </w:pPr>
      <w:r>
        <w:rPr>
          <w:rFonts w:ascii="Arial" w:cs="Arial" w:eastAsia="Arial" w:hAnsi="Arial"/>
          <w:sz w:val="13"/>
          <w:szCs w:val="13"/>
          <w:color w:val="auto"/>
        </w:rPr>
        <w:t>25 -</w:t>
      </w:r>
    </w:p>
    <w:p>
      <w:pPr>
        <w:sectPr>
          <w:pgSz w:w="11900" w:h="16838" w:orient="portrait"/>
          <w:cols w:equalWidth="0" w:num="1">
            <w:col w:w="11280"/>
          </w:cols>
          <w:pgMar w:left="300" w:top="981" w:right="319" w:bottom="1440" w:gutter="0" w:footer="0" w:header="0"/>
        </w:sectPr>
      </w:pPr>
    </w:p>
    <w:bookmarkStart w:id="46" w:name="page47"/>
    <w:bookmarkEnd w:id="46"/>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CAPITAL STRUCTURE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9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 except per share and per unit amounts)</w:t>
            </w:r>
          </w:p>
        </w:tc>
        <w:tc>
          <w:tcPr>
            <w:tcW w:w="1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Debt (contractual balances):</w:t>
            </w: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ind w:right="23"/>
              <w:spacing w:after="0" w:line="124" w:lineRule="exact"/>
              <w:rPr>
                <w:sz w:val="20"/>
                <w:szCs w:val="20"/>
                <w:color w:val="auto"/>
              </w:rPr>
            </w:pPr>
            <w:r>
              <w:rPr>
                <w:rFonts w:ascii="Arial" w:cs="Arial" w:eastAsia="Arial" w:hAnsi="Arial"/>
                <w:sz w:val="11"/>
                <w:szCs w:val="11"/>
                <w:b w:val="1"/>
                <w:bCs w:val="1"/>
                <w:color w:val="auto"/>
              </w:rPr>
              <w:t>As of September 30,</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9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2026</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980" w:type="dxa"/>
            <w:vAlign w:val="bottom"/>
          </w:tcPr>
          <w:p>
            <w:pPr>
              <w:ind w:left="280"/>
              <w:spacing w:after="0" w:line="141" w:lineRule="exact"/>
              <w:rPr>
                <w:sz w:val="20"/>
                <w:szCs w:val="20"/>
                <w:color w:val="auto"/>
              </w:rPr>
            </w:pPr>
            <w:r>
              <w:rPr>
                <w:rFonts w:ascii="Arial" w:cs="Arial" w:eastAsia="Arial" w:hAnsi="Arial"/>
                <w:sz w:val="11"/>
                <w:szCs w:val="11"/>
                <w:color w:val="auto"/>
              </w:rPr>
              <w:t>Consolidated debt</w:t>
            </w:r>
            <w:r>
              <w:rPr>
                <w:rFonts w:ascii="Arial" w:cs="Arial" w:eastAsia="Arial" w:hAnsi="Arial"/>
                <w:sz w:val="14"/>
                <w:szCs w:val="14"/>
                <w:b w:val="1"/>
                <w:bCs w:val="1"/>
                <w:color w:val="auto"/>
                <w:vertAlign w:val="superscript"/>
              </w:rPr>
              <w:t>(1)</w:t>
            </w:r>
            <w:r>
              <w:rPr>
                <w:rFonts w:ascii="Arial" w:cs="Arial" w:eastAsia="Arial" w:hAnsi="Arial"/>
                <w:sz w:val="11"/>
                <w:szCs w:val="11"/>
                <w:color w:val="auto"/>
              </w:rPr>
              <w:t>:</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Mortgages payable</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4,869,543</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80" w:type="dxa"/>
            <w:vAlign w:val="bottom"/>
          </w:tcPr>
          <w:p>
            <w:pPr>
              <w:ind w:left="540"/>
              <w:spacing w:after="0"/>
              <w:rPr>
                <w:sz w:val="20"/>
                <w:szCs w:val="20"/>
                <w:color w:val="auto"/>
              </w:rPr>
            </w:pPr>
            <w:r>
              <w:rPr>
                <w:rFonts w:ascii="Arial" w:cs="Arial" w:eastAsia="Arial" w:hAnsi="Arial"/>
                <w:sz w:val="11"/>
                <w:szCs w:val="11"/>
                <w:color w:val="auto"/>
              </w:rPr>
              <w:t>Senior unsecured notes</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850,000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$850 Million unsecured term loan</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850,000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80" w:type="dxa"/>
            <w:vAlign w:val="bottom"/>
            <w:tcBorders>
              <w:bottom w:val="single" w:sz="8" w:color="CCEEFF"/>
            </w:tcBorders>
          </w:tcPr>
          <w:p>
            <w:pPr>
              <w:ind w:left="540"/>
              <w:spacing w:after="0"/>
              <w:rPr>
                <w:sz w:val="20"/>
                <w:szCs w:val="20"/>
                <w:color w:val="auto"/>
              </w:rPr>
            </w:pPr>
            <w:r>
              <w:rPr>
                <w:rFonts w:ascii="Arial" w:cs="Arial" w:eastAsia="Arial" w:hAnsi="Arial"/>
                <w:sz w:val="11"/>
                <w:szCs w:val="11"/>
                <w:color w:val="auto"/>
              </w:rPr>
              <w:t>$2.1 Billion unsecured revolving credit facilities</w:t>
            </w:r>
          </w:p>
        </w:tc>
        <w:tc>
          <w:tcPr>
            <w:tcW w:w="12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918,000</w:t>
            </w:r>
          </w:p>
        </w:tc>
        <w:tc>
          <w:tcPr>
            <w:tcW w:w="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7,487,543</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980" w:type="dxa"/>
            <w:vAlign w:val="bottom"/>
          </w:tcPr>
          <w:p>
            <w:pPr>
              <w:ind w:left="280"/>
              <w:spacing w:after="0"/>
              <w:rPr>
                <w:sz w:val="20"/>
                <w:szCs w:val="20"/>
                <w:color w:val="auto"/>
              </w:rPr>
            </w:pPr>
            <w:r>
              <w:rPr>
                <w:rFonts w:ascii="Arial" w:cs="Arial" w:eastAsia="Arial" w:hAnsi="Arial"/>
                <w:sz w:val="11"/>
                <w:szCs w:val="11"/>
                <w:color w:val="auto"/>
              </w:rPr>
              <w:t>Pro rata share of debt of non-consolidated entities</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2,732,549</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Less: Noncontrolling interests' share of consolidated debt (1290 Avenue of the Americas and 555 California Street)</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(645,000)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9,575,092</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0" w:type="dxa"/>
            <w:vAlign w:val="bottom"/>
          </w:tcPr>
          <w:p>
            <w:pPr>
              <w:spacing w:after="0"/>
              <w:rPr>
                <w:sz w:val="1"/>
                <w:szCs w:val="1"/>
                <w:color w:val="auto"/>
              </w:rPr>
            </w:pPr>
          </w:p>
        </w:tc>
      </w:tr>
      <w:tr>
        <w:trPr>
          <w:trHeight w:val="489"/>
        </w:trPr>
        <w:tc>
          <w:tcPr>
            <w:tcW w:w="698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Shares/Units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Liquidation</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Perpetual Preferred:</w:t>
            </w: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Preference</w:t>
            </w: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980" w:type="dxa"/>
            <w:vAlign w:val="bottom"/>
            <w:vMerge w:val="continue"/>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3.25% preferred units (D-17) (141,400 units @ $25.00 per unit)</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3,535</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80" w:type="dxa"/>
            <w:vAlign w:val="bottom"/>
          </w:tcPr>
          <w:p>
            <w:pPr>
              <w:ind w:left="20"/>
              <w:spacing w:after="0"/>
              <w:rPr>
                <w:sz w:val="20"/>
                <w:szCs w:val="20"/>
                <w:color w:val="auto"/>
              </w:rPr>
            </w:pPr>
            <w:r>
              <w:rPr>
                <w:rFonts w:ascii="Arial" w:cs="Arial" w:eastAsia="Arial" w:hAnsi="Arial"/>
                <w:sz w:val="11"/>
                <w:szCs w:val="11"/>
                <w:color w:val="auto"/>
              </w:rPr>
              <w:t>5.40% Series L preferred shares</w:t>
            </w:r>
          </w:p>
        </w:tc>
        <w:tc>
          <w:tcPr>
            <w:tcW w:w="1260" w:type="dxa"/>
            <w:vAlign w:val="bottom"/>
          </w:tcPr>
          <w:p>
            <w:pPr>
              <w:jc w:val="right"/>
              <w:spacing w:after="0"/>
              <w:rPr>
                <w:sz w:val="20"/>
                <w:szCs w:val="20"/>
                <w:color w:val="auto"/>
              </w:rPr>
            </w:pPr>
            <w:r>
              <w:rPr>
                <w:rFonts w:ascii="Arial" w:cs="Arial" w:eastAsia="Arial" w:hAnsi="Arial"/>
                <w:sz w:val="11"/>
                <w:szCs w:val="11"/>
                <w:color w:val="auto"/>
              </w:rPr>
              <w:t>12,000</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25.00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300,000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5.25% Series M preferred shares</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319,500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80" w:type="dxa"/>
            <w:vAlign w:val="bottom"/>
          </w:tcPr>
          <w:p>
            <w:pPr>
              <w:ind w:left="20"/>
              <w:spacing w:after="0"/>
              <w:rPr>
                <w:sz w:val="20"/>
                <w:szCs w:val="20"/>
                <w:color w:val="auto"/>
              </w:rPr>
            </w:pPr>
            <w:r>
              <w:rPr>
                <w:rFonts w:ascii="Arial" w:cs="Arial" w:eastAsia="Arial" w:hAnsi="Arial"/>
                <w:sz w:val="11"/>
                <w:szCs w:val="11"/>
                <w:color w:val="auto"/>
              </w:rPr>
              <w:t>5.25% Series N preferred shares</w:t>
            </w:r>
          </w:p>
        </w:tc>
        <w:tc>
          <w:tcPr>
            <w:tcW w:w="1260" w:type="dxa"/>
            <w:vAlign w:val="bottom"/>
          </w:tcPr>
          <w:p>
            <w:pPr>
              <w:jc w:val="right"/>
              <w:spacing w:after="0"/>
              <w:rPr>
                <w:sz w:val="20"/>
                <w:szCs w:val="20"/>
                <w:color w:val="auto"/>
              </w:rPr>
            </w:pPr>
            <w:r>
              <w:rPr>
                <w:rFonts w:ascii="Arial" w:cs="Arial" w:eastAsia="Arial" w:hAnsi="Arial"/>
                <w:sz w:val="11"/>
                <w:szCs w:val="11"/>
                <w:color w:val="auto"/>
              </w:rPr>
              <w:t>12,000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25.00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300,000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4.45% Series O preferred shares</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25.00</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300,000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1,223,035</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(B)</w:t>
            </w:r>
          </w:p>
        </w:tc>
        <w:tc>
          <w:tcPr>
            <w:tcW w:w="0" w:type="dxa"/>
            <w:vAlign w:val="bottom"/>
          </w:tcPr>
          <w:p>
            <w:pPr>
              <w:spacing w:after="0"/>
              <w:rPr>
                <w:sz w:val="1"/>
                <w:szCs w:val="1"/>
                <w:color w:val="auto"/>
              </w:rPr>
            </w:pPr>
          </w:p>
        </w:tc>
      </w:tr>
      <w:tr>
        <w:trPr>
          <w:trHeight w:val="364"/>
        </w:trPr>
        <w:tc>
          <w:tcPr>
            <w:tcW w:w="69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rPr>
              <w:t>Converted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September 30, 2026</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Equity:</w:t>
            </w:r>
          </w:p>
        </w:tc>
        <w:tc>
          <w:tcPr>
            <w:tcW w:w="1260" w:type="dxa"/>
            <w:vAlign w:val="bottom"/>
          </w:tcPr>
          <w:p>
            <w:pPr>
              <w:jc w:val="center"/>
              <w:spacing w:after="0" w:line="155" w:lineRule="exact"/>
              <w:rPr>
                <w:sz w:val="20"/>
                <w:szCs w:val="20"/>
                <w:color w:val="auto"/>
              </w:rPr>
            </w:pPr>
            <w:r>
              <w:rPr>
                <w:rFonts w:ascii="Arial" w:cs="Arial" w:eastAsia="Arial" w:hAnsi="Arial"/>
                <w:sz w:val="11"/>
                <w:szCs w:val="11"/>
                <w:b w:val="1"/>
                <w:bCs w:val="1"/>
                <w:color w:val="auto"/>
                <w:w w:val="99"/>
              </w:rPr>
              <w:t>Shares</w:t>
            </w:r>
            <w:r>
              <w:rPr>
                <w:rFonts w:ascii="Arial" w:cs="Arial" w:eastAsia="Arial" w:hAnsi="Arial"/>
                <w:sz w:val="14"/>
                <w:szCs w:val="14"/>
                <w:b w:val="1"/>
                <w:bCs w:val="1"/>
                <w:color w:val="auto"/>
                <w:w w:val="99"/>
                <w:vertAlign w:val="superscript"/>
              </w:rPr>
              <w:t>(2)</w:t>
            </w:r>
          </w:p>
        </w:tc>
        <w:tc>
          <w:tcPr>
            <w:tcW w:w="80" w:type="dxa"/>
            <w:vAlign w:val="bottom"/>
          </w:tcPr>
          <w:p>
            <w:pPr>
              <w:spacing w:after="0"/>
              <w:rPr>
                <w:sz w:val="13"/>
                <w:szCs w:val="13"/>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rPr>
              <w:t>Common Share Price</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980" w:type="dxa"/>
            <w:vAlign w:val="bottom"/>
            <w:vMerge w:val="continue"/>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shares</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186,958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6,334,137</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80" w:type="dxa"/>
            <w:vAlign w:val="bottom"/>
          </w:tcPr>
          <w:p>
            <w:pPr>
              <w:ind w:left="20"/>
              <w:spacing w:after="0"/>
              <w:rPr>
                <w:sz w:val="20"/>
                <w:szCs w:val="20"/>
                <w:color w:val="auto"/>
              </w:rPr>
            </w:pPr>
            <w:r>
              <w:rPr>
                <w:rFonts w:ascii="Arial" w:cs="Arial" w:eastAsia="Arial" w:hAnsi="Arial"/>
                <w:sz w:val="11"/>
                <w:szCs w:val="11"/>
                <w:color w:val="auto"/>
              </w:rPr>
              <w:t>Redeemable Class A units and LTIP Unit awards</w:t>
            </w:r>
          </w:p>
        </w:tc>
        <w:tc>
          <w:tcPr>
            <w:tcW w:w="1260" w:type="dxa"/>
            <w:vAlign w:val="bottom"/>
          </w:tcPr>
          <w:p>
            <w:pPr>
              <w:jc w:val="right"/>
              <w:spacing w:after="0"/>
              <w:rPr>
                <w:sz w:val="20"/>
                <w:szCs w:val="20"/>
                <w:color w:val="auto"/>
              </w:rPr>
            </w:pPr>
            <w:r>
              <w:rPr>
                <w:rFonts w:ascii="Arial" w:cs="Arial" w:eastAsia="Arial" w:hAnsi="Arial"/>
                <w:sz w:val="11"/>
                <w:szCs w:val="11"/>
                <w:color w:val="auto"/>
              </w:rPr>
              <w:t>16,573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33.88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561,493</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Convertible share equivalents:</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80" w:type="dxa"/>
            <w:vAlign w:val="bottom"/>
          </w:tcPr>
          <w:p>
            <w:pPr>
              <w:ind w:left="280"/>
              <w:spacing w:after="0"/>
              <w:rPr>
                <w:sz w:val="20"/>
                <w:szCs w:val="20"/>
                <w:color w:val="auto"/>
              </w:rPr>
            </w:pPr>
            <w:r>
              <w:rPr>
                <w:rFonts w:ascii="Arial" w:cs="Arial" w:eastAsia="Arial" w:hAnsi="Arial"/>
                <w:sz w:val="11"/>
                <w:szCs w:val="11"/>
                <w:color w:val="auto"/>
              </w:rPr>
              <w:t>Series D-13 preferred units</w:t>
            </w:r>
          </w:p>
        </w:tc>
        <w:tc>
          <w:tcPr>
            <w:tcW w:w="1260" w:type="dxa"/>
            <w:vAlign w:val="bottom"/>
          </w:tcPr>
          <w:p>
            <w:pPr>
              <w:jc w:val="right"/>
              <w:spacing w:after="0"/>
              <w:rPr>
                <w:sz w:val="20"/>
                <w:szCs w:val="20"/>
                <w:color w:val="auto"/>
              </w:rPr>
            </w:pPr>
            <w:r>
              <w:rPr>
                <w:rFonts w:ascii="Arial" w:cs="Arial" w:eastAsia="Arial" w:hAnsi="Arial"/>
                <w:sz w:val="11"/>
                <w:szCs w:val="11"/>
                <w:color w:val="auto"/>
              </w:rPr>
              <w:t>1,378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33.88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46,687</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Series G-1 through G-4 preferred units</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2,744</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Series A preferred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33.88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474</w:t>
            </w:r>
          </w:p>
        </w:tc>
        <w:tc>
          <w:tcPr>
            <w:tcW w:w="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8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205,004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6,945,535</w:t>
            </w:r>
          </w:p>
        </w:tc>
        <w:tc>
          <w:tcPr>
            <w:tcW w:w="3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w:t>
            </w:r>
          </w:p>
        </w:tc>
        <w:tc>
          <w:tcPr>
            <w:tcW w:w="0" w:type="dxa"/>
            <w:vAlign w:val="bottom"/>
          </w:tcPr>
          <w:p>
            <w:pPr>
              <w:spacing w:after="0"/>
              <w:rPr>
                <w:sz w:val="1"/>
                <w:szCs w:val="1"/>
                <w:color w:val="auto"/>
              </w:rPr>
            </w:pPr>
          </w:p>
        </w:tc>
      </w:tr>
      <w:tr>
        <w:trPr>
          <w:trHeight w:val="153"/>
        </w:trPr>
        <w:tc>
          <w:tcPr>
            <w:tcW w:w="6980" w:type="dxa"/>
            <w:vAlign w:val="bottom"/>
          </w:tcPr>
          <w:p>
            <w:pPr>
              <w:ind w:left="20"/>
              <w:spacing w:after="0"/>
              <w:rPr>
                <w:sz w:val="20"/>
                <w:szCs w:val="20"/>
                <w:color w:val="auto"/>
              </w:rPr>
            </w:pPr>
            <w:r>
              <w:rPr>
                <w:rFonts w:ascii="Arial" w:cs="Arial" w:eastAsia="Arial" w:hAnsi="Arial"/>
                <w:sz w:val="11"/>
                <w:szCs w:val="11"/>
                <w:b w:val="1"/>
                <w:bCs w:val="1"/>
                <w:color w:val="auto"/>
              </w:rPr>
              <w:t>Total Market Capitalization (A+B+C)</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17,743,662</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49" w:lineRule="exact"/>
        <w:rPr>
          <w:sz w:val="20"/>
          <w:szCs w:val="20"/>
          <w:color w:val="auto"/>
        </w:rPr>
      </w:pPr>
    </w:p>
    <w:p>
      <w:pPr>
        <w:ind w:left="260" w:hanging="254"/>
        <w:spacing w:after="0"/>
        <w:tabs>
          <w:tab w:leader="none" w:pos="260" w:val="left"/>
        </w:tabs>
        <w:numPr>
          <w:ilvl w:val="0"/>
          <w:numId w:val="29"/>
        </w:numPr>
        <w:rPr>
          <w:rFonts w:ascii="Arial" w:cs="Arial" w:eastAsia="Arial" w:hAnsi="Arial"/>
          <w:sz w:val="11"/>
          <w:szCs w:val="11"/>
          <w:b w:val="1"/>
          <w:bCs w:val="1"/>
          <w:color w:val="auto"/>
        </w:rPr>
      </w:pPr>
      <w:r>
        <w:rPr>
          <w:rFonts w:ascii="Arial" w:cs="Arial" w:eastAsia="Arial" w:hAnsi="Arial"/>
          <w:sz w:val="11"/>
          <w:szCs w:val="11"/>
          <w:color w:val="auto"/>
        </w:rPr>
        <w:t>See the reconciliation on page xv of consolidated debt, net as presented on our consolidated balance sheets to consolidated contractual debt as of September 30, 2026.</w:t>
      </w:r>
    </w:p>
    <w:p>
      <w:pPr>
        <w:spacing w:after="0" w:line="29" w:lineRule="exact"/>
        <w:rPr>
          <w:rFonts w:ascii="Arial" w:cs="Arial" w:eastAsia="Arial" w:hAnsi="Arial"/>
          <w:sz w:val="11"/>
          <w:szCs w:val="11"/>
          <w:b w:val="1"/>
          <w:bCs w:val="1"/>
          <w:color w:val="auto"/>
        </w:rPr>
      </w:pPr>
    </w:p>
    <w:p>
      <w:pPr>
        <w:ind w:left="260" w:hanging="254"/>
        <w:spacing w:after="0"/>
        <w:tabs>
          <w:tab w:leader="none" w:pos="260" w:val="left"/>
        </w:tabs>
        <w:numPr>
          <w:ilvl w:val="0"/>
          <w:numId w:val="29"/>
        </w:numPr>
        <w:rPr>
          <w:rFonts w:ascii="Arial" w:cs="Arial" w:eastAsia="Arial" w:hAnsi="Arial"/>
          <w:sz w:val="11"/>
          <w:szCs w:val="11"/>
          <w:b w:val="1"/>
          <w:bCs w:val="1"/>
          <w:color w:val="auto"/>
        </w:rPr>
      </w:pPr>
      <w:r>
        <w:rPr>
          <w:rFonts w:ascii="Arial" w:cs="Arial" w:eastAsia="Arial" w:hAnsi="Arial"/>
          <w:sz w:val="11"/>
          <w:szCs w:val="11"/>
          <w:color w:val="auto"/>
        </w:rPr>
        <w:t>Excludes share-based equity awards that may be considered dilutive in the period. See page 6 for our weighted average units outstanding on a dilutive basis.</w:t>
      </w:r>
    </w:p>
    <w:p>
      <w:pPr>
        <w:spacing w:after="0" w:line="272" w:lineRule="exact"/>
        <w:rPr>
          <w:rFonts w:ascii="Arial" w:cs="Arial" w:eastAsia="Arial" w:hAnsi="Arial"/>
          <w:sz w:val="11"/>
          <w:szCs w:val="11"/>
          <w:b w:val="1"/>
          <w:bCs w:val="1"/>
          <w:color w:val="auto"/>
        </w:rPr>
      </w:pPr>
    </w:p>
    <w:p>
      <w:pPr>
        <w:ind w:left="5580" w:hanging="87"/>
        <w:spacing w:after="0"/>
        <w:tabs>
          <w:tab w:leader="none" w:pos="55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26 -</w:t>
      </w:r>
    </w:p>
    <w:p>
      <w:pPr>
        <w:sectPr>
          <w:pgSz w:w="11900" w:h="16838" w:orient="portrait"/>
          <w:cols w:equalWidth="0" w:num="1">
            <w:col w:w="11220"/>
          </w:cols>
          <w:pgMar w:left="300" w:top="981" w:right="379" w:bottom="1440" w:gutter="0" w:footer="0" w:header="0"/>
        </w:sectPr>
      </w:pPr>
    </w:p>
    <w:bookmarkStart w:id="47" w:name="page48"/>
    <w:bookmarkEnd w:id="47"/>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DEBT MATURITIES (CONTRACTUAL BALANCES)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1"/>
          <w:szCs w:val="1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Consolidated (100%):</w:t>
      </w:r>
    </w:p>
    <w:p>
      <w:pPr>
        <w:spacing w:after="0" w:line="25" w:lineRule="exact"/>
        <w:rPr>
          <w:sz w:val="20"/>
          <w:szCs w:val="20"/>
          <w:color w:val="auto"/>
        </w:rPr>
      </w:pPr>
    </w:p>
    <w:p>
      <w:pPr>
        <w:ind w:left="100"/>
        <w:spacing w:after="0"/>
        <w:tabs>
          <w:tab w:leader="none" w:pos="1760" w:val="left"/>
        </w:tabs>
        <w:rPr>
          <w:sz w:val="20"/>
          <w:szCs w:val="20"/>
          <w:color w:val="auto"/>
        </w:rPr>
      </w:pPr>
      <w:r>
        <w:rPr>
          <w:rFonts w:ascii="Arial" w:cs="Arial" w:eastAsia="Arial" w:hAnsi="Arial"/>
          <w:sz w:val="10"/>
          <w:szCs w:val="10"/>
          <w:color w:val="auto"/>
        </w:rPr>
        <w:t>Secured</w:t>
      </w:r>
      <w:r>
        <w:rPr>
          <w:sz w:val="20"/>
          <w:szCs w:val="20"/>
          <w:color w:val="auto"/>
        </w:rPr>
        <w:tab/>
      </w:r>
      <w:r>
        <w:rPr>
          <w:rFonts w:ascii="Arial" w:cs="Arial" w:eastAsia="Arial" w:hAnsi="Arial"/>
          <w:sz w:val="10"/>
          <w:szCs w:val="10"/>
          <w:color w:val="auto"/>
        </w:rPr>
        <w:t>$</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0"/>
          <w:szCs w:val="10"/>
          <w:color w:val="auto"/>
        </w:rPr>
        <w:t>Unsecured</w:t>
      </w:r>
    </w:p>
    <w:p>
      <w:pPr>
        <w:spacing w:after="0" w:line="25"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0"/>
          <w:szCs w:val="10"/>
          <w:b w:val="1"/>
          <w:bCs w:val="1"/>
          <w:color w:val="auto"/>
        </w:rPr>
        <w:t>Total consolidated debt (100%)</w:t>
      </w:r>
      <w:r>
        <w:rPr>
          <w:sz w:val="20"/>
          <w:szCs w:val="20"/>
          <w:color w:val="auto"/>
        </w:rPr>
        <w:tab/>
      </w:r>
      <w:r>
        <w:rPr>
          <w:rFonts w:ascii="Arial" w:cs="Arial" w:eastAsia="Arial" w:hAnsi="Arial"/>
          <w:sz w:val="10"/>
          <w:szCs w:val="10"/>
          <w:b w:val="1"/>
          <w:bCs w:val="1"/>
          <w:color w:val="auto"/>
        </w:rPr>
        <w:t>$</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0"/>
          <w:szCs w:val="10"/>
          <w:color w:val="auto"/>
        </w:rPr>
        <w:t>% of total consolidated debt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Debt maturities at share:</w:t>
      </w:r>
    </w:p>
    <w:p>
      <w:pPr>
        <w:spacing w:after="0" w:line="25"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0"/>
          <w:szCs w:val="10"/>
          <w:color w:val="auto"/>
        </w:rPr>
        <w:t>Consolidated debt (100%)</w:t>
      </w:r>
      <w:r>
        <w:rPr>
          <w:sz w:val="20"/>
          <w:szCs w:val="20"/>
          <w:color w:val="auto"/>
        </w:rPr>
        <w:tab/>
      </w:r>
      <w:r>
        <w:rPr>
          <w:rFonts w:ascii="Arial" w:cs="Arial" w:eastAsia="Arial" w:hAnsi="Arial"/>
          <w:sz w:val="10"/>
          <w:szCs w:val="10"/>
          <w:color w:val="auto"/>
        </w:rPr>
        <w:t>$</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Pro rata share of debt of non-</w:t>
      </w:r>
    </w:p>
    <w:p>
      <w:pPr>
        <w:ind w:left="200"/>
        <w:spacing w:after="0"/>
        <w:rPr>
          <w:sz w:val="20"/>
          <w:szCs w:val="20"/>
          <w:color w:val="auto"/>
        </w:rPr>
      </w:pPr>
      <w:r>
        <w:rPr>
          <w:rFonts w:ascii="Arial" w:cs="Arial" w:eastAsia="Arial" w:hAnsi="Arial"/>
          <w:sz w:val="10"/>
          <w:szCs w:val="10"/>
          <w:color w:val="auto"/>
        </w:rPr>
        <w:t>consolidated entities</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0"/>
          <w:szCs w:val="10"/>
          <w:color w:val="auto"/>
        </w:rPr>
        <w:t>Less: Noncontrolling interests' share</w:t>
      </w:r>
    </w:p>
    <w:p>
      <w:pPr>
        <w:ind w:left="200"/>
        <w:spacing w:after="0"/>
        <w:rPr>
          <w:sz w:val="20"/>
          <w:szCs w:val="20"/>
          <w:color w:val="auto"/>
        </w:rPr>
      </w:pPr>
      <w:r>
        <w:rPr>
          <w:rFonts w:ascii="Arial" w:cs="Arial" w:eastAsia="Arial" w:hAnsi="Arial"/>
          <w:sz w:val="10"/>
          <w:szCs w:val="10"/>
          <w:color w:val="auto"/>
        </w:rPr>
        <w:t>of consolidated debt</w:t>
      </w:r>
    </w:p>
    <w:p>
      <w:pPr>
        <w:spacing w:after="0" w:line="26"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0"/>
          <w:szCs w:val="10"/>
          <w:b w:val="1"/>
          <w:bCs w:val="1"/>
          <w:color w:val="auto"/>
        </w:rPr>
        <w:t>Total debt at share</w:t>
      </w:r>
      <w:r>
        <w:rPr>
          <w:sz w:val="20"/>
          <w:szCs w:val="20"/>
          <w:color w:val="auto"/>
        </w:rPr>
        <w:tab/>
      </w:r>
      <w:r>
        <w:rPr>
          <w:rFonts w:ascii="Arial" w:cs="Arial" w:eastAsia="Arial" w:hAnsi="Arial"/>
          <w:sz w:val="10"/>
          <w:szCs w:val="10"/>
          <w:b w:val="1"/>
          <w:bCs w:val="1"/>
          <w:color w:val="auto"/>
        </w:rPr>
        <w:t>$</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0"/>
          <w:szCs w:val="10"/>
          <w:color w:val="auto"/>
        </w:rPr>
        <w:t>% of total debt at share</w:t>
      </w:r>
    </w:p>
    <w:p>
      <w:pPr>
        <w:spacing w:after="0" w:line="11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2500"/>
        <w:spacing w:after="0"/>
        <w:rPr>
          <w:sz w:val="20"/>
          <w:szCs w:val="20"/>
          <w:color w:val="auto"/>
        </w:rPr>
      </w:pPr>
      <w:r>
        <w:rPr>
          <w:rFonts w:ascii="Arial" w:cs="Arial" w:eastAsia="Arial" w:hAnsi="Arial"/>
          <w:sz w:val="13"/>
          <w:szCs w:val="13"/>
          <w:b w:val="1"/>
          <w:bCs w:val="1"/>
          <w:color w:val="auto"/>
        </w:rPr>
        <w:t>Consolidated Debt Maturity Schedule</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 xml:space="preserve"> as of September 30, 2026</w:t>
      </w:r>
    </w:p>
    <w:p>
      <w:pPr>
        <w:ind w:left="2400"/>
        <w:spacing w:after="0"/>
        <w:rPr>
          <w:sz w:val="20"/>
          <w:szCs w:val="20"/>
          <w:color w:val="auto"/>
        </w:rPr>
      </w:pPr>
      <w:r>
        <w:rPr>
          <w:rFonts w:ascii="Arial" w:cs="Arial" w:eastAsia="Arial" w:hAnsi="Arial"/>
          <w:sz w:val="9"/>
          <w:szCs w:val="9"/>
          <w:color w:val="auto"/>
        </w:rPr>
        <w:t>(Excludes pro rata share of JV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55880</wp:posOffset>
            </wp:positionV>
            <wp:extent cx="5117465" cy="2486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17465" cy="248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00" w:type="dxa"/>
            <w:vAlign w:val="bottom"/>
          </w:tcPr>
          <w:p>
            <w:pPr>
              <w:jc w:val="right"/>
              <w:ind w:right="90"/>
              <w:spacing w:after="0"/>
              <w:rPr>
                <w:sz w:val="20"/>
                <w:szCs w:val="20"/>
                <w:color w:val="auto"/>
              </w:rPr>
            </w:pPr>
            <w:r>
              <w:rPr>
                <w:rFonts w:ascii="Arial" w:cs="Arial" w:eastAsia="Arial" w:hAnsi="Arial"/>
                <w:sz w:val="10"/>
                <w:szCs w:val="10"/>
                <w:color w:val="auto"/>
                <w:w w:val="93"/>
              </w:rPr>
              <w:t>244,543</w:t>
            </w:r>
          </w:p>
        </w:tc>
        <w:tc>
          <w:tcPr>
            <w:tcW w:w="200" w:type="dxa"/>
            <w:vAlign w:val="bottom"/>
          </w:tcPr>
          <w:p>
            <w:pPr>
              <w:jc w:val="right"/>
              <w:ind w:right="67"/>
              <w:spacing w:after="0"/>
              <w:rPr>
                <w:sz w:val="20"/>
                <w:szCs w:val="20"/>
                <w:color w:val="auto"/>
              </w:rPr>
            </w:pPr>
            <w:r>
              <w:rPr>
                <w:rFonts w:ascii="Arial" w:cs="Arial" w:eastAsia="Arial" w:hAnsi="Arial"/>
                <w:sz w:val="7"/>
                <w:szCs w:val="7"/>
                <w:b w:val="1"/>
                <w:bCs w:val="1"/>
                <w:color w:val="auto"/>
                <w:w w:val="92"/>
              </w:rPr>
              <w:t>(2)</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90"/>
              <w:spacing w:after="0"/>
              <w:rPr>
                <w:sz w:val="20"/>
                <w:szCs w:val="20"/>
                <w:color w:val="auto"/>
              </w:rPr>
            </w:pPr>
            <w:r>
              <w:rPr>
                <w:rFonts w:ascii="Arial" w:cs="Arial" w:eastAsia="Arial" w:hAnsi="Arial"/>
                <w:sz w:val="10"/>
                <w:szCs w:val="10"/>
                <w:color w:val="auto"/>
              </w:rPr>
              <w:t>880,000</w:t>
            </w:r>
          </w:p>
        </w:tc>
        <w:tc>
          <w:tcPr>
            <w:tcW w:w="180" w:type="dxa"/>
            <w:vAlign w:val="bottom"/>
          </w:tcPr>
          <w:p>
            <w:pPr>
              <w:spacing w:after="0"/>
              <w:rPr>
                <w:sz w:val="11"/>
                <w:szCs w:val="11"/>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90"/>
              <w:spacing w:after="0"/>
              <w:rPr>
                <w:sz w:val="20"/>
                <w:szCs w:val="20"/>
                <w:color w:val="auto"/>
              </w:rPr>
            </w:pPr>
            <w:r>
              <w:rPr>
                <w:rFonts w:ascii="Arial" w:cs="Arial" w:eastAsia="Arial" w:hAnsi="Arial"/>
                <w:sz w:val="10"/>
                <w:szCs w:val="10"/>
                <w:color w:val="auto"/>
              </w:rPr>
              <w:t>2,300,000</w:t>
            </w:r>
          </w:p>
        </w:tc>
        <w:tc>
          <w:tcPr>
            <w:tcW w:w="120" w:type="dxa"/>
            <w:vAlign w:val="bottom"/>
          </w:tcPr>
          <w:p>
            <w:pPr>
              <w:spacing w:after="0"/>
              <w:rPr>
                <w:sz w:val="11"/>
                <w:szCs w:val="11"/>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0"/>
              <w:spacing w:after="0"/>
              <w:rPr>
                <w:sz w:val="20"/>
                <w:szCs w:val="20"/>
                <w:color w:val="auto"/>
              </w:rPr>
            </w:pPr>
            <w:r>
              <w:rPr>
                <w:rFonts w:ascii="Arial" w:cs="Arial" w:eastAsia="Arial" w:hAnsi="Arial"/>
                <w:sz w:val="10"/>
                <w:szCs w:val="10"/>
                <w:color w:val="auto"/>
              </w:rPr>
              <w:t>450,000</w:t>
            </w:r>
          </w:p>
        </w:tc>
        <w:tc>
          <w:tcPr>
            <w:tcW w:w="120" w:type="dxa"/>
            <w:vAlign w:val="bottom"/>
          </w:tcPr>
          <w:p>
            <w:pPr>
              <w:spacing w:after="0"/>
              <w:rPr>
                <w:sz w:val="11"/>
                <w:szCs w:val="11"/>
                <w:color w:val="auto"/>
              </w:rPr>
            </w:pPr>
          </w:p>
        </w:tc>
        <w:tc>
          <w:tcPr>
            <w:tcW w:w="36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90"/>
              <w:spacing w:after="0"/>
              <w:rPr>
                <w:sz w:val="20"/>
                <w:szCs w:val="20"/>
                <w:color w:val="auto"/>
              </w:rPr>
            </w:pPr>
            <w:r>
              <w:rPr>
                <w:rFonts w:ascii="Arial" w:cs="Arial" w:eastAsia="Arial" w:hAnsi="Arial"/>
                <w:sz w:val="10"/>
                <w:szCs w:val="10"/>
                <w:color w:val="auto"/>
              </w:rPr>
              <w:t>995,000</w:t>
            </w:r>
          </w:p>
        </w:tc>
        <w:tc>
          <w:tcPr>
            <w:tcW w:w="0" w:type="dxa"/>
            <w:vAlign w:val="bottom"/>
          </w:tcPr>
          <w:p>
            <w:pPr>
              <w:spacing w:after="0"/>
              <w:rPr>
                <w:sz w:val="1"/>
                <w:szCs w:val="1"/>
                <w:color w:val="auto"/>
              </w:rPr>
            </w:pPr>
          </w:p>
        </w:tc>
      </w:tr>
      <w:tr>
        <w:trPr>
          <w:trHeight w:val="142"/>
        </w:trPr>
        <w:tc>
          <w:tcPr>
            <w:tcW w:w="50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880" w:type="dxa"/>
            <w:vAlign w:val="bottom"/>
          </w:tcPr>
          <w:p>
            <w:pPr>
              <w:jc w:val="right"/>
              <w:ind w:right="90"/>
              <w:spacing w:after="0"/>
              <w:rPr>
                <w:sz w:val="20"/>
                <w:szCs w:val="20"/>
                <w:color w:val="auto"/>
              </w:rPr>
            </w:pPr>
            <w:r>
              <w:rPr>
                <w:rFonts w:ascii="Arial" w:cs="Arial" w:eastAsia="Arial" w:hAnsi="Arial"/>
                <w:sz w:val="10"/>
                <w:szCs w:val="10"/>
                <w:color w:val="auto"/>
              </w:rPr>
              <w:t>2,618,000</w:t>
            </w:r>
          </w:p>
        </w:tc>
        <w:tc>
          <w:tcPr>
            <w:tcW w:w="0" w:type="dxa"/>
            <w:vAlign w:val="bottom"/>
          </w:tcPr>
          <w:p>
            <w:pPr>
              <w:spacing w:after="0"/>
              <w:rPr>
                <w:sz w:val="1"/>
                <w:szCs w:val="1"/>
                <w:color w:val="auto"/>
              </w:rPr>
            </w:pPr>
          </w:p>
        </w:tc>
      </w:tr>
      <w:tr>
        <w:trPr>
          <w:trHeight w:val="137"/>
        </w:trPr>
        <w:tc>
          <w:tcPr>
            <w:tcW w:w="500" w:type="dxa"/>
            <w:vAlign w:val="bottom"/>
          </w:tcPr>
          <w:p>
            <w:pPr>
              <w:jc w:val="right"/>
              <w:ind w:right="90"/>
              <w:spacing w:after="0"/>
              <w:rPr>
                <w:sz w:val="20"/>
                <w:szCs w:val="20"/>
                <w:color w:val="auto"/>
              </w:rPr>
            </w:pPr>
            <w:r>
              <w:rPr>
                <w:rFonts w:ascii="Arial" w:cs="Arial" w:eastAsia="Arial" w:hAnsi="Arial"/>
                <w:sz w:val="10"/>
                <w:szCs w:val="10"/>
                <w:b w:val="1"/>
                <w:bCs w:val="1"/>
                <w:color w:val="auto"/>
                <w:w w:val="93"/>
              </w:rPr>
              <w:t>244,543</w:t>
            </w:r>
          </w:p>
        </w:tc>
        <w:tc>
          <w:tcPr>
            <w:tcW w:w="2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880,000</w:t>
            </w:r>
          </w:p>
        </w:tc>
        <w:tc>
          <w:tcPr>
            <w:tcW w:w="1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2,300,000</w:t>
            </w:r>
          </w:p>
        </w:tc>
        <w:tc>
          <w:tcPr>
            <w:tcW w:w="12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450,000</w:t>
            </w:r>
          </w:p>
        </w:tc>
        <w:tc>
          <w:tcPr>
            <w:tcW w:w="12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3,613,000</w:t>
            </w: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3.3 %</w:t>
            </w: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11.8 %</w:t>
            </w:r>
          </w:p>
        </w:tc>
        <w:tc>
          <w:tcPr>
            <w:tcW w:w="1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30.7 %</w:t>
            </w: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 %</w:t>
            </w: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6.0 %</w:t>
            </w:r>
          </w:p>
        </w:tc>
        <w:tc>
          <w:tcPr>
            <w:tcW w:w="1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48.2 %</w:t>
            </w:r>
          </w:p>
        </w:tc>
        <w:tc>
          <w:tcPr>
            <w:tcW w:w="0" w:type="dxa"/>
            <w:vAlign w:val="bottom"/>
          </w:tcPr>
          <w:p>
            <w:pPr>
              <w:spacing w:after="0"/>
              <w:rPr>
                <w:sz w:val="1"/>
                <w:szCs w:val="1"/>
                <w:color w:val="auto"/>
              </w:rPr>
            </w:pPr>
          </w:p>
        </w:tc>
      </w:tr>
      <w:tr>
        <w:trPr>
          <w:trHeight w:val="276"/>
        </w:trPr>
        <w:tc>
          <w:tcPr>
            <w:tcW w:w="500" w:type="dxa"/>
            <w:vAlign w:val="bottom"/>
          </w:tcPr>
          <w:p>
            <w:pPr>
              <w:jc w:val="right"/>
              <w:ind w:right="90"/>
              <w:spacing w:after="0"/>
              <w:rPr>
                <w:sz w:val="20"/>
                <w:szCs w:val="20"/>
                <w:color w:val="auto"/>
              </w:rPr>
            </w:pPr>
            <w:r>
              <w:rPr>
                <w:rFonts w:ascii="Arial" w:cs="Arial" w:eastAsia="Arial" w:hAnsi="Arial"/>
                <w:sz w:val="10"/>
                <w:szCs w:val="10"/>
                <w:color w:val="auto"/>
                <w:w w:val="93"/>
              </w:rPr>
              <w:t>244,543</w:t>
            </w:r>
          </w:p>
        </w:tc>
        <w:tc>
          <w:tcPr>
            <w:tcW w:w="200" w:type="dxa"/>
            <w:vAlign w:val="bottom"/>
          </w:tcPr>
          <w:p>
            <w:pPr>
              <w:spacing w:after="0"/>
              <w:rPr>
                <w:sz w:val="23"/>
                <w:szCs w:val="23"/>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90"/>
              <w:spacing w:after="0"/>
              <w:rPr>
                <w:sz w:val="20"/>
                <w:szCs w:val="20"/>
                <w:color w:val="auto"/>
              </w:rPr>
            </w:pPr>
            <w:r>
              <w:rPr>
                <w:rFonts w:ascii="Arial" w:cs="Arial" w:eastAsia="Arial" w:hAnsi="Arial"/>
                <w:sz w:val="10"/>
                <w:szCs w:val="10"/>
                <w:color w:val="auto"/>
              </w:rPr>
              <w:t>880,000</w:t>
            </w:r>
          </w:p>
        </w:tc>
        <w:tc>
          <w:tcPr>
            <w:tcW w:w="180" w:type="dxa"/>
            <w:vAlign w:val="bottom"/>
          </w:tcPr>
          <w:p>
            <w:pPr>
              <w:spacing w:after="0"/>
              <w:rPr>
                <w:sz w:val="23"/>
                <w:szCs w:val="23"/>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90"/>
              <w:spacing w:after="0"/>
              <w:rPr>
                <w:sz w:val="20"/>
                <w:szCs w:val="20"/>
                <w:color w:val="auto"/>
              </w:rPr>
            </w:pPr>
            <w:r>
              <w:rPr>
                <w:rFonts w:ascii="Arial" w:cs="Arial" w:eastAsia="Arial" w:hAnsi="Arial"/>
                <w:sz w:val="10"/>
                <w:szCs w:val="10"/>
                <w:color w:val="auto"/>
              </w:rPr>
              <w:t>2,300,000</w:t>
            </w:r>
          </w:p>
        </w:tc>
        <w:tc>
          <w:tcPr>
            <w:tcW w:w="120" w:type="dxa"/>
            <w:vAlign w:val="bottom"/>
          </w:tcPr>
          <w:p>
            <w:pPr>
              <w:spacing w:after="0"/>
              <w:rPr>
                <w:sz w:val="23"/>
                <w:szCs w:val="23"/>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0"/>
              <w:spacing w:after="0"/>
              <w:rPr>
                <w:sz w:val="20"/>
                <w:szCs w:val="20"/>
                <w:color w:val="auto"/>
              </w:rPr>
            </w:pPr>
            <w:r>
              <w:rPr>
                <w:rFonts w:ascii="Arial" w:cs="Arial" w:eastAsia="Arial" w:hAnsi="Arial"/>
                <w:sz w:val="10"/>
                <w:szCs w:val="10"/>
                <w:color w:val="auto"/>
              </w:rPr>
              <w:t>450,000</w:t>
            </w:r>
          </w:p>
        </w:tc>
        <w:tc>
          <w:tcPr>
            <w:tcW w:w="120" w:type="dxa"/>
            <w:vAlign w:val="bottom"/>
          </w:tcPr>
          <w:p>
            <w:pPr>
              <w:spacing w:after="0"/>
              <w:rPr>
                <w:sz w:val="23"/>
                <w:szCs w:val="23"/>
                <w:color w:val="auto"/>
              </w:rPr>
            </w:pPr>
          </w:p>
        </w:tc>
        <w:tc>
          <w:tcPr>
            <w:tcW w:w="36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90"/>
              <w:spacing w:after="0"/>
              <w:rPr>
                <w:sz w:val="20"/>
                <w:szCs w:val="20"/>
                <w:color w:val="auto"/>
              </w:rPr>
            </w:pPr>
            <w:r>
              <w:rPr>
                <w:rFonts w:ascii="Arial" w:cs="Arial" w:eastAsia="Arial" w:hAnsi="Arial"/>
                <w:sz w:val="10"/>
                <w:szCs w:val="10"/>
                <w:color w:val="auto"/>
              </w:rPr>
              <w:t>3,613,000</w:t>
            </w:r>
          </w:p>
        </w:tc>
        <w:tc>
          <w:tcPr>
            <w:tcW w:w="0" w:type="dxa"/>
            <w:vAlign w:val="bottom"/>
          </w:tcPr>
          <w:p>
            <w:pPr>
              <w:spacing w:after="0"/>
              <w:rPr>
                <w:sz w:val="1"/>
                <w:szCs w:val="1"/>
                <w:color w:val="auto"/>
              </w:rPr>
            </w:pPr>
          </w:p>
        </w:tc>
      </w:tr>
      <w:tr>
        <w:trPr>
          <w:trHeight w:val="247"/>
        </w:trPr>
        <w:tc>
          <w:tcPr>
            <w:tcW w:w="500" w:type="dxa"/>
            <w:vAlign w:val="bottom"/>
          </w:tcPr>
          <w:p>
            <w:pPr>
              <w:jc w:val="right"/>
              <w:ind w:right="90"/>
              <w:spacing w:after="0"/>
              <w:rPr>
                <w:sz w:val="20"/>
                <w:szCs w:val="20"/>
                <w:color w:val="auto"/>
              </w:rPr>
            </w:pPr>
            <w:r>
              <w:rPr>
                <w:rFonts w:ascii="Arial" w:cs="Arial" w:eastAsia="Arial" w:hAnsi="Arial"/>
                <w:sz w:val="10"/>
                <w:szCs w:val="10"/>
                <w:color w:val="auto"/>
                <w:w w:val="93"/>
              </w:rPr>
              <w:t>335,875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0"/>
                <w:szCs w:val="10"/>
                <w:color w:val="auto"/>
              </w:rPr>
              <w:t>124,113</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0"/>
                <w:szCs w:val="10"/>
                <w:color w:val="auto"/>
              </w:rPr>
              <w:t>898,502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0"/>
                <w:szCs w:val="10"/>
                <w:color w:val="auto"/>
              </w:rPr>
              <w:t>205,097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0"/>
                <w:szCs w:val="10"/>
                <w:color w:val="auto"/>
              </w:rPr>
              <w:t>628,808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0"/>
                <w:szCs w:val="10"/>
                <w:color w:val="auto"/>
              </w:rPr>
              <w:t>540,154</w:t>
            </w:r>
          </w:p>
        </w:tc>
        <w:tc>
          <w:tcPr>
            <w:tcW w:w="0" w:type="dxa"/>
            <w:vAlign w:val="bottom"/>
          </w:tcPr>
          <w:p>
            <w:pPr>
              <w:spacing w:after="0"/>
              <w:rPr>
                <w:sz w:val="1"/>
                <w:szCs w:val="1"/>
                <w:color w:val="auto"/>
              </w:rPr>
            </w:pPr>
          </w:p>
        </w:tc>
      </w:tr>
      <w:tr>
        <w:trPr>
          <w:trHeight w:val="249"/>
        </w:trPr>
        <w:tc>
          <w:tcPr>
            <w:tcW w:w="50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0"/>
                <w:szCs w:val="10"/>
                <w:color w:val="auto"/>
              </w:rPr>
              <w:t>(645,000)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500" w:type="dxa"/>
            <w:vAlign w:val="bottom"/>
          </w:tcPr>
          <w:p>
            <w:pPr>
              <w:jc w:val="right"/>
              <w:ind w:right="90"/>
              <w:spacing w:after="0"/>
              <w:rPr>
                <w:sz w:val="20"/>
                <w:szCs w:val="20"/>
                <w:color w:val="auto"/>
              </w:rPr>
            </w:pPr>
            <w:r>
              <w:rPr>
                <w:rFonts w:ascii="Arial" w:cs="Arial" w:eastAsia="Arial" w:hAnsi="Arial"/>
                <w:sz w:val="10"/>
                <w:szCs w:val="10"/>
                <w:b w:val="1"/>
                <w:bCs w:val="1"/>
                <w:color w:val="auto"/>
                <w:w w:val="93"/>
              </w:rPr>
              <w:t>580,418</w:t>
            </w:r>
          </w:p>
        </w:tc>
        <w:tc>
          <w:tcPr>
            <w:tcW w:w="2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1,004,113</w:t>
            </w:r>
          </w:p>
        </w:tc>
        <w:tc>
          <w:tcPr>
            <w:tcW w:w="1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2,553,502</w:t>
            </w:r>
          </w:p>
        </w:tc>
        <w:tc>
          <w:tcPr>
            <w:tcW w:w="12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205,097</w:t>
            </w:r>
          </w:p>
        </w:tc>
        <w:tc>
          <w:tcPr>
            <w:tcW w:w="1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1,078,808</w:t>
            </w:r>
          </w:p>
        </w:tc>
        <w:tc>
          <w:tcPr>
            <w:tcW w:w="12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4,153,154</w:t>
            </w: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6.1 %</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10.5 %</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26.7 %</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2.1 %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11.3 %</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-1087755</wp:posOffset>
            </wp:positionV>
            <wp:extent cx="6360795" cy="88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60795" cy="8890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-609600</wp:posOffset>
            </wp:positionV>
            <wp:extent cx="6360795" cy="88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60795" cy="8890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-363855</wp:posOffset>
            </wp:positionV>
            <wp:extent cx="6360795" cy="3689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60795" cy="36893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-910590</wp:posOffset>
            </wp:positionV>
            <wp:extent cx="6360795" cy="123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60795" cy="12319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1840" w:space="660"/>
            <w:col w:w="8780"/>
          </w:cols>
          <w:pgMar w:left="300" w:top="788" w:right="319" w:bottom="1440" w:gutter="0" w:footer="0" w:header="0"/>
          <w:type w:val="continuous"/>
        </w:sectPr>
      </w:pPr>
    </w:p>
    <w:p>
      <w:pPr>
        <w:ind w:left="260" w:hanging="254"/>
        <w:spacing w:after="0" w:line="264" w:lineRule="auto"/>
        <w:tabs>
          <w:tab w:leader="none" w:pos="249" w:val="left"/>
        </w:tabs>
        <w:numPr>
          <w:ilvl w:val="0"/>
          <w:numId w:val="30"/>
        </w:numPr>
        <w:rPr>
          <w:rFonts w:ascii="Arial" w:cs="Arial" w:eastAsia="Arial" w:hAnsi="Arial"/>
          <w:sz w:val="11"/>
          <w:szCs w:val="11"/>
          <w:b w:val="1"/>
          <w:bCs w:val="1"/>
          <w:color w:val="auto"/>
        </w:rPr>
      </w:pPr>
      <w:r>
        <w:rPr>
          <w:rFonts w:ascii="Arial" w:cs="Arial" w:eastAsia="Arial" w:hAnsi="Arial"/>
          <w:sz w:val="11"/>
          <w:szCs w:val="11"/>
          <w:color w:val="auto"/>
        </w:rPr>
        <w:t>Assumes the exercise of as-of-right extension options. Debt classified as fixed rate includes the effect of interest rate swap arrangements which may expire prior to debt maturity. See page 30 for information on interest rate swap arrangements.</w:t>
      </w:r>
    </w:p>
    <w:p>
      <w:pPr>
        <w:ind w:left="260" w:hanging="254"/>
        <w:spacing w:after="0" w:line="290" w:lineRule="auto"/>
        <w:tabs>
          <w:tab w:leader="none" w:pos="249" w:val="left"/>
        </w:tabs>
        <w:numPr>
          <w:ilvl w:val="0"/>
          <w:numId w:val="30"/>
        </w:numPr>
        <w:rPr>
          <w:rFonts w:ascii="Arial" w:cs="Arial" w:eastAsia="Arial" w:hAnsi="Arial"/>
          <w:sz w:val="11"/>
          <w:szCs w:val="11"/>
          <w:b w:val="1"/>
          <w:bCs w:val="1"/>
          <w:color w:val="auto"/>
        </w:rPr>
      </w:pPr>
      <w:r>
        <w:rPr>
          <w:rFonts w:ascii="Arial" w:cs="Arial" w:eastAsia="Arial" w:hAnsi="Arial"/>
          <w:sz w:val="11"/>
          <w:szCs w:val="11"/>
          <w:color w:val="auto"/>
        </w:rPr>
        <w:t>Includes the $244,543 888 Seventh Avenue non-recourse mortgage loan, which matured and was not repaid. The lenders declared an event of default and subsequently entered into a forbearance agreement with us. See page 5 for further information.</w:t>
      </w:r>
    </w:p>
    <w:p>
      <w:pPr>
        <w:spacing w:after="0" w:line="228" w:lineRule="exact"/>
        <w:rPr>
          <w:rFonts w:ascii="Arial" w:cs="Arial" w:eastAsia="Arial" w:hAnsi="Arial"/>
          <w:sz w:val="11"/>
          <w:szCs w:val="11"/>
          <w:b w:val="1"/>
          <w:bCs w:val="1"/>
          <w:color w:val="auto"/>
        </w:rPr>
      </w:pPr>
    </w:p>
    <w:p>
      <w:pPr>
        <w:ind w:left="5580" w:hanging="87"/>
        <w:spacing w:after="0"/>
        <w:tabs>
          <w:tab w:leader="none" w:pos="55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27 -</w:t>
      </w:r>
    </w:p>
    <w:p>
      <w:pPr>
        <w:sectPr>
          <w:pgSz w:w="11900" w:h="16838" w:orient="portrait"/>
          <w:cols w:equalWidth="0" w:num="1">
            <w:col w:w="11280"/>
          </w:cols>
          <w:pgMar w:left="300" w:top="788" w:right="319" w:bottom="1440" w:gutter="0" w:footer="0" w:header="0"/>
          <w:type w:val="continuous"/>
        </w:sectPr>
      </w:pPr>
    </w:p>
    <w:bookmarkStart w:id="48" w:name="page49"/>
    <w:bookmarkEnd w:id="48"/>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DEBT DETAIL CONSOLIDATED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58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(Amounts in thousands)</w:t>
            </w:r>
          </w:p>
        </w:tc>
        <w:tc>
          <w:tcPr>
            <w:tcW w:w="9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Property</w:t>
            </w:r>
          </w:p>
        </w:tc>
        <w:tc>
          <w:tcPr>
            <w:tcW w:w="10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Ownership %</w:t>
            </w:r>
          </w:p>
        </w:tc>
        <w:tc>
          <w:tcPr>
            <w:tcW w:w="11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Maturity Date</w:t>
            </w:r>
            <w:r>
              <w:rPr>
                <w:rFonts w:ascii="Arial" w:cs="Arial" w:eastAsia="Arial" w:hAnsi="Arial"/>
                <w:sz w:val="14"/>
                <w:szCs w:val="14"/>
                <w:b w:val="1"/>
                <w:bCs w:val="1"/>
                <w:color w:val="auto"/>
                <w:vertAlign w:val="superscript"/>
              </w:rPr>
              <w:t>(1)</w:t>
            </w:r>
          </w:p>
        </w:tc>
        <w:tc>
          <w:tcPr>
            <w:tcW w:w="9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Variable Rate</w:t>
            </w:r>
          </w:p>
        </w:tc>
        <w:tc>
          <w:tcPr>
            <w:tcW w:w="30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Interest Rate</w:t>
            </w:r>
            <w:r>
              <w:rPr>
                <w:rFonts w:ascii="Arial" w:cs="Arial" w:eastAsia="Arial" w:hAnsi="Arial"/>
                <w:sz w:val="14"/>
                <w:szCs w:val="14"/>
                <w:b w:val="1"/>
                <w:bCs w:val="1"/>
                <w:color w:val="auto"/>
                <w:vertAlign w:val="superscript"/>
              </w:rPr>
              <w:t>(2)</w:t>
            </w:r>
          </w:p>
        </w:tc>
        <w:tc>
          <w:tcPr>
            <w:tcW w:w="100" w:type="dxa"/>
            <w:vAlign w:val="bottom"/>
          </w:tcPr>
          <w:p>
            <w:pPr>
              <w:spacing w:after="0"/>
              <w:rPr>
                <w:sz w:val="10"/>
                <w:szCs w:val="10"/>
                <w:color w:val="auto"/>
              </w:rPr>
            </w:pPr>
          </w:p>
        </w:tc>
        <w:tc>
          <w:tcPr>
            <w:tcW w:w="9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Debt Balance</w:t>
            </w:r>
          </w:p>
        </w:tc>
        <w:tc>
          <w:tcPr>
            <w:tcW w:w="980" w:type="dxa"/>
            <w:vAlign w:val="bottom"/>
            <w:gridSpan w:val="2"/>
          </w:tcPr>
          <w:p>
            <w:pPr>
              <w:jc w:val="right"/>
              <w:spacing w:after="0" w:line="120" w:lineRule="exact"/>
              <w:rPr>
                <w:sz w:val="20"/>
                <w:szCs w:val="20"/>
                <w:color w:val="auto"/>
              </w:rPr>
            </w:pPr>
            <w:r>
              <w:rPr>
                <w:rFonts w:ascii="Arial" w:cs="Arial" w:eastAsia="Arial" w:hAnsi="Arial"/>
                <w:sz w:val="11"/>
                <w:szCs w:val="11"/>
                <w:b w:val="1"/>
                <w:bCs w:val="1"/>
                <w:color w:val="auto"/>
              </w:rPr>
              <w:t>Debt Balance (at</w:t>
            </w:r>
          </w:p>
        </w:tc>
        <w:tc>
          <w:tcPr>
            <w:tcW w:w="0" w:type="dxa"/>
            <w:vAlign w:val="bottom"/>
          </w:tcPr>
          <w:p>
            <w:pPr>
              <w:spacing w:after="0"/>
              <w:rPr>
                <w:sz w:val="1"/>
                <w:szCs w:val="1"/>
                <w:color w:val="auto"/>
              </w:rPr>
            </w:pPr>
          </w:p>
        </w:tc>
      </w:tr>
      <w:tr>
        <w:trPr>
          <w:trHeight w:val="148"/>
        </w:trPr>
        <w:tc>
          <w:tcPr>
            <w:tcW w:w="45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Spread</w:t>
            </w: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43"/>
              <w:spacing w:after="0"/>
              <w:rPr>
                <w:sz w:val="20"/>
                <w:szCs w:val="20"/>
                <w:color w:val="auto"/>
              </w:rPr>
            </w:pPr>
            <w:r>
              <w:rPr>
                <w:rFonts w:ascii="Arial" w:cs="Arial" w:eastAsia="Arial" w:hAnsi="Arial"/>
                <w:sz w:val="11"/>
                <w:szCs w:val="11"/>
                <w:b w:val="1"/>
                <w:bCs w:val="1"/>
                <w:color w:val="auto"/>
              </w:rPr>
              <w:t>(100%)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63"/>
              <w:spacing w:after="0"/>
              <w:rPr>
                <w:sz w:val="20"/>
                <w:szCs w:val="20"/>
                <w:color w:val="auto"/>
              </w:rPr>
            </w:pPr>
            <w:r>
              <w:rPr>
                <w:rFonts w:ascii="Arial" w:cs="Arial" w:eastAsia="Arial" w:hAnsi="Arial"/>
                <w:sz w:val="11"/>
                <w:szCs w:val="11"/>
                <w:b w:val="1"/>
                <w:bCs w:val="1"/>
                <w:color w:val="auto"/>
              </w:rPr>
              <w:t>share)</w:t>
            </w:r>
          </w:p>
        </w:tc>
        <w:tc>
          <w:tcPr>
            <w:tcW w:w="0" w:type="dxa"/>
            <w:vAlign w:val="bottom"/>
          </w:tcPr>
          <w:p>
            <w:pPr>
              <w:spacing w:after="0"/>
              <w:rPr>
                <w:sz w:val="1"/>
                <w:szCs w:val="1"/>
                <w:color w:val="auto"/>
              </w:rPr>
            </w:pPr>
          </w:p>
        </w:tc>
      </w:tr>
      <w:tr>
        <w:trPr>
          <w:trHeight w:val="141"/>
        </w:trPr>
        <w:tc>
          <w:tcPr>
            <w:tcW w:w="45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Secured Debt:</w:t>
            </w:r>
          </w:p>
        </w:tc>
        <w:tc>
          <w:tcPr>
            <w:tcW w:w="9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888</w:t>
            </w:r>
          </w:p>
        </w:tc>
        <w:tc>
          <w:tcPr>
            <w:tcW w:w="4280" w:type="dxa"/>
            <w:vAlign w:val="bottom"/>
            <w:shd w:val="clear" w:color="auto" w:fill="CCEEFF"/>
          </w:tcPr>
          <w:p>
            <w:pPr>
              <w:spacing w:after="0"/>
              <w:rPr>
                <w:sz w:val="20"/>
                <w:szCs w:val="20"/>
                <w:color w:val="auto"/>
              </w:rPr>
            </w:pPr>
            <w:r>
              <w:rPr>
                <w:rFonts w:ascii="Arial" w:cs="Arial" w:eastAsia="Arial" w:hAnsi="Arial"/>
                <w:sz w:val="11"/>
                <w:szCs w:val="11"/>
                <w:color w:val="auto"/>
              </w:rPr>
              <w:t>Seventh Avenue</w:t>
            </w: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(3)</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S+180</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5.48%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244,543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244,543</w:t>
            </w:r>
          </w:p>
        </w:tc>
        <w:tc>
          <w:tcPr>
            <w:tcW w:w="0" w:type="dxa"/>
            <w:vAlign w:val="bottom"/>
          </w:tcPr>
          <w:p>
            <w:pPr>
              <w:spacing w:after="0"/>
              <w:rPr>
                <w:sz w:val="1"/>
                <w:szCs w:val="1"/>
                <w:color w:val="auto"/>
              </w:rPr>
            </w:pPr>
          </w:p>
        </w:tc>
      </w:tr>
      <w:tr>
        <w:trPr>
          <w:trHeight w:val="161"/>
        </w:trPr>
        <w:tc>
          <w:tcPr>
            <w:tcW w:w="300" w:type="dxa"/>
            <w:vAlign w:val="bottom"/>
          </w:tcPr>
          <w:p>
            <w:pPr>
              <w:ind w:left="80"/>
              <w:spacing w:after="0"/>
              <w:rPr>
                <w:sz w:val="20"/>
                <w:szCs w:val="20"/>
                <w:color w:val="auto"/>
              </w:rPr>
            </w:pPr>
            <w:r>
              <w:rPr>
                <w:rFonts w:ascii="Arial" w:cs="Arial" w:eastAsia="Arial" w:hAnsi="Arial"/>
                <w:sz w:val="11"/>
                <w:szCs w:val="11"/>
                <w:color w:val="auto"/>
              </w:rPr>
              <w:t>350</w:t>
            </w:r>
          </w:p>
        </w:tc>
        <w:tc>
          <w:tcPr>
            <w:tcW w:w="4280" w:type="dxa"/>
            <w:vAlign w:val="bottom"/>
          </w:tcPr>
          <w:p>
            <w:pPr>
              <w:spacing w:after="0"/>
              <w:rPr>
                <w:sz w:val="20"/>
                <w:szCs w:val="20"/>
                <w:color w:val="auto"/>
              </w:rPr>
            </w:pPr>
            <w:r>
              <w:rPr>
                <w:rFonts w:ascii="Arial" w:cs="Arial" w:eastAsia="Arial" w:hAnsi="Arial"/>
                <w:sz w:val="11"/>
                <w:szCs w:val="11"/>
                <w:color w:val="auto"/>
              </w:rPr>
              <w:t>Park Avenue</w:t>
            </w:r>
            <w:r>
              <w:rPr>
                <w:rFonts w:ascii="Arial" w:cs="Arial" w:eastAsia="Arial" w:hAnsi="Arial"/>
                <w:sz w:val="14"/>
                <w:szCs w:val="14"/>
                <w:b w:val="1"/>
                <w:bCs w:val="1"/>
                <w:color w:val="auto"/>
                <w:vertAlign w:val="superscript"/>
              </w:rPr>
              <w:t>(4)</w:t>
            </w:r>
          </w:p>
        </w:tc>
        <w:tc>
          <w:tcPr>
            <w:tcW w:w="980" w:type="dxa"/>
            <w:vAlign w:val="bottom"/>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01/27</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4.00%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400,000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400,000</w:t>
            </w:r>
          </w:p>
        </w:tc>
        <w:tc>
          <w:tcPr>
            <w:tcW w:w="0" w:type="dxa"/>
            <w:vAlign w:val="bottom"/>
          </w:tcPr>
          <w:p>
            <w:pPr>
              <w:spacing w:after="0"/>
              <w:rPr>
                <w:sz w:val="1"/>
                <w:szCs w:val="1"/>
                <w:color w:val="auto"/>
              </w:rPr>
            </w:pPr>
          </w:p>
        </w:tc>
      </w:tr>
      <w:tr>
        <w:trPr>
          <w:trHeight w:val="161"/>
        </w:trPr>
        <w:tc>
          <w:tcPr>
            <w:tcW w:w="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100</w:t>
            </w:r>
          </w:p>
        </w:tc>
        <w:tc>
          <w:tcPr>
            <w:tcW w:w="4280" w:type="dxa"/>
            <w:vAlign w:val="bottom"/>
            <w:shd w:val="clear" w:color="auto" w:fill="CCEEFF"/>
          </w:tcPr>
          <w:p>
            <w:pPr>
              <w:spacing w:after="0"/>
              <w:rPr>
                <w:sz w:val="20"/>
                <w:szCs w:val="20"/>
                <w:color w:val="auto"/>
              </w:rPr>
            </w:pPr>
            <w:r>
              <w:rPr>
                <w:rFonts w:ascii="Arial" w:cs="Arial" w:eastAsia="Arial" w:hAnsi="Arial"/>
                <w:sz w:val="11"/>
                <w:szCs w:val="11"/>
                <w:color w:val="auto"/>
              </w:rPr>
              <w:t>West 33rd Street</w:t>
            </w: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06/27</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5.26%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480,000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480,000</w:t>
            </w:r>
          </w:p>
        </w:tc>
        <w:tc>
          <w:tcPr>
            <w:tcW w:w="0" w:type="dxa"/>
            <w:vAlign w:val="bottom"/>
          </w:tcPr>
          <w:p>
            <w:pPr>
              <w:spacing w:after="0"/>
              <w:rPr>
                <w:sz w:val="1"/>
                <w:szCs w:val="1"/>
                <w:color w:val="auto"/>
              </w:rPr>
            </w:pPr>
          </w:p>
        </w:tc>
      </w:tr>
      <w:tr>
        <w:trPr>
          <w:trHeight w:val="154"/>
        </w:trPr>
        <w:tc>
          <w:tcPr>
            <w:tcW w:w="300" w:type="dxa"/>
            <w:vAlign w:val="bottom"/>
          </w:tcPr>
          <w:p>
            <w:pPr>
              <w:ind w:left="80"/>
              <w:spacing w:after="0"/>
              <w:rPr>
                <w:sz w:val="20"/>
                <w:szCs w:val="20"/>
                <w:color w:val="auto"/>
              </w:rPr>
            </w:pPr>
            <w:r>
              <w:rPr>
                <w:rFonts w:ascii="Arial" w:cs="Arial" w:eastAsia="Arial" w:hAnsi="Arial"/>
                <w:sz w:val="11"/>
                <w:szCs w:val="11"/>
                <w:color w:val="auto"/>
              </w:rPr>
              <w:t>150</w:t>
            </w:r>
          </w:p>
        </w:tc>
        <w:tc>
          <w:tcPr>
            <w:tcW w:w="4280" w:type="dxa"/>
            <w:vAlign w:val="bottom"/>
          </w:tcPr>
          <w:p>
            <w:pPr>
              <w:spacing w:after="0"/>
              <w:rPr>
                <w:sz w:val="20"/>
                <w:szCs w:val="20"/>
                <w:color w:val="auto"/>
              </w:rPr>
            </w:pPr>
            <w:r>
              <w:rPr>
                <w:rFonts w:ascii="Arial" w:cs="Arial" w:eastAsia="Arial" w:hAnsi="Arial"/>
                <w:sz w:val="11"/>
                <w:szCs w:val="11"/>
                <w:color w:val="auto"/>
              </w:rPr>
              <w:t>West 34th Street</w:t>
            </w:r>
          </w:p>
        </w:tc>
        <w:tc>
          <w:tcPr>
            <w:tcW w:w="980" w:type="dxa"/>
            <w:vAlign w:val="bottom"/>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02/28</w:t>
            </w: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S+215</w:t>
            </w:r>
          </w:p>
        </w:tc>
        <w:tc>
          <w:tcPr>
            <w:tcW w:w="300" w:type="dxa"/>
            <w:vAlign w:val="bottom"/>
          </w:tcPr>
          <w:p>
            <w:pPr>
              <w:spacing w:after="0"/>
              <w:rPr>
                <w:sz w:val="13"/>
                <w:szCs w:val="13"/>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5.91%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75,000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75,000</w:t>
            </w:r>
          </w:p>
        </w:tc>
        <w:tc>
          <w:tcPr>
            <w:tcW w:w="0" w:type="dxa"/>
            <w:vAlign w:val="bottom"/>
          </w:tcPr>
          <w:p>
            <w:pPr>
              <w:spacing w:after="0"/>
              <w:rPr>
                <w:sz w:val="1"/>
                <w:szCs w:val="1"/>
                <w:color w:val="auto"/>
              </w:rPr>
            </w:pPr>
          </w:p>
        </w:tc>
      </w:tr>
      <w:tr>
        <w:trPr>
          <w:trHeight w:val="161"/>
        </w:trPr>
        <w:tc>
          <w:tcPr>
            <w:tcW w:w="300" w:type="dxa"/>
            <w:vAlign w:val="bottom"/>
          </w:tcPr>
          <w:p>
            <w:pPr>
              <w:ind w:left="80"/>
              <w:spacing w:after="0"/>
              <w:rPr>
                <w:sz w:val="20"/>
                <w:szCs w:val="20"/>
                <w:color w:val="auto"/>
              </w:rPr>
            </w:pPr>
            <w:r>
              <w:rPr>
                <w:rFonts w:ascii="Arial" w:cs="Arial" w:eastAsia="Arial" w:hAnsi="Arial"/>
                <w:sz w:val="11"/>
                <w:szCs w:val="11"/>
                <w:color w:val="auto"/>
              </w:rPr>
              <w:t>435</w:t>
            </w:r>
          </w:p>
        </w:tc>
        <w:tc>
          <w:tcPr>
            <w:tcW w:w="4280" w:type="dxa"/>
            <w:vAlign w:val="bottom"/>
          </w:tcPr>
          <w:p>
            <w:pPr>
              <w:spacing w:after="0"/>
              <w:rPr>
                <w:sz w:val="20"/>
                <w:szCs w:val="20"/>
                <w:color w:val="auto"/>
              </w:rPr>
            </w:pPr>
            <w:r>
              <w:rPr>
                <w:rFonts w:ascii="Arial" w:cs="Arial" w:eastAsia="Arial" w:hAnsi="Arial"/>
                <w:sz w:val="11"/>
                <w:szCs w:val="11"/>
                <w:color w:val="auto"/>
              </w:rPr>
              <w:t>Seventh Avenue</w:t>
            </w:r>
          </w:p>
        </w:tc>
        <w:tc>
          <w:tcPr>
            <w:tcW w:w="980" w:type="dxa"/>
            <w:vAlign w:val="bottom"/>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04/28</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S+210</w:t>
            </w:r>
          </w:p>
        </w:tc>
        <w:tc>
          <w:tcPr>
            <w:tcW w:w="300" w:type="dxa"/>
            <w:vAlign w:val="bottom"/>
            <w:vMerge w:val="restart"/>
          </w:tcPr>
          <w:p>
            <w:pPr>
              <w:ind w:left="20"/>
              <w:spacing w:after="0"/>
              <w:rPr>
                <w:sz w:val="20"/>
                <w:szCs w:val="20"/>
                <w:color w:val="auto"/>
              </w:rPr>
            </w:pPr>
            <w:r>
              <w:rPr>
                <w:rFonts w:ascii="Arial" w:cs="Arial" w:eastAsia="Arial" w:hAnsi="Arial"/>
                <w:sz w:val="7"/>
                <w:szCs w:val="7"/>
                <w:b w:val="1"/>
                <w:bCs w:val="1"/>
                <w:color w:val="auto"/>
              </w:rPr>
              <w:t>(5)</w:t>
            </w: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5.86%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75,000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75,000</w:t>
            </w:r>
          </w:p>
        </w:tc>
        <w:tc>
          <w:tcPr>
            <w:tcW w:w="0" w:type="dxa"/>
            <w:vAlign w:val="bottom"/>
          </w:tcPr>
          <w:p>
            <w:pPr>
              <w:spacing w:after="0"/>
              <w:rPr>
                <w:sz w:val="1"/>
                <w:szCs w:val="1"/>
                <w:color w:val="auto"/>
              </w:rPr>
            </w:pPr>
          </w:p>
        </w:tc>
      </w:tr>
      <w:tr>
        <w:trPr>
          <w:trHeight w:val="76"/>
        </w:trPr>
        <w:tc>
          <w:tcPr>
            <w:tcW w:w="300" w:type="dxa"/>
            <w:vAlign w:val="bottom"/>
            <w:vMerge w:val="restart"/>
          </w:tcPr>
          <w:p>
            <w:pPr>
              <w:ind w:left="80"/>
              <w:spacing w:after="0"/>
              <w:rPr>
                <w:sz w:val="20"/>
                <w:szCs w:val="20"/>
                <w:color w:val="auto"/>
              </w:rPr>
            </w:pPr>
            <w:r>
              <w:rPr>
                <w:rFonts w:ascii="Arial" w:cs="Arial" w:eastAsia="Arial" w:hAnsi="Arial"/>
                <w:sz w:val="11"/>
                <w:szCs w:val="11"/>
                <w:color w:val="auto"/>
              </w:rPr>
              <w:t>555</w:t>
            </w:r>
          </w:p>
        </w:tc>
        <w:tc>
          <w:tcPr>
            <w:tcW w:w="4280" w:type="dxa"/>
            <w:vAlign w:val="bottom"/>
            <w:vMerge w:val="restart"/>
          </w:tcPr>
          <w:p>
            <w:pPr>
              <w:spacing w:after="0"/>
              <w:rPr>
                <w:sz w:val="20"/>
                <w:szCs w:val="20"/>
                <w:color w:val="auto"/>
              </w:rPr>
            </w:pPr>
            <w:r>
              <w:rPr>
                <w:rFonts w:ascii="Arial" w:cs="Arial" w:eastAsia="Arial" w:hAnsi="Arial"/>
                <w:sz w:val="11"/>
                <w:szCs w:val="11"/>
                <w:color w:val="auto"/>
              </w:rPr>
              <w:t>California Street</w:t>
            </w: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rPr>
              <w:t>70.0%</w:t>
            </w:r>
          </w:p>
        </w:tc>
        <w:tc>
          <w:tcPr>
            <w:tcW w:w="6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rPr>
              <w:t>05/28</w:t>
            </w:r>
          </w:p>
        </w:tc>
        <w:tc>
          <w:tcPr>
            <w:tcW w:w="12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rPr>
              <w:t>S+230</w:t>
            </w:r>
          </w:p>
        </w:tc>
        <w:tc>
          <w:tcPr>
            <w:tcW w:w="300" w:type="dxa"/>
            <w:vAlign w:val="bottom"/>
            <w:vMerge w:val="continue"/>
          </w:tcPr>
          <w:p>
            <w:pPr>
              <w:spacing w:after="0"/>
              <w:rPr>
                <w:sz w:val="6"/>
                <w:szCs w:val="6"/>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1"/>
                <w:szCs w:val="11"/>
                <w:color w:val="auto"/>
              </w:rPr>
              <w:t>5.73%</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restart"/>
          </w:tcPr>
          <w:p>
            <w:pPr>
              <w:jc w:val="right"/>
              <w:ind w:right="43"/>
              <w:spacing w:after="0"/>
              <w:rPr>
                <w:sz w:val="20"/>
                <w:szCs w:val="20"/>
                <w:color w:val="auto"/>
              </w:rPr>
            </w:pPr>
            <w:r>
              <w:rPr>
                <w:rFonts w:ascii="Arial" w:cs="Arial" w:eastAsia="Arial" w:hAnsi="Arial"/>
                <w:sz w:val="11"/>
                <w:szCs w:val="11"/>
                <w:color w:val="auto"/>
              </w:rPr>
              <w:t>1,200,000</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color w:val="auto"/>
              </w:rPr>
              <w:t>840,000</w:t>
            </w:r>
          </w:p>
        </w:tc>
        <w:tc>
          <w:tcPr>
            <w:tcW w:w="0" w:type="dxa"/>
            <w:vAlign w:val="bottom"/>
          </w:tcPr>
          <w:p>
            <w:pPr>
              <w:spacing w:after="0"/>
              <w:rPr>
                <w:sz w:val="1"/>
                <w:szCs w:val="1"/>
                <w:color w:val="auto"/>
              </w:rPr>
            </w:pPr>
          </w:p>
        </w:tc>
      </w:tr>
      <w:tr>
        <w:trPr>
          <w:trHeight w:val="85"/>
        </w:trPr>
        <w:tc>
          <w:tcPr>
            <w:tcW w:w="300" w:type="dxa"/>
            <w:vAlign w:val="bottom"/>
            <w:vMerge w:val="continue"/>
          </w:tcPr>
          <w:p>
            <w:pPr>
              <w:spacing w:after="0"/>
              <w:rPr>
                <w:sz w:val="7"/>
                <w:szCs w:val="7"/>
                <w:color w:val="auto"/>
              </w:rPr>
            </w:pPr>
          </w:p>
        </w:tc>
        <w:tc>
          <w:tcPr>
            <w:tcW w:w="42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300" w:type="dxa"/>
            <w:vAlign w:val="bottom"/>
            <w:vMerge w:val="restart"/>
          </w:tcPr>
          <w:p>
            <w:pPr>
              <w:ind w:left="20"/>
              <w:spacing w:after="0"/>
              <w:rPr>
                <w:sz w:val="20"/>
                <w:szCs w:val="20"/>
                <w:color w:val="auto"/>
              </w:rPr>
            </w:pPr>
            <w:r>
              <w:rPr>
                <w:rFonts w:ascii="Arial" w:cs="Arial" w:eastAsia="Arial" w:hAnsi="Arial"/>
                <w:sz w:val="7"/>
                <w:szCs w:val="7"/>
                <w:b w:val="1"/>
                <w:bCs w:val="1"/>
                <w:color w:val="auto"/>
              </w:rPr>
              <w:t>(5)</w:t>
            </w: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4580" w:type="dxa"/>
            <w:vAlign w:val="bottom"/>
            <w:gridSpan w:val="2"/>
            <w:vMerge w:val="restart"/>
          </w:tcPr>
          <w:p>
            <w:pPr>
              <w:ind w:left="80"/>
              <w:spacing w:after="0"/>
              <w:rPr>
                <w:sz w:val="20"/>
                <w:szCs w:val="20"/>
                <w:color w:val="auto"/>
              </w:rPr>
            </w:pPr>
            <w:r>
              <w:rPr>
                <w:rFonts w:ascii="Arial" w:cs="Arial" w:eastAsia="Arial" w:hAnsi="Arial"/>
                <w:sz w:val="11"/>
                <w:szCs w:val="11"/>
                <w:color w:val="auto"/>
              </w:rPr>
              <w:t>1290 Avenue of the Americas</w:t>
            </w: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rPr>
              <w:t>70.0%</w:t>
            </w:r>
          </w:p>
        </w:tc>
        <w:tc>
          <w:tcPr>
            <w:tcW w:w="6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rPr>
              <w:t>11/28</w:t>
            </w:r>
          </w:p>
        </w:tc>
        <w:tc>
          <w:tcPr>
            <w:tcW w:w="12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rPr>
              <w:t>S+162</w:t>
            </w:r>
          </w:p>
        </w:tc>
        <w:tc>
          <w:tcPr>
            <w:tcW w:w="300" w:type="dxa"/>
            <w:vAlign w:val="bottom"/>
            <w:vMerge w:val="continue"/>
          </w:tcPr>
          <w:p>
            <w:pPr>
              <w:spacing w:after="0"/>
              <w:rPr>
                <w:sz w:val="6"/>
                <w:szCs w:val="6"/>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1"/>
                <w:szCs w:val="11"/>
                <w:color w:val="auto"/>
              </w:rPr>
              <w:t>5.26%</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restart"/>
          </w:tcPr>
          <w:p>
            <w:pPr>
              <w:jc w:val="right"/>
              <w:ind w:right="43"/>
              <w:spacing w:after="0"/>
              <w:rPr>
                <w:sz w:val="20"/>
                <w:szCs w:val="20"/>
                <w:color w:val="auto"/>
              </w:rPr>
            </w:pPr>
            <w:r>
              <w:rPr>
                <w:rFonts w:ascii="Arial" w:cs="Arial" w:eastAsia="Arial" w:hAnsi="Arial"/>
                <w:sz w:val="11"/>
                <w:szCs w:val="11"/>
                <w:color w:val="auto"/>
              </w:rPr>
              <w:t>950,000</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color w:val="auto"/>
              </w:rPr>
              <w:t>665,000</w:t>
            </w:r>
          </w:p>
        </w:tc>
        <w:tc>
          <w:tcPr>
            <w:tcW w:w="0" w:type="dxa"/>
            <w:vAlign w:val="bottom"/>
          </w:tcPr>
          <w:p>
            <w:pPr>
              <w:spacing w:after="0"/>
              <w:rPr>
                <w:sz w:val="1"/>
                <w:szCs w:val="1"/>
                <w:color w:val="auto"/>
              </w:rPr>
            </w:pPr>
          </w:p>
        </w:tc>
      </w:tr>
      <w:tr>
        <w:trPr>
          <w:trHeight w:val="85"/>
        </w:trPr>
        <w:tc>
          <w:tcPr>
            <w:tcW w:w="458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580" w:type="dxa"/>
            <w:vAlign w:val="bottom"/>
            <w:gridSpan w:val="2"/>
          </w:tcPr>
          <w:p>
            <w:pPr>
              <w:ind w:left="80"/>
              <w:spacing w:after="0"/>
              <w:rPr>
                <w:sz w:val="20"/>
                <w:szCs w:val="20"/>
                <w:color w:val="auto"/>
              </w:rPr>
            </w:pPr>
            <w:r>
              <w:rPr>
                <w:rFonts w:ascii="Arial" w:cs="Arial" w:eastAsia="Arial" w:hAnsi="Arial"/>
                <w:sz w:val="11"/>
                <w:szCs w:val="11"/>
                <w:color w:val="auto"/>
              </w:rPr>
              <w:t>PENN 11</w:t>
            </w:r>
          </w:p>
        </w:tc>
        <w:tc>
          <w:tcPr>
            <w:tcW w:w="980" w:type="dxa"/>
            <w:vAlign w:val="bottom"/>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08/30</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vMerge w:val="restart"/>
          </w:tcPr>
          <w:p>
            <w:pPr>
              <w:ind w:left="20"/>
              <w:spacing w:after="0"/>
              <w:rPr>
                <w:sz w:val="20"/>
                <w:szCs w:val="20"/>
                <w:color w:val="auto"/>
              </w:rPr>
            </w:pPr>
            <w:r>
              <w:rPr>
                <w:rFonts w:ascii="Arial" w:cs="Arial" w:eastAsia="Arial" w:hAnsi="Arial"/>
                <w:sz w:val="7"/>
                <w:szCs w:val="7"/>
                <w:b w:val="1"/>
                <w:bCs w:val="1"/>
                <w:color w:val="auto"/>
              </w:rPr>
              <w:t>(5)</w:t>
            </w: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6.35%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450,000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450,000</w:t>
            </w:r>
          </w:p>
        </w:tc>
        <w:tc>
          <w:tcPr>
            <w:tcW w:w="0" w:type="dxa"/>
            <w:vAlign w:val="bottom"/>
          </w:tcPr>
          <w:p>
            <w:pPr>
              <w:spacing w:after="0"/>
              <w:rPr>
                <w:sz w:val="1"/>
                <w:szCs w:val="1"/>
                <w:color w:val="auto"/>
              </w:rPr>
            </w:pPr>
          </w:p>
        </w:tc>
      </w:tr>
      <w:tr>
        <w:trPr>
          <w:trHeight w:val="76"/>
        </w:trPr>
        <w:tc>
          <w:tcPr>
            <w:tcW w:w="4580" w:type="dxa"/>
            <w:vAlign w:val="bottom"/>
            <w:gridSpan w:val="2"/>
            <w:vMerge w:val="restart"/>
          </w:tcPr>
          <w:p>
            <w:pPr>
              <w:ind w:left="80"/>
              <w:spacing w:after="0"/>
              <w:rPr>
                <w:sz w:val="20"/>
                <w:szCs w:val="20"/>
                <w:color w:val="auto"/>
              </w:rPr>
            </w:pPr>
            <w:r>
              <w:rPr>
                <w:rFonts w:ascii="Arial" w:cs="Arial" w:eastAsia="Arial" w:hAnsi="Arial"/>
                <w:sz w:val="11"/>
                <w:szCs w:val="11"/>
                <w:color w:val="auto"/>
              </w:rPr>
              <w:t>One Park Avenue</w:t>
            </w: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rPr>
              <w:t>02/31</w:t>
            </w:r>
          </w:p>
        </w:tc>
        <w:tc>
          <w:tcPr>
            <w:tcW w:w="12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rPr>
              <w:t>S+178</w:t>
            </w:r>
          </w:p>
        </w:tc>
        <w:tc>
          <w:tcPr>
            <w:tcW w:w="300" w:type="dxa"/>
            <w:vAlign w:val="bottom"/>
            <w:vMerge w:val="continue"/>
          </w:tcPr>
          <w:p>
            <w:pPr>
              <w:spacing w:after="0"/>
              <w:rPr>
                <w:sz w:val="6"/>
                <w:szCs w:val="6"/>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1"/>
                <w:szCs w:val="11"/>
                <w:color w:val="auto"/>
              </w:rPr>
              <w:t>4.57%</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restart"/>
          </w:tcPr>
          <w:p>
            <w:pPr>
              <w:jc w:val="right"/>
              <w:ind w:right="43"/>
              <w:spacing w:after="0"/>
              <w:rPr>
                <w:sz w:val="20"/>
                <w:szCs w:val="20"/>
                <w:color w:val="auto"/>
              </w:rPr>
            </w:pPr>
            <w:r>
              <w:rPr>
                <w:rFonts w:ascii="Arial" w:cs="Arial" w:eastAsia="Arial" w:hAnsi="Arial"/>
                <w:sz w:val="11"/>
                <w:szCs w:val="11"/>
                <w:color w:val="auto"/>
              </w:rPr>
              <w:t>525,000</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color w:val="auto"/>
              </w:rPr>
              <w:t>525,000</w:t>
            </w:r>
          </w:p>
        </w:tc>
        <w:tc>
          <w:tcPr>
            <w:tcW w:w="0" w:type="dxa"/>
            <w:vAlign w:val="bottom"/>
          </w:tcPr>
          <w:p>
            <w:pPr>
              <w:spacing w:after="0"/>
              <w:rPr>
                <w:sz w:val="1"/>
                <w:szCs w:val="1"/>
                <w:color w:val="auto"/>
              </w:rPr>
            </w:pPr>
          </w:p>
        </w:tc>
      </w:tr>
      <w:tr>
        <w:trPr>
          <w:trHeight w:val="85"/>
        </w:trPr>
        <w:tc>
          <w:tcPr>
            <w:tcW w:w="458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00" w:type="dxa"/>
            <w:vAlign w:val="bottom"/>
          </w:tcPr>
          <w:p>
            <w:pPr>
              <w:ind w:left="80"/>
              <w:spacing w:after="0"/>
              <w:rPr>
                <w:sz w:val="20"/>
                <w:szCs w:val="20"/>
                <w:color w:val="auto"/>
              </w:rPr>
            </w:pPr>
            <w:r>
              <w:rPr>
                <w:rFonts w:ascii="Arial" w:cs="Arial" w:eastAsia="Arial" w:hAnsi="Arial"/>
                <w:sz w:val="11"/>
                <w:szCs w:val="11"/>
                <w:color w:val="auto"/>
              </w:rPr>
              <w:t>909</w:t>
            </w:r>
          </w:p>
        </w:tc>
        <w:tc>
          <w:tcPr>
            <w:tcW w:w="4280" w:type="dxa"/>
            <w:vAlign w:val="bottom"/>
          </w:tcPr>
          <w:p>
            <w:pPr>
              <w:spacing w:after="0"/>
              <w:rPr>
                <w:sz w:val="20"/>
                <w:szCs w:val="20"/>
                <w:color w:val="auto"/>
              </w:rPr>
            </w:pPr>
            <w:r>
              <w:rPr>
                <w:rFonts w:ascii="Arial" w:cs="Arial" w:eastAsia="Arial" w:hAnsi="Arial"/>
                <w:sz w:val="11"/>
                <w:szCs w:val="11"/>
                <w:color w:val="auto"/>
              </w:rPr>
              <w:t>Third Avenue</w:t>
            </w:r>
          </w:p>
        </w:tc>
        <w:tc>
          <w:tcPr>
            <w:tcW w:w="980" w:type="dxa"/>
            <w:vAlign w:val="bottom"/>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04/31</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3.23%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350,000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350,000</w:t>
            </w:r>
          </w:p>
        </w:tc>
        <w:tc>
          <w:tcPr>
            <w:tcW w:w="0" w:type="dxa"/>
            <w:vAlign w:val="bottom"/>
          </w:tcPr>
          <w:p>
            <w:pPr>
              <w:spacing w:after="0"/>
              <w:rPr>
                <w:sz w:val="1"/>
                <w:szCs w:val="1"/>
                <w:color w:val="auto"/>
              </w:rPr>
            </w:pPr>
          </w:p>
        </w:tc>
      </w:tr>
      <w:tr>
        <w:trPr>
          <w:trHeight w:val="165"/>
        </w:trPr>
        <w:tc>
          <w:tcPr>
            <w:tcW w:w="45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4 Union Square South</w:t>
            </w: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09/35</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5.64%</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120,000</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120,000</w:t>
            </w:r>
          </w:p>
        </w:tc>
        <w:tc>
          <w:tcPr>
            <w:tcW w:w="0" w:type="dxa"/>
            <w:vAlign w:val="bottom"/>
          </w:tcPr>
          <w:p>
            <w:pPr>
              <w:spacing w:after="0"/>
              <w:rPr>
                <w:sz w:val="1"/>
                <w:szCs w:val="1"/>
                <w:color w:val="auto"/>
              </w:rPr>
            </w:pPr>
          </w:p>
        </w:tc>
      </w:tr>
      <w:tr>
        <w:trPr>
          <w:trHeight w:val="151"/>
        </w:trPr>
        <w:tc>
          <w:tcPr>
            <w:tcW w:w="458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Secured Debt</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4,869,543</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4,224,543</w:t>
            </w:r>
          </w:p>
        </w:tc>
        <w:tc>
          <w:tcPr>
            <w:tcW w:w="0" w:type="dxa"/>
            <w:vAlign w:val="bottom"/>
          </w:tcPr>
          <w:p>
            <w:pPr>
              <w:spacing w:after="0"/>
              <w:rPr>
                <w:sz w:val="1"/>
                <w:szCs w:val="1"/>
                <w:color w:val="auto"/>
              </w:rPr>
            </w:pPr>
          </w:p>
        </w:tc>
      </w:tr>
      <w:tr>
        <w:trPr>
          <w:trHeight w:val="141"/>
        </w:trPr>
        <w:tc>
          <w:tcPr>
            <w:tcW w:w="4580" w:type="dxa"/>
            <w:vAlign w:val="bottom"/>
            <w:gridSpan w:val="2"/>
          </w:tcPr>
          <w:p>
            <w:pPr>
              <w:ind w:left="20"/>
              <w:spacing w:after="0"/>
              <w:rPr>
                <w:sz w:val="20"/>
                <w:szCs w:val="20"/>
                <w:color w:val="auto"/>
              </w:rPr>
            </w:pPr>
            <w:r>
              <w:rPr>
                <w:rFonts w:ascii="Arial" w:cs="Arial" w:eastAsia="Arial" w:hAnsi="Arial"/>
                <w:sz w:val="11"/>
                <w:szCs w:val="11"/>
                <w:b w:val="1"/>
                <w:bCs w:val="1"/>
                <w:color w:val="auto"/>
              </w:rPr>
              <w:t>Unsecured Debt:</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7"/>
                <w:szCs w:val="7"/>
                <w:b w:val="1"/>
                <w:bCs w:val="1"/>
                <w:color w:val="auto"/>
              </w:rPr>
              <w:t>(6)</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4580" w:type="dxa"/>
            <w:vAlign w:val="bottom"/>
            <w:gridSpan w:val="2"/>
            <w:vMerge w:val="restart"/>
          </w:tcPr>
          <w:p>
            <w:pPr>
              <w:ind w:left="80"/>
              <w:spacing w:after="0"/>
              <w:rPr>
                <w:sz w:val="20"/>
                <w:szCs w:val="20"/>
                <w:color w:val="auto"/>
              </w:rPr>
            </w:pPr>
            <w:r>
              <w:rPr>
                <w:rFonts w:ascii="Arial" w:cs="Arial" w:eastAsia="Arial" w:hAnsi="Arial"/>
                <w:sz w:val="11"/>
                <w:szCs w:val="11"/>
                <w:color w:val="auto"/>
              </w:rPr>
              <w:t>$1.0 Billion revolving credit facility</w:t>
            </w: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rPr>
              <w:t>04/29</w:t>
            </w:r>
          </w:p>
        </w:tc>
        <w:tc>
          <w:tcPr>
            <w:tcW w:w="12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w w:val="99"/>
              </w:rPr>
              <w:t>S+116</w:t>
            </w:r>
          </w:p>
        </w:tc>
        <w:tc>
          <w:tcPr>
            <w:tcW w:w="300" w:type="dxa"/>
            <w:vAlign w:val="bottom"/>
            <w:vMerge w:val="continue"/>
          </w:tcPr>
          <w:p>
            <w:pPr>
              <w:spacing w:after="0"/>
              <w:rPr>
                <w:sz w:val="6"/>
                <w:szCs w:val="6"/>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6"/>
                <w:szCs w:val="6"/>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6"/>
                <w:szCs w:val="6"/>
                <w:color w:val="auto"/>
              </w:rPr>
            </w:pP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5"/>
        </w:trPr>
        <w:tc>
          <w:tcPr>
            <w:tcW w:w="458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300" w:type="dxa"/>
            <w:vAlign w:val="bottom"/>
            <w:vMerge w:val="restart"/>
          </w:tcPr>
          <w:p>
            <w:pPr>
              <w:ind w:left="20"/>
              <w:spacing w:after="0"/>
              <w:rPr>
                <w:sz w:val="20"/>
                <w:szCs w:val="20"/>
                <w:color w:val="auto"/>
              </w:rPr>
            </w:pPr>
            <w:r>
              <w:rPr>
                <w:rFonts w:ascii="Arial" w:cs="Arial" w:eastAsia="Arial" w:hAnsi="Arial"/>
                <w:sz w:val="7"/>
                <w:szCs w:val="7"/>
                <w:b w:val="1"/>
                <w:bCs w:val="1"/>
                <w:color w:val="auto"/>
              </w:rPr>
              <w:t>(5)(6)</w:t>
            </w:r>
          </w:p>
        </w:tc>
        <w:tc>
          <w:tcPr>
            <w:tcW w:w="1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4580" w:type="dxa"/>
            <w:vAlign w:val="bottom"/>
            <w:gridSpan w:val="2"/>
            <w:vMerge w:val="restart"/>
          </w:tcPr>
          <w:p>
            <w:pPr>
              <w:ind w:left="80"/>
              <w:spacing w:after="0"/>
              <w:rPr>
                <w:sz w:val="20"/>
                <w:szCs w:val="20"/>
                <w:color w:val="auto"/>
              </w:rPr>
            </w:pPr>
            <w:r>
              <w:rPr>
                <w:rFonts w:ascii="Arial" w:cs="Arial" w:eastAsia="Arial" w:hAnsi="Arial"/>
                <w:sz w:val="11"/>
                <w:szCs w:val="11"/>
                <w:color w:val="auto"/>
              </w:rPr>
              <w:t>$1.130 Billion revolving credit facility</w:t>
            </w: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rPr>
              <w:t>02/31</w:t>
            </w:r>
          </w:p>
        </w:tc>
        <w:tc>
          <w:tcPr>
            <w:tcW w:w="12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rPr>
              <w:t>S+101</w:t>
            </w:r>
          </w:p>
        </w:tc>
        <w:tc>
          <w:tcPr>
            <w:tcW w:w="300" w:type="dxa"/>
            <w:vAlign w:val="bottom"/>
            <w:vMerge w:val="continue"/>
          </w:tcPr>
          <w:p>
            <w:pPr>
              <w:spacing w:after="0"/>
              <w:rPr>
                <w:sz w:val="6"/>
                <w:szCs w:val="6"/>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1"/>
                <w:szCs w:val="11"/>
                <w:color w:val="auto"/>
              </w:rPr>
              <w:t>4.18%</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restart"/>
          </w:tcPr>
          <w:p>
            <w:pPr>
              <w:jc w:val="right"/>
              <w:ind w:right="43"/>
              <w:spacing w:after="0"/>
              <w:rPr>
                <w:sz w:val="20"/>
                <w:szCs w:val="20"/>
                <w:color w:val="auto"/>
              </w:rPr>
            </w:pPr>
            <w:r>
              <w:rPr>
                <w:rFonts w:ascii="Arial" w:cs="Arial" w:eastAsia="Arial" w:hAnsi="Arial"/>
                <w:sz w:val="11"/>
                <w:szCs w:val="11"/>
                <w:color w:val="auto"/>
              </w:rPr>
              <w:t>918,000</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color w:val="auto"/>
              </w:rPr>
              <w:t>918,000</w:t>
            </w:r>
          </w:p>
        </w:tc>
        <w:tc>
          <w:tcPr>
            <w:tcW w:w="0" w:type="dxa"/>
            <w:vAlign w:val="bottom"/>
          </w:tcPr>
          <w:p>
            <w:pPr>
              <w:spacing w:after="0"/>
              <w:rPr>
                <w:sz w:val="1"/>
                <w:szCs w:val="1"/>
                <w:color w:val="auto"/>
              </w:rPr>
            </w:pPr>
          </w:p>
        </w:tc>
      </w:tr>
      <w:tr>
        <w:trPr>
          <w:trHeight w:val="85"/>
        </w:trPr>
        <w:tc>
          <w:tcPr>
            <w:tcW w:w="458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300" w:type="dxa"/>
            <w:vAlign w:val="bottom"/>
            <w:vMerge w:val="restart"/>
          </w:tcPr>
          <w:p>
            <w:pPr>
              <w:ind w:left="20"/>
              <w:spacing w:after="0"/>
              <w:rPr>
                <w:sz w:val="20"/>
                <w:szCs w:val="20"/>
                <w:color w:val="auto"/>
              </w:rPr>
            </w:pPr>
            <w:r>
              <w:rPr>
                <w:rFonts w:ascii="Arial" w:cs="Arial" w:eastAsia="Arial" w:hAnsi="Arial"/>
                <w:sz w:val="7"/>
                <w:szCs w:val="7"/>
                <w:b w:val="1"/>
                <w:bCs w:val="1"/>
                <w:color w:val="auto"/>
              </w:rPr>
              <w:t>(5)(6)</w:t>
            </w: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4580" w:type="dxa"/>
            <w:vAlign w:val="bottom"/>
            <w:gridSpan w:val="2"/>
            <w:vMerge w:val="restart"/>
          </w:tcPr>
          <w:p>
            <w:pPr>
              <w:ind w:left="80"/>
              <w:spacing w:after="0"/>
              <w:rPr>
                <w:sz w:val="20"/>
                <w:szCs w:val="20"/>
                <w:color w:val="auto"/>
              </w:rPr>
            </w:pPr>
            <w:r>
              <w:rPr>
                <w:rFonts w:ascii="Arial" w:cs="Arial" w:eastAsia="Arial" w:hAnsi="Arial"/>
                <w:sz w:val="11"/>
                <w:szCs w:val="11"/>
                <w:color w:val="auto"/>
              </w:rPr>
              <w:t>$850 Million unsecured term loan</w:t>
            </w: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rPr>
              <w:t>02/31</w:t>
            </w:r>
          </w:p>
        </w:tc>
        <w:tc>
          <w:tcPr>
            <w:tcW w:w="12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color w:val="auto"/>
                <w:w w:val="99"/>
              </w:rPr>
              <w:t>S+115</w:t>
            </w:r>
          </w:p>
        </w:tc>
        <w:tc>
          <w:tcPr>
            <w:tcW w:w="300" w:type="dxa"/>
            <w:vAlign w:val="bottom"/>
            <w:vMerge w:val="continue"/>
          </w:tcPr>
          <w:p>
            <w:pPr>
              <w:spacing w:after="0"/>
              <w:rPr>
                <w:sz w:val="6"/>
                <w:szCs w:val="6"/>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1"/>
                <w:szCs w:val="11"/>
                <w:color w:val="auto"/>
              </w:rPr>
              <w:t>4.23%</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restart"/>
          </w:tcPr>
          <w:p>
            <w:pPr>
              <w:jc w:val="right"/>
              <w:ind w:right="43"/>
              <w:spacing w:after="0"/>
              <w:rPr>
                <w:sz w:val="20"/>
                <w:szCs w:val="20"/>
                <w:color w:val="auto"/>
              </w:rPr>
            </w:pPr>
            <w:r>
              <w:rPr>
                <w:rFonts w:ascii="Arial" w:cs="Arial" w:eastAsia="Arial" w:hAnsi="Arial"/>
                <w:sz w:val="11"/>
                <w:szCs w:val="11"/>
                <w:color w:val="auto"/>
              </w:rPr>
              <w:t>850,000</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color w:val="auto"/>
              </w:rPr>
              <w:t>850,000</w:t>
            </w:r>
          </w:p>
        </w:tc>
        <w:tc>
          <w:tcPr>
            <w:tcW w:w="0" w:type="dxa"/>
            <w:vAlign w:val="bottom"/>
          </w:tcPr>
          <w:p>
            <w:pPr>
              <w:spacing w:after="0"/>
              <w:rPr>
                <w:sz w:val="1"/>
                <w:szCs w:val="1"/>
                <w:color w:val="auto"/>
              </w:rPr>
            </w:pPr>
          </w:p>
        </w:tc>
      </w:tr>
      <w:tr>
        <w:trPr>
          <w:trHeight w:val="85"/>
        </w:trPr>
        <w:tc>
          <w:tcPr>
            <w:tcW w:w="458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580" w:type="dxa"/>
            <w:vAlign w:val="bottom"/>
            <w:gridSpan w:val="2"/>
          </w:tcPr>
          <w:p>
            <w:pPr>
              <w:ind w:left="80"/>
              <w:spacing w:after="0"/>
              <w:rPr>
                <w:sz w:val="20"/>
                <w:szCs w:val="20"/>
                <w:color w:val="auto"/>
              </w:rPr>
            </w:pPr>
            <w:r>
              <w:rPr>
                <w:rFonts w:ascii="Arial" w:cs="Arial" w:eastAsia="Arial" w:hAnsi="Arial"/>
                <w:sz w:val="11"/>
                <w:szCs w:val="11"/>
                <w:color w:val="auto"/>
              </w:rPr>
              <w:t>Senior unsecured notes due 2031</w:t>
            </w:r>
          </w:p>
        </w:tc>
        <w:tc>
          <w:tcPr>
            <w:tcW w:w="980" w:type="dxa"/>
            <w:vAlign w:val="bottom"/>
          </w:tcPr>
          <w:p>
            <w:pPr>
              <w:jc w:val="center"/>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06/31</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3.40%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350,000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350,000</w:t>
            </w:r>
          </w:p>
        </w:tc>
        <w:tc>
          <w:tcPr>
            <w:tcW w:w="0" w:type="dxa"/>
            <w:vAlign w:val="bottom"/>
          </w:tcPr>
          <w:p>
            <w:pPr>
              <w:spacing w:after="0"/>
              <w:rPr>
                <w:sz w:val="1"/>
                <w:szCs w:val="1"/>
                <w:color w:val="auto"/>
              </w:rPr>
            </w:pPr>
          </w:p>
        </w:tc>
      </w:tr>
      <w:tr>
        <w:trPr>
          <w:trHeight w:val="165"/>
        </w:trPr>
        <w:tc>
          <w:tcPr>
            <w:tcW w:w="45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Senior unsecured notes due 2033</w:t>
            </w: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02/33</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5.75%</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500,000</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500,000</w:t>
            </w:r>
          </w:p>
        </w:tc>
        <w:tc>
          <w:tcPr>
            <w:tcW w:w="0" w:type="dxa"/>
            <w:vAlign w:val="bottom"/>
          </w:tcPr>
          <w:p>
            <w:pPr>
              <w:spacing w:after="0"/>
              <w:rPr>
                <w:sz w:val="1"/>
                <w:szCs w:val="1"/>
                <w:color w:val="auto"/>
              </w:rPr>
            </w:pPr>
          </w:p>
        </w:tc>
      </w:tr>
      <w:tr>
        <w:trPr>
          <w:trHeight w:val="152"/>
        </w:trPr>
        <w:tc>
          <w:tcPr>
            <w:tcW w:w="4580" w:type="dxa"/>
            <w:vAlign w:val="bottom"/>
            <w:tcBorders>
              <w:bottom w:val="single" w:sz="8" w:color="CCEEFF"/>
            </w:tcBorders>
            <w:gridSpan w:val="2"/>
          </w:tcPr>
          <w:p>
            <w:pPr>
              <w:ind w:left="200"/>
              <w:spacing w:after="0"/>
              <w:rPr>
                <w:sz w:val="20"/>
                <w:szCs w:val="20"/>
                <w:color w:val="auto"/>
              </w:rPr>
            </w:pPr>
            <w:r>
              <w:rPr>
                <w:rFonts w:ascii="Arial" w:cs="Arial" w:eastAsia="Arial" w:hAnsi="Arial"/>
                <w:sz w:val="11"/>
                <w:szCs w:val="11"/>
                <w:b w:val="1"/>
                <w:bCs w:val="1"/>
                <w:color w:val="auto"/>
              </w:rPr>
              <w:t>Total Unsecured Debt</w:t>
            </w:r>
          </w:p>
        </w:tc>
        <w:tc>
          <w:tcPr>
            <w:tcW w:w="9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2,618,000</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2,618,000</w:t>
            </w:r>
          </w:p>
        </w:tc>
        <w:tc>
          <w:tcPr>
            <w:tcW w:w="0" w:type="dxa"/>
            <w:vAlign w:val="bottom"/>
          </w:tcPr>
          <w:p>
            <w:pPr>
              <w:spacing w:after="0"/>
              <w:rPr>
                <w:sz w:val="1"/>
                <w:szCs w:val="1"/>
                <w:color w:val="auto"/>
              </w:rPr>
            </w:pPr>
          </w:p>
        </w:tc>
      </w:tr>
      <w:tr>
        <w:trPr>
          <w:trHeight w:val="178"/>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Consolidated Debt</w:t>
            </w:r>
          </w:p>
        </w:tc>
        <w:tc>
          <w:tcPr>
            <w:tcW w:w="9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7,487,543</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6,842,543</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-1687195</wp:posOffset>
            </wp:positionV>
            <wp:extent cx="7105650" cy="102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1022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-1482090</wp:posOffset>
            </wp:positionV>
            <wp:extent cx="7105650" cy="102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1022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-1276985</wp:posOffset>
            </wp:positionV>
            <wp:extent cx="7105650" cy="102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1022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-757555</wp:posOffset>
            </wp:positionV>
            <wp:extent cx="7105650" cy="102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1022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-553085</wp:posOffset>
            </wp:positionV>
            <wp:extent cx="7105650" cy="102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10223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6"/>
          <w:szCs w:val="6"/>
          <w:color w:val="auto"/>
        </w:rPr>
        <w:t>________________________________</w:t>
      </w:r>
    </w:p>
    <w:p>
      <w:pPr>
        <w:spacing w:after="0" w:line="34" w:lineRule="exact"/>
        <w:rPr>
          <w:sz w:val="20"/>
          <w:szCs w:val="20"/>
          <w:color w:val="auto"/>
        </w:rPr>
      </w:pPr>
    </w:p>
    <w:p>
      <w:pPr>
        <w:ind w:left="260" w:hanging="254"/>
        <w:spacing w:after="0"/>
        <w:tabs>
          <w:tab w:leader="none" w:pos="260" w:val="left"/>
        </w:tabs>
        <w:numPr>
          <w:ilvl w:val="0"/>
          <w:numId w:val="31"/>
        </w:numPr>
        <w:rPr>
          <w:rFonts w:ascii="Arial" w:cs="Arial" w:eastAsia="Arial" w:hAnsi="Arial"/>
          <w:sz w:val="11"/>
          <w:szCs w:val="11"/>
          <w:b w:val="1"/>
          <w:bCs w:val="1"/>
          <w:color w:val="auto"/>
        </w:rPr>
      </w:pPr>
      <w:r>
        <w:rPr>
          <w:rFonts w:ascii="Arial" w:cs="Arial" w:eastAsia="Arial" w:hAnsi="Arial"/>
          <w:sz w:val="11"/>
          <w:szCs w:val="11"/>
          <w:color w:val="auto"/>
        </w:rPr>
        <w:t>Assumes the exercise of as-of-right extension options.</w:t>
      </w:r>
    </w:p>
    <w:p>
      <w:pPr>
        <w:spacing w:after="0" w:line="23" w:lineRule="exact"/>
        <w:rPr>
          <w:rFonts w:ascii="Arial" w:cs="Arial" w:eastAsia="Arial" w:hAnsi="Arial"/>
          <w:sz w:val="11"/>
          <w:szCs w:val="11"/>
          <w:b w:val="1"/>
          <w:bCs w:val="1"/>
          <w:color w:val="auto"/>
        </w:rPr>
      </w:pPr>
    </w:p>
    <w:p>
      <w:pPr>
        <w:ind w:left="260" w:hanging="254"/>
        <w:spacing w:after="0" w:line="255" w:lineRule="auto"/>
        <w:tabs>
          <w:tab w:leader="none" w:pos="249" w:val="left"/>
        </w:tabs>
        <w:numPr>
          <w:ilvl w:val="0"/>
          <w:numId w:val="31"/>
        </w:numPr>
        <w:rPr>
          <w:rFonts w:ascii="Arial" w:cs="Arial" w:eastAsia="Arial" w:hAnsi="Arial"/>
          <w:sz w:val="11"/>
          <w:szCs w:val="11"/>
          <w:b w:val="1"/>
          <w:bCs w:val="1"/>
          <w:color w:val="auto"/>
        </w:rPr>
      </w:pPr>
      <w:r>
        <w:rPr>
          <w:rFonts w:ascii="Arial" w:cs="Arial" w:eastAsia="Arial" w:hAnsi="Arial"/>
          <w:sz w:val="11"/>
          <w:szCs w:val="11"/>
          <w:color w:val="auto"/>
        </w:rPr>
        <w:t>Represents the interest rate in effect as of period end based on the appropriate reference rate as of the contractual reset date plus contractual spread, adjusted for hedging instruments, as applicable. See page 30 for information on interest rate swap and interest rate cap arrangements.</w:t>
      </w:r>
    </w:p>
    <w:p>
      <w:pPr>
        <w:ind w:left="260" w:hanging="254"/>
        <w:spacing w:after="0"/>
        <w:tabs>
          <w:tab w:leader="none" w:pos="260" w:val="left"/>
        </w:tabs>
        <w:numPr>
          <w:ilvl w:val="0"/>
          <w:numId w:val="31"/>
        </w:numPr>
        <w:rPr>
          <w:rFonts w:ascii="Arial" w:cs="Arial" w:eastAsia="Arial" w:hAnsi="Arial"/>
          <w:sz w:val="11"/>
          <w:szCs w:val="11"/>
          <w:b w:val="1"/>
          <w:bCs w:val="1"/>
          <w:color w:val="auto"/>
        </w:rPr>
      </w:pPr>
      <w:r>
        <w:rPr>
          <w:rFonts w:ascii="Arial" w:cs="Arial" w:eastAsia="Arial" w:hAnsi="Arial"/>
          <w:sz w:val="11"/>
          <w:szCs w:val="11"/>
          <w:color w:val="auto"/>
        </w:rPr>
        <w:t>On March 9, 2026, we entered into a forbearance agreement with the lenders on the loan, which matured in December 2025 and was not repaid. See page 5 for details.</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31"/>
        </w:numPr>
        <w:rPr>
          <w:rFonts w:ascii="Arial" w:cs="Arial" w:eastAsia="Arial" w:hAnsi="Arial"/>
          <w:sz w:val="11"/>
          <w:szCs w:val="11"/>
          <w:b w:val="1"/>
          <w:bCs w:val="1"/>
          <w:color w:val="auto"/>
        </w:rPr>
      </w:pPr>
      <w:r>
        <w:rPr>
          <w:rFonts w:ascii="Arial" w:cs="Arial" w:eastAsia="Arial" w:hAnsi="Arial"/>
          <w:sz w:val="11"/>
          <w:szCs w:val="11"/>
          <w:color w:val="auto"/>
        </w:rPr>
        <w:t>On October 20, 2026 the mortgage loan was satisfied at closing of the 350 Park Avenue joint venture. See page 3 for details.</w:t>
      </w:r>
    </w:p>
    <w:p>
      <w:pPr>
        <w:spacing w:after="0" w:line="13" w:lineRule="exact"/>
        <w:rPr>
          <w:rFonts w:ascii="Arial" w:cs="Arial" w:eastAsia="Arial" w:hAnsi="Arial"/>
          <w:sz w:val="11"/>
          <w:szCs w:val="11"/>
          <w:b w:val="1"/>
          <w:bCs w:val="1"/>
          <w:color w:val="auto"/>
        </w:rPr>
      </w:pPr>
    </w:p>
    <w:p>
      <w:pPr>
        <w:ind w:left="260" w:hanging="254"/>
        <w:spacing w:after="0"/>
        <w:tabs>
          <w:tab w:leader="none" w:pos="260" w:val="left"/>
        </w:tabs>
        <w:numPr>
          <w:ilvl w:val="0"/>
          <w:numId w:val="31"/>
        </w:numPr>
        <w:rPr>
          <w:rFonts w:ascii="Arial" w:cs="Arial" w:eastAsia="Arial" w:hAnsi="Arial"/>
          <w:sz w:val="11"/>
          <w:szCs w:val="11"/>
          <w:b w:val="1"/>
          <w:bCs w:val="1"/>
          <w:color w:val="auto"/>
        </w:rPr>
      </w:pPr>
      <w:r>
        <w:rPr>
          <w:rFonts w:ascii="Arial" w:cs="Arial" w:eastAsia="Arial" w:hAnsi="Arial"/>
          <w:sz w:val="11"/>
          <w:szCs w:val="11"/>
          <w:color w:val="auto"/>
        </w:rPr>
        <w:t>Balance is partially hedged by interest rate swap arrangements. See page 30 for details.</w:t>
      </w:r>
    </w:p>
    <w:p>
      <w:pPr>
        <w:spacing w:after="0" w:line="13" w:lineRule="exact"/>
        <w:rPr>
          <w:rFonts w:ascii="Arial" w:cs="Arial" w:eastAsia="Arial" w:hAnsi="Arial"/>
          <w:sz w:val="11"/>
          <w:szCs w:val="11"/>
          <w:b w:val="1"/>
          <w:bCs w:val="1"/>
          <w:color w:val="auto"/>
        </w:rPr>
      </w:pPr>
    </w:p>
    <w:p>
      <w:pPr>
        <w:ind w:left="260" w:hanging="254"/>
        <w:spacing w:after="0" w:line="290" w:lineRule="auto"/>
        <w:tabs>
          <w:tab w:leader="none" w:pos="249" w:val="left"/>
        </w:tabs>
        <w:numPr>
          <w:ilvl w:val="0"/>
          <w:numId w:val="31"/>
        </w:numPr>
        <w:rPr>
          <w:rFonts w:ascii="Arial" w:cs="Arial" w:eastAsia="Arial" w:hAnsi="Arial"/>
          <w:sz w:val="11"/>
          <w:szCs w:val="11"/>
          <w:b w:val="1"/>
          <w:bCs w:val="1"/>
          <w:color w:val="auto"/>
        </w:rPr>
      </w:pPr>
      <w:r>
        <w:rPr>
          <w:rFonts w:ascii="Arial" w:cs="Arial" w:eastAsia="Arial" w:hAnsi="Arial"/>
          <w:sz w:val="11"/>
          <w:szCs w:val="11"/>
          <w:color w:val="auto"/>
        </w:rPr>
        <w:t>In April 2026, we qualified for a sustainability margin adjustment on our unsecured term loan and $1.130 billion revolving credit facility and re-qualified on our $1.0 billion revolving credit facility by achieving certain KPI metrics, which reduced our interest rate by 0.05% for our term loan and 0.04% for our credit facilities.</w:t>
      </w: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03" w:lineRule="exact"/>
        <w:rPr>
          <w:rFonts w:ascii="Arial" w:cs="Arial" w:eastAsia="Arial" w:hAnsi="Arial"/>
          <w:sz w:val="11"/>
          <w:szCs w:val="11"/>
          <w:b w:val="1"/>
          <w:bCs w:val="1"/>
          <w:color w:val="auto"/>
        </w:rPr>
      </w:pPr>
    </w:p>
    <w:p>
      <w:pPr>
        <w:ind w:left="5580" w:hanging="87"/>
        <w:spacing w:after="0"/>
        <w:tabs>
          <w:tab w:leader="none" w:pos="55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28 -</w:t>
      </w:r>
    </w:p>
    <w:p>
      <w:pPr>
        <w:sectPr>
          <w:pgSz w:w="11900" w:h="16838" w:orient="portrait"/>
          <w:cols w:equalWidth="0" w:num="1">
            <w:col w:w="11280"/>
          </w:cols>
          <w:pgMar w:left="300" w:top="981" w:right="319" w:bottom="1440" w:gutter="0" w:footer="0" w:header="0"/>
        </w:sectPr>
      </w:pPr>
    </w:p>
    <w:bookmarkStart w:id="49" w:name="page50"/>
    <w:bookmarkEnd w:id="49"/>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DEBT DETAIL UNCONSOLIDATED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(Amounts in thousands)</w:t>
            </w:r>
          </w:p>
        </w:tc>
        <w:tc>
          <w:tcPr>
            <w:tcW w:w="9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2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Property</w:t>
            </w:r>
          </w:p>
        </w:tc>
        <w:tc>
          <w:tcPr>
            <w:tcW w:w="9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Ownership %</w:t>
            </w:r>
          </w:p>
        </w:tc>
        <w:tc>
          <w:tcPr>
            <w:tcW w:w="60" w:type="dxa"/>
            <w:vAlign w:val="bottom"/>
            <w:vMerge w:val="restart"/>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Maturity Date</w:t>
            </w:r>
            <w:r>
              <w:rPr>
                <w:rFonts w:ascii="Arial" w:cs="Arial" w:eastAsia="Arial" w:hAnsi="Arial"/>
                <w:sz w:val="14"/>
                <w:szCs w:val="14"/>
                <w:b w:val="1"/>
                <w:bCs w:val="1"/>
                <w:color w:val="auto"/>
                <w:vertAlign w:val="superscript"/>
              </w:rPr>
              <w:t>(1)</w:t>
            </w:r>
          </w:p>
        </w:tc>
        <w:tc>
          <w:tcPr>
            <w:tcW w:w="60" w:type="dxa"/>
            <w:vAlign w:val="bottom"/>
            <w:vMerge w:val="restart"/>
          </w:tcPr>
          <w:p>
            <w:pPr>
              <w:spacing w:after="0"/>
              <w:rPr>
                <w:sz w:val="10"/>
                <w:szCs w:val="10"/>
                <w:color w:val="auto"/>
              </w:rPr>
            </w:pPr>
          </w:p>
        </w:tc>
        <w:tc>
          <w:tcPr>
            <w:tcW w:w="1020" w:type="dxa"/>
            <w:vAlign w:val="bottom"/>
            <w:gridSpan w:val="2"/>
          </w:tcPr>
          <w:p>
            <w:pPr>
              <w:jc w:val="center"/>
              <w:ind w:right="60"/>
              <w:spacing w:after="0" w:line="120" w:lineRule="exact"/>
              <w:rPr>
                <w:sz w:val="20"/>
                <w:szCs w:val="20"/>
                <w:color w:val="auto"/>
              </w:rPr>
            </w:pPr>
            <w:r>
              <w:rPr>
                <w:rFonts w:ascii="Arial" w:cs="Arial" w:eastAsia="Arial" w:hAnsi="Arial"/>
                <w:sz w:val="11"/>
                <w:szCs w:val="11"/>
                <w:b w:val="1"/>
                <w:bCs w:val="1"/>
                <w:color w:val="auto"/>
              </w:rPr>
              <w:t>Variable Rate</w:t>
            </w:r>
          </w:p>
        </w:tc>
        <w:tc>
          <w:tcPr>
            <w:tcW w:w="96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Interest Rate</w:t>
            </w:r>
            <w:r>
              <w:rPr>
                <w:rFonts w:ascii="Arial" w:cs="Arial" w:eastAsia="Arial" w:hAnsi="Arial"/>
                <w:sz w:val="14"/>
                <w:szCs w:val="14"/>
                <w:b w:val="1"/>
                <w:bCs w:val="1"/>
                <w:color w:val="auto"/>
                <w:vertAlign w:val="superscript"/>
              </w:rPr>
              <w:t>(2)</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Debt Balance</w:t>
            </w:r>
          </w:p>
        </w:tc>
        <w:tc>
          <w:tcPr>
            <w:tcW w:w="960" w:type="dxa"/>
            <w:vAlign w:val="bottom"/>
            <w:gridSpan w:val="2"/>
          </w:tcPr>
          <w:p>
            <w:pPr>
              <w:jc w:val="right"/>
              <w:spacing w:after="0" w:line="120" w:lineRule="exact"/>
              <w:rPr>
                <w:sz w:val="20"/>
                <w:szCs w:val="20"/>
                <w:color w:val="auto"/>
              </w:rPr>
            </w:pPr>
            <w:r>
              <w:rPr>
                <w:rFonts w:ascii="Arial" w:cs="Arial" w:eastAsia="Arial" w:hAnsi="Arial"/>
                <w:sz w:val="11"/>
                <w:szCs w:val="11"/>
                <w:b w:val="1"/>
                <w:bCs w:val="1"/>
                <w:color w:val="auto"/>
              </w:rPr>
              <w:t>Debt Balance (at</w:t>
            </w:r>
          </w:p>
        </w:tc>
        <w:tc>
          <w:tcPr>
            <w:tcW w:w="0" w:type="dxa"/>
            <w:vAlign w:val="bottom"/>
          </w:tcPr>
          <w:p>
            <w:pPr>
              <w:spacing w:after="0"/>
              <w:rPr>
                <w:sz w:val="1"/>
                <w:szCs w:val="1"/>
                <w:color w:val="auto"/>
              </w:rPr>
            </w:pPr>
          </w:p>
        </w:tc>
      </w:tr>
      <w:tr>
        <w:trPr>
          <w:trHeight w:val="148"/>
        </w:trPr>
        <w:tc>
          <w:tcPr>
            <w:tcW w:w="5200" w:type="dxa"/>
            <w:vAlign w:val="bottom"/>
            <w:tcBorders>
              <w:bottom w:val="single" w:sz="8" w:color="CCEEFF"/>
            </w:tcBorders>
            <w:gridSpan w:val="2"/>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Spread</w:t>
            </w: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(100%)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share)</w:t>
            </w:r>
          </w:p>
        </w:tc>
        <w:tc>
          <w:tcPr>
            <w:tcW w:w="0" w:type="dxa"/>
            <w:vAlign w:val="bottom"/>
          </w:tcPr>
          <w:p>
            <w:pPr>
              <w:spacing w:after="0"/>
              <w:rPr>
                <w:sz w:val="1"/>
                <w:szCs w:val="1"/>
                <w:color w:val="auto"/>
              </w:rPr>
            </w:pPr>
          </w:p>
        </w:tc>
      </w:tr>
      <w:tr>
        <w:trPr>
          <w:trHeight w:val="152"/>
        </w:trPr>
        <w:tc>
          <w:tcPr>
            <w:tcW w:w="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825</w:t>
            </w:r>
          </w:p>
        </w:tc>
        <w:tc>
          <w:tcPr>
            <w:tcW w:w="4900" w:type="dxa"/>
            <w:vAlign w:val="bottom"/>
            <w:shd w:val="clear" w:color="auto" w:fill="CCEEFF"/>
          </w:tcPr>
          <w:p>
            <w:pPr>
              <w:spacing w:after="0"/>
              <w:rPr>
                <w:sz w:val="20"/>
                <w:szCs w:val="20"/>
                <w:color w:val="auto"/>
              </w:rPr>
            </w:pPr>
            <w:r>
              <w:rPr>
                <w:rFonts w:ascii="Arial" w:cs="Arial" w:eastAsia="Arial" w:hAnsi="Arial"/>
                <w:sz w:val="11"/>
                <w:szCs w:val="11"/>
                <w:color w:val="auto"/>
              </w:rPr>
              <w:t>Seventh Avenue office condominium</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50.0%</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03"/>
              <w:spacing w:after="0" w:line="152" w:lineRule="exact"/>
              <w:rPr>
                <w:sz w:val="20"/>
                <w:szCs w:val="20"/>
                <w:color w:val="auto"/>
              </w:rPr>
            </w:pPr>
            <w:r>
              <w:rPr>
                <w:rFonts w:ascii="Arial" w:cs="Arial" w:eastAsia="Arial" w:hAnsi="Arial"/>
                <w:sz w:val="11"/>
                <w:szCs w:val="11"/>
                <w:color w:val="auto"/>
              </w:rPr>
              <w:t>10/26</w:t>
            </w:r>
            <w:r>
              <w:rPr>
                <w:rFonts w:ascii="Arial" w:cs="Arial" w:eastAsia="Arial" w:hAnsi="Arial"/>
                <w:sz w:val="14"/>
                <w:szCs w:val="14"/>
                <w:b w:val="1"/>
                <w:bCs w:val="1"/>
                <w:color w:val="auto"/>
                <w:vertAlign w:val="superscript"/>
              </w:rPr>
              <w:t>(3)</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S+275</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6.43%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48,000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24,000</w:t>
            </w:r>
          </w:p>
        </w:tc>
        <w:tc>
          <w:tcPr>
            <w:tcW w:w="0" w:type="dxa"/>
            <w:vAlign w:val="bottom"/>
          </w:tcPr>
          <w:p>
            <w:pPr>
              <w:spacing w:after="0"/>
              <w:rPr>
                <w:sz w:val="1"/>
                <w:szCs w:val="1"/>
                <w:color w:val="auto"/>
              </w:rPr>
            </w:pPr>
          </w:p>
        </w:tc>
      </w:tr>
      <w:tr>
        <w:trPr>
          <w:trHeight w:val="158"/>
        </w:trPr>
        <w:tc>
          <w:tcPr>
            <w:tcW w:w="5200" w:type="dxa"/>
            <w:vAlign w:val="bottom"/>
            <w:gridSpan w:val="2"/>
          </w:tcPr>
          <w:p>
            <w:pPr>
              <w:ind w:left="80"/>
              <w:spacing w:after="0"/>
              <w:rPr>
                <w:sz w:val="20"/>
                <w:szCs w:val="20"/>
                <w:color w:val="auto"/>
              </w:rPr>
            </w:pPr>
            <w:r>
              <w:rPr>
                <w:rFonts w:ascii="Arial" w:cs="Arial" w:eastAsia="Arial" w:hAnsi="Arial"/>
                <w:sz w:val="11"/>
                <w:szCs w:val="11"/>
                <w:color w:val="auto"/>
              </w:rPr>
              <w:t>85 Tenth Avenue</w:t>
            </w:r>
          </w:p>
        </w:tc>
        <w:tc>
          <w:tcPr>
            <w:tcW w:w="960" w:type="dxa"/>
            <w:vAlign w:val="bottom"/>
          </w:tcPr>
          <w:p>
            <w:pPr>
              <w:jc w:val="center"/>
              <w:spacing w:after="0"/>
              <w:rPr>
                <w:sz w:val="20"/>
                <w:szCs w:val="20"/>
                <w:color w:val="auto"/>
              </w:rPr>
            </w:pPr>
            <w:r>
              <w:rPr>
                <w:rFonts w:ascii="Arial" w:cs="Arial" w:eastAsia="Arial" w:hAnsi="Arial"/>
                <w:sz w:val="11"/>
                <w:szCs w:val="11"/>
                <w:color w:val="auto"/>
              </w:rPr>
              <w:t>49.9%</w:t>
            </w: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12/26</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4.55%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625,000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311,875</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Wells Kinzie</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50.0%</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05/27</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17,883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8,941</w:t>
            </w:r>
          </w:p>
        </w:tc>
        <w:tc>
          <w:tcPr>
            <w:tcW w:w="0" w:type="dxa"/>
            <w:vAlign w:val="bottom"/>
          </w:tcPr>
          <w:p>
            <w:pPr>
              <w:spacing w:after="0"/>
              <w:rPr>
                <w:sz w:val="1"/>
                <w:szCs w:val="1"/>
                <w:color w:val="auto"/>
              </w:rPr>
            </w:pPr>
          </w:p>
        </w:tc>
      </w:tr>
      <w:tr>
        <w:trPr>
          <w:trHeight w:val="158"/>
        </w:trPr>
        <w:tc>
          <w:tcPr>
            <w:tcW w:w="5200" w:type="dxa"/>
            <w:vAlign w:val="bottom"/>
            <w:gridSpan w:val="2"/>
          </w:tcPr>
          <w:p>
            <w:pPr>
              <w:ind w:left="80"/>
              <w:spacing w:after="0"/>
              <w:rPr>
                <w:sz w:val="20"/>
                <w:szCs w:val="20"/>
                <w:color w:val="auto"/>
              </w:rPr>
            </w:pPr>
            <w:r>
              <w:rPr>
                <w:rFonts w:ascii="Arial" w:cs="Arial" w:eastAsia="Arial" w:hAnsi="Arial"/>
                <w:sz w:val="11"/>
                <w:szCs w:val="11"/>
                <w:color w:val="auto"/>
              </w:rPr>
              <w:t>Sunset Pier 94 Studios</w:t>
            </w:r>
          </w:p>
        </w:tc>
        <w:tc>
          <w:tcPr>
            <w:tcW w:w="960" w:type="dxa"/>
            <w:vAlign w:val="bottom"/>
          </w:tcPr>
          <w:p>
            <w:pPr>
              <w:jc w:val="center"/>
              <w:spacing w:after="0"/>
              <w:rPr>
                <w:sz w:val="20"/>
                <w:szCs w:val="20"/>
                <w:color w:val="auto"/>
              </w:rPr>
            </w:pPr>
            <w:r>
              <w:rPr>
                <w:rFonts w:ascii="Arial" w:cs="Arial" w:eastAsia="Arial" w:hAnsi="Arial"/>
                <w:sz w:val="11"/>
                <w:szCs w:val="11"/>
                <w:color w:val="auto"/>
              </w:rPr>
              <w:t>49.9%</w:t>
            </w: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09/27</w:t>
            </w:r>
          </w:p>
        </w:tc>
        <w:tc>
          <w:tcPr>
            <w:tcW w:w="60" w:type="dxa"/>
            <w:vAlign w:val="bottom"/>
          </w:tcPr>
          <w:p>
            <w:pPr>
              <w:spacing w:after="0"/>
              <w:rPr>
                <w:sz w:val="13"/>
                <w:szCs w:val="13"/>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1"/>
                <w:szCs w:val="11"/>
                <w:color w:val="auto"/>
              </w:rPr>
              <w:t>S+481</w:t>
            </w: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8.62%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169,771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84,716</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The Alexander apartment tower</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32.4%</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11/27</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94,000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30,456</w:t>
            </w:r>
          </w:p>
        </w:tc>
        <w:tc>
          <w:tcPr>
            <w:tcW w:w="0" w:type="dxa"/>
            <w:vAlign w:val="bottom"/>
          </w:tcPr>
          <w:p>
            <w:pPr>
              <w:spacing w:after="0"/>
              <w:rPr>
                <w:sz w:val="1"/>
                <w:szCs w:val="1"/>
                <w:color w:val="auto"/>
              </w:rPr>
            </w:pPr>
          </w:p>
        </w:tc>
      </w:tr>
      <w:tr>
        <w:trPr>
          <w:trHeight w:val="158"/>
        </w:trPr>
        <w:tc>
          <w:tcPr>
            <w:tcW w:w="5200" w:type="dxa"/>
            <w:vAlign w:val="bottom"/>
            <w:gridSpan w:val="2"/>
          </w:tcPr>
          <w:p>
            <w:pPr>
              <w:ind w:left="80"/>
              <w:spacing w:after="0"/>
              <w:rPr>
                <w:sz w:val="20"/>
                <w:szCs w:val="20"/>
                <w:color w:val="auto"/>
              </w:rPr>
            </w:pPr>
            <w:r>
              <w:rPr>
                <w:rFonts w:ascii="Arial" w:cs="Arial" w:eastAsia="Arial" w:hAnsi="Arial"/>
                <w:sz w:val="11"/>
                <w:szCs w:val="11"/>
                <w:color w:val="auto"/>
              </w:rPr>
              <w:t>697-703 Fifth Avenue</w:t>
            </w:r>
          </w:p>
        </w:tc>
        <w:tc>
          <w:tcPr>
            <w:tcW w:w="960" w:type="dxa"/>
            <w:vAlign w:val="bottom"/>
          </w:tcPr>
          <w:p>
            <w:pPr>
              <w:jc w:val="center"/>
              <w:spacing w:after="0"/>
              <w:rPr>
                <w:sz w:val="20"/>
                <w:szCs w:val="20"/>
                <w:color w:val="auto"/>
              </w:rPr>
            </w:pPr>
            <w:r>
              <w:rPr>
                <w:rFonts w:ascii="Arial" w:cs="Arial" w:eastAsia="Arial" w:hAnsi="Arial"/>
                <w:sz w:val="11"/>
                <w:szCs w:val="11"/>
                <w:color w:val="auto"/>
              </w:rPr>
              <w:t>44.8%</w:t>
            </w: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03/28</w:t>
            </w:r>
          </w:p>
        </w:tc>
        <w:tc>
          <w:tcPr>
            <w:tcW w:w="60" w:type="dxa"/>
            <w:vAlign w:val="bottom"/>
          </w:tcPr>
          <w:p>
            <w:pPr>
              <w:spacing w:after="0"/>
              <w:rPr>
                <w:sz w:val="13"/>
                <w:szCs w:val="13"/>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1"/>
                <w:szCs w:val="11"/>
                <w:color w:val="auto"/>
              </w:rPr>
              <w:t>S+200</w:t>
            </w: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5.52%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354,558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158,791</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61 Ninth Avenue</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45.1%</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06/28</w:t>
            </w: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S+300</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6.76%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161,000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72,611</w:t>
            </w:r>
          </w:p>
        </w:tc>
        <w:tc>
          <w:tcPr>
            <w:tcW w:w="0" w:type="dxa"/>
            <w:vAlign w:val="bottom"/>
          </w:tcPr>
          <w:p>
            <w:pPr>
              <w:spacing w:after="0"/>
              <w:rPr>
                <w:sz w:val="1"/>
                <w:szCs w:val="1"/>
                <w:color w:val="auto"/>
              </w:rPr>
            </w:pPr>
          </w:p>
        </w:tc>
      </w:tr>
      <w:tr>
        <w:trPr>
          <w:trHeight w:val="158"/>
        </w:trPr>
        <w:tc>
          <w:tcPr>
            <w:tcW w:w="300" w:type="dxa"/>
            <w:vAlign w:val="bottom"/>
          </w:tcPr>
          <w:p>
            <w:pPr>
              <w:ind w:left="80"/>
              <w:spacing w:after="0"/>
              <w:rPr>
                <w:sz w:val="20"/>
                <w:szCs w:val="20"/>
                <w:color w:val="auto"/>
              </w:rPr>
            </w:pPr>
            <w:r>
              <w:rPr>
                <w:rFonts w:ascii="Arial" w:cs="Arial" w:eastAsia="Arial" w:hAnsi="Arial"/>
                <w:sz w:val="11"/>
                <w:szCs w:val="11"/>
                <w:color w:val="auto"/>
              </w:rPr>
              <w:t>280</w:t>
            </w:r>
          </w:p>
        </w:tc>
        <w:tc>
          <w:tcPr>
            <w:tcW w:w="4900" w:type="dxa"/>
            <w:vAlign w:val="bottom"/>
          </w:tcPr>
          <w:p>
            <w:pPr>
              <w:spacing w:after="0"/>
              <w:rPr>
                <w:sz w:val="20"/>
                <w:szCs w:val="20"/>
                <w:color w:val="auto"/>
              </w:rPr>
            </w:pPr>
            <w:r>
              <w:rPr>
                <w:rFonts w:ascii="Arial" w:cs="Arial" w:eastAsia="Arial" w:hAnsi="Arial"/>
                <w:sz w:val="11"/>
                <w:szCs w:val="11"/>
                <w:color w:val="auto"/>
              </w:rPr>
              <w:t>Park Avenue</w:t>
            </w:r>
          </w:p>
        </w:tc>
        <w:tc>
          <w:tcPr>
            <w:tcW w:w="960" w:type="dxa"/>
            <w:vAlign w:val="bottom"/>
          </w:tcPr>
          <w:p>
            <w:pPr>
              <w:jc w:val="center"/>
              <w:spacing w:after="0"/>
              <w:rPr>
                <w:sz w:val="20"/>
                <w:szCs w:val="20"/>
                <w:color w:val="auto"/>
              </w:rPr>
            </w:pPr>
            <w:r>
              <w:rPr>
                <w:rFonts w:ascii="Arial" w:cs="Arial" w:eastAsia="Arial" w:hAnsi="Arial"/>
                <w:sz w:val="11"/>
                <w:szCs w:val="11"/>
                <w:color w:val="auto"/>
              </w:rPr>
              <w:t>50.0%</w:t>
            </w: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09/28</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5.84%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1,075,000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537,500</w:t>
            </w:r>
          </w:p>
        </w:tc>
        <w:tc>
          <w:tcPr>
            <w:tcW w:w="0" w:type="dxa"/>
            <w:vAlign w:val="bottom"/>
          </w:tcPr>
          <w:p>
            <w:pPr>
              <w:spacing w:after="0"/>
              <w:rPr>
                <w:sz w:val="1"/>
                <w:szCs w:val="1"/>
                <w:color w:val="auto"/>
              </w:rPr>
            </w:pPr>
          </w:p>
        </w:tc>
      </w:tr>
      <w:tr>
        <w:trPr>
          <w:trHeight w:val="165"/>
        </w:trPr>
        <w:tc>
          <w:tcPr>
            <w:tcW w:w="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731</w:t>
            </w:r>
          </w:p>
        </w:tc>
        <w:tc>
          <w:tcPr>
            <w:tcW w:w="4900" w:type="dxa"/>
            <w:vAlign w:val="bottom"/>
            <w:shd w:val="clear" w:color="auto" w:fill="CCEEFF"/>
          </w:tcPr>
          <w:p>
            <w:pPr>
              <w:spacing w:after="0"/>
              <w:rPr>
                <w:sz w:val="20"/>
                <w:szCs w:val="20"/>
                <w:color w:val="auto"/>
              </w:rPr>
            </w:pPr>
            <w:r>
              <w:rPr>
                <w:rFonts w:ascii="Arial" w:cs="Arial" w:eastAsia="Arial" w:hAnsi="Arial"/>
                <w:sz w:val="11"/>
                <w:szCs w:val="11"/>
                <w:color w:val="auto"/>
              </w:rPr>
              <w:t>Lexington Avenue office condominium</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32.4%</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10/28</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400,000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129,600</w:t>
            </w:r>
          </w:p>
        </w:tc>
        <w:tc>
          <w:tcPr>
            <w:tcW w:w="0" w:type="dxa"/>
            <w:vAlign w:val="bottom"/>
          </w:tcPr>
          <w:p>
            <w:pPr>
              <w:spacing w:after="0"/>
              <w:rPr>
                <w:sz w:val="1"/>
                <w:szCs w:val="1"/>
                <w:color w:val="auto"/>
              </w:rPr>
            </w:pPr>
          </w:p>
        </w:tc>
      </w:tr>
      <w:tr>
        <w:trPr>
          <w:trHeight w:val="161"/>
        </w:trPr>
        <w:tc>
          <w:tcPr>
            <w:tcW w:w="5200" w:type="dxa"/>
            <w:vAlign w:val="bottom"/>
            <w:gridSpan w:val="2"/>
          </w:tcPr>
          <w:p>
            <w:pPr>
              <w:ind w:left="80"/>
              <w:spacing w:after="0"/>
              <w:rPr>
                <w:sz w:val="20"/>
                <w:szCs w:val="20"/>
                <w:color w:val="auto"/>
              </w:rPr>
            </w:pPr>
            <w:r>
              <w:rPr>
                <w:rFonts w:ascii="Arial" w:cs="Arial" w:eastAsia="Arial" w:hAnsi="Arial"/>
                <w:sz w:val="11"/>
                <w:szCs w:val="11"/>
                <w:color w:val="auto"/>
              </w:rPr>
              <w:t>Rosslyn Plaza North</w:t>
            </w:r>
            <w:r>
              <w:rPr>
                <w:rFonts w:ascii="Arial" w:cs="Arial" w:eastAsia="Arial" w:hAnsi="Arial"/>
                <w:sz w:val="14"/>
                <w:szCs w:val="14"/>
                <w:b w:val="1"/>
                <w:bCs w:val="1"/>
                <w:color w:val="auto"/>
                <w:vertAlign w:val="superscript"/>
              </w:rPr>
              <w:t>(4)</w:t>
            </w:r>
          </w:p>
        </w:tc>
        <w:tc>
          <w:tcPr>
            <w:tcW w:w="960" w:type="dxa"/>
            <w:vAlign w:val="bottom"/>
          </w:tcPr>
          <w:p>
            <w:pPr>
              <w:jc w:val="center"/>
              <w:spacing w:after="0"/>
              <w:rPr>
                <w:sz w:val="20"/>
                <w:szCs w:val="20"/>
                <w:color w:val="auto"/>
              </w:rPr>
            </w:pPr>
            <w:r>
              <w:rPr>
                <w:rFonts w:ascii="Arial" w:cs="Arial" w:eastAsia="Arial" w:hAnsi="Arial"/>
                <w:sz w:val="11"/>
                <w:szCs w:val="11"/>
                <w:color w:val="auto"/>
              </w:rPr>
              <w:t>50.4%</w:t>
            </w:r>
          </w:p>
        </w:tc>
        <w:tc>
          <w:tcPr>
            <w:tcW w:w="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06/29</w:t>
            </w:r>
          </w:p>
        </w:tc>
        <w:tc>
          <w:tcPr>
            <w:tcW w:w="6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1"/>
                <w:szCs w:val="11"/>
                <w:color w:val="auto"/>
              </w:rPr>
              <w:t>S+275</w:t>
            </w: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6.51%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5,041</w:t>
            </w:r>
          </w:p>
        </w:tc>
        <w:tc>
          <w:tcPr>
            <w:tcW w:w="0" w:type="dxa"/>
            <w:vAlign w:val="bottom"/>
          </w:tcPr>
          <w:p>
            <w:pPr>
              <w:spacing w:after="0"/>
              <w:rPr>
                <w:sz w:val="1"/>
                <w:szCs w:val="1"/>
                <w:color w:val="auto"/>
              </w:rPr>
            </w:pPr>
          </w:p>
        </w:tc>
      </w:tr>
      <w:tr>
        <w:trPr>
          <w:trHeight w:val="161"/>
        </w:trPr>
        <w:tc>
          <w:tcPr>
            <w:tcW w:w="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640</w:t>
            </w:r>
          </w:p>
        </w:tc>
        <w:tc>
          <w:tcPr>
            <w:tcW w:w="4900" w:type="dxa"/>
            <w:vAlign w:val="bottom"/>
            <w:shd w:val="clear" w:color="auto" w:fill="CCEEFF"/>
          </w:tcPr>
          <w:p>
            <w:pPr>
              <w:spacing w:after="0"/>
              <w:rPr>
                <w:sz w:val="20"/>
                <w:szCs w:val="20"/>
                <w:color w:val="auto"/>
              </w:rPr>
            </w:pPr>
            <w:r>
              <w:rPr>
                <w:rFonts w:ascii="Arial" w:cs="Arial" w:eastAsia="Arial" w:hAnsi="Arial"/>
                <w:sz w:val="11"/>
                <w:szCs w:val="11"/>
                <w:color w:val="auto"/>
              </w:rPr>
              <w:t>Fifth Avenue</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52.0%</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07/29</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384,833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200,056</w:t>
            </w:r>
          </w:p>
        </w:tc>
        <w:tc>
          <w:tcPr>
            <w:tcW w:w="0" w:type="dxa"/>
            <w:vAlign w:val="bottom"/>
          </w:tcPr>
          <w:p>
            <w:pPr>
              <w:spacing w:after="0"/>
              <w:rPr>
                <w:sz w:val="1"/>
                <w:szCs w:val="1"/>
                <w:color w:val="auto"/>
              </w:rPr>
            </w:pPr>
          </w:p>
        </w:tc>
      </w:tr>
      <w:tr>
        <w:trPr>
          <w:trHeight w:val="158"/>
        </w:trPr>
        <w:tc>
          <w:tcPr>
            <w:tcW w:w="5200" w:type="dxa"/>
            <w:vAlign w:val="bottom"/>
            <w:gridSpan w:val="2"/>
          </w:tcPr>
          <w:p>
            <w:pPr>
              <w:ind w:left="80"/>
              <w:spacing w:after="0"/>
              <w:rPr>
                <w:sz w:val="20"/>
                <w:szCs w:val="20"/>
                <w:color w:val="auto"/>
              </w:rPr>
            </w:pPr>
            <w:r>
              <w:rPr>
                <w:rFonts w:ascii="Arial" w:cs="Arial" w:eastAsia="Arial" w:hAnsi="Arial"/>
                <w:sz w:val="11"/>
                <w:szCs w:val="11"/>
                <w:color w:val="auto"/>
              </w:rPr>
              <w:t>1535 Broadway</w:t>
            </w:r>
          </w:p>
        </w:tc>
        <w:tc>
          <w:tcPr>
            <w:tcW w:w="960" w:type="dxa"/>
            <w:vAlign w:val="bottom"/>
          </w:tcPr>
          <w:p>
            <w:pPr>
              <w:jc w:val="center"/>
              <w:spacing w:after="0"/>
              <w:rPr>
                <w:sz w:val="20"/>
                <w:szCs w:val="20"/>
                <w:color w:val="auto"/>
              </w:rPr>
            </w:pPr>
            <w:r>
              <w:rPr>
                <w:rFonts w:ascii="Arial" w:cs="Arial" w:eastAsia="Arial" w:hAnsi="Arial"/>
                <w:sz w:val="11"/>
                <w:szCs w:val="11"/>
                <w:color w:val="auto"/>
              </w:rPr>
              <w:t>52.0%</w:t>
            </w: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05/30</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6.90%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450,000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233,933</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Independence Plaza</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50.1%</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06/30</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675,000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338,175</w:t>
            </w:r>
          </w:p>
        </w:tc>
        <w:tc>
          <w:tcPr>
            <w:tcW w:w="0" w:type="dxa"/>
            <w:vAlign w:val="bottom"/>
          </w:tcPr>
          <w:p>
            <w:pPr>
              <w:spacing w:after="0"/>
              <w:rPr>
                <w:sz w:val="1"/>
                <w:szCs w:val="1"/>
                <w:color w:val="auto"/>
              </w:rPr>
            </w:pPr>
          </w:p>
        </w:tc>
      </w:tr>
      <w:tr>
        <w:trPr>
          <w:trHeight w:val="158"/>
        </w:trPr>
        <w:tc>
          <w:tcPr>
            <w:tcW w:w="5200" w:type="dxa"/>
            <w:vAlign w:val="bottom"/>
            <w:gridSpan w:val="2"/>
          </w:tcPr>
          <w:p>
            <w:pPr>
              <w:ind w:left="80"/>
              <w:spacing w:after="0"/>
              <w:rPr>
                <w:sz w:val="20"/>
                <w:szCs w:val="20"/>
                <w:color w:val="auto"/>
              </w:rPr>
            </w:pPr>
            <w:r>
              <w:rPr>
                <w:rFonts w:ascii="Arial" w:cs="Arial" w:eastAsia="Arial" w:hAnsi="Arial"/>
                <w:sz w:val="11"/>
                <w:szCs w:val="11"/>
                <w:color w:val="auto"/>
              </w:rPr>
              <w:t>Rego Park shopping center</w:t>
            </w:r>
          </w:p>
        </w:tc>
        <w:tc>
          <w:tcPr>
            <w:tcW w:w="960" w:type="dxa"/>
            <w:vAlign w:val="bottom"/>
          </w:tcPr>
          <w:p>
            <w:pPr>
              <w:jc w:val="center"/>
              <w:spacing w:after="0"/>
              <w:rPr>
                <w:sz w:val="20"/>
                <w:szCs w:val="20"/>
                <w:color w:val="auto"/>
              </w:rPr>
            </w:pPr>
            <w:r>
              <w:rPr>
                <w:rFonts w:ascii="Arial" w:cs="Arial" w:eastAsia="Arial" w:hAnsi="Arial"/>
                <w:sz w:val="11"/>
                <w:szCs w:val="11"/>
                <w:color w:val="auto"/>
              </w:rPr>
              <w:t>32.4%</w:t>
            </w: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12/30</w:t>
            </w:r>
          </w:p>
        </w:tc>
        <w:tc>
          <w:tcPr>
            <w:tcW w:w="60" w:type="dxa"/>
            <w:vAlign w:val="bottom"/>
          </w:tcPr>
          <w:p>
            <w:pPr>
              <w:spacing w:after="0"/>
              <w:rPr>
                <w:sz w:val="13"/>
                <w:szCs w:val="13"/>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1"/>
                <w:szCs w:val="11"/>
                <w:color w:val="auto"/>
              </w:rPr>
              <w:t>S+200</w:t>
            </w: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5.90%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175,000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56,700</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7 West 34th Street</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53.0%</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02/31</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132,500</w:t>
            </w:r>
          </w:p>
        </w:tc>
        <w:tc>
          <w:tcPr>
            <w:tcW w:w="0" w:type="dxa"/>
            <w:vAlign w:val="bottom"/>
          </w:tcPr>
          <w:p>
            <w:pPr>
              <w:spacing w:after="0"/>
              <w:rPr>
                <w:sz w:val="1"/>
                <w:szCs w:val="1"/>
                <w:color w:val="auto"/>
              </w:rPr>
            </w:pPr>
          </w:p>
        </w:tc>
      </w:tr>
      <w:tr>
        <w:trPr>
          <w:trHeight w:val="158"/>
        </w:trPr>
        <w:tc>
          <w:tcPr>
            <w:tcW w:w="5200" w:type="dxa"/>
            <w:vAlign w:val="bottom"/>
            <w:gridSpan w:val="2"/>
          </w:tcPr>
          <w:p>
            <w:pPr>
              <w:ind w:left="80"/>
              <w:spacing w:after="0"/>
              <w:rPr>
                <w:sz w:val="20"/>
                <w:szCs w:val="20"/>
                <w:color w:val="auto"/>
              </w:rPr>
            </w:pPr>
            <w:r>
              <w:rPr>
                <w:rFonts w:ascii="Arial" w:cs="Arial" w:eastAsia="Arial" w:hAnsi="Arial"/>
                <w:sz w:val="11"/>
                <w:szCs w:val="11"/>
                <w:color w:val="auto"/>
              </w:rPr>
              <w:t>Fashion Centre/Washington Tower</w:t>
            </w:r>
          </w:p>
        </w:tc>
        <w:tc>
          <w:tcPr>
            <w:tcW w:w="960" w:type="dxa"/>
            <w:vAlign w:val="bottom"/>
          </w:tcPr>
          <w:p>
            <w:pPr>
              <w:jc w:val="center"/>
              <w:spacing w:after="0"/>
              <w:rPr>
                <w:sz w:val="20"/>
                <w:szCs w:val="20"/>
                <w:color w:val="auto"/>
              </w:rPr>
            </w:pPr>
            <w:r>
              <w:rPr>
                <w:rFonts w:ascii="Arial" w:cs="Arial" w:eastAsia="Arial" w:hAnsi="Arial"/>
                <w:sz w:val="11"/>
                <w:szCs w:val="11"/>
                <w:color w:val="auto"/>
              </w:rPr>
              <w:t>7.5%</w:t>
            </w: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04/31</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5.70%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465,000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34,875</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Park Avenue Plaza</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49.0%</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11/31</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575,000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281,750</w:t>
            </w:r>
          </w:p>
        </w:tc>
        <w:tc>
          <w:tcPr>
            <w:tcW w:w="0" w:type="dxa"/>
            <w:vAlign w:val="bottom"/>
          </w:tcPr>
          <w:p>
            <w:pPr>
              <w:spacing w:after="0"/>
              <w:rPr>
                <w:sz w:val="1"/>
                <w:szCs w:val="1"/>
                <w:color w:val="auto"/>
              </w:rPr>
            </w:pPr>
          </w:p>
        </w:tc>
      </w:tr>
      <w:tr>
        <w:trPr>
          <w:trHeight w:val="158"/>
        </w:trPr>
        <w:tc>
          <w:tcPr>
            <w:tcW w:w="300" w:type="dxa"/>
            <w:vAlign w:val="bottom"/>
          </w:tcPr>
          <w:p>
            <w:pPr>
              <w:ind w:left="80"/>
              <w:spacing w:after="0"/>
              <w:rPr>
                <w:sz w:val="20"/>
                <w:szCs w:val="20"/>
                <w:color w:val="auto"/>
              </w:rPr>
            </w:pPr>
            <w:r>
              <w:rPr>
                <w:rFonts w:ascii="Arial" w:cs="Arial" w:eastAsia="Arial" w:hAnsi="Arial"/>
                <w:sz w:val="11"/>
                <w:szCs w:val="11"/>
                <w:color w:val="auto"/>
              </w:rPr>
              <w:t>330</w:t>
            </w:r>
          </w:p>
        </w:tc>
        <w:tc>
          <w:tcPr>
            <w:tcW w:w="4900" w:type="dxa"/>
            <w:vAlign w:val="bottom"/>
          </w:tcPr>
          <w:p>
            <w:pPr>
              <w:spacing w:after="0"/>
              <w:rPr>
                <w:sz w:val="20"/>
                <w:szCs w:val="20"/>
                <w:color w:val="auto"/>
              </w:rPr>
            </w:pPr>
            <w:r>
              <w:rPr>
                <w:rFonts w:ascii="Arial" w:cs="Arial" w:eastAsia="Arial" w:hAnsi="Arial"/>
                <w:sz w:val="11"/>
                <w:szCs w:val="11"/>
                <w:color w:val="auto"/>
              </w:rPr>
              <w:t>West 34th Street ground lessor</w:t>
            </w:r>
          </w:p>
        </w:tc>
        <w:tc>
          <w:tcPr>
            <w:tcW w:w="960" w:type="dxa"/>
            <w:vAlign w:val="bottom"/>
          </w:tcPr>
          <w:p>
            <w:pPr>
              <w:jc w:val="center"/>
              <w:spacing w:after="0"/>
              <w:rPr>
                <w:sz w:val="20"/>
                <w:szCs w:val="20"/>
                <w:color w:val="auto"/>
              </w:rPr>
            </w:pPr>
            <w:r>
              <w:rPr>
                <w:rFonts w:ascii="Arial" w:cs="Arial" w:eastAsia="Arial" w:hAnsi="Arial"/>
                <w:sz w:val="11"/>
                <w:szCs w:val="11"/>
                <w:color w:val="auto"/>
              </w:rPr>
              <w:t>34.8%</w:t>
            </w: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09/32</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4.55%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100,000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34,825</w:t>
            </w:r>
          </w:p>
        </w:tc>
        <w:tc>
          <w:tcPr>
            <w:tcW w:w="0" w:type="dxa"/>
            <w:vAlign w:val="bottom"/>
          </w:tcPr>
          <w:p>
            <w:pPr>
              <w:spacing w:after="0"/>
              <w:rPr>
                <w:sz w:val="1"/>
                <w:szCs w:val="1"/>
                <w:color w:val="auto"/>
              </w:rPr>
            </w:pPr>
          </w:p>
        </w:tc>
      </w:tr>
      <w:tr>
        <w:trPr>
          <w:trHeight w:val="161"/>
        </w:trPr>
        <w:tc>
          <w:tcPr>
            <w:tcW w:w="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731</w:t>
            </w:r>
          </w:p>
        </w:tc>
        <w:tc>
          <w:tcPr>
            <w:tcW w:w="4900" w:type="dxa"/>
            <w:vAlign w:val="bottom"/>
            <w:shd w:val="clear" w:color="auto" w:fill="CCEEFF"/>
          </w:tcPr>
          <w:p>
            <w:pPr>
              <w:spacing w:after="0"/>
              <w:rPr>
                <w:sz w:val="20"/>
                <w:szCs w:val="20"/>
                <w:color w:val="auto"/>
              </w:rPr>
            </w:pPr>
            <w:r>
              <w:rPr>
                <w:rFonts w:ascii="Arial" w:cs="Arial" w:eastAsia="Arial" w:hAnsi="Arial"/>
                <w:sz w:val="11"/>
                <w:szCs w:val="11"/>
                <w:color w:val="auto"/>
              </w:rPr>
              <w:t>Lexington Avenue retail condominium</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32.4%</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12/35</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4.55%</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173,470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56,204</w:t>
            </w:r>
          </w:p>
        </w:tc>
        <w:tc>
          <w:tcPr>
            <w:tcW w:w="0" w:type="dxa"/>
            <w:vAlign w:val="bottom"/>
          </w:tcPr>
          <w:p>
            <w:pPr>
              <w:spacing w:after="0"/>
              <w:rPr>
                <w:sz w:val="1"/>
                <w:szCs w:val="1"/>
                <w:color w:val="auto"/>
              </w:rPr>
            </w:pPr>
          </w:p>
        </w:tc>
      </w:tr>
      <w:tr>
        <w:trPr>
          <w:trHeight w:val="156"/>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Total Unconsolidated Debt</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6,203,515</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2,732,549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6"/>
          <w:szCs w:val="6"/>
          <w:color w:val="auto"/>
        </w:rPr>
        <w:t>________________________________</w:t>
      </w:r>
    </w:p>
    <w:p>
      <w:pPr>
        <w:spacing w:after="0" w:line="34" w:lineRule="exact"/>
        <w:rPr>
          <w:sz w:val="20"/>
          <w:szCs w:val="20"/>
          <w:color w:val="auto"/>
        </w:rPr>
      </w:pPr>
    </w:p>
    <w:p>
      <w:pPr>
        <w:ind w:left="260" w:hanging="254"/>
        <w:spacing w:after="0"/>
        <w:tabs>
          <w:tab w:leader="none" w:pos="260" w:val="left"/>
        </w:tabs>
        <w:numPr>
          <w:ilvl w:val="0"/>
          <w:numId w:val="32"/>
        </w:numPr>
        <w:rPr>
          <w:rFonts w:ascii="Arial" w:cs="Arial" w:eastAsia="Arial" w:hAnsi="Arial"/>
          <w:sz w:val="11"/>
          <w:szCs w:val="11"/>
          <w:b w:val="1"/>
          <w:bCs w:val="1"/>
          <w:color w:val="auto"/>
        </w:rPr>
      </w:pPr>
      <w:r>
        <w:rPr>
          <w:rFonts w:ascii="Arial" w:cs="Arial" w:eastAsia="Arial" w:hAnsi="Arial"/>
          <w:sz w:val="11"/>
          <w:szCs w:val="11"/>
          <w:color w:val="auto"/>
        </w:rPr>
        <w:t>Assumes the exercise of as-of-right extension options.</w:t>
      </w:r>
    </w:p>
    <w:p>
      <w:pPr>
        <w:spacing w:after="0" w:line="23" w:lineRule="exact"/>
        <w:rPr>
          <w:rFonts w:ascii="Arial" w:cs="Arial" w:eastAsia="Arial" w:hAnsi="Arial"/>
          <w:sz w:val="11"/>
          <w:szCs w:val="11"/>
          <w:b w:val="1"/>
          <w:bCs w:val="1"/>
          <w:color w:val="auto"/>
        </w:rPr>
      </w:pPr>
    </w:p>
    <w:p>
      <w:pPr>
        <w:ind w:left="260" w:hanging="254"/>
        <w:spacing w:after="0" w:line="255" w:lineRule="auto"/>
        <w:tabs>
          <w:tab w:leader="none" w:pos="249" w:val="left"/>
        </w:tabs>
        <w:numPr>
          <w:ilvl w:val="0"/>
          <w:numId w:val="32"/>
        </w:numPr>
        <w:rPr>
          <w:rFonts w:ascii="Arial" w:cs="Arial" w:eastAsia="Arial" w:hAnsi="Arial"/>
          <w:sz w:val="11"/>
          <w:szCs w:val="11"/>
          <w:b w:val="1"/>
          <w:bCs w:val="1"/>
          <w:color w:val="auto"/>
        </w:rPr>
      </w:pPr>
      <w:r>
        <w:rPr>
          <w:rFonts w:ascii="Arial" w:cs="Arial" w:eastAsia="Arial" w:hAnsi="Arial"/>
          <w:sz w:val="11"/>
          <w:szCs w:val="11"/>
          <w:color w:val="auto"/>
        </w:rPr>
        <w:t>Represents the interest rate in effect as of period end based on the appropriate reference rate as of the contractual reset date plus contractual spread, adjusted for hedging instruments, as applicable. See page 30 for information on interest rate swap and interest rate cap arrangements.</w:t>
      </w:r>
    </w:p>
    <w:p>
      <w:pPr>
        <w:ind w:left="260" w:hanging="254"/>
        <w:spacing w:after="0"/>
        <w:tabs>
          <w:tab w:leader="none" w:pos="260" w:val="left"/>
        </w:tabs>
        <w:numPr>
          <w:ilvl w:val="0"/>
          <w:numId w:val="32"/>
        </w:numPr>
        <w:rPr>
          <w:rFonts w:ascii="Arial" w:cs="Arial" w:eastAsia="Arial" w:hAnsi="Arial"/>
          <w:sz w:val="11"/>
          <w:szCs w:val="11"/>
          <w:b w:val="1"/>
          <w:bCs w:val="1"/>
          <w:color w:val="auto"/>
        </w:rPr>
      </w:pPr>
      <w:r>
        <w:rPr>
          <w:rFonts w:ascii="Arial" w:cs="Arial" w:eastAsia="Arial" w:hAnsi="Arial"/>
          <w:sz w:val="11"/>
          <w:szCs w:val="11"/>
          <w:color w:val="auto"/>
        </w:rPr>
        <w:t>On October 26, 2026, the $48,000 non-recourse mortgage loan matured and was not repaid, resulting in a maturity default. See page 4 for additional details.</w:t>
      </w:r>
    </w:p>
    <w:p>
      <w:pPr>
        <w:spacing w:after="0" w:line="13" w:lineRule="exact"/>
        <w:rPr>
          <w:rFonts w:ascii="Arial" w:cs="Arial" w:eastAsia="Arial" w:hAnsi="Arial"/>
          <w:sz w:val="11"/>
          <w:szCs w:val="11"/>
          <w:b w:val="1"/>
          <w:bCs w:val="1"/>
          <w:color w:val="auto"/>
        </w:rPr>
      </w:pPr>
    </w:p>
    <w:p>
      <w:pPr>
        <w:ind w:left="260" w:hanging="254"/>
        <w:spacing w:after="0" w:line="290" w:lineRule="auto"/>
        <w:tabs>
          <w:tab w:leader="none" w:pos="249" w:val="left"/>
        </w:tabs>
        <w:numPr>
          <w:ilvl w:val="0"/>
          <w:numId w:val="32"/>
        </w:numPr>
        <w:rPr>
          <w:rFonts w:ascii="Arial" w:cs="Arial" w:eastAsia="Arial" w:hAnsi="Arial"/>
          <w:sz w:val="11"/>
          <w:szCs w:val="11"/>
          <w:b w:val="1"/>
          <w:bCs w:val="1"/>
          <w:color w:val="auto"/>
        </w:rPr>
      </w:pPr>
      <w:r>
        <w:rPr>
          <w:rFonts w:ascii="Arial" w:cs="Arial" w:eastAsia="Arial" w:hAnsi="Arial"/>
          <w:sz w:val="11"/>
          <w:szCs w:val="11"/>
          <w:color w:val="auto"/>
        </w:rPr>
        <w:t>On June 4, 2026, the joint venture completed a $10,000 refinancing of Rosslyn Plaza. The new loan matures in June 2029 and bears interest at SOFR plus 2.75%. The joint venture paid down by $15,000 the prior $25,000 loan that bore interest at SOFR plus 2.00% and was scheduled to mature in June 2026.</w:t>
      </w: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16" w:lineRule="exact"/>
        <w:rPr>
          <w:rFonts w:ascii="Arial" w:cs="Arial" w:eastAsia="Arial" w:hAnsi="Arial"/>
          <w:sz w:val="11"/>
          <w:szCs w:val="11"/>
          <w:b w:val="1"/>
          <w:bCs w:val="1"/>
          <w:color w:val="auto"/>
        </w:rPr>
      </w:pPr>
    </w:p>
    <w:p>
      <w:pPr>
        <w:ind w:left="5580" w:hanging="87"/>
        <w:spacing w:after="0"/>
        <w:tabs>
          <w:tab w:leader="none" w:pos="5580" w:val="left"/>
        </w:tabs>
        <w:numPr>
          <w:ilvl w:val="1"/>
          <w:numId w:val="32"/>
        </w:numPr>
        <w:rPr>
          <w:rFonts w:ascii="Arial" w:cs="Arial" w:eastAsia="Arial" w:hAnsi="Arial"/>
          <w:sz w:val="13"/>
          <w:szCs w:val="13"/>
          <w:color w:val="auto"/>
        </w:rPr>
      </w:pPr>
      <w:r>
        <w:rPr>
          <w:rFonts w:ascii="Arial" w:cs="Arial" w:eastAsia="Arial" w:hAnsi="Arial"/>
          <w:sz w:val="13"/>
          <w:szCs w:val="13"/>
          <w:color w:val="auto"/>
        </w:rPr>
        <w:t>29 -</w:t>
      </w:r>
    </w:p>
    <w:p>
      <w:pPr>
        <w:sectPr>
          <w:pgSz w:w="11900" w:h="16838" w:orient="portrait"/>
          <w:cols w:equalWidth="0" w:num="1">
            <w:col w:w="11280"/>
          </w:cols>
          <w:pgMar w:left="300" w:top="981" w:right="319" w:bottom="1440" w:gutter="0" w:footer="0" w:header="0"/>
        </w:sectPr>
      </w:pPr>
    </w:p>
    <w:bookmarkStart w:id="50" w:name="page51"/>
    <w:bookmarkEnd w:id="50"/>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HEDGING INSTRUMENTS AS OF SEPTEMBER 30, 2026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Debt Information</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Swap / Cap Information</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b w:val="1"/>
                <w:bCs w:val="1"/>
                <w:color w:val="auto"/>
              </w:rPr>
              <w:t>Balance at</w:t>
            </w:r>
          </w:p>
        </w:tc>
        <w:tc>
          <w:tcPr>
            <w:tcW w:w="200" w:type="dxa"/>
            <w:vAlign w:val="bottom"/>
          </w:tcPr>
          <w:p>
            <w:pPr>
              <w:spacing w:after="0"/>
              <w:rPr>
                <w:sz w:val="18"/>
                <w:szCs w:val="18"/>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8"/>
              </w:rPr>
              <w:t>Maturity Date</w:t>
            </w:r>
            <w:r>
              <w:rPr>
                <w:rFonts w:ascii="Arial" w:cs="Arial" w:eastAsia="Arial" w:hAnsi="Arial"/>
                <w:sz w:val="14"/>
                <w:szCs w:val="14"/>
                <w:b w:val="1"/>
                <w:bCs w:val="1"/>
                <w:color w:val="auto"/>
                <w:w w:val="98"/>
                <w:vertAlign w:val="superscript"/>
              </w:rPr>
              <w:t>(1)</w:t>
            </w: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Variable Rate</w:t>
            </w:r>
          </w:p>
        </w:tc>
        <w:tc>
          <w:tcPr>
            <w:tcW w:w="980" w:type="dxa"/>
            <w:vAlign w:val="bottom"/>
            <w:gridSpan w:val="2"/>
          </w:tcPr>
          <w:p>
            <w:pPr>
              <w:jc w:val="right"/>
              <w:spacing w:after="0"/>
              <w:rPr>
                <w:sz w:val="20"/>
                <w:szCs w:val="20"/>
                <w:color w:val="auto"/>
              </w:rPr>
            </w:pPr>
            <w:r>
              <w:rPr>
                <w:rFonts w:ascii="Arial" w:cs="Arial" w:eastAsia="Arial" w:hAnsi="Arial"/>
                <w:sz w:val="11"/>
                <w:szCs w:val="11"/>
                <w:b w:val="1"/>
                <w:bCs w:val="1"/>
                <w:color w:val="auto"/>
              </w:rPr>
              <w:t>Notional Amount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Expiration Date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All-In Swapped</w:t>
            </w:r>
          </w:p>
        </w:tc>
        <w:tc>
          <w:tcPr>
            <w:tcW w:w="0" w:type="dxa"/>
            <w:vAlign w:val="bottom"/>
          </w:tcPr>
          <w:p>
            <w:pPr>
              <w:spacing w:after="0"/>
              <w:rPr>
                <w:sz w:val="1"/>
                <w:szCs w:val="1"/>
                <w:color w:val="auto"/>
              </w:rPr>
            </w:pPr>
          </w:p>
        </w:tc>
      </w:tr>
      <w:tr>
        <w:trPr>
          <w:trHeight w:val="148"/>
        </w:trPr>
        <w:tc>
          <w:tcPr>
            <w:tcW w:w="4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Interest Rate Swaps:</w:t>
            </w:r>
          </w:p>
        </w:tc>
        <w:tc>
          <w:tcPr>
            <w:tcW w:w="100" w:type="dxa"/>
            <w:vAlign w:val="bottom"/>
          </w:tcPr>
          <w:p>
            <w:pPr>
              <w:spacing w:after="0"/>
              <w:rPr>
                <w:sz w:val="12"/>
                <w:szCs w:val="12"/>
                <w:color w:val="auto"/>
              </w:rPr>
            </w:pPr>
          </w:p>
        </w:tc>
        <w:tc>
          <w:tcPr>
            <w:tcW w:w="700" w:type="dxa"/>
            <w:vAlign w:val="bottom"/>
          </w:tcPr>
          <w:p>
            <w:pPr>
              <w:jc w:val="right"/>
              <w:ind w:right="183"/>
              <w:spacing w:after="0"/>
              <w:rPr>
                <w:sz w:val="20"/>
                <w:szCs w:val="20"/>
                <w:color w:val="auto"/>
              </w:rPr>
            </w:pPr>
            <w:r>
              <w:rPr>
                <w:rFonts w:ascii="Arial" w:cs="Arial" w:eastAsia="Arial" w:hAnsi="Arial"/>
                <w:sz w:val="11"/>
                <w:szCs w:val="11"/>
                <w:b w:val="1"/>
                <w:bCs w:val="1"/>
                <w:color w:val="auto"/>
              </w:rPr>
              <w:t>Share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Spread</w:t>
            </w:r>
          </w:p>
        </w:tc>
        <w:tc>
          <w:tcPr>
            <w:tcW w:w="180" w:type="dxa"/>
            <w:vAlign w:val="bottom"/>
          </w:tcPr>
          <w:p>
            <w:pPr>
              <w:spacing w:after="0"/>
              <w:rPr>
                <w:sz w:val="12"/>
                <w:szCs w:val="12"/>
                <w:color w:val="auto"/>
              </w:rPr>
            </w:pPr>
          </w:p>
        </w:tc>
        <w:tc>
          <w:tcPr>
            <w:tcW w:w="800" w:type="dxa"/>
            <w:vAlign w:val="bottom"/>
          </w:tcPr>
          <w:p>
            <w:pPr>
              <w:jc w:val="right"/>
              <w:ind w:right="183"/>
              <w:spacing w:after="0"/>
              <w:rPr>
                <w:sz w:val="20"/>
                <w:szCs w:val="20"/>
                <w:color w:val="auto"/>
              </w:rPr>
            </w:pPr>
            <w:r>
              <w:rPr>
                <w:rFonts w:ascii="Arial" w:cs="Arial" w:eastAsia="Arial" w:hAnsi="Arial"/>
                <w:sz w:val="11"/>
                <w:szCs w:val="11"/>
                <w:b w:val="1"/>
                <w:bCs w:val="1"/>
                <w:color w:val="auto"/>
              </w:rPr>
              <w:t>at Share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40"/>
        </w:trPr>
        <w:tc>
          <w:tcPr>
            <w:tcW w:w="48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1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555 California Street mortgage loan</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840,000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05/28</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9"/>
              </w:rPr>
              <w:t>S+230</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840,000</w:t>
            </w:r>
          </w:p>
        </w:tc>
        <w:tc>
          <w:tcPr>
            <w:tcW w:w="1160" w:type="dxa"/>
            <w:vAlign w:val="bottom"/>
            <w:gridSpan w:val="3"/>
            <w:shd w:val="clear" w:color="auto" w:fill="CCEEFF"/>
          </w:tcPr>
          <w:p>
            <w:pPr>
              <w:jc w:val="center"/>
              <w:ind w:left="224"/>
              <w:spacing w:after="0"/>
              <w:rPr>
                <w:sz w:val="20"/>
                <w:szCs w:val="20"/>
                <w:color w:val="auto"/>
              </w:rPr>
            </w:pPr>
            <w:r>
              <w:rPr>
                <w:rFonts w:ascii="Arial" w:cs="Arial" w:eastAsia="Arial" w:hAnsi="Arial"/>
                <w:sz w:val="11"/>
                <w:szCs w:val="11"/>
                <w:color w:val="auto"/>
              </w:rPr>
              <w:t>05/28</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5.56%</w:t>
            </w:r>
          </w:p>
        </w:tc>
        <w:tc>
          <w:tcPr>
            <w:tcW w:w="0" w:type="dxa"/>
            <w:vAlign w:val="bottom"/>
          </w:tcPr>
          <w:p>
            <w:pPr>
              <w:spacing w:after="0"/>
              <w:rPr>
                <w:sz w:val="1"/>
                <w:szCs w:val="1"/>
                <w:color w:val="auto"/>
              </w:rPr>
            </w:pPr>
          </w:p>
        </w:tc>
      </w:tr>
      <w:tr>
        <w:trPr>
          <w:trHeight w:val="154"/>
        </w:trPr>
        <w:tc>
          <w:tcPr>
            <w:tcW w:w="4860" w:type="dxa"/>
            <w:vAlign w:val="bottom"/>
          </w:tcPr>
          <w:p>
            <w:pPr>
              <w:ind w:left="240"/>
              <w:spacing w:after="0"/>
              <w:rPr>
                <w:sz w:val="20"/>
                <w:szCs w:val="20"/>
                <w:color w:val="auto"/>
              </w:rPr>
            </w:pPr>
            <w:r>
              <w:rPr>
                <w:rFonts w:ascii="Arial" w:cs="Arial" w:eastAsia="Arial" w:hAnsi="Arial"/>
                <w:sz w:val="11"/>
                <w:szCs w:val="11"/>
                <w:color w:val="auto"/>
              </w:rPr>
              <w:t>One Park Avenue mortgage loan</w:t>
            </w:r>
          </w:p>
        </w:tc>
        <w:tc>
          <w:tcPr>
            <w:tcW w:w="1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525,000</w:t>
            </w:r>
          </w:p>
        </w:tc>
        <w:tc>
          <w:tcPr>
            <w:tcW w:w="200" w:type="dxa"/>
            <w:vAlign w:val="bottom"/>
            <w:vMerge w:val="restart"/>
          </w:tcPr>
          <w:p>
            <w:pPr>
              <w:jc w:val="right"/>
              <w:ind w:right="63"/>
              <w:spacing w:after="0"/>
              <w:rPr>
                <w:sz w:val="20"/>
                <w:szCs w:val="20"/>
                <w:color w:val="auto"/>
              </w:rPr>
            </w:pPr>
            <w:r>
              <w:rPr>
                <w:rFonts w:ascii="Arial" w:cs="Arial" w:eastAsia="Arial" w:hAnsi="Arial"/>
                <w:sz w:val="7"/>
                <w:szCs w:val="7"/>
                <w:b w:val="1"/>
                <w:bCs w:val="1"/>
                <w:color w:val="auto"/>
                <w:w w:val="92"/>
              </w:rPr>
              <w:t>(2)</w:t>
            </w:r>
          </w:p>
        </w:tc>
        <w:tc>
          <w:tcPr>
            <w:tcW w:w="880" w:type="dxa"/>
            <w:vAlign w:val="bottom"/>
          </w:tcPr>
          <w:p>
            <w:pPr>
              <w:jc w:val="center"/>
              <w:spacing w:after="0"/>
              <w:rPr>
                <w:sz w:val="20"/>
                <w:szCs w:val="20"/>
                <w:color w:val="auto"/>
              </w:rPr>
            </w:pPr>
            <w:r>
              <w:rPr>
                <w:rFonts w:ascii="Arial" w:cs="Arial" w:eastAsia="Arial" w:hAnsi="Arial"/>
                <w:sz w:val="11"/>
                <w:szCs w:val="11"/>
                <w:color w:val="auto"/>
              </w:rPr>
              <w:t>02/31</w:t>
            </w:r>
          </w:p>
        </w:tc>
        <w:tc>
          <w:tcPr>
            <w:tcW w:w="18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S+178</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500,000</w:t>
            </w:r>
          </w:p>
        </w:tc>
        <w:tc>
          <w:tcPr>
            <w:tcW w:w="1160" w:type="dxa"/>
            <w:vAlign w:val="bottom"/>
            <w:gridSpan w:val="3"/>
          </w:tcPr>
          <w:p>
            <w:pPr>
              <w:jc w:val="center"/>
              <w:ind w:left="224"/>
              <w:spacing w:after="0"/>
              <w:rPr>
                <w:sz w:val="20"/>
                <w:szCs w:val="20"/>
                <w:color w:val="auto"/>
              </w:rPr>
            </w:pPr>
            <w:r>
              <w:rPr>
                <w:rFonts w:ascii="Arial" w:cs="Arial" w:eastAsia="Arial" w:hAnsi="Arial"/>
                <w:sz w:val="11"/>
                <w:szCs w:val="11"/>
                <w:color w:val="auto"/>
              </w:rPr>
              <w:t>07/27</w:t>
            </w:r>
          </w:p>
        </w:tc>
        <w:tc>
          <w:tcPr>
            <w:tcW w:w="2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4.52%</w:t>
            </w:r>
          </w:p>
        </w:tc>
        <w:tc>
          <w:tcPr>
            <w:tcW w:w="0" w:type="dxa"/>
            <w:vAlign w:val="bottom"/>
          </w:tcPr>
          <w:p>
            <w:pPr>
              <w:spacing w:after="0"/>
              <w:rPr>
                <w:sz w:val="1"/>
                <w:szCs w:val="1"/>
                <w:color w:val="auto"/>
              </w:rPr>
            </w:pPr>
          </w:p>
        </w:tc>
      </w:tr>
      <w:tr>
        <w:trPr>
          <w:trHeight w:val="138"/>
        </w:trPr>
        <w:tc>
          <w:tcPr>
            <w:tcW w:w="4860" w:type="dxa"/>
            <w:vAlign w:val="bottom"/>
          </w:tcPr>
          <w:p>
            <w:pPr>
              <w:ind w:left="240"/>
              <w:spacing w:after="0"/>
              <w:rPr>
                <w:sz w:val="20"/>
                <w:szCs w:val="20"/>
                <w:color w:val="auto"/>
              </w:rPr>
            </w:pPr>
            <w:r>
              <w:rPr>
                <w:rFonts w:ascii="Arial" w:cs="Arial" w:eastAsia="Arial" w:hAnsi="Arial"/>
                <w:sz w:val="11"/>
                <w:szCs w:val="11"/>
                <w:color w:val="auto"/>
              </w:rPr>
              <w:t>Unsecured revolving credit facility</w:t>
            </w:r>
          </w:p>
        </w:tc>
        <w:tc>
          <w:tcPr>
            <w:tcW w:w="100" w:type="dxa"/>
            <w:vAlign w:val="bottom"/>
          </w:tcPr>
          <w:p>
            <w:pPr>
              <w:spacing w:after="0"/>
              <w:rPr>
                <w:sz w:val="11"/>
                <w:szCs w:val="11"/>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918,000</w:t>
            </w:r>
          </w:p>
        </w:tc>
        <w:tc>
          <w:tcPr>
            <w:tcW w:w="200" w:type="dxa"/>
            <w:vAlign w:val="bottom"/>
            <w:vMerge w:val="continue"/>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02/31</w:t>
            </w:r>
          </w:p>
        </w:tc>
        <w:tc>
          <w:tcPr>
            <w:tcW w:w="18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S+101</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575,000</w:t>
            </w:r>
          </w:p>
        </w:tc>
        <w:tc>
          <w:tcPr>
            <w:tcW w:w="1160" w:type="dxa"/>
            <w:vAlign w:val="bottom"/>
            <w:gridSpan w:val="3"/>
          </w:tcPr>
          <w:p>
            <w:pPr>
              <w:jc w:val="center"/>
              <w:ind w:left="224"/>
              <w:spacing w:after="0"/>
              <w:rPr>
                <w:sz w:val="20"/>
                <w:szCs w:val="20"/>
                <w:color w:val="auto"/>
              </w:rPr>
            </w:pPr>
            <w:r>
              <w:rPr>
                <w:rFonts w:ascii="Arial" w:cs="Arial" w:eastAsia="Arial" w:hAnsi="Arial"/>
                <w:sz w:val="11"/>
                <w:szCs w:val="11"/>
                <w:color w:val="auto"/>
              </w:rPr>
              <w:t>08/27</w:t>
            </w:r>
          </w:p>
        </w:tc>
        <w:tc>
          <w:tcPr>
            <w:tcW w:w="2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188"/>
        </w:trPr>
        <w:tc>
          <w:tcPr>
            <w:tcW w:w="4860" w:type="dxa"/>
            <w:vAlign w:val="bottom"/>
          </w:tcPr>
          <w:p>
            <w:pPr>
              <w:ind w:left="240"/>
              <w:spacing w:after="0"/>
              <w:rPr>
                <w:sz w:val="20"/>
                <w:szCs w:val="20"/>
                <w:color w:val="auto"/>
              </w:rPr>
            </w:pPr>
            <w:r>
              <w:rPr>
                <w:rFonts w:ascii="Arial" w:cs="Arial" w:eastAsia="Arial" w:hAnsi="Arial"/>
                <w:sz w:val="11"/>
                <w:szCs w:val="11"/>
                <w:color w:val="auto"/>
              </w:rPr>
              <w:t>Unsecured term loan</w:t>
            </w:r>
          </w:p>
        </w:tc>
        <w:tc>
          <w:tcPr>
            <w:tcW w:w="100" w:type="dxa"/>
            <w:vAlign w:val="bottom"/>
          </w:tcPr>
          <w:p>
            <w:pPr>
              <w:spacing w:after="0"/>
              <w:rPr>
                <w:sz w:val="16"/>
                <w:szCs w:val="16"/>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850,000</w:t>
            </w:r>
          </w:p>
        </w:tc>
        <w:tc>
          <w:tcPr>
            <w:tcW w:w="200" w:type="dxa"/>
            <w:vAlign w:val="bottom"/>
          </w:tcPr>
          <w:p>
            <w:pPr>
              <w:jc w:val="right"/>
              <w:ind w:right="63"/>
              <w:spacing w:after="0"/>
              <w:rPr>
                <w:sz w:val="20"/>
                <w:szCs w:val="20"/>
                <w:color w:val="auto"/>
              </w:rPr>
            </w:pPr>
            <w:r>
              <w:rPr>
                <w:rFonts w:ascii="Arial" w:cs="Arial" w:eastAsia="Arial" w:hAnsi="Arial"/>
                <w:sz w:val="7"/>
                <w:szCs w:val="7"/>
                <w:b w:val="1"/>
                <w:bCs w:val="1"/>
                <w:color w:val="auto"/>
                <w:w w:val="92"/>
              </w:rPr>
              <w:t>(3)</w:t>
            </w:r>
          </w:p>
        </w:tc>
        <w:tc>
          <w:tcPr>
            <w:tcW w:w="880" w:type="dxa"/>
            <w:vAlign w:val="bottom"/>
          </w:tcPr>
          <w:p>
            <w:pPr>
              <w:jc w:val="center"/>
              <w:spacing w:after="0"/>
              <w:rPr>
                <w:sz w:val="20"/>
                <w:szCs w:val="20"/>
                <w:color w:val="auto"/>
              </w:rPr>
            </w:pPr>
            <w:r>
              <w:rPr>
                <w:rFonts w:ascii="Arial" w:cs="Arial" w:eastAsia="Arial" w:hAnsi="Arial"/>
                <w:sz w:val="11"/>
                <w:szCs w:val="11"/>
                <w:color w:val="auto"/>
              </w:rPr>
              <w:t>02/31</w:t>
            </w:r>
          </w:p>
        </w:tc>
        <w:tc>
          <w:tcPr>
            <w:tcW w:w="18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S+115</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Through 10/26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750,000</w:t>
            </w:r>
          </w:p>
        </w:tc>
        <w:tc>
          <w:tcPr>
            <w:tcW w:w="1160" w:type="dxa"/>
            <w:vAlign w:val="bottom"/>
            <w:gridSpan w:val="3"/>
            <w:shd w:val="clear" w:color="auto" w:fill="CCEEFF"/>
          </w:tcPr>
          <w:p>
            <w:pPr>
              <w:jc w:val="center"/>
              <w:ind w:left="224"/>
              <w:spacing w:after="0"/>
              <w:rPr>
                <w:sz w:val="20"/>
                <w:szCs w:val="20"/>
                <w:color w:val="auto"/>
              </w:rPr>
            </w:pPr>
            <w:r>
              <w:rPr>
                <w:rFonts w:ascii="Arial" w:cs="Arial" w:eastAsia="Arial" w:hAnsi="Arial"/>
                <w:sz w:val="11"/>
                <w:szCs w:val="11"/>
                <w:color w:val="auto"/>
              </w:rPr>
              <w:t>10/26</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4.12%</w:t>
            </w:r>
          </w:p>
        </w:tc>
        <w:tc>
          <w:tcPr>
            <w:tcW w:w="0" w:type="dxa"/>
            <w:vAlign w:val="bottom"/>
          </w:tcPr>
          <w:p>
            <w:pPr>
              <w:spacing w:after="0"/>
              <w:rPr>
                <w:sz w:val="1"/>
                <w:szCs w:val="1"/>
                <w:color w:val="auto"/>
              </w:rPr>
            </w:pPr>
          </w:p>
        </w:tc>
      </w:tr>
      <w:tr>
        <w:trPr>
          <w:trHeight w:val="158"/>
        </w:trPr>
        <w:tc>
          <w:tcPr>
            <w:tcW w:w="4860" w:type="dxa"/>
            <w:vAlign w:val="bottom"/>
          </w:tcPr>
          <w:p>
            <w:pPr>
              <w:ind w:left="400"/>
              <w:spacing w:after="0"/>
              <w:rPr>
                <w:sz w:val="20"/>
                <w:szCs w:val="20"/>
                <w:color w:val="auto"/>
              </w:rPr>
            </w:pPr>
            <w:r>
              <w:rPr>
                <w:rFonts w:ascii="Arial" w:cs="Arial" w:eastAsia="Arial" w:hAnsi="Arial"/>
                <w:sz w:val="11"/>
                <w:szCs w:val="11"/>
                <w:color w:val="auto"/>
              </w:rPr>
              <w:t>10/26 through 7/27</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250,000</w:t>
            </w:r>
          </w:p>
        </w:tc>
        <w:tc>
          <w:tcPr>
            <w:tcW w:w="1160" w:type="dxa"/>
            <w:vAlign w:val="bottom"/>
            <w:gridSpan w:val="3"/>
          </w:tcPr>
          <w:p>
            <w:pPr>
              <w:jc w:val="center"/>
              <w:ind w:left="224"/>
              <w:spacing w:after="0"/>
              <w:rPr>
                <w:sz w:val="20"/>
                <w:szCs w:val="20"/>
                <w:color w:val="auto"/>
              </w:rPr>
            </w:pPr>
            <w:r>
              <w:rPr>
                <w:rFonts w:ascii="Arial" w:cs="Arial" w:eastAsia="Arial" w:hAnsi="Arial"/>
                <w:sz w:val="11"/>
                <w:szCs w:val="11"/>
                <w:color w:val="auto"/>
              </w:rPr>
              <w:t>07/27</w:t>
            </w:r>
          </w:p>
        </w:tc>
        <w:tc>
          <w:tcPr>
            <w:tcW w:w="2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3.89%</w:t>
            </w: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7/27 through 8/27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w:t>
            </w:r>
          </w:p>
        </w:tc>
        <w:tc>
          <w:tcPr>
            <w:tcW w:w="1160" w:type="dxa"/>
            <w:vAlign w:val="bottom"/>
            <w:gridSpan w:val="3"/>
            <w:shd w:val="clear" w:color="auto" w:fill="CCEEFF"/>
          </w:tcPr>
          <w:p>
            <w:pPr>
              <w:jc w:val="center"/>
              <w:ind w:left="224"/>
              <w:spacing w:after="0"/>
              <w:rPr>
                <w:sz w:val="20"/>
                <w:szCs w:val="20"/>
                <w:color w:val="auto"/>
              </w:rPr>
            </w:pPr>
            <w:r>
              <w:rPr>
                <w:rFonts w:ascii="Arial" w:cs="Arial" w:eastAsia="Arial" w:hAnsi="Arial"/>
                <w:sz w:val="11"/>
                <w:szCs w:val="11"/>
                <w:color w:val="auto"/>
              </w:rPr>
              <w:t>08/27</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3.89%</w:t>
            </w:r>
          </w:p>
        </w:tc>
        <w:tc>
          <w:tcPr>
            <w:tcW w:w="0" w:type="dxa"/>
            <w:vAlign w:val="bottom"/>
          </w:tcPr>
          <w:p>
            <w:pPr>
              <w:spacing w:after="0"/>
              <w:rPr>
                <w:sz w:val="1"/>
                <w:szCs w:val="1"/>
                <w:color w:val="auto"/>
              </w:rPr>
            </w:pPr>
          </w:p>
        </w:tc>
      </w:tr>
      <w:tr>
        <w:trPr>
          <w:trHeight w:val="158"/>
        </w:trPr>
        <w:tc>
          <w:tcPr>
            <w:tcW w:w="4860" w:type="dxa"/>
            <w:vAlign w:val="bottom"/>
          </w:tcPr>
          <w:p>
            <w:pPr>
              <w:ind w:left="240"/>
              <w:spacing w:after="0"/>
              <w:rPr>
                <w:sz w:val="20"/>
                <w:szCs w:val="20"/>
                <w:color w:val="auto"/>
              </w:rPr>
            </w:pPr>
            <w:r>
              <w:rPr>
                <w:rFonts w:ascii="Arial" w:cs="Arial" w:eastAsia="Arial" w:hAnsi="Arial"/>
                <w:sz w:val="11"/>
                <w:szCs w:val="11"/>
                <w:color w:val="auto"/>
              </w:rPr>
              <w:t>100 West 33rd Street mortgage loan</w:t>
            </w:r>
          </w:p>
        </w:tc>
        <w:tc>
          <w:tcPr>
            <w:tcW w:w="1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480,000</w:t>
            </w:r>
          </w:p>
        </w:tc>
        <w:tc>
          <w:tcPr>
            <w:tcW w:w="2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06/27</w:t>
            </w:r>
          </w:p>
        </w:tc>
        <w:tc>
          <w:tcPr>
            <w:tcW w:w="18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S+185</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480,000</w:t>
            </w:r>
          </w:p>
        </w:tc>
        <w:tc>
          <w:tcPr>
            <w:tcW w:w="1160" w:type="dxa"/>
            <w:vAlign w:val="bottom"/>
            <w:gridSpan w:val="3"/>
          </w:tcPr>
          <w:p>
            <w:pPr>
              <w:jc w:val="center"/>
              <w:ind w:left="224"/>
              <w:spacing w:after="0"/>
              <w:rPr>
                <w:sz w:val="20"/>
                <w:szCs w:val="20"/>
                <w:color w:val="auto"/>
              </w:rPr>
            </w:pPr>
            <w:r>
              <w:rPr>
                <w:rFonts w:ascii="Arial" w:cs="Arial" w:eastAsia="Arial" w:hAnsi="Arial"/>
                <w:sz w:val="11"/>
                <w:szCs w:val="11"/>
                <w:color w:val="auto"/>
              </w:rPr>
              <w:t>06/27</w:t>
            </w:r>
          </w:p>
        </w:tc>
        <w:tc>
          <w:tcPr>
            <w:tcW w:w="2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5.26%</w:t>
            </w: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1290 Avenue of the Americas mortgage loan</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665,000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11/28</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9"/>
              </w:rPr>
              <w:t>S+162</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200,000</w:t>
            </w:r>
          </w:p>
        </w:tc>
        <w:tc>
          <w:tcPr>
            <w:tcW w:w="1160" w:type="dxa"/>
            <w:vAlign w:val="bottom"/>
            <w:gridSpan w:val="3"/>
            <w:shd w:val="clear" w:color="auto" w:fill="CCEEFF"/>
          </w:tcPr>
          <w:p>
            <w:pPr>
              <w:jc w:val="center"/>
              <w:ind w:left="224"/>
              <w:spacing w:after="0"/>
              <w:rPr>
                <w:sz w:val="20"/>
                <w:szCs w:val="20"/>
                <w:color w:val="auto"/>
              </w:rPr>
            </w:pPr>
            <w:r>
              <w:rPr>
                <w:rFonts w:ascii="Arial" w:cs="Arial" w:eastAsia="Arial" w:hAnsi="Arial"/>
                <w:sz w:val="11"/>
                <w:szCs w:val="11"/>
                <w:color w:val="auto"/>
              </w:rPr>
              <w:t>09/27</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4.58%</w:t>
            </w:r>
          </w:p>
        </w:tc>
        <w:tc>
          <w:tcPr>
            <w:tcW w:w="0" w:type="dxa"/>
            <w:vAlign w:val="bottom"/>
          </w:tcPr>
          <w:p>
            <w:pPr>
              <w:spacing w:after="0"/>
              <w:rPr>
                <w:sz w:val="1"/>
                <w:szCs w:val="1"/>
                <w:color w:val="auto"/>
              </w:rPr>
            </w:pPr>
          </w:p>
        </w:tc>
      </w:tr>
      <w:tr>
        <w:trPr>
          <w:trHeight w:val="161"/>
        </w:trPr>
        <w:tc>
          <w:tcPr>
            <w:tcW w:w="4860" w:type="dxa"/>
            <w:vAlign w:val="bottom"/>
          </w:tcPr>
          <w:p>
            <w:pPr>
              <w:ind w:left="140"/>
              <w:spacing w:after="0"/>
              <w:rPr>
                <w:sz w:val="20"/>
                <w:szCs w:val="20"/>
                <w:color w:val="auto"/>
              </w:rPr>
            </w:pPr>
            <w:r>
              <w:rPr>
                <w:rFonts w:ascii="Arial" w:cs="Arial" w:eastAsia="Arial" w:hAnsi="Arial"/>
                <w:sz w:val="11"/>
                <w:szCs w:val="11"/>
                <w:b w:val="1"/>
                <w:bCs w:val="1"/>
                <w:color w:val="auto"/>
              </w:rPr>
              <w:t>Unconsolidated: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280 Park Avenue mortgage loan</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537,500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09/28</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9"/>
              </w:rPr>
              <w:t>S+178</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537,500</w:t>
            </w:r>
          </w:p>
        </w:tc>
        <w:tc>
          <w:tcPr>
            <w:tcW w:w="1160" w:type="dxa"/>
            <w:vAlign w:val="bottom"/>
            <w:gridSpan w:val="3"/>
            <w:shd w:val="clear" w:color="auto" w:fill="CCEEFF"/>
          </w:tcPr>
          <w:p>
            <w:pPr>
              <w:jc w:val="center"/>
              <w:ind w:left="224"/>
              <w:spacing w:after="0"/>
              <w:rPr>
                <w:sz w:val="20"/>
                <w:szCs w:val="20"/>
                <w:color w:val="auto"/>
              </w:rPr>
            </w:pPr>
            <w:r>
              <w:rPr>
                <w:rFonts w:ascii="Arial" w:cs="Arial" w:eastAsia="Arial" w:hAnsi="Arial"/>
                <w:sz w:val="11"/>
                <w:szCs w:val="11"/>
                <w:color w:val="auto"/>
              </w:rPr>
              <w:t>09/28</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5.84%</w:t>
            </w:r>
          </w:p>
        </w:tc>
        <w:tc>
          <w:tcPr>
            <w:tcW w:w="0" w:type="dxa"/>
            <w:vAlign w:val="bottom"/>
          </w:tcPr>
          <w:p>
            <w:pPr>
              <w:spacing w:after="0"/>
              <w:rPr>
                <w:sz w:val="1"/>
                <w:szCs w:val="1"/>
                <w:color w:val="auto"/>
              </w:rPr>
            </w:pPr>
          </w:p>
        </w:tc>
      </w:tr>
      <w:tr>
        <w:trPr>
          <w:trHeight w:val="121"/>
        </w:trPr>
        <w:tc>
          <w:tcPr>
            <w:tcW w:w="48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Interest Rate Caps: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Index Strike</w:t>
            </w:r>
          </w:p>
        </w:tc>
        <w:tc>
          <w:tcPr>
            <w:tcW w:w="0" w:type="dxa"/>
            <w:vAlign w:val="bottom"/>
          </w:tcPr>
          <w:p>
            <w:pPr>
              <w:spacing w:after="0"/>
              <w:rPr>
                <w:sz w:val="1"/>
                <w:szCs w:val="1"/>
                <w:color w:val="auto"/>
              </w:rPr>
            </w:pPr>
          </w:p>
        </w:tc>
      </w:tr>
      <w:tr>
        <w:trPr>
          <w:trHeight w:val="148"/>
        </w:trPr>
        <w:tc>
          <w:tcPr>
            <w:tcW w:w="4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40"/>
        </w:trPr>
        <w:tc>
          <w:tcPr>
            <w:tcW w:w="4860" w:type="dxa"/>
            <w:vAlign w:val="bottom"/>
          </w:tcPr>
          <w:p>
            <w:pPr>
              <w:ind w:left="1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vMerge w:val="restart"/>
          </w:tcPr>
          <w:p>
            <w:pPr>
              <w:jc w:val="right"/>
              <w:ind w:right="63"/>
              <w:spacing w:after="0"/>
              <w:rPr>
                <w:sz w:val="20"/>
                <w:szCs w:val="20"/>
                <w:color w:val="auto"/>
              </w:rPr>
            </w:pPr>
            <w:r>
              <w:rPr>
                <w:rFonts w:ascii="Arial" w:cs="Arial" w:eastAsia="Arial" w:hAnsi="Arial"/>
                <w:sz w:val="7"/>
                <w:szCs w:val="7"/>
                <w:b w:val="1"/>
                <w:bCs w:val="1"/>
                <w:color w:val="auto"/>
                <w:w w:val="92"/>
              </w:rPr>
              <w:t>(2)</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860" w:type="dxa"/>
            <w:vAlign w:val="bottom"/>
          </w:tcPr>
          <w:p>
            <w:pPr>
              <w:ind w:left="240"/>
              <w:spacing w:after="0"/>
              <w:rPr>
                <w:sz w:val="20"/>
                <w:szCs w:val="20"/>
                <w:color w:val="auto"/>
              </w:rPr>
            </w:pPr>
            <w:r>
              <w:rPr>
                <w:rFonts w:ascii="Arial" w:cs="Arial" w:eastAsia="Arial" w:hAnsi="Arial"/>
                <w:sz w:val="11"/>
                <w:szCs w:val="11"/>
                <w:color w:val="auto"/>
              </w:rPr>
              <w:t>Unsecured revolving credit facility (effective 10/26)</w:t>
            </w:r>
          </w:p>
        </w:tc>
        <w:tc>
          <w:tcPr>
            <w:tcW w:w="100" w:type="dxa"/>
            <w:vAlign w:val="bottom"/>
          </w:tcPr>
          <w:p>
            <w:pPr>
              <w:spacing w:after="0"/>
              <w:rPr>
                <w:sz w:val="11"/>
                <w:szCs w:val="11"/>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918,000</w:t>
            </w:r>
          </w:p>
        </w:tc>
        <w:tc>
          <w:tcPr>
            <w:tcW w:w="200" w:type="dxa"/>
            <w:vAlign w:val="bottom"/>
            <w:vMerge w:val="continue"/>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02/31</w:t>
            </w:r>
          </w:p>
        </w:tc>
        <w:tc>
          <w:tcPr>
            <w:tcW w:w="18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S+101</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343,000</w:t>
            </w:r>
          </w:p>
        </w:tc>
        <w:tc>
          <w:tcPr>
            <w:tcW w:w="1160" w:type="dxa"/>
            <w:vAlign w:val="bottom"/>
            <w:gridSpan w:val="3"/>
          </w:tcPr>
          <w:p>
            <w:pPr>
              <w:jc w:val="center"/>
              <w:ind w:left="224"/>
              <w:spacing w:after="0"/>
              <w:rPr>
                <w:sz w:val="20"/>
                <w:szCs w:val="20"/>
                <w:color w:val="auto"/>
              </w:rPr>
            </w:pPr>
            <w:r>
              <w:rPr>
                <w:rFonts w:ascii="Arial" w:cs="Arial" w:eastAsia="Arial" w:hAnsi="Arial"/>
                <w:sz w:val="11"/>
                <w:szCs w:val="11"/>
                <w:color w:val="auto"/>
              </w:rPr>
              <w:t>10/27</w:t>
            </w:r>
          </w:p>
        </w:tc>
        <w:tc>
          <w:tcPr>
            <w:tcW w:w="2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185"/>
        </w:trPr>
        <w:tc>
          <w:tcPr>
            <w:tcW w:w="4860" w:type="dxa"/>
            <w:vAlign w:val="bottom"/>
          </w:tcPr>
          <w:p>
            <w:pPr>
              <w:ind w:left="240"/>
              <w:spacing w:after="0"/>
              <w:rPr>
                <w:sz w:val="20"/>
                <w:szCs w:val="20"/>
                <w:color w:val="auto"/>
              </w:rPr>
            </w:pPr>
            <w:r>
              <w:rPr>
                <w:rFonts w:ascii="Arial" w:cs="Arial" w:eastAsia="Arial" w:hAnsi="Arial"/>
                <w:sz w:val="11"/>
                <w:szCs w:val="11"/>
                <w:color w:val="auto"/>
              </w:rPr>
              <w:t>Unsecured term loan (effective 10/26)</w:t>
            </w:r>
          </w:p>
        </w:tc>
        <w:tc>
          <w:tcPr>
            <w:tcW w:w="100" w:type="dxa"/>
            <w:vAlign w:val="bottom"/>
          </w:tcPr>
          <w:p>
            <w:pPr>
              <w:spacing w:after="0"/>
              <w:rPr>
                <w:sz w:val="16"/>
                <w:szCs w:val="16"/>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850,000</w:t>
            </w:r>
          </w:p>
        </w:tc>
        <w:tc>
          <w:tcPr>
            <w:tcW w:w="200" w:type="dxa"/>
            <w:vAlign w:val="bottom"/>
          </w:tcPr>
          <w:p>
            <w:pPr>
              <w:jc w:val="right"/>
              <w:ind w:right="63"/>
              <w:spacing w:after="0"/>
              <w:rPr>
                <w:sz w:val="20"/>
                <w:szCs w:val="20"/>
                <w:color w:val="auto"/>
              </w:rPr>
            </w:pPr>
            <w:r>
              <w:rPr>
                <w:rFonts w:ascii="Arial" w:cs="Arial" w:eastAsia="Arial" w:hAnsi="Arial"/>
                <w:sz w:val="7"/>
                <w:szCs w:val="7"/>
                <w:b w:val="1"/>
                <w:bCs w:val="1"/>
                <w:color w:val="auto"/>
                <w:w w:val="92"/>
              </w:rPr>
              <w:t>(3)</w:t>
            </w:r>
          </w:p>
        </w:tc>
        <w:tc>
          <w:tcPr>
            <w:tcW w:w="880" w:type="dxa"/>
            <w:vAlign w:val="bottom"/>
          </w:tcPr>
          <w:p>
            <w:pPr>
              <w:jc w:val="center"/>
              <w:spacing w:after="0"/>
              <w:rPr>
                <w:sz w:val="20"/>
                <w:szCs w:val="20"/>
                <w:color w:val="auto"/>
              </w:rPr>
            </w:pPr>
            <w:r>
              <w:rPr>
                <w:rFonts w:ascii="Arial" w:cs="Arial" w:eastAsia="Arial" w:hAnsi="Arial"/>
                <w:sz w:val="11"/>
                <w:szCs w:val="11"/>
                <w:color w:val="auto"/>
              </w:rPr>
              <w:t>02/31</w:t>
            </w:r>
          </w:p>
        </w:tc>
        <w:tc>
          <w:tcPr>
            <w:tcW w:w="18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S+115</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600,000</w:t>
            </w:r>
          </w:p>
        </w:tc>
        <w:tc>
          <w:tcPr>
            <w:tcW w:w="1160" w:type="dxa"/>
            <w:vAlign w:val="bottom"/>
            <w:gridSpan w:val="3"/>
          </w:tcPr>
          <w:p>
            <w:pPr>
              <w:jc w:val="center"/>
              <w:ind w:left="224"/>
              <w:spacing w:after="0"/>
              <w:rPr>
                <w:sz w:val="20"/>
                <w:szCs w:val="20"/>
                <w:color w:val="auto"/>
              </w:rPr>
            </w:pPr>
            <w:r>
              <w:rPr>
                <w:rFonts w:ascii="Arial" w:cs="Arial" w:eastAsia="Arial" w:hAnsi="Arial"/>
                <w:sz w:val="11"/>
                <w:szCs w:val="11"/>
                <w:color w:val="auto"/>
              </w:rPr>
              <w:t>10/27</w:t>
            </w:r>
          </w:p>
        </w:tc>
        <w:tc>
          <w:tcPr>
            <w:tcW w:w="2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165"/>
        </w:trPr>
        <w:tc>
          <w:tcPr>
            <w:tcW w:w="4860" w:type="dxa"/>
            <w:vAlign w:val="bottom"/>
          </w:tcPr>
          <w:p>
            <w:pPr>
              <w:ind w:left="240"/>
              <w:spacing w:after="0"/>
              <w:rPr>
                <w:sz w:val="20"/>
                <w:szCs w:val="20"/>
                <w:color w:val="auto"/>
              </w:rPr>
            </w:pPr>
            <w:r>
              <w:rPr>
                <w:rFonts w:ascii="Arial" w:cs="Arial" w:eastAsia="Arial" w:hAnsi="Arial"/>
                <w:sz w:val="11"/>
                <w:szCs w:val="11"/>
                <w:color w:val="auto"/>
              </w:rPr>
              <w:t>1290 Avenue of the Americas mortgage loan</w:t>
            </w:r>
          </w:p>
        </w:tc>
        <w:tc>
          <w:tcPr>
            <w:tcW w:w="10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665,000</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11/28</w:t>
            </w:r>
          </w:p>
        </w:tc>
        <w:tc>
          <w:tcPr>
            <w:tcW w:w="1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S+162</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465,000</w:t>
            </w:r>
          </w:p>
        </w:tc>
        <w:tc>
          <w:tcPr>
            <w:tcW w:w="1160" w:type="dxa"/>
            <w:vAlign w:val="bottom"/>
            <w:gridSpan w:val="3"/>
          </w:tcPr>
          <w:p>
            <w:pPr>
              <w:jc w:val="center"/>
              <w:ind w:left="224"/>
              <w:spacing w:after="0"/>
              <w:rPr>
                <w:sz w:val="20"/>
                <w:szCs w:val="20"/>
                <w:color w:val="auto"/>
              </w:rPr>
            </w:pPr>
            <w:r>
              <w:rPr>
                <w:rFonts w:ascii="Arial" w:cs="Arial" w:eastAsia="Arial" w:hAnsi="Arial"/>
                <w:sz w:val="11"/>
                <w:szCs w:val="11"/>
                <w:color w:val="auto"/>
              </w:rPr>
              <w:t>11/26</w:t>
            </w:r>
          </w:p>
        </w:tc>
        <w:tc>
          <w:tcPr>
            <w:tcW w:w="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One Park Avenue mortgage loan</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525,000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02/31</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9"/>
              </w:rPr>
              <w:t>S+178</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25,000</w:t>
            </w:r>
          </w:p>
        </w:tc>
        <w:tc>
          <w:tcPr>
            <w:tcW w:w="1160" w:type="dxa"/>
            <w:vAlign w:val="bottom"/>
            <w:gridSpan w:val="3"/>
            <w:shd w:val="clear" w:color="auto" w:fill="CCEEFF"/>
          </w:tcPr>
          <w:p>
            <w:pPr>
              <w:jc w:val="center"/>
              <w:ind w:left="224"/>
              <w:spacing w:after="0"/>
              <w:rPr>
                <w:sz w:val="20"/>
                <w:szCs w:val="20"/>
                <w:color w:val="auto"/>
              </w:rPr>
            </w:pPr>
            <w:r>
              <w:rPr>
                <w:rFonts w:ascii="Arial" w:cs="Arial" w:eastAsia="Arial" w:hAnsi="Arial"/>
                <w:sz w:val="11"/>
                <w:szCs w:val="11"/>
                <w:color w:val="auto"/>
              </w:rPr>
              <w:t>02/28</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5.20%</w:t>
            </w:r>
          </w:p>
        </w:tc>
        <w:tc>
          <w:tcPr>
            <w:tcW w:w="0" w:type="dxa"/>
            <w:vAlign w:val="bottom"/>
          </w:tcPr>
          <w:p>
            <w:pPr>
              <w:spacing w:after="0"/>
              <w:rPr>
                <w:sz w:val="1"/>
                <w:szCs w:val="1"/>
                <w:color w:val="auto"/>
              </w:rPr>
            </w:pPr>
          </w:p>
        </w:tc>
      </w:tr>
      <w:tr>
        <w:trPr>
          <w:trHeight w:val="158"/>
        </w:trPr>
        <w:tc>
          <w:tcPr>
            <w:tcW w:w="4860" w:type="dxa"/>
            <w:vAlign w:val="bottom"/>
          </w:tcPr>
          <w:p>
            <w:pPr>
              <w:ind w:left="240"/>
              <w:spacing w:after="0"/>
              <w:rPr>
                <w:sz w:val="20"/>
                <w:szCs w:val="20"/>
                <w:color w:val="auto"/>
              </w:rPr>
            </w:pPr>
            <w:r>
              <w:rPr>
                <w:rFonts w:ascii="Arial" w:cs="Arial" w:eastAsia="Arial" w:hAnsi="Arial"/>
                <w:sz w:val="11"/>
                <w:szCs w:val="11"/>
                <w:color w:val="auto"/>
              </w:rPr>
              <w:t>150 West 34th Street mortgage loan</w:t>
            </w:r>
          </w:p>
        </w:tc>
        <w:tc>
          <w:tcPr>
            <w:tcW w:w="1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75,000</w:t>
            </w:r>
          </w:p>
        </w:tc>
        <w:tc>
          <w:tcPr>
            <w:tcW w:w="2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02/28</w:t>
            </w:r>
          </w:p>
        </w:tc>
        <w:tc>
          <w:tcPr>
            <w:tcW w:w="18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S+215</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75,000</w:t>
            </w:r>
          </w:p>
        </w:tc>
        <w:tc>
          <w:tcPr>
            <w:tcW w:w="1160" w:type="dxa"/>
            <w:vAlign w:val="bottom"/>
            <w:gridSpan w:val="3"/>
          </w:tcPr>
          <w:p>
            <w:pPr>
              <w:jc w:val="center"/>
              <w:ind w:left="224"/>
              <w:spacing w:after="0"/>
              <w:rPr>
                <w:sz w:val="20"/>
                <w:szCs w:val="20"/>
                <w:color w:val="auto"/>
              </w:rPr>
            </w:pPr>
            <w:r>
              <w:rPr>
                <w:rFonts w:ascii="Arial" w:cs="Arial" w:eastAsia="Arial" w:hAnsi="Arial"/>
                <w:sz w:val="11"/>
                <w:szCs w:val="11"/>
                <w:color w:val="auto"/>
              </w:rPr>
              <w:t>02/27</w:t>
            </w:r>
          </w:p>
        </w:tc>
        <w:tc>
          <w:tcPr>
            <w:tcW w:w="2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435 Seventh Avenue mortgage loan</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75,000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04/28</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9"/>
              </w:rPr>
              <w:t>S+210</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75,000</w:t>
            </w:r>
          </w:p>
        </w:tc>
        <w:tc>
          <w:tcPr>
            <w:tcW w:w="1160" w:type="dxa"/>
            <w:vAlign w:val="bottom"/>
            <w:gridSpan w:val="3"/>
            <w:shd w:val="clear" w:color="auto" w:fill="CCEEFF"/>
          </w:tcPr>
          <w:p>
            <w:pPr>
              <w:jc w:val="center"/>
              <w:ind w:left="224"/>
              <w:spacing w:after="0"/>
              <w:rPr>
                <w:sz w:val="20"/>
                <w:szCs w:val="20"/>
                <w:color w:val="auto"/>
              </w:rPr>
            </w:pPr>
            <w:r>
              <w:rPr>
                <w:rFonts w:ascii="Arial" w:cs="Arial" w:eastAsia="Arial" w:hAnsi="Arial"/>
                <w:sz w:val="11"/>
                <w:szCs w:val="11"/>
                <w:color w:val="auto"/>
              </w:rPr>
              <w:t>04/27</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161"/>
        </w:trPr>
        <w:tc>
          <w:tcPr>
            <w:tcW w:w="4860" w:type="dxa"/>
            <w:vAlign w:val="bottom"/>
          </w:tcPr>
          <w:p>
            <w:pPr>
              <w:ind w:left="140"/>
              <w:spacing w:after="0"/>
              <w:rPr>
                <w:sz w:val="20"/>
                <w:szCs w:val="20"/>
                <w:color w:val="auto"/>
              </w:rPr>
            </w:pPr>
            <w:r>
              <w:rPr>
                <w:rFonts w:ascii="Arial" w:cs="Arial" w:eastAsia="Arial" w:hAnsi="Arial"/>
                <w:sz w:val="11"/>
                <w:szCs w:val="11"/>
                <w:b w:val="1"/>
                <w:bCs w:val="1"/>
                <w:color w:val="auto"/>
              </w:rPr>
              <w:t>Unconsolidated: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Sunset Pier 94 Studios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84,716</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09/27</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9"/>
              </w:rPr>
              <w:t>S+481</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84,716</w:t>
            </w:r>
          </w:p>
        </w:tc>
        <w:tc>
          <w:tcPr>
            <w:tcW w:w="1160" w:type="dxa"/>
            <w:vAlign w:val="bottom"/>
            <w:gridSpan w:val="3"/>
            <w:shd w:val="clear" w:color="auto" w:fill="CCEEFF"/>
          </w:tcPr>
          <w:p>
            <w:pPr>
              <w:jc w:val="center"/>
              <w:ind w:left="224"/>
              <w:spacing w:after="0"/>
              <w:rPr>
                <w:sz w:val="20"/>
                <w:szCs w:val="20"/>
                <w:color w:val="auto"/>
              </w:rPr>
            </w:pPr>
            <w:r>
              <w:rPr>
                <w:rFonts w:ascii="Arial" w:cs="Arial" w:eastAsia="Arial" w:hAnsi="Arial"/>
                <w:sz w:val="11"/>
                <w:szCs w:val="11"/>
                <w:color w:val="auto"/>
              </w:rPr>
              <w:t>09/27</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158"/>
        </w:trPr>
        <w:tc>
          <w:tcPr>
            <w:tcW w:w="4860" w:type="dxa"/>
            <w:vAlign w:val="bottom"/>
          </w:tcPr>
          <w:p>
            <w:pPr>
              <w:ind w:left="240"/>
              <w:spacing w:after="0"/>
              <w:rPr>
                <w:sz w:val="20"/>
                <w:szCs w:val="20"/>
                <w:color w:val="auto"/>
              </w:rPr>
            </w:pPr>
            <w:r>
              <w:rPr>
                <w:rFonts w:ascii="Arial" w:cs="Arial" w:eastAsia="Arial" w:hAnsi="Arial"/>
                <w:sz w:val="11"/>
                <w:szCs w:val="11"/>
                <w:color w:val="auto"/>
              </w:rPr>
              <w:t>61 Ninth Avenue mortgage loan</w:t>
            </w:r>
          </w:p>
        </w:tc>
        <w:tc>
          <w:tcPr>
            <w:tcW w:w="1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72,611</w:t>
            </w:r>
          </w:p>
        </w:tc>
        <w:tc>
          <w:tcPr>
            <w:tcW w:w="2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06/28</w:t>
            </w:r>
          </w:p>
        </w:tc>
        <w:tc>
          <w:tcPr>
            <w:tcW w:w="18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S+300</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72,611</w:t>
            </w:r>
          </w:p>
        </w:tc>
        <w:tc>
          <w:tcPr>
            <w:tcW w:w="1160" w:type="dxa"/>
            <w:vAlign w:val="bottom"/>
            <w:gridSpan w:val="3"/>
          </w:tcPr>
          <w:p>
            <w:pPr>
              <w:jc w:val="center"/>
              <w:ind w:left="224"/>
              <w:spacing w:after="0"/>
              <w:rPr>
                <w:sz w:val="20"/>
                <w:szCs w:val="20"/>
                <w:color w:val="auto"/>
              </w:rPr>
            </w:pPr>
            <w:r>
              <w:rPr>
                <w:rFonts w:ascii="Arial" w:cs="Arial" w:eastAsia="Arial" w:hAnsi="Arial"/>
                <w:sz w:val="11"/>
                <w:szCs w:val="11"/>
                <w:color w:val="auto"/>
              </w:rPr>
              <w:t>06/27</w:t>
            </w:r>
          </w:p>
        </w:tc>
        <w:tc>
          <w:tcPr>
            <w:tcW w:w="2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rPr>
              <w:t>4.25%</w:t>
            </w: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Rego Park shopping center mortgage loan</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56,700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12/30</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9"/>
              </w:rPr>
              <w:t>S+200</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56,700</w:t>
            </w:r>
          </w:p>
        </w:tc>
        <w:tc>
          <w:tcPr>
            <w:tcW w:w="1160" w:type="dxa"/>
            <w:vAlign w:val="bottom"/>
            <w:gridSpan w:val="3"/>
            <w:shd w:val="clear" w:color="auto" w:fill="CCEEFF"/>
          </w:tcPr>
          <w:p>
            <w:pPr>
              <w:jc w:val="center"/>
              <w:ind w:left="224"/>
              <w:spacing w:after="0"/>
              <w:rPr>
                <w:sz w:val="20"/>
                <w:szCs w:val="20"/>
                <w:color w:val="auto"/>
              </w:rPr>
            </w:pPr>
            <w:r>
              <w:rPr>
                <w:rFonts w:ascii="Arial" w:cs="Arial" w:eastAsia="Arial" w:hAnsi="Arial"/>
                <w:sz w:val="11"/>
                <w:szCs w:val="11"/>
                <w:color w:val="auto"/>
              </w:rPr>
              <w:t>12/26</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Arial" w:cs="Arial" w:eastAsia="Arial" w:hAnsi="Arial"/>
                <w:sz w:val="11"/>
                <w:szCs w:val="11"/>
                <w:color w:val="auto"/>
              </w:rPr>
              <w:t>Debt subject to interest rate swaps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3,882,500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Variable rate debt subject to interest rate caps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854,027</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60" w:type="dxa"/>
            <w:vAlign w:val="bottom"/>
          </w:tcPr>
          <w:p>
            <w:pPr>
              <w:ind w:left="20"/>
              <w:spacing w:after="0"/>
              <w:rPr>
                <w:sz w:val="20"/>
                <w:szCs w:val="20"/>
                <w:color w:val="auto"/>
              </w:rPr>
            </w:pPr>
            <w:r>
              <w:rPr>
                <w:rFonts w:ascii="Arial" w:cs="Arial" w:eastAsia="Arial" w:hAnsi="Arial"/>
                <w:sz w:val="11"/>
                <w:szCs w:val="11"/>
                <w:color w:val="auto"/>
              </w:rPr>
              <w:t>Fixed rate debt per loan agreements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3,978,547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Variable rate debt not subject to interest rate swaps or caps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860,018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b w:val="1"/>
                <w:bCs w:val="1"/>
                <w:color w:val="auto"/>
              </w:rPr>
              <w:t>(4)</w:t>
            </w: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Total debt at share</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9,575,092</w:t>
            </w: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-2814320</wp:posOffset>
            </wp:positionV>
            <wp:extent cx="7160260" cy="102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022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-1720850</wp:posOffset>
            </wp:positionV>
            <wp:extent cx="7160260" cy="102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022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-1516380</wp:posOffset>
            </wp:positionV>
            <wp:extent cx="7160260" cy="102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10223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49" w:lineRule="exact"/>
        <w:rPr>
          <w:sz w:val="20"/>
          <w:szCs w:val="20"/>
          <w:color w:val="auto"/>
        </w:rPr>
      </w:pPr>
    </w:p>
    <w:p>
      <w:pPr>
        <w:ind w:left="260" w:hanging="254"/>
        <w:spacing w:after="0"/>
        <w:tabs>
          <w:tab w:leader="none" w:pos="260" w:val="left"/>
        </w:tabs>
        <w:numPr>
          <w:ilvl w:val="0"/>
          <w:numId w:val="33"/>
        </w:numPr>
        <w:rPr>
          <w:rFonts w:ascii="Arial" w:cs="Arial" w:eastAsia="Arial" w:hAnsi="Arial"/>
          <w:sz w:val="11"/>
          <w:szCs w:val="11"/>
          <w:b w:val="1"/>
          <w:bCs w:val="1"/>
          <w:color w:val="auto"/>
        </w:rPr>
      </w:pPr>
      <w:r>
        <w:rPr>
          <w:rFonts w:ascii="Arial" w:cs="Arial" w:eastAsia="Arial" w:hAnsi="Arial"/>
          <w:sz w:val="11"/>
          <w:szCs w:val="11"/>
          <w:color w:val="auto"/>
        </w:rPr>
        <w:t>Assumes the exercise of as-of-right extension options.</w:t>
      </w:r>
    </w:p>
    <w:p>
      <w:pPr>
        <w:spacing w:after="0" w:line="1" w:lineRule="exact"/>
        <w:rPr>
          <w:rFonts w:ascii="Arial" w:cs="Arial" w:eastAsia="Arial" w:hAnsi="Arial"/>
          <w:sz w:val="11"/>
          <w:szCs w:val="11"/>
          <w:b w:val="1"/>
          <w:bCs w:val="1"/>
          <w:color w:val="auto"/>
        </w:rPr>
      </w:pPr>
    </w:p>
    <w:p>
      <w:pPr>
        <w:ind w:left="260" w:right="160" w:hanging="254"/>
        <w:spacing w:after="0" w:line="244" w:lineRule="auto"/>
        <w:tabs>
          <w:tab w:leader="none" w:pos="249" w:val="left"/>
        </w:tabs>
        <w:numPr>
          <w:ilvl w:val="0"/>
          <w:numId w:val="33"/>
        </w:numPr>
        <w:rPr>
          <w:rFonts w:ascii="Arial" w:cs="Arial" w:eastAsia="Arial" w:hAnsi="Arial"/>
          <w:sz w:val="11"/>
          <w:szCs w:val="11"/>
          <w:b w:val="1"/>
          <w:bCs w:val="1"/>
          <w:color w:val="auto"/>
        </w:rPr>
      </w:pPr>
      <w:r>
        <w:rPr>
          <w:rFonts w:ascii="Arial" w:cs="Arial" w:eastAsia="Arial" w:hAnsi="Arial"/>
          <w:sz w:val="11"/>
          <w:szCs w:val="11"/>
          <w:color w:val="auto"/>
        </w:rPr>
        <w:t>Represents the total $918,000 balance outstanding under our unsecured revolving credit facility, which is shown under both the interest rate swaps and interest rate caps, of which $575,000 is swapped and, effective October 2026, the remaining $343,000 is capped.</w:t>
      </w:r>
    </w:p>
    <w:p>
      <w:pPr>
        <w:spacing w:after="0" w:line="1" w:lineRule="exact"/>
        <w:rPr>
          <w:rFonts w:ascii="Arial" w:cs="Arial" w:eastAsia="Arial" w:hAnsi="Arial"/>
          <w:sz w:val="11"/>
          <w:szCs w:val="11"/>
          <w:b w:val="1"/>
          <w:bCs w:val="1"/>
          <w:color w:val="auto"/>
        </w:rPr>
      </w:pPr>
    </w:p>
    <w:p>
      <w:pPr>
        <w:ind w:left="260" w:right="280" w:hanging="254"/>
        <w:spacing w:after="0" w:line="255" w:lineRule="auto"/>
        <w:tabs>
          <w:tab w:leader="none" w:pos="249" w:val="left"/>
        </w:tabs>
        <w:numPr>
          <w:ilvl w:val="0"/>
          <w:numId w:val="33"/>
        </w:numPr>
        <w:rPr>
          <w:rFonts w:ascii="Arial" w:cs="Arial" w:eastAsia="Arial" w:hAnsi="Arial"/>
          <w:sz w:val="11"/>
          <w:szCs w:val="11"/>
          <w:b w:val="1"/>
          <w:bCs w:val="1"/>
          <w:color w:val="auto"/>
        </w:rPr>
      </w:pPr>
      <w:r>
        <w:rPr>
          <w:rFonts w:ascii="Arial" w:cs="Arial" w:eastAsia="Arial" w:hAnsi="Arial"/>
          <w:sz w:val="11"/>
          <w:szCs w:val="11"/>
          <w:color w:val="auto"/>
        </w:rPr>
        <w:t>Represents the total $850,000 balance of our unsecured term loan, which is shown under both the interest rate swaps and interest rate caps. Through October 2026, $750,000 is swapped and $100,000 is floating. Effective October 2026, $600,000 is capped through October 2027 and the remaining $250,000 is swapped, declining to $50,000 in July 2027 and expiring in August 2027.</w:t>
      </w:r>
    </w:p>
    <w:p>
      <w:pPr>
        <w:ind w:left="260" w:hanging="254"/>
        <w:spacing w:after="0"/>
        <w:tabs>
          <w:tab w:leader="none" w:pos="260" w:val="left"/>
        </w:tabs>
        <w:numPr>
          <w:ilvl w:val="0"/>
          <w:numId w:val="33"/>
        </w:numPr>
        <w:rPr>
          <w:rFonts w:ascii="Arial" w:cs="Arial" w:eastAsia="Arial" w:hAnsi="Arial"/>
          <w:sz w:val="11"/>
          <w:szCs w:val="11"/>
          <w:b w:val="1"/>
          <w:bCs w:val="1"/>
          <w:color w:val="auto"/>
        </w:rPr>
      </w:pPr>
      <w:r>
        <w:rPr>
          <w:rFonts w:ascii="Arial" w:cs="Arial" w:eastAsia="Arial" w:hAnsi="Arial"/>
          <w:sz w:val="11"/>
          <w:szCs w:val="11"/>
          <w:color w:val="auto"/>
        </w:rPr>
        <w:t>Our exposure to SOFR index increases is partially mitigated by an increase in interest income on our cash, cash equivalents and restricted cash.</w:t>
      </w:r>
    </w:p>
    <w:p>
      <w:pPr>
        <w:spacing w:after="0" w:line="200" w:lineRule="exact"/>
        <w:rPr>
          <w:rFonts w:ascii="Arial" w:cs="Arial" w:eastAsia="Arial" w:hAnsi="Arial"/>
          <w:sz w:val="11"/>
          <w:szCs w:val="11"/>
          <w:b w:val="1"/>
          <w:bCs w:val="1"/>
          <w:color w:val="auto"/>
        </w:rPr>
      </w:pPr>
    </w:p>
    <w:p>
      <w:pPr>
        <w:spacing w:after="0" w:line="272" w:lineRule="exact"/>
        <w:rPr>
          <w:rFonts w:ascii="Arial" w:cs="Arial" w:eastAsia="Arial" w:hAnsi="Arial"/>
          <w:sz w:val="11"/>
          <w:szCs w:val="11"/>
          <w:b w:val="1"/>
          <w:bCs w:val="1"/>
          <w:color w:val="auto"/>
        </w:rPr>
      </w:pPr>
    </w:p>
    <w:p>
      <w:pPr>
        <w:ind w:left="5580" w:hanging="87"/>
        <w:spacing w:after="0"/>
        <w:tabs>
          <w:tab w:leader="none" w:pos="5580" w:val="left"/>
        </w:tabs>
        <w:numPr>
          <w:ilvl w:val="1"/>
          <w:numId w:val="33"/>
        </w:numPr>
        <w:rPr>
          <w:rFonts w:ascii="Arial" w:cs="Arial" w:eastAsia="Arial" w:hAnsi="Arial"/>
          <w:sz w:val="13"/>
          <w:szCs w:val="13"/>
          <w:color w:val="auto"/>
        </w:rPr>
      </w:pPr>
      <w:r>
        <w:rPr>
          <w:rFonts w:ascii="Arial" w:cs="Arial" w:eastAsia="Arial" w:hAnsi="Arial"/>
          <w:sz w:val="13"/>
          <w:szCs w:val="13"/>
          <w:color w:val="auto"/>
        </w:rPr>
        <w:t>30 -</w:t>
      </w:r>
    </w:p>
    <w:p>
      <w:pPr>
        <w:sectPr>
          <w:pgSz w:w="11900" w:h="16838" w:orient="portrait"/>
          <w:cols w:equalWidth="0" w:num="1">
            <w:col w:w="11280"/>
          </w:cols>
          <w:pgMar w:left="300" w:top="981" w:right="319" w:bottom="1440" w:gutter="0" w:footer="0" w:header="0"/>
        </w:sectPr>
      </w:pPr>
    </w:p>
    <w:bookmarkStart w:id="51" w:name="page52"/>
    <w:bookmarkEnd w:id="51"/>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TOP 30 TENANTS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4629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6290" cy="6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(Amounts in thousands, except square feet)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60" w:type="dxa"/>
            <w:vAlign w:val="bottom"/>
          </w:tcPr>
          <w:p>
            <w:pPr>
              <w:spacing w:after="0"/>
              <w:rPr>
                <w:sz w:val="13"/>
                <w:szCs w:val="13"/>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Square</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Annualized</w:t>
            </w:r>
          </w:p>
        </w:tc>
        <w:tc>
          <w:tcPr>
            <w:tcW w:w="13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 of Total Annualized</w:t>
            </w:r>
          </w:p>
        </w:tc>
        <w:tc>
          <w:tcPr>
            <w:tcW w:w="0" w:type="dxa"/>
            <w:vAlign w:val="bottom"/>
          </w:tcPr>
          <w:p>
            <w:pPr>
              <w:spacing w:after="0"/>
              <w:rPr>
                <w:sz w:val="1"/>
                <w:szCs w:val="1"/>
                <w:color w:val="auto"/>
              </w:rPr>
            </w:pPr>
          </w:p>
        </w:tc>
      </w:tr>
      <w:tr>
        <w:trPr>
          <w:trHeight w:val="51"/>
        </w:trPr>
        <w:tc>
          <w:tcPr>
            <w:tcW w:w="7260" w:type="dxa"/>
            <w:vAlign w:val="bottom"/>
          </w:tcPr>
          <w:p>
            <w:pPr>
              <w:spacing w:after="0"/>
              <w:rPr>
                <w:sz w:val="4"/>
                <w:szCs w:val="4"/>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Footage</w:t>
            </w:r>
          </w:p>
        </w:tc>
        <w:tc>
          <w:tcPr>
            <w:tcW w:w="120" w:type="dxa"/>
            <w:vAlign w:val="bottom"/>
          </w:tcPr>
          <w:p>
            <w:pPr>
              <w:spacing w:after="0"/>
              <w:rPr>
                <w:sz w:val="4"/>
                <w:szCs w:val="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Escalated Rents</w:t>
            </w: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72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3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rPr>
              <w:t>Escalated Rents At</w:t>
            </w:r>
          </w:p>
        </w:tc>
        <w:tc>
          <w:tcPr>
            <w:tcW w:w="0" w:type="dxa"/>
            <w:vAlign w:val="bottom"/>
          </w:tcPr>
          <w:p>
            <w:pPr>
              <w:spacing w:after="0"/>
              <w:rPr>
                <w:sz w:val="1"/>
                <w:szCs w:val="1"/>
                <w:color w:val="auto"/>
              </w:rPr>
            </w:pPr>
          </w:p>
        </w:tc>
      </w:tr>
      <w:tr>
        <w:trPr>
          <w:trHeight w:val="161"/>
        </w:trPr>
        <w:tc>
          <w:tcPr>
            <w:tcW w:w="7260" w:type="dxa"/>
            <w:vAlign w:val="bottom"/>
          </w:tcPr>
          <w:p>
            <w:pPr>
              <w:ind w:left="20"/>
              <w:spacing w:after="0"/>
              <w:rPr>
                <w:sz w:val="20"/>
                <w:szCs w:val="20"/>
                <w:color w:val="auto"/>
              </w:rPr>
            </w:pPr>
            <w:r>
              <w:rPr>
                <w:rFonts w:ascii="Arial" w:cs="Arial" w:eastAsia="Arial" w:hAnsi="Arial"/>
                <w:sz w:val="11"/>
                <w:szCs w:val="11"/>
                <w:b w:val="1"/>
                <w:bCs w:val="1"/>
                <w:color w:val="auto"/>
              </w:rPr>
              <w:t>Tenants</w:t>
            </w:r>
          </w:p>
        </w:tc>
        <w:tc>
          <w:tcPr>
            <w:tcW w:w="13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At Share</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At Share</w:t>
            </w:r>
            <w:r>
              <w:rPr>
                <w:rFonts w:ascii="Arial" w:cs="Arial" w:eastAsia="Arial" w:hAnsi="Arial"/>
                <w:sz w:val="14"/>
                <w:szCs w:val="14"/>
                <w:b w:val="1"/>
                <w:bCs w:val="1"/>
                <w:color w:val="auto"/>
                <w:w w:val="98"/>
                <w:vertAlign w:val="superscript"/>
              </w:rPr>
              <w:t>(1)</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Share</w:t>
            </w:r>
          </w:p>
        </w:tc>
        <w:tc>
          <w:tcPr>
            <w:tcW w:w="0" w:type="dxa"/>
            <w:vAlign w:val="bottom"/>
          </w:tcPr>
          <w:p>
            <w:pPr>
              <w:spacing w:after="0"/>
              <w:rPr>
                <w:sz w:val="1"/>
                <w:szCs w:val="1"/>
                <w:color w:val="auto"/>
              </w:rPr>
            </w:pPr>
          </w:p>
        </w:tc>
      </w:tr>
      <w:tr>
        <w:trPr>
          <w:trHeight w:val="152"/>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Meta Platforms, Inc.</w:t>
            </w: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704,879</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88,751</w:t>
            </w:r>
          </w:p>
        </w:tc>
        <w:tc>
          <w:tcPr>
            <w:tcW w:w="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Omnicom (formerly IPG and affiliates)</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969,908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65,169</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New York University</w:t>
            </w:r>
            <w:r>
              <w:rPr>
                <w:rFonts w:ascii="Arial" w:cs="Arial" w:eastAsia="Arial" w:hAnsi="Arial"/>
                <w:sz w:val="14"/>
                <w:szCs w:val="14"/>
                <w:b w:val="1"/>
                <w:bCs w:val="1"/>
                <w:color w:val="auto"/>
                <w:vertAlign w:val="superscript"/>
              </w:rPr>
              <w:t>(2)</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1,761,681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59,133</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Bloomberg L.P.</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306,768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45,514</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Madison Square Garden &amp; Affiliates</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432,639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44,484</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Google/Motorola Mobility (guaranteed by Google)</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759,446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41,592</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UMG Recordings, Inc.</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336,700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35,411</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Apple Inc.</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572,631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34,756</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Amazon (including its Whole Foods subsidiary)</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312,694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33,235</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Neuberger Berman Group LLC</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306,612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29,127</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Evercore</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248,400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28,030</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WeWork</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303,741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26,599</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LVMH Brands</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63,002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24,450</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Verizon</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203,322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23,539</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Swatch Group USA</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22,409</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Victoria's Secret</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33,156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21,788</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Bank of America</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194,197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21,575</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PJT Partners Holdings</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145,316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19,858</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PwC</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241,196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19,539</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Macy's</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181,698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19,534</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Morgan Stanley</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171,003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14,757</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Kirkland &amp; Ellis LLP</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107,582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14,549</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Dick's Sporting Goods</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131,420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14,241</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AMC Networks, Inc.</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181,936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14,156</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Dodge &amp; Cox</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107,925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12,548</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The City of New York</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232,010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12,517</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King &amp; Spalding</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122,859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12,044</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58"/>
        </w:trPr>
        <w:tc>
          <w:tcPr>
            <w:tcW w:w="7260" w:type="dxa"/>
            <w:vAlign w:val="bottom"/>
          </w:tcPr>
          <w:p>
            <w:pPr>
              <w:ind w:left="20"/>
              <w:spacing w:after="0"/>
              <w:rPr>
                <w:sz w:val="20"/>
                <w:szCs w:val="20"/>
                <w:color w:val="auto"/>
              </w:rPr>
            </w:pPr>
            <w:r>
              <w:rPr>
                <w:rFonts w:ascii="Arial" w:cs="Arial" w:eastAsia="Arial" w:hAnsi="Arial"/>
                <w:sz w:val="11"/>
                <w:szCs w:val="11"/>
                <w:color w:val="auto"/>
              </w:rPr>
              <w:t>WSP USA</w:t>
            </w: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172,666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11,983</w:t>
            </w:r>
          </w:p>
        </w:tc>
        <w:tc>
          <w:tcPr>
            <w:tcW w:w="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Wells Fargo Group</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101,578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11,447</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5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Major League Soccer LLC</w:t>
            </w:r>
          </w:p>
        </w:tc>
        <w:tc>
          <w:tcPr>
            <w:tcW w:w="126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125,013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11,251</w:t>
            </w:r>
          </w:p>
        </w:tc>
        <w:tc>
          <w:tcPr>
            <w:tcW w:w="6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77"/>
        </w:trPr>
        <w:tc>
          <w:tcPr>
            <w:tcW w:w="72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38" w:lineRule="exact"/>
        <w:rPr>
          <w:sz w:val="20"/>
          <w:szCs w:val="20"/>
          <w:color w:val="auto"/>
        </w:rPr>
      </w:pPr>
    </w:p>
    <w:p>
      <w:pPr>
        <w:ind w:left="260" w:hanging="254"/>
        <w:spacing w:after="0" w:line="274" w:lineRule="auto"/>
        <w:tabs>
          <w:tab w:leader="none" w:pos="249" w:val="left"/>
        </w:tabs>
        <w:numPr>
          <w:ilvl w:val="0"/>
          <w:numId w:val="34"/>
        </w:numPr>
        <w:rPr>
          <w:rFonts w:ascii="Arial" w:cs="Arial" w:eastAsia="Arial" w:hAnsi="Arial"/>
          <w:sz w:val="11"/>
          <w:szCs w:val="11"/>
          <w:b w:val="1"/>
          <w:bCs w:val="1"/>
          <w:color w:val="auto"/>
        </w:rPr>
      </w:pPr>
      <w:r>
        <w:rPr>
          <w:rFonts w:ascii="Arial" w:cs="Arial" w:eastAsia="Arial" w:hAnsi="Arial"/>
          <w:sz w:val="11"/>
          <w:szCs w:val="11"/>
          <w:color w:val="auto"/>
        </w:rPr>
        <w:t>Represents monthly contractual base rent before free rent plus tenant reimbursements multiplied by 12. Annualized escalated rents at share include leases signed but not yet commenced in place of current tenants or vacancy in the same space.</w:t>
      </w:r>
    </w:p>
    <w:p>
      <w:pPr>
        <w:ind w:left="260" w:hanging="254"/>
        <w:spacing w:after="0" w:line="270" w:lineRule="auto"/>
        <w:tabs>
          <w:tab w:leader="none" w:pos="249" w:val="left"/>
        </w:tabs>
        <w:numPr>
          <w:ilvl w:val="0"/>
          <w:numId w:val="34"/>
        </w:numPr>
        <w:rPr>
          <w:rFonts w:ascii="Arial" w:cs="Arial" w:eastAsia="Arial" w:hAnsi="Arial"/>
          <w:sz w:val="11"/>
          <w:szCs w:val="11"/>
          <w:b w:val="1"/>
          <w:bCs w:val="1"/>
          <w:color w:val="auto"/>
        </w:rPr>
      </w:pPr>
      <w:r>
        <w:rPr>
          <w:rFonts w:ascii="Arial" w:cs="Arial" w:eastAsia="Arial" w:hAnsi="Arial"/>
          <w:sz w:val="11"/>
          <w:szCs w:val="11"/>
          <w:color w:val="auto"/>
        </w:rPr>
        <w:t>Includes NYU’s master lease of 1,076,000 square feet at 770 Broadway. In addition to the $9,281 annual lease payments, which are included in annualized escalated rents above, NYU also made a $935,000 prepaid lease payment at lease commencement.</w:t>
      </w:r>
    </w:p>
    <w:p>
      <w:pPr>
        <w:spacing w:after="0" w:line="249" w:lineRule="exact"/>
        <w:rPr>
          <w:rFonts w:ascii="Arial" w:cs="Arial" w:eastAsia="Arial" w:hAnsi="Arial"/>
          <w:sz w:val="11"/>
          <w:szCs w:val="11"/>
          <w:b w:val="1"/>
          <w:bCs w:val="1"/>
          <w:color w:val="auto"/>
        </w:rPr>
      </w:pPr>
    </w:p>
    <w:p>
      <w:pPr>
        <w:ind w:left="5580" w:hanging="87"/>
        <w:spacing w:after="0"/>
        <w:tabs>
          <w:tab w:leader="none" w:pos="5580" w:val="left"/>
        </w:tabs>
        <w:numPr>
          <w:ilvl w:val="1"/>
          <w:numId w:val="34"/>
        </w:numPr>
        <w:rPr>
          <w:rFonts w:ascii="Arial" w:cs="Arial" w:eastAsia="Arial" w:hAnsi="Arial"/>
          <w:sz w:val="13"/>
          <w:szCs w:val="13"/>
          <w:color w:val="auto"/>
        </w:rPr>
      </w:pPr>
      <w:r>
        <w:rPr>
          <w:rFonts w:ascii="Arial" w:cs="Arial" w:eastAsia="Arial" w:hAnsi="Arial"/>
          <w:sz w:val="13"/>
          <w:szCs w:val="13"/>
          <w:color w:val="auto"/>
        </w:rPr>
        <w:t>31 -</w:t>
      </w:r>
    </w:p>
    <w:p>
      <w:pPr>
        <w:sectPr>
          <w:pgSz w:w="11900" w:h="16838" w:orient="portrait"/>
          <w:cols w:equalWidth="0" w:num="1">
            <w:col w:w="11280"/>
          </w:cols>
          <w:pgMar w:left="300" w:top="981" w:right="319" w:bottom="1440" w:gutter="0" w:footer="0" w:header="0"/>
        </w:sectPr>
      </w:pPr>
    </w:p>
    <w:bookmarkStart w:id="52" w:name="page53"/>
    <w:bookmarkEnd w:id="52"/>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SQUARE FOOTAGE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(Square feet in thousands)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b w:val="1"/>
                <w:bCs w:val="1"/>
                <w:color w:val="auto"/>
              </w:rPr>
              <w:t>At Vornado's Share</w:t>
            </w: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220"/>
              <w:spacing w:after="0" w:line="112" w:lineRule="exact"/>
              <w:rPr>
                <w:sz w:val="20"/>
                <w:szCs w:val="20"/>
                <w:color w:val="auto"/>
              </w:rPr>
            </w:pPr>
            <w:r>
              <w:rPr>
                <w:rFonts w:ascii="Arial" w:cs="Arial" w:eastAsia="Arial" w:hAnsi="Arial"/>
                <w:sz w:val="11"/>
                <w:szCs w:val="11"/>
                <w:b w:val="1"/>
                <w:bCs w:val="1"/>
                <w:color w:val="auto"/>
              </w:rPr>
              <w:t>Under</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Development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4"/>
          </w:tcPr>
          <w:p>
            <w:pPr>
              <w:ind w:left="660"/>
              <w:spacing w:after="0"/>
              <w:rPr>
                <w:sz w:val="20"/>
                <w:szCs w:val="20"/>
                <w:color w:val="auto"/>
              </w:rPr>
            </w:pPr>
            <w:r>
              <w:rPr>
                <w:rFonts w:ascii="Arial" w:cs="Arial" w:eastAsia="Arial" w:hAnsi="Arial"/>
                <w:sz w:val="11"/>
                <w:szCs w:val="11"/>
                <w:b w:val="1"/>
                <w:bCs w:val="1"/>
                <w:color w:val="auto"/>
              </w:rPr>
              <w:t>In Service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4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4"/>
            <w:vMerge w:val="restart"/>
          </w:tcPr>
          <w:p>
            <w:pPr>
              <w:ind w:left="360"/>
              <w:spacing w:after="0"/>
              <w:rPr>
                <w:sz w:val="20"/>
                <w:szCs w:val="20"/>
                <w:color w:val="auto"/>
              </w:rPr>
            </w:pPr>
            <w:r>
              <w:rPr>
                <w:rFonts w:ascii="Arial" w:cs="Arial" w:eastAsia="Arial" w:hAnsi="Arial"/>
                <w:sz w:val="11"/>
                <w:szCs w:val="11"/>
                <w:b w:val="1"/>
                <w:bCs w:val="1"/>
                <w:color w:val="auto"/>
              </w:rPr>
              <w:t>At</w:t>
            </w: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880" w:type="dxa"/>
            <w:vAlign w:val="bottom"/>
            <w:gridSpan w:val="2"/>
            <w:vMerge w:val="restart"/>
          </w:tcPr>
          <w:p>
            <w:pPr>
              <w:jc w:val="center"/>
              <w:ind w:right="140"/>
              <w:spacing w:after="0" w:line="89" w:lineRule="exact"/>
              <w:rPr>
                <w:sz w:val="20"/>
                <w:szCs w:val="20"/>
                <w:color w:val="auto"/>
              </w:rPr>
            </w:pPr>
            <w:r>
              <w:rPr>
                <w:rFonts w:ascii="Arial" w:cs="Arial" w:eastAsia="Arial" w:hAnsi="Arial"/>
                <w:sz w:val="10"/>
                <w:szCs w:val="10"/>
                <w:b w:val="1"/>
                <w:bCs w:val="1"/>
                <w:color w:val="auto"/>
              </w:rPr>
              <w:t>or Not</w:t>
            </w: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4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0"/>
                <w:szCs w:val="10"/>
                <w:color w:val="auto"/>
              </w:rPr>
            </w:pPr>
          </w:p>
        </w:tc>
        <w:tc>
          <w:tcPr>
            <w:tcW w:w="960" w:type="dxa"/>
            <w:vAlign w:val="bottom"/>
            <w:gridSpan w:val="3"/>
          </w:tcPr>
          <w:p>
            <w:pPr>
              <w:jc w:val="center"/>
              <w:ind w:right="220"/>
              <w:spacing w:after="0" w:line="119" w:lineRule="exact"/>
              <w:rPr>
                <w:sz w:val="20"/>
                <w:szCs w:val="20"/>
                <w:color w:val="auto"/>
              </w:rPr>
            </w:pPr>
            <w:r>
              <w:rPr>
                <w:rFonts w:ascii="Arial" w:cs="Arial" w:eastAsia="Arial" w:hAnsi="Arial"/>
                <w:sz w:val="11"/>
                <w:szCs w:val="11"/>
                <w:b w:val="1"/>
                <w:bCs w:val="1"/>
                <w:color w:val="auto"/>
              </w:rPr>
              <w:t>Available for</w:t>
            </w:r>
          </w:p>
        </w:tc>
        <w:tc>
          <w:tcPr>
            <w:tcW w:w="88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Office</w:t>
            </w:r>
          </w:p>
        </w:tc>
        <w:tc>
          <w:tcPr>
            <w:tcW w:w="96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Retail</w:t>
            </w:r>
          </w:p>
        </w:tc>
        <w:tc>
          <w:tcPr>
            <w:tcW w:w="9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Showroom</w:t>
            </w:r>
          </w:p>
        </w:tc>
        <w:tc>
          <w:tcPr>
            <w:tcW w:w="880" w:type="dxa"/>
            <w:vAlign w:val="bottom"/>
            <w:vMerge w:val="restart"/>
          </w:tcPr>
          <w:p>
            <w:pPr>
              <w:jc w:val="right"/>
              <w:ind w:right="223"/>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48"/>
        </w:trPr>
        <w:tc>
          <w:tcPr>
            <w:tcW w:w="4580" w:type="dxa"/>
            <w:vAlign w:val="bottom"/>
            <w:vMerge w:val="restart"/>
          </w:tcPr>
          <w:p>
            <w:pPr>
              <w:ind w:left="20"/>
              <w:spacing w:after="0"/>
              <w:rPr>
                <w:sz w:val="20"/>
                <w:szCs w:val="20"/>
                <w:color w:val="auto"/>
              </w:rPr>
            </w:pPr>
            <w:r>
              <w:rPr>
                <w:rFonts w:ascii="Arial" w:cs="Arial" w:eastAsia="Arial" w:hAnsi="Arial"/>
                <w:sz w:val="11"/>
                <w:szCs w:val="11"/>
                <w:color w:val="auto"/>
              </w:rPr>
              <w:t>Segment:</w:t>
            </w:r>
          </w:p>
        </w:tc>
        <w:tc>
          <w:tcPr>
            <w:tcW w:w="96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100%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Lease</w:t>
            </w: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580" w:type="dxa"/>
            <w:vAlign w:val="bottom"/>
          </w:tcPr>
          <w:p>
            <w:pPr>
              <w:ind w:left="280"/>
              <w:spacing w:after="0"/>
              <w:rPr>
                <w:sz w:val="20"/>
                <w:szCs w:val="20"/>
                <w:color w:val="auto"/>
              </w:rPr>
            </w:pPr>
            <w:r>
              <w:rPr>
                <w:rFonts w:ascii="Arial" w:cs="Arial" w:eastAsia="Arial" w:hAnsi="Arial"/>
                <w:sz w:val="11"/>
                <w:szCs w:val="11"/>
                <w:color w:val="auto"/>
              </w:rPr>
              <w:t>New York:</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Office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20,758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18,019</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968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16,868</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4580" w:type="dxa"/>
            <w:vAlign w:val="bottom"/>
          </w:tcPr>
          <w:p>
            <w:pPr>
              <w:ind w:left="540"/>
              <w:spacing w:after="0"/>
              <w:rPr>
                <w:sz w:val="20"/>
                <w:szCs w:val="20"/>
                <w:color w:val="auto"/>
              </w:rPr>
            </w:pPr>
            <w:r>
              <w:rPr>
                <w:rFonts w:ascii="Arial" w:cs="Arial" w:eastAsia="Arial" w:hAnsi="Arial"/>
                <w:sz w:val="11"/>
                <w:szCs w:val="11"/>
                <w:color w:val="auto"/>
              </w:rPr>
              <w:t>Retail (includes retail properties that are in the base of our office properties)</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2,291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1,919</w:t>
            </w:r>
          </w:p>
        </w:tc>
        <w:tc>
          <w:tcPr>
            <w:tcW w:w="60" w:type="dxa"/>
            <w:vAlign w:val="bottom"/>
          </w:tcPr>
          <w:p>
            <w:pPr>
              <w:spacing w:after="0"/>
              <w:rPr>
                <w:sz w:val="13"/>
                <w:szCs w:val="13"/>
                <w:color w:val="auto"/>
              </w:rPr>
            </w:pPr>
          </w:p>
        </w:tc>
        <w:tc>
          <w:tcPr>
            <w:tcW w:w="900" w:type="dxa"/>
            <w:vAlign w:val="bottom"/>
            <w:gridSpan w:val="2"/>
          </w:tcPr>
          <w:p>
            <w:pPr>
              <w:jc w:val="right"/>
              <w:ind w:right="3"/>
              <w:spacing w:after="0"/>
              <w:rPr>
                <w:sz w:val="20"/>
                <w:szCs w:val="20"/>
                <w:color w:val="auto"/>
              </w:rPr>
            </w:pPr>
            <w:r>
              <w:rPr>
                <w:rFonts w:ascii="Arial" w:cs="Arial" w:eastAsia="Arial" w:hAnsi="Arial"/>
                <w:sz w:val="11"/>
                <w:szCs w:val="11"/>
                <w:color w:val="auto"/>
              </w:rPr>
              <w:t>257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1,662</w:t>
            </w: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Residential - 1,328 units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1,186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594</w:t>
            </w:r>
          </w:p>
        </w:tc>
        <w:tc>
          <w:tcPr>
            <w:tcW w:w="0" w:type="dxa"/>
            <w:vAlign w:val="bottom"/>
          </w:tcPr>
          <w:p>
            <w:pPr>
              <w:spacing w:after="0"/>
              <w:rPr>
                <w:sz w:val="1"/>
                <w:szCs w:val="1"/>
                <w:color w:val="auto"/>
              </w:rPr>
            </w:pPr>
          </w:p>
        </w:tc>
      </w:tr>
      <w:tr>
        <w:trPr>
          <w:trHeight w:val="158"/>
        </w:trPr>
        <w:tc>
          <w:tcPr>
            <w:tcW w:w="4580" w:type="dxa"/>
            <w:vAlign w:val="bottom"/>
            <w:tcBorders>
              <w:bottom w:val="single" w:sz="8" w:color="CCEEFF"/>
            </w:tcBorders>
          </w:tcPr>
          <w:p>
            <w:pPr>
              <w:ind w:left="540"/>
              <w:spacing w:after="0"/>
              <w:rPr>
                <w:sz w:val="20"/>
                <w:szCs w:val="20"/>
                <w:color w:val="auto"/>
              </w:rPr>
            </w:pPr>
            <w:r>
              <w:rPr>
                <w:rFonts w:ascii="Arial" w:cs="Arial" w:eastAsia="Arial" w:hAnsi="Arial"/>
                <w:sz w:val="11"/>
                <w:szCs w:val="11"/>
                <w:color w:val="auto"/>
              </w:rPr>
              <w:t>Alexander's (32.4% interest), including 312 residential units</w:t>
            </w: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2,106</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26,341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21,214</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1,225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17,176</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1,953</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677</w:t>
            </w:r>
          </w:p>
        </w:tc>
        <w:tc>
          <w:tcPr>
            <w:tcW w:w="0" w:type="dxa"/>
            <w:vAlign w:val="bottom"/>
          </w:tcPr>
          <w:p>
            <w:pPr>
              <w:spacing w:after="0"/>
              <w:rPr>
                <w:sz w:val="1"/>
                <w:szCs w:val="1"/>
                <w:color w:val="auto"/>
              </w:rPr>
            </w:pPr>
          </w:p>
        </w:tc>
      </w:tr>
      <w:tr>
        <w:trPr>
          <w:trHeight w:val="213"/>
        </w:trPr>
        <w:tc>
          <w:tcPr>
            <w:tcW w:w="4580" w:type="dxa"/>
            <w:vAlign w:val="bottom"/>
          </w:tcPr>
          <w:p>
            <w:pPr>
              <w:ind w:left="280"/>
              <w:spacing w:after="0"/>
              <w:rPr>
                <w:sz w:val="20"/>
                <w:szCs w:val="20"/>
                <w:color w:val="auto"/>
              </w:rPr>
            </w:pPr>
            <w:r>
              <w:rPr>
                <w:rFonts w:ascii="Arial" w:cs="Arial" w:eastAsia="Arial" w:hAnsi="Arial"/>
                <w:sz w:val="11"/>
                <w:szCs w:val="11"/>
                <w:color w:val="auto"/>
              </w:rPr>
              <w:t>Other:</w:t>
            </w: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THE MART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3,695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3,693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1,239</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58"/>
        </w:trPr>
        <w:tc>
          <w:tcPr>
            <w:tcW w:w="4580" w:type="dxa"/>
            <w:vAlign w:val="bottom"/>
          </w:tcPr>
          <w:p>
            <w:pPr>
              <w:ind w:left="540"/>
              <w:spacing w:after="0"/>
              <w:rPr>
                <w:sz w:val="20"/>
                <w:szCs w:val="20"/>
                <w:color w:val="auto"/>
              </w:rPr>
            </w:pPr>
            <w:r>
              <w:rPr>
                <w:rFonts w:ascii="Arial" w:cs="Arial" w:eastAsia="Arial" w:hAnsi="Arial"/>
                <w:sz w:val="11"/>
                <w:szCs w:val="11"/>
                <w:color w:val="auto"/>
              </w:rPr>
              <w:t>555 California Street (70% interest)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1,823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1,275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1,240</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45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Other</w:t>
            </w:r>
          </w:p>
        </w:tc>
        <w:tc>
          <w:tcPr>
            <w:tcW w:w="1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3,851</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1,751</w:t>
            </w:r>
          </w:p>
        </w:tc>
        <w:tc>
          <w:tcPr>
            <w:tcW w:w="60" w:type="dxa"/>
            <w:vAlign w:val="bottom"/>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209</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397</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892</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9,369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6,719</w:t>
            </w:r>
          </w:p>
        </w:tc>
        <w:tc>
          <w:tcPr>
            <w:tcW w:w="60" w:type="dxa"/>
            <w:vAlign w:val="bottom"/>
          </w:tcPr>
          <w:p>
            <w:pPr>
              <w:spacing w:after="0"/>
              <w:rPr>
                <w:sz w:val="13"/>
                <w:szCs w:val="13"/>
                <w:color w:val="auto"/>
              </w:rPr>
            </w:pPr>
          </w:p>
        </w:tc>
        <w:tc>
          <w:tcPr>
            <w:tcW w:w="900" w:type="dxa"/>
            <w:vAlign w:val="bottom"/>
            <w:gridSpan w:val="2"/>
          </w:tcPr>
          <w:p>
            <w:pPr>
              <w:jc w:val="right"/>
              <w:ind w:right="3"/>
              <w:spacing w:after="0"/>
              <w:rPr>
                <w:sz w:val="20"/>
                <w:szCs w:val="20"/>
                <w:color w:val="auto"/>
              </w:rPr>
            </w:pPr>
            <w:r>
              <w:rPr>
                <w:rFonts w:ascii="Arial" w:cs="Arial" w:eastAsia="Arial" w:hAnsi="Arial"/>
                <w:sz w:val="11"/>
                <w:szCs w:val="11"/>
                <w:color w:val="auto"/>
              </w:rPr>
              <w:t>209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3,760</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1,011</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1,239</w:t>
            </w:r>
          </w:p>
        </w:tc>
        <w:tc>
          <w:tcPr>
            <w:tcW w:w="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70"/>
        </w:trPr>
        <w:tc>
          <w:tcPr>
            <w:tcW w:w="4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square feet at September 30, 2026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35,710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27,933</w:t>
            </w: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1,434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20,936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2,964</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1,422</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square feet at June 30, 2026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35,718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27,950</w:t>
            </w: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1,434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20,937</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1,422</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1,187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rPr>
              <w:t>At 100%</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80" w:type="dxa"/>
            <w:vAlign w:val="bottom"/>
            <w:vMerge w:val="restart"/>
          </w:tcPr>
          <w:p>
            <w:pPr>
              <w:ind w:left="20"/>
              <w:spacing w:after="0"/>
              <w:rPr>
                <w:sz w:val="20"/>
                <w:szCs w:val="20"/>
                <w:color w:val="auto"/>
              </w:rPr>
            </w:pPr>
            <w:r>
              <w:rPr>
                <w:rFonts w:ascii="Arial" w:cs="Arial" w:eastAsia="Arial" w:hAnsi="Arial"/>
                <w:sz w:val="11"/>
                <w:szCs w:val="11"/>
                <w:color w:val="auto"/>
              </w:rPr>
              <w:t>Parking Garages (not included above):</w:t>
            </w:r>
          </w:p>
        </w:tc>
        <w:tc>
          <w:tcPr>
            <w:tcW w:w="960" w:type="dxa"/>
            <w:vAlign w:val="bottom"/>
            <w:gridSpan w:val="2"/>
            <w:vMerge w:val="restart"/>
          </w:tcPr>
          <w:p>
            <w:pPr>
              <w:jc w:val="right"/>
              <w:ind w:right="83"/>
              <w:spacing w:after="0"/>
              <w:rPr>
                <w:sz w:val="20"/>
                <w:szCs w:val="20"/>
                <w:color w:val="auto"/>
              </w:rPr>
            </w:pPr>
            <w:r>
              <w:rPr>
                <w:rFonts w:ascii="Arial" w:cs="Arial" w:eastAsia="Arial" w:hAnsi="Arial"/>
                <w:sz w:val="11"/>
                <w:szCs w:val="11"/>
                <w:b w:val="1"/>
                <w:bCs w:val="1"/>
                <w:color w:val="auto"/>
              </w:rPr>
              <w:t>Square Feet</w:t>
            </w:r>
          </w:p>
        </w:tc>
        <w:tc>
          <w:tcPr>
            <w:tcW w:w="80" w:type="dxa"/>
            <w:vAlign w:val="bottom"/>
            <w:gridSpan w:val="2"/>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90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9"/>
                <w:szCs w:val="9"/>
                <w:color w:val="auto"/>
              </w:rPr>
            </w:pPr>
          </w:p>
        </w:tc>
        <w:tc>
          <w:tcPr>
            <w:tcW w:w="960" w:type="dxa"/>
            <w:vAlign w:val="bottom"/>
            <w:gridSpan w:val="3"/>
          </w:tcPr>
          <w:p>
            <w:pPr>
              <w:jc w:val="right"/>
              <w:ind w:right="220"/>
              <w:spacing w:after="0" w:line="110" w:lineRule="exact"/>
              <w:rPr>
                <w:sz w:val="20"/>
                <w:szCs w:val="20"/>
                <w:color w:val="auto"/>
              </w:rPr>
            </w:pPr>
            <w:r>
              <w:rPr>
                <w:rFonts w:ascii="Arial" w:cs="Arial" w:eastAsia="Arial" w:hAnsi="Arial"/>
                <w:sz w:val="11"/>
                <w:szCs w:val="11"/>
                <w:b w:val="1"/>
                <w:bCs w:val="1"/>
                <w:color w:val="auto"/>
              </w:rPr>
              <w:t>Number of</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580" w:type="dxa"/>
            <w:vAlign w:val="bottom"/>
            <w:tcBorders>
              <w:bottom w:val="single" w:sz="8" w:color="CCEEFF"/>
            </w:tcBorders>
            <w:vMerge w:val="continue"/>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gridSpan w:val="2"/>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rPr>
              <w:t>Garages</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Spaces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New York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1,635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4,685</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80" w:type="dxa"/>
            <w:vAlign w:val="bottom"/>
          </w:tcPr>
          <w:p>
            <w:pPr>
              <w:ind w:left="20"/>
              <w:spacing w:after="0"/>
              <w:rPr>
                <w:sz w:val="20"/>
                <w:szCs w:val="20"/>
                <w:color w:val="auto"/>
              </w:rPr>
            </w:pPr>
            <w:r>
              <w:rPr>
                <w:rFonts w:ascii="Arial" w:cs="Arial" w:eastAsia="Arial" w:hAnsi="Arial"/>
                <w:sz w:val="11"/>
                <w:szCs w:val="11"/>
                <w:color w:val="auto"/>
              </w:rPr>
              <w:t>THE MART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341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3</w:t>
            </w:r>
          </w:p>
        </w:tc>
        <w:tc>
          <w:tcPr>
            <w:tcW w:w="1040" w:type="dxa"/>
            <w:vAlign w:val="bottom"/>
            <w:gridSpan w:val="4"/>
          </w:tcPr>
          <w:p>
            <w:pPr>
              <w:jc w:val="right"/>
              <w:ind w:right="60"/>
              <w:spacing w:after="0"/>
              <w:rPr>
                <w:sz w:val="20"/>
                <w:szCs w:val="20"/>
                <w:color w:val="auto"/>
              </w:rPr>
            </w:pPr>
            <w:r>
              <w:rPr>
                <w:rFonts w:ascii="Arial" w:cs="Arial" w:eastAsia="Arial" w:hAnsi="Arial"/>
                <w:sz w:val="11"/>
                <w:szCs w:val="11"/>
                <w:color w:val="auto"/>
              </w:rPr>
              <w:t>1,076</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555 California Street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461</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Rosslyn Plaza</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411</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1,094</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at September 30, 2026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2,555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7,316</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- 32 -</w:t>
      </w:r>
    </w:p>
    <w:p>
      <w:pPr>
        <w:sectPr>
          <w:pgSz w:w="11900" w:h="16838" w:orient="portrait"/>
          <w:cols w:equalWidth="0" w:num="1">
            <w:col w:w="11280"/>
          </w:cols>
          <w:pgMar w:left="300" w:top="981" w:right="319" w:bottom="1440" w:gutter="0" w:footer="0" w:header="0"/>
        </w:sectPr>
      </w:pPr>
    </w:p>
    <w:bookmarkStart w:id="53" w:name="page54"/>
    <w:bookmarkEnd w:id="53"/>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OCCUPANCY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4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New York</w:t>
            </w:r>
          </w:p>
        </w:tc>
        <w:tc>
          <w:tcPr>
            <w:tcW w:w="1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184"/>
        </w:trPr>
        <w:tc>
          <w:tcPr>
            <w:tcW w:w="484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1"/>
                <w:szCs w:val="11"/>
                <w:b w:val="1"/>
                <w:bCs w:val="1"/>
                <w:color w:val="auto"/>
              </w:rPr>
              <w:t>Total</w:t>
            </w:r>
            <w:r>
              <w:rPr>
                <w:rFonts w:ascii="Arial" w:cs="Arial" w:eastAsia="Arial" w:hAnsi="Arial"/>
                <w:sz w:val="14"/>
                <w:szCs w:val="14"/>
                <w:b w:val="1"/>
                <w:bCs w:val="1"/>
                <w:color w:val="auto"/>
                <w:vertAlign w:val="superscript"/>
              </w:rPr>
              <w:t>(1)</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420"/>
              <w:spacing w:after="0"/>
              <w:rPr>
                <w:sz w:val="20"/>
                <w:szCs w:val="20"/>
                <w:color w:val="auto"/>
              </w:rPr>
            </w:pPr>
            <w:r>
              <w:rPr>
                <w:rFonts w:ascii="Arial" w:cs="Arial" w:eastAsia="Arial" w:hAnsi="Arial"/>
                <w:sz w:val="11"/>
                <w:szCs w:val="11"/>
                <w:b w:val="1"/>
                <w:bCs w:val="1"/>
                <w:color w:val="auto"/>
              </w:rPr>
              <w:t>Office</w:t>
            </w:r>
          </w:p>
        </w:tc>
        <w:tc>
          <w:tcPr>
            <w:tcW w:w="1260" w:type="dxa"/>
            <w:vAlign w:val="bottom"/>
            <w:gridSpan w:val="2"/>
          </w:tcPr>
          <w:p>
            <w:pPr>
              <w:ind w:left="420"/>
              <w:spacing w:after="0"/>
              <w:rPr>
                <w:sz w:val="20"/>
                <w:szCs w:val="20"/>
                <w:color w:val="auto"/>
              </w:rPr>
            </w:pPr>
            <w:r>
              <w:rPr>
                <w:rFonts w:ascii="Arial" w:cs="Arial" w:eastAsia="Arial" w:hAnsi="Arial"/>
                <w:sz w:val="11"/>
                <w:szCs w:val="11"/>
                <w:b w:val="1"/>
                <w:bCs w:val="1"/>
                <w:color w:val="auto"/>
              </w:rPr>
              <w:t>Retail</w:t>
            </w:r>
          </w:p>
        </w:tc>
        <w:tc>
          <w:tcPr>
            <w:tcW w:w="1260" w:type="dxa"/>
            <w:vAlign w:val="bottom"/>
            <w:gridSpan w:val="2"/>
          </w:tcPr>
          <w:p>
            <w:pPr>
              <w:ind w:left="280"/>
              <w:spacing w:after="0"/>
              <w:rPr>
                <w:sz w:val="20"/>
                <w:szCs w:val="20"/>
                <w:color w:val="auto"/>
              </w:rPr>
            </w:pPr>
            <w:r>
              <w:rPr>
                <w:rFonts w:ascii="Arial" w:cs="Arial" w:eastAsia="Arial" w:hAnsi="Arial"/>
                <w:sz w:val="11"/>
                <w:szCs w:val="11"/>
                <w:b w:val="1"/>
                <w:bCs w:val="1"/>
                <w:color w:val="auto"/>
              </w:rPr>
              <w:t>THE MART</w:t>
            </w:r>
          </w:p>
        </w:tc>
        <w:tc>
          <w:tcPr>
            <w:tcW w:w="1340" w:type="dxa"/>
            <w:vAlign w:val="bottom"/>
          </w:tcPr>
          <w:p>
            <w:pPr>
              <w:jc w:val="right"/>
              <w:ind w:right="63"/>
              <w:spacing w:after="0"/>
              <w:rPr>
                <w:sz w:val="20"/>
                <w:szCs w:val="20"/>
                <w:color w:val="auto"/>
              </w:rPr>
            </w:pPr>
            <w:r>
              <w:rPr>
                <w:rFonts w:ascii="Arial" w:cs="Arial" w:eastAsia="Arial" w:hAnsi="Arial"/>
                <w:sz w:val="11"/>
                <w:szCs w:val="11"/>
                <w:b w:val="1"/>
                <w:bCs w:val="1"/>
                <w:color w:val="auto"/>
              </w:rPr>
              <w:t>555 California Street</w:t>
            </w:r>
          </w:p>
        </w:tc>
      </w:tr>
      <w:tr>
        <w:trPr>
          <w:trHeight w:val="138"/>
        </w:trPr>
        <w:tc>
          <w:tcPr>
            <w:tcW w:w="4840" w:type="dxa"/>
            <w:vAlign w:val="bottom"/>
          </w:tcPr>
          <w:p>
            <w:pPr>
              <w:ind w:left="20"/>
              <w:spacing w:after="0"/>
              <w:rPr>
                <w:sz w:val="20"/>
                <w:szCs w:val="20"/>
                <w:color w:val="auto"/>
              </w:rPr>
            </w:pPr>
            <w:r>
              <w:rPr>
                <w:rFonts w:ascii="Arial" w:cs="Arial" w:eastAsia="Arial" w:hAnsi="Arial"/>
                <w:sz w:val="11"/>
                <w:szCs w:val="11"/>
                <w:color w:val="auto"/>
              </w:rPr>
              <w:t>Occupancy rate at:</w:t>
            </w:r>
          </w:p>
        </w:tc>
        <w:tc>
          <w:tcPr>
            <w:tcW w:w="7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29"/>
        </w:trPr>
        <w:tc>
          <w:tcPr>
            <w:tcW w:w="562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September 30, 2026</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87.5%</w:t>
            </w:r>
          </w:p>
        </w:tc>
      </w:tr>
      <w:tr>
        <w:trPr>
          <w:trHeight w:val="222"/>
        </w:trPr>
        <w:tc>
          <w:tcPr>
            <w:tcW w:w="5620" w:type="dxa"/>
            <w:vAlign w:val="bottom"/>
            <w:gridSpan w:val="2"/>
          </w:tcPr>
          <w:p>
            <w:pPr>
              <w:ind w:left="540"/>
              <w:spacing w:after="0"/>
              <w:rPr>
                <w:sz w:val="20"/>
                <w:szCs w:val="20"/>
                <w:color w:val="auto"/>
              </w:rPr>
            </w:pPr>
            <w:r>
              <w:rPr>
                <w:rFonts w:ascii="Arial" w:cs="Arial" w:eastAsia="Arial" w:hAnsi="Arial"/>
                <w:sz w:val="11"/>
                <w:szCs w:val="11"/>
                <w:color w:val="auto"/>
              </w:rPr>
              <w:t>June 30, 2026</w:t>
            </w:r>
          </w:p>
        </w:tc>
        <w:tc>
          <w:tcPr>
            <w:tcW w:w="360" w:type="dxa"/>
            <w:vAlign w:val="bottom"/>
          </w:tcPr>
          <w:p>
            <w:pPr>
              <w:jc w:val="right"/>
              <w:spacing w:after="0"/>
              <w:rPr>
                <w:sz w:val="20"/>
                <w:szCs w:val="20"/>
                <w:color w:val="auto"/>
              </w:rPr>
            </w:pPr>
            <w:r>
              <w:rPr>
                <w:rFonts w:ascii="Arial" w:cs="Arial" w:eastAsia="Arial" w:hAnsi="Arial"/>
                <w:sz w:val="11"/>
                <w:szCs w:val="11"/>
                <w:color w:val="auto"/>
              </w:rPr>
              <w:t>90.8%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92.2%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77.8%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80.4%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87.5%</w:t>
            </w:r>
          </w:p>
        </w:tc>
      </w:tr>
      <w:tr>
        <w:trPr>
          <w:trHeight w:val="229"/>
        </w:trPr>
        <w:tc>
          <w:tcPr>
            <w:tcW w:w="562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March 31, 2026</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w:t>
            </w:r>
          </w:p>
        </w:tc>
      </w:tr>
      <w:tr>
        <w:trPr>
          <w:trHeight w:val="154"/>
        </w:trPr>
        <w:tc>
          <w:tcPr>
            <w:tcW w:w="5620" w:type="dxa"/>
            <w:vAlign w:val="bottom"/>
            <w:gridSpan w:val="2"/>
          </w:tcPr>
          <w:p>
            <w:pPr>
              <w:ind w:left="540"/>
              <w:spacing w:after="0"/>
              <w:rPr>
                <w:sz w:val="20"/>
                <w:szCs w:val="20"/>
                <w:color w:val="auto"/>
              </w:rPr>
            </w:pPr>
            <w:r>
              <w:rPr>
                <w:rFonts w:ascii="Arial" w:cs="Arial" w:eastAsia="Arial" w:hAnsi="Arial"/>
                <w:sz w:val="11"/>
                <w:szCs w:val="11"/>
                <w:color w:val="auto"/>
              </w:rPr>
              <w:t>December 31, 2025</w:t>
            </w:r>
          </w:p>
        </w:tc>
        <w:tc>
          <w:tcPr>
            <w:tcW w:w="360" w:type="dxa"/>
            <w:vAlign w:val="bottom"/>
          </w:tcPr>
          <w:p>
            <w:pPr>
              <w:jc w:val="right"/>
              <w:spacing w:after="0"/>
              <w:rPr>
                <w:sz w:val="20"/>
                <w:szCs w:val="20"/>
                <w:color w:val="auto"/>
              </w:rPr>
            </w:pPr>
            <w:r>
              <w:rPr>
                <w:rFonts w:ascii="Arial" w:cs="Arial" w:eastAsia="Arial" w:hAnsi="Arial"/>
                <w:sz w:val="11"/>
                <w:szCs w:val="11"/>
                <w:color w:val="auto"/>
              </w:rPr>
              <w:t>90.0%</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91.2%</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79.4%</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81.5%</w:t>
            </w:r>
          </w:p>
        </w:tc>
        <w:tc>
          <w:tcPr>
            <w:tcW w:w="1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88.9%</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6" w:lineRule="exact"/>
        <w:rPr>
          <w:sz w:val="20"/>
          <w:szCs w:val="20"/>
          <w:color w:val="auto"/>
        </w:rPr>
      </w:pPr>
    </w:p>
    <w:p>
      <w:pPr>
        <w:ind w:left="260" w:hanging="254"/>
        <w:spacing w:after="0"/>
        <w:tabs>
          <w:tab w:leader="none" w:pos="260" w:val="left"/>
        </w:tabs>
        <w:numPr>
          <w:ilvl w:val="0"/>
          <w:numId w:val="35"/>
        </w:numPr>
        <w:rPr>
          <w:rFonts w:ascii="Arial" w:cs="Arial" w:eastAsia="Arial" w:hAnsi="Arial"/>
          <w:sz w:val="11"/>
          <w:szCs w:val="11"/>
          <w:b w:val="1"/>
          <w:bCs w:val="1"/>
          <w:color w:val="auto"/>
        </w:rPr>
      </w:pPr>
      <w:r>
        <w:rPr>
          <w:rFonts w:ascii="Arial" w:cs="Arial" w:eastAsia="Arial" w:hAnsi="Arial"/>
          <w:sz w:val="11"/>
          <w:szCs w:val="11"/>
          <w:color w:val="auto"/>
        </w:rPr>
        <w:t>Total includes office, retail and residential. See Residential Statistics below.</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RESIDENTIAL STATISTICS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rPr>
              <w:t>Vornado's Ownership Interest</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040" w:type="dxa"/>
            <w:vAlign w:val="bottom"/>
          </w:tcPr>
          <w:p>
            <w:pPr>
              <w:spacing w:after="0"/>
              <w:rPr>
                <w:sz w:val="9"/>
                <w:szCs w:val="9"/>
                <w:color w:val="auto"/>
              </w:rPr>
            </w:pP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Number of Units</w:t>
            </w:r>
          </w:p>
        </w:tc>
        <w:tc>
          <w:tcPr>
            <w:tcW w:w="1100" w:type="dxa"/>
            <w:vAlign w:val="bottom"/>
            <w:vMerge w:val="restart"/>
          </w:tcPr>
          <w:p>
            <w:pPr>
              <w:jc w:val="center"/>
              <w:ind w:left="103"/>
              <w:spacing w:after="0"/>
              <w:rPr>
                <w:sz w:val="20"/>
                <w:szCs w:val="20"/>
                <w:color w:val="auto"/>
              </w:rPr>
            </w:pPr>
            <w:r>
              <w:rPr>
                <w:rFonts w:ascii="Arial" w:cs="Arial" w:eastAsia="Arial" w:hAnsi="Arial"/>
                <w:sz w:val="11"/>
                <w:szCs w:val="11"/>
                <w:b w:val="1"/>
                <w:bCs w:val="1"/>
                <w:color w:val="auto"/>
              </w:rPr>
              <w:t>Number of Units</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rPr>
              <w:t>Occupancy Rate</w:t>
            </w:r>
          </w:p>
        </w:tc>
        <w:tc>
          <w:tcPr>
            <w:tcW w:w="1120" w:type="dxa"/>
            <w:vAlign w:val="bottom"/>
          </w:tcPr>
          <w:p>
            <w:pPr>
              <w:jc w:val="center"/>
              <w:ind w:right="63"/>
              <w:spacing w:after="0" w:line="110" w:lineRule="exact"/>
              <w:rPr>
                <w:sz w:val="20"/>
                <w:szCs w:val="20"/>
                <w:color w:val="auto"/>
              </w:rPr>
            </w:pPr>
            <w:r>
              <w:rPr>
                <w:rFonts w:ascii="Arial" w:cs="Arial" w:eastAsia="Arial" w:hAnsi="Arial"/>
                <w:sz w:val="11"/>
                <w:szCs w:val="11"/>
                <w:b w:val="1"/>
                <w:bCs w:val="1"/>
                <w:color w:val="auto"/>
              </w:rPr>
              <w:t>Average Monthly</w:t>
            </w:r>
          </w:p>
        </w:tc>
        <w:tc>
          <w:tcPr>
            <w:tcW w:w="0" w:type="dxa"/>
            <w:vAlign w:val="bottom"/>
          </w:tcPr>
          <w:p>
            <w:pPr>
              <w:spacing w:after="0"/>
              <w:rPr>
                <w:sz w:val="1"/>
                <w:szCs w:val="1"/>
                <w:color w:val="auto"/>
              </w:rPr>
            </w:pPr>
          </w:p>
        </w:tc>
      </w:tr>
      <w:tr>
        <w:trPr>
          <w:trHeight w:val="151"/>
        </w:trPr>
        <w:tc>
          <w:tcPr>
            <w:tcW w:w="60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120" w:type="dxa"/>
            <w:vAlign w:val="bottom"/>
          </w:tcPr>
          <w:p>
            <w:pPr>
              <w:jc w:val="center"/>
              <w:ind w:right="83"/>
              <w:spacing w:after="0"/>
              <w:rPr>
                <w:sz w:val="20"/>
                <w:szCs w:val="20"/>
                <w:color w:val="auto"/>
              </w:rPr>
            </w:pPr>
            <w:r>
              <w:rPr>
                <w:rFonts w:ascii="Arial" w:cs="Arial" w:eastAsia="Arial" w:hAnsi="Arial"/>
                <w:sz w:val="11"/>
                <w:szCs w:val="11"/>
                <w:b w:val="1"/>
                <w:bCs w:val="1"/>
                <w:color w:val="auto"/>
              </w:rPr>
              <w:t>Rent Per Unit</w:t>
            </w:r>
          </w:p>
        </w:tc>
        <w:tc>
          <w:tcPr>
            <w:tcW w:w="0" w:type="dxa"/>
            <w:vAlign w:val="bottom"/>
          </w:tcPr>
          <w:p>
            <w:pPr>
              <w:spacing w:after="0"/>
              <w:rPr>
                <w:sz w:val="1"/>
                <w:szCs w:val="1"/>
                <w:color w:val="auto"/>
              </w:rPr>
            </w:pPr>
          </w:p>
        </w:tc>
      </w:tr>
      <w:tr>
        <w:trPr>
          <w:trHeight w:val="141"/>
        </w:trPr>
        <w:tc>
          <w:tcPr>
            <w:tcW w:w="6040" w:type="dxa"/>
            <w:vAlign w:val="bottom"/>
          </w:tcPr>
          <w:p>
            <w:pPr>
              <w:ind w:left="20"/>
              <w:spacing w:after="0"/>
              <w:rPr>
                <w:sz w:val="20"/>
                <w:szCs w:val="20"/>
                <w:color w:val="auto"/>
              </w:rPr>
            </w:pPr>
            <w:r>
              <w:rPr>
                <w:rFonts w:ascii="Arial" w:cs="Arial" w:eastAsia="Arial" w:hAnsi="Arial"/>
                <w:sz w:val="11"/>
                <w:szCs w:val="11"/>
                <w:b w:val="1"/>
                <w:bCs w:val="1"/>
                <w:color w:val="auto"/>
              </w:rPr>
              <w:t>New York:</w:t>
            </w:r>
          </w:p>
        </w:tc>
        <w:tc>
          <w:tcPr>
            <w:tcW w:w="1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CEEFF"/>
          </w:tcPr>
          <w:p>
            <w:pPr>
              <w:ind w:left="540"/>
              <w:spacing w:after="0"/>
              <w:rPr>
                <w:sz w:val="20"/>
                <w:szCs w:val="20"/>
                <w:color w:val="auto"/>
              </w:rPr>
            </w:pPr>
            <w:r>
              <w:rPr>
                <w:rFonts w:ascii="Arial" w:cs="Arial" w:eastAsia="Arial" w:hAnsi="Arial"/>
                <w:sz w:val="11"/>
                <w:szCs w:val="11"/>
                <w:color w:val="auto"/>
              </w:rPr>
              <w:t>September 30, 2026</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1,640</w:t>
            </w: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rPr>
              <w:t>766</w:t>
            </w:r>
          </w:p>
        </w:tc>
        <w:tc>
          <w:tcPr>
            <w:tcW w:w="1480" w:type="dxa"/>
            <w:vAlign w:val="bottom"/>
            <w:gridSpan w:val="3"/>
            <w:shd w:val="clear" w:color="auto" w:fill="CCEEFF"/>
          </w:tcPr>
          <w:p>
            <w:pPr>
              <w:jc w:val="center"/>
              <w:ind w:left="183"/>
              <w:spacing w:after="0"/>
              <w:rPr>
                <w:sz w:val="20"/>
                <w:szCs w:val="20"/>
                <w:color w:val="auto"/>
              </w:rPr>
            </w:pPr>
            <w:r>
              <w:rPr>
                <w:rFonts w:ascii="Arial" w:cs="Arial" w:eastAsia="Arial" w:hAnsi="Arial"/>
                <w:sz w:val="11"/>
                <w:szCs w:val="11"/>
                <w:color w:val="auto"/>
              </w:rPr>
              <w:t>97.8%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83"/>
              <w:spacing w:after="0"/>
              <w:rPr>
                <w:sz w:val="20"/>
                <w:szCs w:val="20"/>
                <w:color w:val="auto"/>
              </w:rPr>
            </w:pPr>
            <w:r>
              <w:rPr>
                <w:rFonts w:ascii="Arial" w:cs="Arial" w:eastAsia="Arial" w:hAnsi="Arial"/>
                <w:sz w:val="11"/>
                <w:szCs w:val="11"/>
                <w:color w:val="auto"/>
              </w:rPr>
              <w:t>$5,287</w:t>
            </w:r>
          </w:p>
        </w:tc>
        <w:tc>
          <w:tcPr>
            <w:tcW w:w="0" w:type="dxa"/>
            <w:vAlign w:val="bottom"/>
          </w:tcPr>
          <w:p>
            <w:pPr>
              <w:spacing w:after="0"/>
              <w:rPr>
                <w:sz w:val="1"/>
                <w:szCs w:val="1"/>
                <w:color w:val="auto"/>
              </w:rPr>
            </w:pPr>
          </w:p>
        </w:tc>
      </w:tr>
      <w:tr>
        <w:trPr>
          <w:trHeight w:val="158"/>
        </w:trPr>
        <w:tc>
          <w:tcPr>
            <w:tcW w:w="6040" w:type="dxa"/>
            <w:vAlign w:val="bottom"/>
          </w:tcPr>
          <w:p>
            <w:pPr>
              <w:ind w:left="540"/>
              <w:spacing w:after="0"/>
              <w:rPr>
                <w:sz w:val="20"/>
                <w:szCs w:val="20"/>
                <w:color w:val="auto"/>
              </w:rPr>
            </w:pPr>
            <w:r>
              <w:rPr>
                <w:rFonts w:ascii="Arial" w:cs="Arial" w:eastAsia="Arial" w:hAnsi="Arial"/>
                <w:sz w:val="11"/>
                <w:szCs w:val="11"/>
                <w:color w:val="auto"/>
              </w:rPr>
              <w:t>June 30, 2026</w:t>
            </w:r>
          </w:p>
        </w:tc>
        <w:tc>
          <w:tcPr>
            <w:tcW w:w="1260" w:type="dxa"/>
            <w:vAlign w:val="bottom"/>
          </w:tcPr>
          <w:p>
            <w:pPr>
              <w:jc w:val="center"/>
              <w:spacing w:after="0"/>
              <w:rPr>
                <w:sz w:val="20"/>
                <w:szCs w:val="20"/>
                <w:color w:val="auto"/>
              </w:rPr>
            </w:pPr>
            <w:r>
              <w:rPr>
                <w:rFonts w:ascii="Arial" w:cs="Arial" w:eastAsia="Arial" w:hAnsi="Arial"/>
                <w:sz w:val="11"/>
                <w:szCs w:val="11"/>
                <w:color w:val="auto"/>
              </w:rPr>
              <w:t>1,640</w:t>
            </w:r>
          </w:p>
        </w:tc>
        <w:tc>
          <w:tcPr>
            <w:tcW w:w="60" w:type="dxa"/>
            <w:vAlign w:val="bottom"/>
          </w:tcPr>
          <w:p>
            <w:pPr>
              <w:spacing w:after="0"/>
              <w:rPr>
                <w:sz w:val="13"/>
                <w:szCs w:val="13"/>
                <w:color w:val="auto"/>
              </w:rPr>
            </w:pPr>
          </w:p>
        </w:tc>
        <w:tc>
          <w:tcPr>
            <w:tcW w:w="1100" w:type="dxa"/>
            <w:vAlign w:val="bottom"/>
          </w:tcPr>
          <w:p>
            <w:pPr>
              <w:jc w:val="center"/>
              <w:ind w:left="83"/>
              <w:spacing w:after="0"/>
              <w:rPr>
                <w:sz w:val="20"/>
                <w:szCs w:val="20"/>
                <w:color w:val="auto"/>
              </w:rPr>
            </w:pPr>
            <w:r>
              <w:rPr>
                <w:rFonts w:ascii="Arial" w:cs="Arial" w:eastAsia="Arial" w:hAnsi="Arial"/>
                <w:sz w:val="11"/>
                <w:szCs w:val="11"/>
                <w:color w:val="auto"/>
              </w:rPr>
              <w:t>766</w:t>
            </w:r>
          </w:p>
        </w:tc>
        <w:tc>
          <w:tcPr>
            <w:tcW w:w="1480" w:type="dxa"/>
            <w:vAlign w:val="bottom"/>
            <w:gridSpan w:val="3"/>
          </w:tcPr>
          <w:p>
            <w:pPr>
              <w:jc w:val="center"/>
              <w:ind w:left="183"/>
              <w:spacing w:after="0"/>
              <w:rPr>
                <w:sz w:val="20"/>
                <w:szCs w:val="20"/>
                <w:color w:val="auto"/>
              </w:rPr>
            </w:pPr>
            <w:r>
              <w:rPr>
                <w:rFonts w:ascii="Arial" w:cs="Arial" w:eastAsia="Arial" w:hAnsi="Arial"/>
                <w:sz w:val="11"/>
                <w:szCs w:val="11"/>
                <w:color w:val="auto"/>
              </w:rPr>
              <w:t>97.2%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83"/>
              <w:spacing w:after="0"/>
              <w:rPr>
                <w:sz w:val="20"/>
                <w:szCs w:val="20"/>
                <w:color w:val="auto"/>
              </w:rPr>
            </w:pPr>
            <w:r>
              <w:rPr>
                <w:rFonts w:ascii="Arial" w:cs="Arial" w:eastAsia="Arial" w:hAnsi="Arial"/>
                <w:sz w:val="11"/>
                <w:szCs w:val="11"/>
                <w:color w:val="auto"/>
              </w:rPr>
              <w:t>5,197</w:t>
            </w:r>
          </w:p>
        </w:tc>
        <w:tc>
          <w:tcPr>
            <w:tcW w:w="0" w:type="dxa"/>
            <w:vAlign w:val="bottom"/>
          </w:tcPr>
          <w:p>
            <w:pPr>
              <w:spacing w:after="0"/>
              <w:rPr>
                <w:sz w:val="1"/>
                <w:szCs w:val="1"/>
                <w:color w:val="auto"/>
              </w:rPr>
            </w:pPr>
          </w:p>
        </w:tc>
      </w:tr>
      <w:tr>
        <w:trPr>
          <w:trHeight w:val="165"/>
        </w:trPr>
        <w:tc>
          <w:tcPr>
            <w:tcW w:w="6040" w:type="dxa"/>
            <w:vAlign w:val="bottom"/>
            <w:shd w:val="clear" w:color="auto" w:fill="CCEEFF"/>
          </w:tcPr>
          <w:p>
            <w:pPr>
              <w:ind w:left="540"/>
              <w:spacing w:after="0"/>
              <w:rPr>
                <w:sz w:val="20"/>
                <w:szCs w:val="20"/>
                <w:color w:val="auto"/>
              </w:rPr>
            </w:pPr>
            <w:r>
              <w:rPr>
                <w:rFonts w:ascii="Arial" w:cs="Arial" w:eastAsia="Arial" w:hAnsi="Arial"/>
                <w:sz w:val="11"/>
                <w:szCs w:val="11"/>
                <w:color w:val="auto"/>
              </w:rPr>
              <w:t>March 31, 2026</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1,640</w:t>
            </w: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left="83"/>
              <w:spacing w:after="0"/>
              <w:rPr>
                <w:sz w:val="20"/>
                <w:szCs w:val="20"/>
                <w:color w:val="auto"/>
              </w:rPr>
            </w:pPr>
            <w:r>
              <w:rPr>
                <w:rFonts w:ascii="Arial" w:cs="Arial" w:eastAsia="Arial" w:hAnsi="Arial"/>
                <w:sz w:val="11"/>
                <w:szCs w:val="11"/>
                <w:color w:val="auto"/>
              </w:rPr>
              <w:t>766</w:t>
            </w:r>
          </w:p>
        </w:tc>
        <w:tc>
          <w:tcPr>
            <w:tcW w:w="1480" w:type="dxa"/>
            <w:vAlign w:val="bottom"/>
            <w:gridSpan w:val="3"/>
            <w:shd w:val="clear" w:color="auto" w:fill="CCEEFF"/>
          </w:tcPr>
          <w:p>
            <w:pPr>
              <w:jc w:val="center"/>
              <w:ind w:left="183"/>
              <w:spacing w:after="0"/>
              <w:rPr>
                <w:sz w:val="20"/>
                <w:szCs w:val="20"/>
                <w:color w:val="auto"/>
              </w:rPr>
            </w:pPr>
            <w:r>
              <w:rPr>
                <w:rFonts w:ascii="Arial" w:cs="Arial" w:eastAsia="Arial" w:hAnsi="Arial"/>
                <w:sz w:val="11"/>
                <w:szCs w:val="11"/>
                <w:color w:val="auto"/>
              </w:rPr>
              <w:t>96.5%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83"/>
              <w:spacing w:after="0"/>
              <w:rPr>
                <w:sz w:val="20"/>
                <w:szCs w:val="20"/>
                <w:color w:val="auto"/>
              </w:rPr>
            </w:pPr>
            <w:r>
              <w:rPr>
                <w:rFonts w:ascii="Arial" w:cs="Arial" w:eastAsia="Arial" w:hAnsi="Arial"/>
                <w:sz w:val="11"/>
                <w:szCs w:val="11"/>
                <w:color w:val="auto"/>
              </w:rPr>
              <w:t>5,096</w:t>
            </w:r>
          </w:p>
        </w:tc>
        <w:tc>
          <w:tcPr>
            <w:tcW w:w="0" w:type="dxa"/>
            <w:vAlign w:val="bottom"/>
          </w:tcPr>
          <w:p>
            <w:pPr>
              <w:spacing w:after="0"/>
              <w:rPr>
                <w:sz w:val="1"/>
                <w:szCs w:val="1"/>
                <w:color w:val="auto"/>
              </w:rPr>
            </w:pPr>
          </w:p>
        </w:tc>
      </w:tr>
      <w:tr>
        <w:trPr>
          <w:trHeight w:val="154"/>
        </w:trPr>
        <w:tc>
          <w:tcPr>
            <w:tcW w:w="6040" w:type="dxa"/>
            <w:vAlign w:val="bottom"/>
          </w:tcPr>
          <w:p>
            <w:pPr>
              <w:ind w:left="540"/>
              <w:spacing w:after="0"/>
              <w:rPr>
                <w:sz w:val="20"/>
                <w:szCs w:val="20"/>
                <w:color w:val="auto"/>
              </w:rPr>
            </w:pPr>
            <w:r>
              <w:rPr>
                <w:rFonts w:ascii="Arial" w:cs="Arial" w:eastAsia="Arial" w:hAnsi="Arial"/>
                <w:sz w:val="11"/>
                <w:szCs w:val="11"/>
                <w:color w:val="auto"/>
              </w:rPr>
              <w:t>December 31, 2025</w:t>
            </w:r>
          </w:p>
        </w:tc>
        <w:tc>
          <w:tcPr>
            <w:tcW w:w="1260" w:type="dxa"/>
            <w:vAlign w:val="bottom"/>
          </w:tcPr>
          <w:p>
            <w:pPr>
              <w:jc w:val="center"/>
              <w:spacing w:after="0"/>
              <w:rPr>
                <w:sz w:val="20"/>
                <w:szCs w:val="20"/>
                <w:color w:val="auto"/>
              </w:rPr>
            </w:pPr>
            <w:r>
              <w:rPr>
                <w:rFonts w:ascii="Arial" w:cs="Arial" w:eastAsia="Arial" w:hAnsi="Arial"/>
                <w:sz w:val="11"/>
                <w:szCs w:val="11"/>
                <w:color w:val="auto"/>
              </w:rPr>
              <w:t>1,643</w:t>
            </w:r>
          </w:p>
        </w:tc>
        <w:tc>
          <w:tcPr>
            <w:tcW w:w="60" w:type="dxa"/>
            <w:vAlign w:val="bottom"/>
          </w:tcPr>
          <w:p>
            <w:pPr>
              <w:spacing w:after="0"/>
              <w:rPr>
                <w:sz w:val="13"/>
                <w:szCs w:val="13"/>
                <w:color w:val="auto"/>
              </w:rPr>
            </w:pPr>
          </w:p>
        </w:tc>
        <w:tc>
          <w:tcPr>
            <w:tcW w:w="1100" w:type="dxa"/>
            <w:vAlign w:val="bottom"/>
          </w:tcPr>
          <w:p>
            <w:pPr>
              <w:jc w:val="center"/>
              <w:ind w:left="83"/>
              <w:spacing w:after="0"/>
              <w:rPr>
                <w:sz w:val="20"/>
                <w:szCs w:val="20"/>
                <w:color w:val="auto"/>
              </w:rPr>
            </w:pPr>
            <w:r>
              <w:rPr>
                <w:rFonts w:ascii="Arial" w:cs="Arial" w:eastAsia="Arial" w:hAnsi="Arial"/>
                <w:sz w:val="11"/>
                <w:szCs w:val="11"/>
                <w:color w:val="auto"/>
              </w:rPr>
              <w:t>769</w:t>
            </w:r>
          </w:p>
        </w:tc>
        <w:tc>
          <w:tcPr>
            <w:tcW w:w="1480" w:type="dxa"/>
            <w:vAlign w:val="bottom"/>
            <w:gridSpan w:val="3"/>
          </w:tcPr>
          <w:p>
            <w:pPr>
              <w:jc w:val="center"/>
              <w:ind w:left="183"/>
              <w:spacing w:after="0"/>
              <w:rPr>
                <w:sz w:val="20"/>
                <w:szCs w:val="20"/>
                <w:color w:val="auto"/>
              </w:rPr>
            </w:pPr>
            <w:r>
              <w:rPr>
                <w:rFonts w:ascii="Arial" w:cs="Arial" w:eastAsia="Arial" w:hAnsi="Arial"/>
                <w:sz w:val="11"/>
                <w:szCs w:val="11"/>
                <w:color w:val="auto"/>
              </w:rPr>
              <w:t>95.5%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83"/>
              <w:spacing w:after="0"/>
              <w:rPr>
                <w:sz w:val="20"/>
                <w:szCs w:val="20"/>
                <w:color w:val="auto"/>
              </w:rPr>
            </w:pPr>
            <w:r>
              <w:rPr>
                <w:rFonts w:ascii="Arial" w:cs="Arial" w:eastAsia="Arial" w:hAnsi="Arial"/>
                <w:sz w:val="11"/>
                <w:szCs w:val="11"/>
                <w:color w:val="auto"/>
              </w:rPr>
              <w:t>5,051</w:t>
            </w: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- 33 -</w:t>
      </w:r>
    </w:p>
    <w:p>
      <w:pPr>
        <w:sectPr>
          <w:pgSz w:w="11900" w:h="16838" w:orient="portrait"/>
          <w:cols w:equalWidth="0" w:num="1">
            <w:col w:w="11280"/>
          </w:cols>
          <w:pgMar w:left="300" w:top="981" w:right="319" w:bottom="1440" w:gutter="0" w:footer="0" w:header="0"/>
        </w:sectPr>
      </w:pPr>
    </w:p>
    <w:bookmarkStart w:id="54" w:name="page55"/>
    <w:bookmarkEnd w:id="54"/>
    <w:p>
      <w:pPr>
        <w:ind w:left="8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GROUND LEASES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22860</wp:posOffset>
            </wp:positionV>
            <wp:extent cx="709168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1680" cy="6985"/>
                    </a:xfrm>
                    <a:prstGeom prst="rect">
                      <a:avLst/>
                    </a:prstGeom>
                    <a:noFill/>
                  </pic:spPr>
                </pic:pic>
              </a:graphicData>
            </a:graphic>
          </wp:anchor>
        </w:drawing>
      </w:r>
    </w:p>
    <w:p>
      <w:pPr>
        <w:sectPr>
          <w:pgSz w:w="11900" w:h="16838" w:orient="portrait"/>
          <w:cols w:equalWidth="0" w:num="1">
            <w:col w:w="11280"/>
          </w:cols>
          <w:pgMar w:left="300" w:top="981" w:right="319" w:bottom="1440" w:gutter="0" w:footer="0" w:header="0"/>
        </w:sectPr>
      </w:pPr>
    </w:p>
    <w:p>
      <w:pPr>
        <w:spacing w:after="0" w:line="52" w:lineRule="exact"/>
        <w:rPr>
          <w:sz w:val="20"/>
          <w:szCs w:val="20"/>
          <w:color w:val="auto"/>
        </w:rPr>
      </w:pPr>
    </w:p>
    <w:p>
      <w:pPr>
        <w:ind w:left="80"/>
        <w:spacing w:after="0"/>
        <w:rPr>
          <w:sz w:val="20"/>
          <w:szCs w:val="20"/>
          <w:color w:val="auto"/>
        </w:rPr>
      </w:pPr>
      <w:r>
        <w:rPr>
          <w:rFonts w:ascii="Arial" w:cs="Arial" w:eastAsia="Arial" w:hAnsi="Arial"/>
          <w:sz w:val="11"/>
          <w:szCs w:val="11"/>
          <w:color w:val="auto"/>
        </w:rPr>
        <w:t>(Amounts in thousands, except square feet)</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11"/>
          <w:szCs w:val="11"/>
          <w:b w:val="1"/>
          <w:b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20320</wp:posOffset>
            </wp:positionV>
            <wp:extent cx="131889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18895" cy="6985"/>
                    </a:xfrm>
                    <a:prstGeom prst="rect">
                      <a:avLst/>
                    </a:prstGeom>
                    <a:noFill/>
                  </pic:spPr>
                </pic:pic>
              </a:graphicData>
            </a:graphic>
          </wp:anchor>
        </w:drawing>
      </w:r>
    </w:p>
    <w:p>
      <w:pPr>
        <w:spacing w:after="0" w:line="26"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Consolidated: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1"/>
          <w:szCs w:val="11"/>
          <w:b w:val="1"/>
          <w:bCs w:val="1"/>
          <w:color w:val="auto"/>
        </w:rPr>
        <w:t>New York:</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Farley Building (95% interest)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PENN 1:</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Land</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1"/>
          <w:szCs w:val="11"/>
          <w:color w:val="auto"/>
        </w:rPr>
        <w:t>Long Island Railroad Concourse</w:t>
      </w:r>
    </w:p>
    <w:p>
      <w:pPr>
        <w:ind w:left="420"/>
        <w:spacing w:after="0"/>
        <w:rPr>
          <w:sz w:val="20"/>
          <w:szCs w:val="20"/>
          <w:color w:val="auto"/>
        </w:rPr>
      </w:pPr>
      <w:r>
        <w:rPr>
          <w:rFonts w:ascii="Arial" w:cs="Arial" w:eastAsia="Arial" w:hAnsi="Arial"/>
          <w:sz w:val="11"/>
          <w:szCs w:val="11"/>
          <w:color w:val="auto"/>
        </w:rPr>
        <w:t>Retail</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Current Annual</w:t>
            </w:r>
          </w:p>
        </w:tc>
        <w:tc>
          <w:tcPr>
            <w:tcW w:w="10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Next Option</w:t>
            </w: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Fully Extended</w:t>
            </w:r>
          </w:p>
        </w:tc>
        <w:tc>
          <w:tcPr>
            <w:tcW w:w="5620" w:type="dxa"/>
            <w:vAlign w:val="bottom"/>
            <w:vMerge w:val="restart"/>
          </w:tcPr>
          <w:p>
            <w:pPr>
              <w:ind w:left="1780"/>
              <w:spacing w:after="0"/>
              <w:rPr>
                <w:sz w:val="20"/>
                <w:szCs w:val="20"/>
                <w:color w:val="auto"/>
              </w:rPr>
            </w:pPr>
            <w:r>
              <w:rPr>
                <w:rFonts w:ascii="Arial" w:cs="Arial" w:eastAsia="Arial" w:hAnsi="Arial"/>
                <w:sz w:val="11"/>
                <w:szCs w:val="11"/>
                <w:b w:val="1"/>
                <w:bCs w:val="1"/>
                <w:color w:val="auto"/>
              </w:rPr>
              <w:t>Rent Increases and Other Information</w:t>
            </w:r>
          </w:p>
        </w:tc>
        <w:tc>
          <w:tcPr>
            <w:tcW w:w="0" w:type="dxa"/>
            <w:vAlign w:val="bottom"/>
          </w:tcPr>
          <w:p>
            <w:pPr>
              <w:spacing w:after="0"/>
              <w:rPr>
                <w:sz w:val="1"/>
                <w:szCs w:val="1"/>
                <w:color w:val="auto"/>
              </w:rPr>
            </w:pPr>
          </w:p>
        </w:tc>
      </w:tr>
      <w:tr>
        <w:trPr>
          <w:trHeight w:val="148"/>
        </w:trPr>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Rent at Share</w:t>
            </w:r>
          </w:p>
        </w:tc>
        <w:tc>
          <w:tcPr>
            <w:tcW w:w="28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Renewal Date</w:t>
            </w:r>
          </w:p>
        </w:tc>
        <w:tc>
          <w:tcPr>
            <w:tcW w:w="8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Lease Expiration</w:t>
            </w:r>
          </w:p>
        </w:tc>
        <w:tc>
          <w:tcPr>
            <w:tcW w:w="100" w:type="dxa"/>
            <w:vAlign w:val="bottom"/>
          </w:tcPr>
          <w:p>
            <w:pPr>
              <w:spacing w:after="0"/>
              <w:rPr>
                <w:sz w:val="12"/>
                <w:szCs w:val="12"/>
                <w:color w:val="auto"/>
              </w:rPr>
            </w:pPr>
          </w:p>
        </w:tc>
        <w:tc>
          <w:tcPr>
            <w:tcW w:w="5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260" w:type="dxa"/>
            <w:vAlign w:val="bottom"/>
          </w:tcPr>
          <w:p>
            <w:pPr>
              <w:ind w:left="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4,750</w:t>
            </w:r>
          </w:p>
        </w:tc>
        <w:tc>
          <w:tcPr>
            <w:tcW w:w="280" w:type="dxa"/>
            <w:vAlign w:val="bottom"/>
          </w:tcPr>
          <w:p>
            <w:pPr>
              <w:spacing w:after="0"/>
              <w:rPr>
                <w:sz w:val="24"/>
                <w:szCs w:val="2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1"/>
                <w:szCs w:val="11"/>
                <w:color w:val="auto"/>
              </w:rPr>
              <w:t>None</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2116</w:t>
            </w: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1"/>
                <w:szCs w:val="11"/>
                <w:color w:val="auto"/>
              </w:rPr>
              <w:t>None.</w:t>
            </w:r>
          </w:p>
        </w:tc>
        <w:tc>
          <w:tcPr>
            <w:tcW w:w="0" w:type="dxa"/>
            <w:vAlign w:val="bottom"/>
          </w:tcPr>
          <w:p>
            <w:pPr>
              <w:spacing w:after="0"/>
              <w:rPr>
                <w:sz w:val="1"/>
                <w:szCs w:val="1"/>
                <w:color w:val="auto"/>
              </w:rPr>
            </w:pPr>
          </w:p>
        </w:tc>
      </w:tr>
      <w:tr>
        <w:trPr>
          <w:trHeight w:val="323"/>
        </w:trPr>
        <w:tc>
          <w:tcPr>
            <w:tcW w:w="260" w:type="dxa"/>
            <w:vAlign w:val="bottom"/>
          </w:tcPr>
          <w:p>
            <w:pPr>
              <w:spacing w:after="0"/>
              <w:rPr>
                <w:sz w:val="24"/>
                <w:szCs w:val="24"/>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15,000</w:t>
            </w:r>
          </w:p>
        </w:tc>
        <w:tc>
          <w:tcPr>
            <w:tcW w:w="280" w:type="dxa"/>
            <w:vAlign w:val="bottom"/>
          </w:tcPr>
          <w:p>
            <w:pPr>
              <w:jc w:val="right"/>
              <w:ind w:right="143"/>
              <w:spacing w:after="0"/>
              <w:rPr>
                <w:sz w:val="20"/>
                <w:szCs w:val="20"/>
                <w:color w:val="auto"/>
              </w:rPr>
            </w:pPr>
            <w:r>
              <w:rPr>
                <w:rFonts w:ascii="Arial" w:cs="Arial" w:eastAsia="Arial" w:hAnsi="Arial"/>
                <w:sz w:val="7"/>
                <w:szCs w:val="7"/>
                <w:b w:val="1"/>
                <w:bCs w:val="1"/>
                <w:color w:val="auto"/>
                <w:w w:val="92"/>
              </w:rPr>
              <w:t>(1)</w:t>
            </w:r>
          </w:p>
        </w:tc>
        <w:tc>
          <w:tcPr>
            <w:tcW w:w="940" w:type="dxa"/>
            <w:vAlign w:val="bottom"/>
          </w:tcPr>
          <w:p>
            <w:pPr>
              <w:jc w:val="center"/>
              <w:spacing w:after="0"/>
              <w:rPr>
                <w:sz w:val="20"/>
                <w:szCs w:val="20"/>
                <w:color w:val="auto"/>
              </w:rPr>
            </w:pPr>
            <w:r>
              <w:rPr>
                <w:rFonts w:ascii="Arial" w:cs="Arial" w:eastAsia="Arial" w:hAnsi="Arial"/>
                <w:sz w:val="11"/>
                <w:szCs w:val="11"/>
                <w:color w:val="auto"/>
              </w:rPr>
              <w:t>2073</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2098</w:t>
            </w: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1"/>
                <w:szCs w:val="11"/>
                <w:color w:val="auto"/>
              </w:rPr>
              <w:t>Rent will reset to fair market value (“FMV”) in 2048. One additional 25-year renewal option at FMV.</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1,379</w:t>
            </w:r>
          </w:p>
        </w:tc>
        <w:tc>
          <w:tcPr>
            <w:tcW w:w="28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rPr>
              <w:t>2048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2098</w:t>
            </w:r>
          </w:p>
        </w:tc>
        <w:tc>
          <w:tcPr>
            <w:tcW w:w="100" w:type="dxa"/>
            <w:vAlign w:val="bottom"/>
          </w:tcPr>
          <w:p>
            <w:pPr>
              <w:spacing w:after="0"/>
              <w:rPr>
                <w:sz w:val="12"/>
                <w:szCs w:val="12"/>
                <w:color w:val="auto"/>
              </w:rPr>
            </w:pPr>
          </w:p>
        </w:tc>
        <w:tc>
          <w:tcPr>
            <w:tcW w:w="5620" w:type="dxa"/>
            <w:vAlign w:val="bottom"/>
          </w:tcPr>
          <w:p>
            <w:pPr>
              <w:ind w:left="20"/>
              <w:spacing w:after="0"/>
              <w:rPr>
                <w:sz w:val="20"/>
                <w:szCs w:val="20"/>
                <w:color w:val="auto"/>
              </w:rPr>
            </w:pPr>
            <w:r>
              <w:rPr>
                <w:rFonts w:ascii="Arial" w:cs="Arial" w:eastAsia="Arial" w:hAnsi="Arial"/>
                <w:sz w:val="11"/>
                <w:szCs w:val="11"/>
                <w:color w:val="auto"/>
              </w:rPr>
              <w:t>Two 25-year renewal options. Base rent increases every 10 years, with the next rent increase in 2028, based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-391160</wp:posOffset>
            </wp:positionV>
            <wp:extent cx="7091680" cy="102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1680" cy="102235"/>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-186055</wp:posOffset>
            </wp:positionV>
            <wp:extent cx="7091680" cy="102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1680" cy="102235"/>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-603250</wp:posOffset>
            </wp:positionV>
            <wp:extent cx="75819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58190" cy="6985"/>
                    </a:xfrm>
                    <a:prstGeom prst="rect">
                      <a:avLst/>
                    </a:prstGeom>
                    <a:noFill/>
                  </pic:spPr>
                </pic:pic>
              </a:graphicData>
            </a:graphic>
          </wp:anchor>
        </w:drawing>
      </w:r>
    </w:p>
    <w:p>
      <w:pPr>
        <w:ind w:left="3200" w:right="60"/>
        <w:spacing w:after="0" w:line="214" w:lineRule="auto"/>
        <w:rPr>
          <w:sz w:val="20"/>
          <w:szCs w:val="20"/>
          <w:color w:val="auto"/>
        </w:rPr>
      </w:pPr>
      <w:r>
        <w:rPr>
          <w:rFonts w:ascii="Arial" w:cs="Arial" w:eastAsia="Arial" w:hAnsi="Arial"/>
          <w:sz w:val="11"/>
          <w:szCs w:val="11"/>
          <w:color w:val="auto"/>
        </w:rPr>
        <w:t>on the increase in gross income reduced by the increase in real estate taxes and operating expenses. In addition, percentage rent is payable based on gross annual income above a specified threshold. Base and</w:t>
      </w:r>
    </w:p>
    <w:p>
      <w:pPr>
        <w:ind w:left="3200" w:right="80"/>
        <w:spacing w:after="0" w:line="241" w:lineRule="auto"/>
        <w:rPr>
          <w:sz w:val="20"/>
          <w:szCs w:val="20"/>
          <w:color w:val="auto"/>
        </w:rPr>
      </w:pPr>
      <w:r>
        <w:rPr>
          <w:rFonts w:ascii="Arial" w:cs="Arial" w:eastAsia="Arial" w:hAnsi="Arial"/>
          <w:sz w:val="11"/>
          <w:szCs w:val="11"/>
          <w:color w:val="auto"/>
        </w:rPr>
        <w:t>percentage rent are reduced by a rent credit calculated as a percentage of development costs funded by Vornado.</w:t>
      </w:r>
    </w:p>
    <w:p>
      <w:pPr>
        <w:spacing w:after="0" w:line="124" w:lineRule="exact"/>
        <w:rPr>
          <w:sz w:val="20"/>
          <w:szCs w:val="20"/>
          <w:color w:val="auto"/>
        </w:rPr>
      </w:pPr>
    </w:p>
    <w:p>
      <w:pPr>
        <w:sectPr>
          <w:pgSz w:w="11900" w:h="16838" w:orient="portrait"/>
          <w:cols w:equalWidth="0" w:num="2">
            <w:col w:w="2300" w:space="120"/>
            <w:col w:w="8860"/>
          </w:cols>
          <w:pgMar w:left="300" w:top="981" w:right="319" w:bottom="1440" w:gutter="0" w:footer="0" w:header="0"/>
          <w:type w:val="continuous"/>
        </w:sectPr>
      </w:pPr>
    </w:p>
    <w:tbl>
      <w:tblPr>
        <w:tblLayout w:type="fixed"/>
        <w:tblInd w:w="60" w:type="dxa"/>
        <w:tblCellMar>
          <w:top w:w="0" w:type="dxa"/>
          <w:left w:w="0" w:type="dxa"/>
          <w:bottom w:w="0" w:type="dxa"/>
          <w:right w:w="0" w:type="dxa"/>
        </w:tblCellMar>
      </w:tblPr>
      <w:tr>
        <w:trPr>
          <w:trHeight w:val="126"/>
        </w:trPr>
        <w:tc>
          <w:tcPr>
            <w:tcW w:w="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260</w:t>
            </w:r>
          </w:p>
        </w:tc>
        <w:tc>
          <w:tcPr>
            <w:tcW w:w="2040" w:type="dxa"/>
            <w:vAlign w:val="bottom"/>
            <w:shd w:val="clear" w:color="auto" w:fill="CCEEFF"/>
          </w:tcPr>
          <w:p>
            <w:pPr>
              <w:spacing w:after="0"/>
              <w:rPr>
                <w:sz w:val="20"/>
                <w:szCs w:val="20"/>
                <w:color w:val="auto"/>
              </w:rPr>
            </w:pPr>
            <w:r>
              <w:rPr>
                <w:rFonts w:ascii="Arial" w:cs="Arial" w:eastAsia="Arial" w:hAnsi="Arial"/>
                <w:sz w:val="11"/>
                <w:szCs w:val="11"/>
                <w:color w:val="auto"/>
              </w:rPr>
              <w:t>Eleventh Avenue</w:t>
            </w:r>
          </w:p>
        </w:tc>
        <w:tc>
          <w:tcPr>
            <w:tcW w:w="104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4,583</w:t>
            </w:r>
          </w:p>
        </w:tc>
        <w:tc>
          <w:tcPr>
            <w:tcW w:w="10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None</w:t>
            </w: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2114</w:t>
            </w:r>
          </w:p>
        </w:tc>
        <w:tc>
          <w:tcPr>
            <w:tcW w:w="58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Rent increases annually by the lesser of CPI or 1.5% compounded. We have a purchase option exercisable at</w:t>
            </w:r>
          </w:p>
        </w:tc>
      </w:tr>
      <w:tr>
        <w:trPr>
          <w:trHeight w:val="146"/>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 future date for $110,000 increased annually by the lesser of CPI or 1.5% compounded.</w:t>
            </w:r>
          </w:p>
        </w:tc>
      </w:tr>
      <w:tr>
        <w:trPr>
          <w:trHeight w:val="158"/>
        </w:trPr>
        <w:tc>
          <w:tcPr>
            <w:tcW w:w="360" w:type="dxa"/>
            <w:vAlign w:val="bottom"/>
          </w:tcPr>
          <w:p>
            <w:pPr>
              <w:ind w:left="140"/>
              <w:spacing w:after="0"/>
              <w:rPr>
                <w:sz w:val="20"/>
                <w:szCs w:val="20"/>
                <w:color w:val="auto"/>
              </w:rPr>
            </w:pPr>
            <w:r>
              <w:rPr>
                <w:rFonts w:ascii="Arial" w:cs="Arial" w:eastAsia="Arial" w:hAnsi="Arial"/>
                <w:sz w:val="11"/>
                <w:szCs w:val="11"/>
                <w:color w:val="auto"/>
              </w:rPr>
              <w:t>888</w:t>
            </w:r>
          </w:p>
        </w:tc>
        <w:tc>
          <w:tcPr>
            <w:tcW w:w="2040" w:type="dxa"/>
            <w:vAlign w:val="bottom"/>
          </w:tcPr>
          <w:p>
            <w:pPr>
              <w:spacing w:after="0"/>
              <w:rPr>
                <w:sz w:val="20"/>
                <w:szCs w:val="20"/>
                <w:color w:val="auto"/>
              </w:rPr>
            </w:pPr>
            <w:r>
              <w:rPr>
                <w:rFonts w:ascii="Arial" w:cs="Arial" w:eastAsia="Arial" w:hAnsi="Arial"/>
                <w:sz w:val="11"/>
                <w:szCs w:val="11"/>
                <w:color w:val="auto"/>
              </w:rPr>
              <w:t>Seventh Avenue</w:t>
            </w:r>
          </w:p>
        </w:tc>
        <w:tc>
          <w:tcPr>
            <w:tcW w:w="1040" w:type="dxa"/>
            <w:vAlign w:val="bottom"/>
          </w:tcPr>
          <w:p>
            <w:pPr>
              <w:jc w:val="right"/>
              <w:ind w:right="283"/>
              <w:spacing w:after="0"/>
              <w:rPr>
                <w:sz w:val="20"/>
                <w:szCs w:val="20"/>
                <w:color w:val="auto"/>
              </w:rPr>
            </w:pPr>
            <w:r>
              <w:rPr>
                <w:rFonts w:ascii="Arial" w:cs="Arial" w:eastAsia="Arial" w:hAnsi="Arial"/>
                <w:sz w:val="11"/>
                <w:szCs w:val="11"/>
                <w:color w:val="auto"/>
              </w:rPr>
              <w:t>3,350</w:t>
            </w:r>
          </w:p>
        </w:tc>
        <w:tc>
          <w:tcPr>
            <w:tcW w:w="1000" w:type="dxa"/>
            <w:vAlign w:val="bottom"/>
          </w:tcPr>
          <w:p>
            <w:pPr>
              <w:ind w:left="340"/>
              <w:spacing w:after="0"/>
              <w:rPr>
                <w:sz w:val="20"/>
                <w:szCs w:val="20"/>
                <w:color w:val="auto"/>
              </w:rPr>
            </w:pPr>
            <w:r>
              <w:rPr>
                <w:rFonts w:ascii="Arial" w:cs="Arial" w:eastAsia="Arial" w:hAnsi="Arial"/>
                <w:sz w:val="11"/>
                <w:szCs w:val="11"/>
                <w:color w:val="auto"/>
              </w:rPr>
              <w:t>2028</w:t>
            </w:r>
          </w:p>
        </w:tc>
        <w:tc>
          <w:tcPr>
            <w:tcW w:w="880" w:type="dxa"/>
            <w:vAlign w:val="bottom"/>
          </w:tcPr>
          <w:p>
            <w:pPr>
              <w:jc w:val="right"/>
              <w:ind w:right="183"/>
              <w:spacing w:after="0"/>
              <w:rPr>
                <w:sz w:val="20"/>
                <w:szCs w:val="20"/>
                <w:color w:val="auto"/>
              </w:rPr>
            </w:pPr>
            <w:r>
              <w:rPr>
                <w:rFonts w:ascii="Arial" w:cs="Arial" w:eastAsia="Arial" w:hAnsi="Arial"/>
                <w:sz w:val="11"/>
                <w:szCs w:val="11"/>
                <w:color w:val="auto"/>
              </w:rPr>
              <w:t>2067</w:t>
            </w:r>
          </w:p>
        </w:tc>
        <w:tc>
          <w:tcPr>
            <w:tcW w:w="5840" w:type="dxa"/>
            <w:vAlign w:val="bottom"/>
          </w:tcPr>
          <w:p>
            <w:pPr>
              <w:ind w:left="240"/>
              <w:spacing w:after="0"/>
              <w:rPr>
                <w:sz w:val="20"/>
                <w:szCs w:val="20"/>
                <w:color w:val="auto"/>
              </w:rPr>
            </w:pPr>
            <w:r>
              <w:rPr>
                <w:rFonts w:ascii="Arial" w:cs="Arial" w:eastAsia="Arial" w:hAnsi="Arial"/>
                <w:sz w:val="11"/>
                <w:szCs w:val="11"/>
                <w:color w:val="auto"/>
              </w:rPr>
              <w:t>Two 20-year renewal options at FMV.</w:t>
            </w:r>
          </w:p>
        </w:tc>
      </w:tr>
      <w:tr>
        <w:trPr>
          <w:trHeight w:val="126"/>
        </w:trPr>
        <w:tc>
          <w:tcPr>
            <w:tcW w:w="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330</w:t>
            </w:r>
          </w:p>
        </w:tc>
        <w:tc>
          <w:tcPr>
            <w:tcW w:w="2040" w:type="dxa"/>
            <w:vAlign w:val="bottom"/>
            <w:shd w:val="clear" w:color="auto" w:fill="CCEEFF"/>
          </w:tcPr>
          <w:p>
            <w:pPr>
              <w:spacing w:after="0"/>
              <w:rPr>
                <w:sz w:val="20"/>
                <w:szCs w:val="20"/>
                <w:color w:val="auto"/>
              </w:rPr>
            </w:pPr>
            <w:r>
              <w:rPr>
                <w:rFonts w:ascii="Arial" w:cs="Arial" w:eastAsia="Arial" w:hAnsi="Arial"/>
                <w:sz w:val="11"/>
                <w:szCs w:val="11"/>
                <w:color w:val="auto"/>
              </w:rPr>
              <w:t>West 34th Street -</w:t>
            </w:r>
          </w:p>
        </w:tc>
        <w:tc>
          <w:tcPr>
            <w:tcW w:w="104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10,265</w:t>
            </w:r>
          </w:p>
        </w:tc>
        <w:tc>
          <w:tcPr>
            <w:tcW w:w="10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2051</w:t>
            </w: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2149</w:t>
            </w:r>
          </w:p>
        </w:tc>
        <w:tc>
          <w:tcPr>
            <w:tcW w:w="58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Two 30-year and one 39-year renewal option at FMV.</w:t>
            </w:r>
          </w:p>
        </w:tc>
      </w:tr>
      <w:tr>
        <w:trPr>
          <w:trHeight w:val="146"/>
        </w:trPr>
        <w:tc>
          <w:tcPr>
            <w:tcW w:w="24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65.2% ground leased</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40" w:type="dxa"/>
            <w:vAlign w:val="bottom"/>
            <w:shd w:val="clear" w:color="auto" w:fill="CCEEFF"/>
          </w:tcPr>
          <w:p>
            <w:pPr>
              <w:spacing w:after="0"/>
              <w:rPr>
                <w:sz w:val="12"/>
                <w:szCs w:val="12"/>
                <w:color w:val="auto"/>
              </w:rPr>
            </w:pPr>
          </w:p>
        </w:tc>
      </w:tr>
      <w:tr>
        <w:trPr>
          <w:trHeight w:val="158"/>
        </w:trPr>
        <w:tc>
          <w:tcPr>
            <w:tcW w:w="360" w:type="dxa"/>
            <w:vAlign w:val="bottom"/>
          </w:tcPr>
          <w:p>
            <w:pPr>
              <w:ind w:left="140"/>
              <w:spacing w:after="0"/>
              <w:rPr>
                <w:sz w:val="20"/>
                <w:szCs w:val="20"/>
                <w:color w:val="auto"/>
              </w:rPr>
            </w:pPr>
            <w:r>
              <w:rPr>
                <w:rFonts w:ascii="Arial" w:cs="Arial" w:eastAsia="Arial" w:hAnsi="Arial"/>
                <w:sz w:val="11"/>
                <w:szCs w:val="11"/>
                <w:color w:val="auto"/>
              </w:rPr>
              <w:t>909</w:t>
            </w:r>
          </w:p>
        </w:tc>
        <w:tc>
          <w:tcPr>
            <w:tcW w:w="2040" w:type="dxa"/>
            <w:vAlign w:val="bottom"/>
          </w:tcPr>
          <w:p>
            <w:pPr>
              <w:spacing w:after="0"/>
              <w:rPr>
                <w:sz w:val="20"/>
                <w:szCs w:val="20"/>
                <w:color w:val="auto"/>
              </w:rPr>
            </w:pPr>
            <w:r>
              <w:rPr>
                <w:rFonts w:ascii="Arial" w:cs="Arial" w:eastAsia="Arial" w:hAnsi="Arial"/>
                <w:sz w:val="11"/>
                <w:szCs w:val="11"/>
                <w:color w:val="auto"/>
              </w:rPr>
              <w:t>Third Avenue</w:t>
            </w:r>
          </w:p>
        </w:tc>
        <w:tc>
          <w:tcPr>
            <w:tcW w:w="1040" w:type="dxa"/>
            <w:vAlign w:val="bottom"/>
          </w:tcPr>
          <w:p>
            <w:pPr>
              <w:jc w:val="right"/>
              <w:ind w:right="283"/>
              <w:spacing w:after="0"/>
              <w:rPr>
                <w:sz w:val="20"/>
                <w:szCs w:val="20"/>
                <w:color w:val="auto"/>
              </w:rPr>
            </w:pPr>
            <w:r>
              <w:rPr>
                <w:rFonts w:ascii="Arial" w:cs="Arial" w:eastAsia="Arial" w:hAnsi="Arial"/>
                <w:sz w:val="11"/>
                <w:szCs w:val="11"/>
                <w:color w:val="auto"/>
              </w:rPr>
              <w:t>1,600</w:t>
            </w:r>
          </w:p>
        </w:tc>
        <w:tc>
          <w:tcPr>
            <w:tcW w:w="1000" w:type="dxa"/>
            <w:vAlign w:val="bottom"/>
          </w:tcPr>
          <w:p>
            <w:pPr>
              <w:ind w:left="340"/>
              <w:spacing w:after="0"/>
              <w:rPr>
                <w:sz w:val="20"/>
                <w:szCs w:val="20"/>
                <w:color w:val="auto"/>
              </w:rPr>
            </w:pPr>
            <w:r>
              <w:rPr>
                <w:rFonts w:ascii="Arial" w:cs="Arial" w:eastAsia="Arial" w:hAnsi="Arial"/>
                <w:sz w:val="11"/>
                <w:szCs w:val="11"/>
                <w:color w:val="auto"/>
              </w:rPr>
              <w:t>2041</w:t>
            </w:r>
          </w:p>
        </w:tc>
        <w:tc>
          <w:tcPr>
            <w:tcW w:w="880" w:type="dxa"/>
            <w:vAlign w:val="bottom"/>
          </w:tcPr>
          <w:p>
            <w:pPr>
              <w:jc w:val="right"/>
              <w:ind w:right="183"/>
              <w:spacing w:after="0"/>
              <w:rPr>
                <w:sz w:val="20"/>
                <w:szCs w:val="20"/>
                <w:color w:val="auto"/>
              </w:rPr>
            </w:pPr>
            <w:r>
              <w:rPr>
                <w:rFonts w:ascii="Arial" w:cs="Arial" w:eastAsia="Arial" w:hAnsi="Arial"/>
                <w:sz w:val="11"/>
                <w:szCs w:val="11"/>
                <w:color w:val="auto"/>
              </w:rPr>
              <w:t>2063</w:t>
            </w:r>
          </w:p>
        </w:tc>
        <w:tc>
          <w:tcPr>
            <w:tcW w:w="5840" w:type="dxa"/>
            <w:vAlign w:val="bottom"/>
          </w:tcPr>
          <w:p>
            <w:pPr>
              <w:ind w:left="240"/>
              <w:spacing w:after="0"/>
              <w:rPr>
                <w:sz w:val="20"/>
                <w:szCs w:val="20"/>
                <w:color w:val="auto"/>
              </w:rPr>
            </w:pPr>
            <w:r>
              <w:rPr>
                <w:rFonts w:ascii="Arial" w:cs="Arial" w:eastAsia="Arial" w:hAnsi="Arial"/>
                <w:sz w:val="11"/>
                <w:szCs w:val="11"/>
                <w:color w:val="auto"/>
              </w:rPr>
              <w:t>One 22-year renewal option at current annual rent.</w:t>
            </w:r>
          </w:p>
        </w:tc>
      </w:tr>
      <w:tr>
        <w:trPr>
          <w:trHeight w:val="126"/>
        </w:trPr>
        <w:tc>
          <w:tcPr>
            <w:tcW w:w="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962</w:t>
            </w:r>
          </w:p>
        </w:tc>
        <w:tc>
          <w:tcPr>
            <w:tcW w:w="2040" w:type="dxa"/>
            <w:vAlign w:val="bottom"/>
            <w:shd w:val="clear" w:color="auto" w:fill="CCEEFF"/>
          </w:tcPr>
          <w:p>
            <w:pPr>
              <w:spacing w:after="0"/>
              <w:rPr>
                <w:sz w:val="20"/>
                <w:szCs w:val="20"/>
                <w:color w:val="auto"/>
              </w:rPr>
            </w:pPr>
            <w:r>
              <w:rPr>
                <w:rFonts w:ascii="Arial" w:cs="Arial" w:eastAsia="Arial" w:hAnsi="Arial"/>
                <w:sz w:val="11"/>
                <w:szCs w:val="11"/>
                <w:color w:val="auto"/>
              </w:rPr>
              <w:t>Third Avenue (the Annex building</w:t>
            </w:r>
          </w:p>
        </w:tc>
        <w:tc>
          <w:tcPr>
            <w:tcW w:w="104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666</w:t>
            </w:r>
          </w:p>
        </w:tc>
        <w:tc>
          <w:tcPr>
            <w:tcW w:w="10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None</w:t>
            </w:r>
          </w:p>
        </w:tc>
        <w:tc>
          <w:tcPr>
            <w:tcW w:w="8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2118</w:t>
            </w:r>
          </w:p>
        </w:tc>
        <w:tc>
          <w:tcPr>
            <w:tcW w:w="58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Rent resets every 10 years to FMV.</w:t>
            </w:r>
          </w:p>
        </w:tc>
      </w:tr>
      <w:tr>
        <w:trPr>
          <w:trHeight w:val="114"/>
        </w:trPr>
        <w:tc>
          <w:tcPr>
            <w:tcW w:w="2400" w:type="dxa"/>
            <w:vAlign w:val="bottom"/>
            <w:gridSpan w:val="2"/>
            <w:shd w:val="clear" w:color="auto" w:fill="CCEEFF"/>
          </w:tcPr>
          <w:p>
            <w:pPr>
              <w:ind w:left="280"/>
              <w:spacing w:after="0" w:line="114" w:lineRule="exact"/>
              <w:rPr>
                <w:sz w:val="20"/>
                <w:szCs w:val="20"/>
                <w:color w:val="auto"/>
              </w:rPr>
            </w:pPr>
            <w:r>
              <w:rPr>
                <w:rFonts w:ascii="Arial" w:cs="Arial" w:eastAsia="Arial" w:hAnsi="Arial"/>
                <w:sz w:val="11"/>
                <w:szCs w:val="11"/>
                <w:color w:val="auto"/>
              </w:rPr>
              <w:t>to 150 East 58th Street) - 50.0%</w:t>
            </w:r>
          </w:p>
        </w:tc>
        <w:tc>
          <w:tcPr>
            <w:tcW w:w="10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840" w:type="dxa"/>
            <w:vAlign w:val="bottom"/>
            <w:shd w:val="clear" w:color="auto" w:fill="CCEEFF"/>
          </w:tcPr>
          <w:p>
            <w:pPr>
              <w:spacing w:after="0"/>
              <w:rPr>
                <w:sz w:val="9"/>
                <w:szCs w:val="9"/>
                <w:color w:val="auto"/>
              </w:rPr>
            </w:pPr>
          </w:p>
        </w:tc>
      </w:tr>
      <w:tr>
        <w:trPr>
          <w:trHeight w:val="151"/>
        </w:trPr>
        <w:tc>
          <w:tcPr>
            <w:tcW w:w="24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ground leased</w:t>
            </w:r>
          </w:p>
        </w:tc>
        <w:tc>
          <w:tcPr>
            <w:tcW w:w="10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40" w:type="dxa"/>
            <w:vAlign w:val="bottom"/>
            <w:shd w:val="clear" w:color="auto" w:fill="CCEEFF"/>
          </w:tcPr>
          <w:p>
            <w:pPr>
              <w:spacing w:after="0"/>
              <w:rPr>
                <w:sz w:val="13"/>
                <w:szCs w:val="13"/>
                <w:color w:val="auto"/>
              </w:rPr>
            </w:pPr>
          </w:p>
        </w:tc>
      </w:tr>
      <w:tr>
        <w:trPr>
          <w:trHeight w:val="161"/>
        </w:trPr>
        <w:tc>
          <w:tcPr>
            <w:tcW w:w="2400" w:type="dxa"/>
            <w:vAlign w:val="bottom"/>
            <w:gridSpan w:val="2"/>
          </w:tcPr>
          <w:p>
            <w:pPr>
              <w:ind w:left="120"/>
              <w:spacing w:after="0"/>
              <w:rPr>
                <w:sz w:val="20"/>
                <w:szCs w:val="20"/>
                <w:color w:val="auto"/>
              </w:rPr>
            </w:pPr>
            <w:r>
              <w:rPr>
                <w:rFonts w:ascii="Arial" w:cs="Arial" w:eastAsia="Arial" w:hAnsi="Arial"/>
                <w:sz w:val="11"/>
                <w:szCs w:val="11"/>
                <w:b w:val="1"/>
                <w:bCs w:val="1"/>
                <w:color w:val="auto"/>
              </w:rPr>
              <w:t>Other:</w:t>
            </w: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40" w:type="dxa"/>
            <w:vAlign w:val="bottom"/>
          </w:tcPr>
          <w:p>
            <w:pPr>
              <w:spacing w:after="0"/>
              <w:rPr>
                <w:sz w:val="13"/>
                <w:szCs w:val="13"/>
                <w:color w:val="auto"/>
              </w:rPr>
            </w:pPr>
          </w:p>
        </w:tc>
      </w:tr>
      <w:tr>
        <w:trPr>
          <w:trHeight w:val="123"/>
        </w:trPr>
        <w:tc>
          <w:tcPr>
            <w:tcW w:w="2400" w:type="dxa"/>
            <w:vAlign w:val="bottom"/>
            <w:gridSpan w:val="2"/>
            <w:shd w:val="clear" w:color="auto" w:fill="CCEEFF"/>
          </w:tcPr>
          <w:p>
            <w:pPr>
              <w:ind w:left="180"/>
              <w:spacing w:after="0" w:line="124" w:lineRule="exact"/>
              <w:rPr>
                <w:sz w:val="20"/>
                <w:szCs w:val="20"/>
                <w:color w:val="auto"/>
              </w:rPr>
            </w:pPr>
            <w:r>
              <w:rPr>
                <w:rFonts w:ascii="Arial" w:cs="Arial" w:eastAsia="Arial" w:hAnsi="Arial"/>
                <w:sz w:val="11"/>
                <w:szCs w:val="11"/>
                <w:color w:val="auto"/>
              </w:rPr>
              <w:t>Wayne Town Center</w:t>
            </w:r>
          </w:p>
        </w:tc>
        <w:tc>
          <w:tcPr>
            <w:tcW w:w="1040" w:type="dxa"/>
            <w:vAlign w:val="bottom"/>
            <w:shd w:val="clear" w:color="auto" w:fill="CCEEFF"/>
          </w:tcPr>
          <w:p>
            <w:pPr>
              <w:jc w:val="right"/>
              <w:ind w:right="283"/>
              <w:spacing w:after="0" w:line="124" w:lineRule="exact"/>
              <w:rPr>
                <w:sz w:val="20"/>
                <w:szCs w:val="20"/>
                <w:color w:val="auto"/>
              </w:rPr>
            </w:pPr>
            <w:r>
              <w:rPr>
                <w:rFonts w:ascii="Arial" w:cs="Arial" w:eastAsia="Arial" w:hAnsi="Arial"/>
                <w:sz w:val="11"/>
                <w:szCs w:val="11"/>
                <w:color w:val="auto"/>
              </w:rPr>
              <w:t>6,401</w:t>
            </w:r>
          </w:p>
        </w:tc>
        <w:tc>
          <w:tcPr>
            <w:tcW w:w="1000" w:type="dxa"/>
            <w:vAlign w:val="bottom"/>
            <w:shd w:val="clear" w:color="auto" w:fill="CCEEFF"/>
          </w:tcPr>
          <w:p>
            <w:pPr>
              <w:ind w:left="340"/>
              <w:spacing w:after="0" w:line="124" w:lineRule="exact"/>
              <w:rPr>
                <w:sz w:val="20"/>
                <w:szCs w:val="20"/>
                <w:color w:val="auto"/>
              </w:rPr>
            </w:pPr>
            <w:r>
              <w:rPr>
                <w:rFonts w:ascii="Arial" w:cs="Arial" w:eastAsia="Arial" w:hAnsi="Arial"/>
                <w:sz w:val="11"/>
                <w:szCs w:val="11"/>
                <w:color w:val="auto"/>
              </w:rPr>
              <w:t>2035</w:t>
            </w:r>
          </w:p>
        </w:tc>
        <w:tc>
          <w:tcPr>
            <w:tcW w:w="880" w:type="dxa"/>
            <w:vAlign w:val="bottom"/>
            <w:shd w:val="clear" w:color="auto" w:fill="CCEEFF"/>
          </w:tcPr>
          <w:p>
            <w:pPr>
              <w:jc w:val="right"/>
              <w:ind w:right="183"/>
              <w:spacing w:after="0" w:line="124" w:lineRule="exact"/>
              <w:rPr>
                <w:sz w:val="20"/>
                <w:szCs w:val="20"/>
                <w:color w:val="auto"/>
              </w:rPr>
            </w:pPr>
            <w:r>
              <w:rPr>
                <w:rFonts w:ascii="Arial" w:cs="Arial" w:eastAsia="Arial" w:hAnsi="Arial"/>
                <w:sz w:val="11"/>
                <w:szCs w:val="11"/>
                <w:color w:val="auto"/>
              </w:rPr>
              <w:t>2064</w:t>
            </w:r>
          </w:p>
        </w:tc>
        <w:tc>
          <w:tcPr>
            <w:tcW w:w="5840" w:type="dxa"/>
            <w:vAlign w:val="bottom"/>
            <w:shd w:val="clear" w:color="auto" w:fill="CCEEFF"/>
          </w:tcPr>
          <w:p>
            <w:pPr>
              <w:ind w:left="240"/>
              <w:spacing w:after="0" w:line="124" w:lineRule="exact"/>
              <w:rPr>
                <w:sz w:val="20"/>
                <w:szCs w:val="20"/>
                <w:color w:val="auto"/>
              </w:rPr>
            </w:pPr>
            <w:r>
              <w:rPr>
                <w:rFonts w:ascii="Arial" w:cs="Arial" w:eastAsia="Arial" w:hAnsi="Arial"/>
                <w:sz w:val="11"/>
                <w:szCs w:val="11"/>
                <w:color w:val="auto"/>
              </w:rPr>
              <w:t>Two 10-year renewal options and one 9-year renewal option. Rent increases annually by the greater of CPI or</w:t>
            </w:r>
          </w:p>
        </w:tc>
      </w:tr>
      <w:tr>
        <w:trPr>
          <w:trHeight w:val="146"/>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6%.</w:t>
            </w:r>
          </w:p>
        </w:tc>
      </w:tr>
      <w:tr>
        <w:trPr>
          <w:trHeight w:val="158"/>
        </w:trPr>
        <w:tc>
          <w:tcPr>
            <w:tcW w:w="2400" w:type="dxa"/>
            <w:vAlign w:val="bottom"/>
            <w:gridSpan w:val="2"/>
          </w:tcPr>
          <w:p>
            <w:pPr>
              <w:ind w:left="180"/>
              <w:spacing w:after="0"/>
              <w:rPr>
                <w:sz w:val="20"/>
                <w:szCs w:val="20"/>
                <w:color w:val="auto"/>
              </w:rPr>
            </w:pPr>
            <w:r>
              <w:rPr>
                <w:rFonts w:ascii="Arial" w:cs="Arial" w:eastAsia="Arial" w:hAnsi="Arial"/>
                <w:sz w:val="11"/>
                <w:szCs w:val="11"/>
                <w:color w:val="auto"/>
              </w:rPr>
              <w:t>Annapolis</w:t>
            </w:r>
          </w:p>
        </w:tc>
        <w:tc>
          <w:tcPr>
            <w:tcW w:w="1040" w:type="dxa"/>
            <w:vAlign w:val="bottom"/>
          </w:tcPr>
          <w:p>
            <w:pPr>
              <w:jc w:val="right"/>
              <w:ind w:right="283"/>
              <w:spacing w:after="0"/>
              <w:rPr>
                <w:sz w:val="20"/>
                <w:szCs w:val="20"/>
                <w:color w:val="auto"/>
              </w:rPr>
            </w:pPr>
            <w:r>
              <w:rPr>
                <w:rFonts w:ascii="Arial" w:cs="Arial" w:eastAsia="Arial" w:hAnsi="Arial"/>
                <w:sz w:val="11"/>
                <w:szCs w:val="11"/>
                <w:color w:val="auto"/>
              </w:rPr>
              <w:t>650</w:t>
            </w:r>
          </w:p>
        </w:tc>
        <w:tc>
          <w:tcPr>
            <w:tcW w:w="1000" w:type="dxa"/>
            <w:vAlign w:val="bottom"/>
          </w:tcPr>
          <w:p>
            <w:pPr>
              <w:ind w:left="340"/>
              <w:spacing w:after="0"/>
              <w:rPr>
                <w:sz w:val="20"/>
                <w:szCs w:val="20"/>
                <w:color w:val="auto"/>
              </w:rPr>
            </w:pPr>
            <w:r>
              <w:rPr>
                <w:rFonts w:ascii="Arial" w:cs="Arial" w:eastAsia="Arial" w:hAnsi="Arial"/>
                <w:sz w:val="11"/>
                <w:szCs w:val="11"/>
                <w:color w:val="auto"/>
              </w:rPr>
              <w:t>None</w:t>
            </w:r>
          </w:p>
        </w:tc>
        <w:tc>
          <w:tcPr>
            <w:tcW w:w="880" w:type="dxa"/>
            <w:vAlign w:val="bottom"/>
          </w:tcPr>
          <w:p>
            <w:pPr>
              <w:jc w:val="right"/>
              <w:ind w:right="183"/>
              <w:spacing w:after="0"/>
              <w:rPr>
                <w:sz w:val="20"/>
                <w:szCs w:val="20"/>
                <w:color w:val="auto"/>
              </w:rPr>
            </w:pPr>
            <w:r>
              <w:rPr>
                <w:rFonts w:ascii="Arial" w:cs="Arial" w:eastAsia="Arial" w:hAnsi="Arial"/>
                <w:sz w:val="11"/>
                <w:szCs w:val="11"/>
                <w:color w:val="auto"/>
              </w:rPr>
              <w:t>2042</w:t>
            </w:r>
          </w:p>
        </w:tc>
        <w:tc>
          <w:tcPr>
            <w:tcW w:w="5840" w:type="dxa"/>
            <w:vAlign w:val="bottom"/>
          </w:tcPr>
          <w:p>
            <w:pPr>
              <w:ind w:left="240"/>
              <w:spacing w:after="0"/>
              <w:rPr>
                <w:sz w:val="20"/>
                <w:szCs w:val="20"/>
                <w:color w:val="auto"/>
              </w:rPr>
            </w:pPr>
            <w:r>
              <w:rPr>
                <w:rFonts w:ascii="Arial" w:cs="Arial" w:eastAsia="Arial" w:hAnsi="Arial"/>
                <w:sz w:val="11"/>
                <w:szCs w:val="11"/>
                <w:color w:val="auto"/>
              </w:rPr>
              <w:t>Fixed rent increases to $750 per annum in 2032.</w:t>
            </w:r>
          </w:p>
        </w:tc>
      </w:tr>
      <w:tr>
        <w:trPr>
          <w:trHeight w:val="165"/>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Unconsolidated:</w:t>
            </w: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40" w:type="dxa"/>
            <w:vAlign w:val="bottom"/>
            <w:shd w:val="clear" w:color="auto" w:fill="CCEEFF"/>
          </w:tcPr>
          <w:p>
            <w:pPr>
              <w:spacing w:after="0"/>
              <w:rPr>
                <w:sz w:val="14"/>
                <w:szCs w:val="14"/>
                <w:color w:val="auto"/>
              </w:rPr>
            </w:pPr>
          </w:p>
        </w:tc>
      </w:tr>
      <w:tr>
        <w:trPr>
          <w:trHeight w:val="123"/>
        </w:trPr>
        <w:tc>
          <w:tcPr>
            <w:tcW w:w="2400" w:type="dxa"/>
            <w:vAlign w:val="bottom"/>
            <w:gridSpan w:val="2"/>
          </w:tcPr>
          <w:p>
            <w:pPr>
              <w:ind w:left="140"/>
              <w:spacing w:after="0" w:line="123" w:lineRule="exact"/>
              <w:rPr>
                <w:sz w:val="20"/>
                <w:szCs w:val="20"/>
                <w:color w:val="auto"/>
              </w:rPr>
            </w:pPr>
            <w:r>
              <w:rPr>
                <w:rFonts w:ascii="Arial" w:cs="Arial" w:eastAsia="Arial" w:hAnsi="Arial"/>
                <w:sz w:val="11"/>
                <w:szCs w:val="11"/>
                <w:color w:val="auto"/>
              </w:rPr>
              <w:t>Sunset Pier 94 Studios</w:t>
            </w:r>
          </w:p>
        </w:tc>
        <w:tc>
          <w:tcPr>
            <w:tcW w:w="1040" w:type="dxa"/>
            <w:vAlign w:val="bottom"/>
          </w:tcPr>
          <w:p>
            <w:pPr>
              <w:jc w:val="right"/>
              <w:ind w:right="283"/>
              <w:spacing w:after="0" w:line="123" w:lineRule="exact"/>
              <w:rPr>
                <w:sz w:val="20"/>
                <w:szCs w:val="20"/>
                <w:color w:val="auto"/>
              </w:rPr>
            </w:pPr>
            <w:r>
              <w:rPr>
                <w:rFonts w:ascii="Arial" w:cs="Arial" w:eastAsia="Arial" w:hAnsi="Arial"/>
                <w:sz w:val="11"/>
                <w:szCs w:val="11"/>
                <w:color w:val="auto"/>
              </w:rPr>
              <w:t>449</w:t>
            </w:r>
          </w:p>
        </w:tc>
        <w:tc>
          <w:tcPr>
            <w:tcW w:w="1000" w:type="dxa"/>
            <w:vAlign w:val="bottom"/>
          </w:tcPr>
          <w:p>
            <w:pPr>
              <w:ind w:left="340"/>
              <w:spacing w:after="0" w:line="123" w:lineRule="exact"/>
              <w:rPr>
                <w:sz w:val="20"/>
                <w:szCs w:val="20"/>
                <w:color w:val="auto"/>
              </w:rPr>
            </w:pPr>
            <w:r>
              <w:rPr>
                <w:rFonts w:ascii="Arial" w:cs="Arial" w:eastAsia="Arial" w:hAnsi="Arial"/>
                <w:sz w:val="11"/>
                <w:szCs w:val="11"/>
                <w:color w:val="auto"/>
              </w:rPr>
              <w:t>2060</w:t>
            </w:r>
          </w:p>
        </w:tc>
        <w:tc>
          <w:tcPr>
            <w:tcW w:w="880" w:type="dxa"/>
            <w:vAlign w:val="bottom"/>
          </w:tcPr>
          <w:p>
            <w:pPr>
              <w:jc w:val="right"/>
              <w:ind w:right="183"/>
              <w:spacing w:after="0" w:line="123" w:lineRule="exact"/>
              <w:rPr>
                <w:sz w:val="20"/>
                <w:szCs w:val="20"/>
                <w:color w:val="auto"/>
              </w:rPr>
            </w:pPr>
            <w:r>
              <w:rPr>
                <w:rFonts w:ascii="Arial" w:cs="Arial" w:eastAsia="Arial" w:hAnsi="Arial"/>
                <w:sz w:val="11"/>
                <w:szCs w:val="11"/>
                <w:color w:val="auto"/>
              </w:rPr>
              <w:t>2110</w:t>
            </w:r>
          </w:p>
        </w:tc>
        <w:tc>
          <w:tcPr>
            <w:tcW w:w="5840" w:type="dxa"/>
            <w:vAlign w:val="bottom"/>
          </w:tcPr>
          <w:p>
            <w:pPr>
              <w:ind w:left="240"/>
              <w:spacing w:after="0" w:line="123" w:lineRule="exact"/>
              <w:rPr>
                <w:sz w:val="20"/>
                <w:szCs w:val="20"/>
                <w:color w:val="auto"/>
              </w:rPr>
            </w:pPr>
            <w:r>
              <w:rPr>
                <w:rFonts w:ascii="Arial" w:cs="Arial" w:eastAsia="Arial" w:hAnsi="Arial"/>
                <w:sz w:val="11"/>
                <w:szCs w:val="11"/>
                <w:color w:val="auto"/>
              </w:rPr>
              <w:t>Five 10-year renewal options. Fixed rent increases in 2028 and every five years thereafter. Beginning in</w:t>
            </w:r>
          </w:p>
        </w:tc>
      </w:tr>
      <w:tr>
        <w:trPr>
          <w:trHeight w:val="146"/>
        </w:trPr>
        <w:tc>
          <w:tcPr>
            <w:tcW w:w="2400" w:type="dxa"/>
            <w:vAlign w:val="bottom"/>
            <w:gridSpan w:val="2"/>
          </w:tcPr>
          <w:p>
            <w:pPr>
              <w:ind w:left="280"/>
              <w:spacing w:after="0"/>
              <w:rPr>
                <w:sz w:val="20"/>
                <w:szCs w:val="20"/>
                <w:color w:val="auto"/>
              </w:rPr>
            </w:pPr>
            <w:r>
              <w:rPr>
                <w:rFonts w:ascii="Arial" w:cs="Arial" w:eastAsia="Arial" w:hAnsi="Arial"/>
                <w:sz w:val="11"/>
                <w:szCs w:val="11"/>
                <w:color w:val="auto"/>
              </w:rPr>
              <w:t>(49.9% interest)</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40" w:type="dxa"/>
            <w:vAlign w:val="bottom"/>
          </w:tcPr>
          <w:p>
            <w:pPr>
              <w:ind w:left="240"/>
              <w:spacing w:after="0"/>
              <w:rPr>
                <w:sz w:val="20"/>
                <w:szCs w:val="20"/>
                <w:color w:val="auto"/>
              </w:rPr>
            </w:pPr>
            <w:r>
              <w:rPr>
                <w:rFonts w:ascii="Arial" w:cs="Arial" w:eastAsia="Arial" w:hAnsi="Arial"/>
                <w:sz w:val="11"/>
                <w:szCs w:val="11"/>
                <w:color w:val="auto"/>
              </w:rPr>
              <w:t>September 2028, additional rent is payable in an amount equal to 6% of gross revenue less the base rent.</w:t>
            </w:r>
          </w:p>
        </w:tc>
      </w:tr>
      <w:tr>
        <w:trPr>
          <w:trHeight w:val="123"/>
        </w:trPr>
        <w:tc>
          <w:tcPr>
            <w:tcW w:w="240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1"/>
                <w:szCs w:val="11"/>
                <w:color w:val="auto"/>
              </w:rPr>
              <w:t>61 Ninth Avenue</w:t>
            </w:r>
          </w:p>
        </w:tc>
        <w:tc>
          <w:tcPr>
            <w:tcW w:w="1040" w:type="dxa"/>
            <w:vAlign w:val="bottom"/>
            <w:shd w:val="clear" w:color="auto" w:fill="CCEEFF"/>
          </w:tcPr>
          <w:p>
            <w:pPr>
              <w:jc w:val="right"/>
              <w:ind w:right="283"/>
              <w:spacing w:after="0" w:line="123" w:lineRule="exact"/>
              <w:rPr>
                <w:sz w:val="20"/>
                <w:szCs w:val="20"/>
                <w:color w:val="auto"/>
              </w:rPr>
            </w:pPr>
            <w:r>
              <w:rPr>
                <w:rFonts w:ascii="Arial" w:cs="Arial" w:eastAsia="Arial" w:hAnsi="Arial"/>
                <w:sz w:val="11"/>
                <w:szCs w:val="11"/>
                <w:color w:val="auto"/>
              </w:rPr>
              <w:t>3,890</w:t>
            </w:r>
          </w:p>
        </w:tc>
        <w:tc>
          <w:tcPr>
            <w:tcW w:w="1000" w:type="dxa"/>
            <w:vAlign w:val="bottom"/>
            <w:shd w:val="clear" w:color="auto" w:fill="CCEEFF"/>
          </w:tcPr>
          <w:p>
            <w:pPr>
              <w:ind w:left="340"/>
              <w:spacing w:after="0" w:line="123" w:lineRule="exact"/>
              <w:rPr>
                <w:sz w:val="20"/>
                <w:szCs w:val="20"/>
                <w:color w:val="auto"/>
              </w:rPr>
            </w:pPr>
            <w:r>
              <w:rPr>
                <w:rFonts w:ascii="Arial" w:cs="Arial" w:eastAsia="Arial" w:hAnsi="Arial"/>
                <w:sz w:val="11"/>
                <w:szCs w:val="11"/>
                <w:color w:val="auto"/>
              </w:rPr>
              <w:t>None</w:t>
            </w:r>
          </w:p>
        </w:tc>
        <w:tc>
          <w:tcPr>
            <w:tcW w:w="880" w:type="dxa"/>
            <w:vAlign w:val="bottom"/>
            <w:shd w:val="clear" w:color="auto" w:fill="CCEEFF"/>
          </w:tcPr>
          <w:p>
            <w:pPr>
              <w:jc w:val="right"/>
              <w:ind w:right="183"/>
              <w:spacing w:after="0" w:line="123" w:lineRule="exact"/>
              <w:rPr>
                <w:sz w:val="20"/>
                <w:szCs w:val="20"/>
                <w:color w:val="auto"/>
              </w:rPr>
            </w:pPr>
            <w:r>
              <w:rPr>
                <w:rFonts w:ascii="Arial" w:cs="Arial" w:eastAsia="Arial" w:hAnsi="Arial"/>
                <w:sz w:val="11"/>
                <w:szCs w:val="11"/>
                <w:color w:val="auto"/>
              </w:rPr>
              <w:t>2115</w:t>
            </w:r>
          </w:p>
        </w:tc>
        <w:tc>
          <w:tcPr>
            <w:tcW w:w="5840" w:type="dxa"/>
            <w:vAlign w:val="bottom"/>
            <w:shd w:val="clear" w:color="auto" w:fill="CCEEFF"/>
          </w:tcPr>
          <w:p>
            <w:pPr>
              <w:ind w:left="240"/>
              <w:spacing w:after="0" w:line="123" w:lineRule="exact"/>
              <w:rPr>
                <w:sz w:val="20"/>
                <w:szCs w:val="20"/>
                <w:color w:val="auto"/>
              </w:rPr>
            </w:pPr>
            <w:r>
              <w:rPr>
                <w:rFonts w:ascii="Arial" w:cs="Arial" w:eastAsia="Arial" w:hAnsi="Arial"/>
                <w:sz w:val="11"/>
                <w:szCs w:val="11"/>
                <w:color w:val="auto"/>
              </w:rPr>
              <w:t>Rent increases every three years based on CPI, subject to a cap. In 2051, 2071 and 2096, rent resets based</w:t>
            </w:r>
          </w:p>
        </w:tc>
      </w:tr>
      <w:tr>
        <w:trPr>
          <w:trHeight w:val="146"/>
        </w:trPr>
        <w:tc>
          <w:tcPr>
            <w:tcW w:w="24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(45.1% interest)</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on the increase in the property's gross revenue net of real estate taxes, if greater than the CPI reset.</w:t>
            </w:r>
          </w:p>
        </w:tc>
      </w:tr>
      <w:tr>
        <w:trPr>
          <w:trHeight w:val="123"/>
        </w:trPr>
        <w:tc>
          <w:tcPr>
            <w:tcW w:w="240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Flushing (Alexander's)</w:t>
            </w:r>
          </w:p>
        </w:tc>
        <w:tc>
          <w:tcPr>
            <w:tcW w:w="1040" w:type="dxa"/>
            <w:vAlign w:val="bottom"/>
          </w:tcPr>
          <w:p>
            <w:pPr>
              <w:jc w:val="right"/>
              <w:ind w:right="283"/>
              <w:spacing w:after="0" w:line="123" w:lineRule="exact"/>
              <w:rPr>
                <w:sz w:val="20"/>
                <w:szCs w:val="20"/>
                <w:color w:val="auto"/>
              </w:rPr>
            </w:pPr>
            <w:r>
              <w:rPr>
                <w:rFonts w:ascii="Arial" w:cs="Arial" w:eastAsia="Arial" w:hAnsi="Arial"/>
                <w:sz w:val="11"/>
                <w:szCs w:val="11"/>
                <w:color w:val="auto"/>
              </w:rPr>
              <w:t>259</w:t>
            </w:r>
          </w:p>
        </w:tc>
        <w:tc>
          <w:tcPr>
            <w:tcW w:w="1000" w:type="dxa"/>
            <w:vAlign w:val="bottom"/>
          </w:tcPr>
          <w:p>
            <w:pPr>
              <w:ind w:left="340"/>
              <w:spacing w:after="0" w:line="123" w:lineRule="exact"/>
              <w:rPr>
                <w:sz w:val="20"/>
                <w:szCs w:val="20"/>
                <w:color w:val="auto"/>
              </w:rPr>
            </w:pPr>
            <w:r>
              <w:rPr>
                <w:rFonts w:ascii="Arial" w:cs="Arial" w:eastAsia="Arial" w:hAnsi="Arial"/>
                <w:sz w:val="11"/>
                <w:szCs w:val="11"/>
                <w:color w:val="auto"/>
              </w:rPr>
              <w:t>None</w:t>
            </w:r>
          </w:p>
        </w:tc>
        <w:tc>
          <w:tcPr>
            <w:tcW w:w="880" w:type="dxa"/>
            <w:vAlign w:val="bottom"/>
          </w:tcPr>
          <w:p>
            <w:pPr>
              <w:jc w:val="right"/>
              <w:ind w:right="183"/>
              <w:spacing w:after="0" w:line="123" w:lineRule="exact"/>
              <w:rPr>
                <w:sz w:val="20"/>
                <w:szCs w:val="20"/>
                <w:color w:val="auto"/>
              </w:rPr>
            </w:pPr>
            <w:r>
              <w:rPr>
                <w:rFonts w:ascii="Arial" w:cs="Arial" w:eastAsia="Arial" w:hAnsi="Arial"/>
                <w:sz w:val="11"/>
                <w:szCs w:val="11"/>
                <w:color w:val="auto"/>
              </w:rPr>
              <w:t>2037</w:t>
            </w:r>
          </w:p>
        </w:tc>
        <w:tc>
          <w:tcPr>
            <w:tcW w:w="5840" w:type="dxa"/>
            <w:vAlign w:val="bottom"/>
          </w:tcPr>
          <w:p>
            <w:pPr>
              <w:ind w:left="240"/>
              <w:spacing w:after="0" w:line="123" w:lineRule="exact"/>
              <w:rPr>
                <w:sz w:val="20"/>
                <w:szCs w:val="20"/>
                <w:color w:val="auto"/>
              </w:rPr>
            </w:pPr>
            <w:r>
              <w:rPr>
                <w:rFonts w:ascii="Arial" w:cs="Arial" w:eastAsia="Arial" w:hAnsi="Arial"/>
                <w:sz w:val="11"/>
                <w:szCs w:val="11"/>
                <w:color w:val="auto"/>
              </w:rPr>
              <w:t>Rent increases to $5,400 per annum in February 2027 per FMV reset.</w:t>
            </w:r>
          </w:p>
        </w:tc>
      </w:tr>
      <w:tr>
        <w:trPr>
          <w:trHeight w:val="150"/>
        </w:trPr>
        <w:tc>
          <w:tcPr>
            <w:tcW w:w="2400" w:type="dxa"/>
            <w:vAlign w:val="bottom"/>
            <w:gridSpan w:val="2"/>
          </w:tcPr>
          <w:p>
            <w:pPr>
              <w:ind w:left="300"/>
              <w:spacing w:after="0"/>
              <w:rPr>
                <w:sz w:val="20"/>
                <w:szCs w:val="20"/>
                <w:color w:val="auto"/>
              </w:rPr>
            </w:pPr>
            <w:r>
              <w:rPr>
                <w:rFonts w:ascii="Arial" w:cs="Arial" w:eastAsia="Arial" w:hAnsi="Arial"/>
                <w:sz w:val="11"/>
                <w:szCs w:val="11"/>
                <w:color w:val="auto"/>
              </w:rPr>
              <w:t>(32.4% interest)</w:t>
            </w: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40" w:type="dxa"/>
            <w:vAlign w:val="bottom"/>
          </w:tcPr>
          <w:p>
            <w:pPr>
              <w:spacing w:after="0"/>
              <w:rPr>
                <w:sz w:val="13"/>
                <w:szCs w:val="13"/>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16" w:lineRule="exact"/>
        <w:rPr>
          <w:sz w:val="20"/>
          <w:szCs w:val="20"/>
          <w:color w:val="auto"/>
        </w:rPr>
      </w:pPr>
    </w:p>
    <w:p>
      <w:pPr>
        <w:jc w:val="both"/>
        <w:ind w:left="260" w:hanging="254"/>
        <w:spacing w:after="0" w:line="270" w:lineRule="auto"/>
        <w:tabs>
          <w:tab w:leader="none" w:pos="249" w:val="left"/>
        </w:tabs>
        <w:numPr>
          <w:ilvl w:val="0"/>
          <w:numId w:val="36"/>
        </w:numPr>
        <w:rPr>
          <w:rFonts w:ascii="Arial" w:cs="Arial" w:eastAsia="Arial" w:hAnsi="Arial"/>
          <w:sz w:val="11"/>
          <w:szCs w:val="11"/>
          <w:b w:val="1"/>
          <w:bCs w:val="1"/>
          <w:color w:val="auto"/>
        </w:rPr>
      </w:pPr>
      <w:r>
        <w:rPr>
          <w:rFonts w:ascii="Arial" w:cs="Arial" w:eastAsia="Arial" w:hAnsi="Arial"/>
          <w:sz w:val="11"/>
          <w:szCs w:val="11"/>
          <w:color w:val="auto"/>
        </w:rPr>
        <w:t>On April 22, 2025, an arbitration panel (the “Panel”) appointed to determine the ground rent payable by Vornado’s subsidiary for the PENN 1 land parcel for the 25-year period beginning June 17, 2023 determined that the annual rent payable will be $15,000 or $20,220, depending on the outcome of litigation described below. On July 21, 2025, the ground lessor filed a motion in New York County Supreme Court to vacate the Panel’s ground rent determination. On October 31, 2025, the court granted the ground lessor’s motion. We believe the decision is without merit and are appealing the court’s decision. 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 retroactive to June 17, 2023.</w:t>
      </w:r>
    </w:p>
    <w:p>
      <w:pPr>
        <w:spacing w:after="0" w:line="200" w:lineRule="exact"/>
        <w:rPr>
          <w:rFonts w:ascii="Arial" w:cs="Arial" w:eastAsia="Arial" w:hAnsi="Arial"/>
          <w:sz w:val="11"/>
          <w:szCs w:val="11"/>
          <w:b w:val="1"/>
          <w:bCs w:val="1"/>
          <w:color w:val="auto"/>
        </w:rPr>
      </w:pPr>
    </w:p>
    <w:p>
      <w:pPr>
        <w:spacing w:after="0" w:line="233" w:lineRule="exact"/>
        <w:rPr>
          <w:rFonts w:ascii="Arial" w:cs="Arial" w:eastAsia="Arial" w:hAnsi="Arial"/>
          <w:sz w:val="11"/>
          <w:szCs w:val="11"/>
          <w:b w:val="1"/>
          <w:bCs w:val="1"/>
          <w:color w:val="auto"/>
        </w:rPr>
      </w:pPr>
    </w:p>
    <w:p>
      <w:pPr>
        <w:ind w:left="5580" w:hanging="87"/>
        <w:spacing w:after="0"/>
        <w:tabs>
          <w:tab w:leader="none" w:pos="55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34 -</w:t>
      </w:r>
    </w:p>
    <w:p>
      <w:pPr>
        <w:sectPr>
          <w:pgSz w:w="11900" w:h="16838" w:orient="portrait"/>
          <w:cols w:equalWidth="0" w:num="1">
            <w:col w:w="11280"/>
          </w:cols>
          <w:pgMar w:left="300" w:top="981" w:right="3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6900545" cy="44475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00545" cy="4447540"/>
                    </a:xfrm>
                    <a:prstGeom prst="rect">
                      <a:avLst/>
                    </a:prstGeom>
                    <a:noFill/>
                  </pic:spPr>
                </pic:pic>
              </a:graphicData>
            </a:graphic>
          </wp:anchor>
        </w:drawing>
      </w:r>
    </w:p>
    <w:p>
      <w:pPr>
        <w:sectPr>
          <w:pgSz w:w="11900" w:h="16838" w:orient="portrait"/>
          <w:cols w:equalWidth="0" w:num="1">
            <w:col w:w="10139"/>
          </w:cols>
          <w:pgMar w:left="320" w:top="8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- 35 -</w:t>
      </w:r>
    </w:p>
    <w:p>
      <w:pPr>
        <w:sectPr>
          <w:pgSz w:w="11900" w:h="16838" w:orient="portrait"/>
          <w:cols w:equalWidth="0" w:num="1">
            <w:col w:w="10139"/>
          </w:cols>
          <w:pgMar w:left="320" w:top="852" w:right="1440"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NEW YORK OFFICE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6026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960" w:type="dxa"/>
            <w:vAlign w:val="bottom"/>
          </w:tcPr>
          <w:p>
            <w:pPr>
              <w:ind w:left="20"/>
              <w:spacing w:after="0"/>
              <w:rPr>
                <w:sz w:val="20"/>
                <w:szCs w:val="20"/>
                <w:color w:val="auto"/>
              </w:rPr>
            </w:pPr>
            <w:r>
              <w:rPr>
                <w:rFonts w:ascii="Arial" w:cs="Arial" w:eastAsia="Arial" w:hAnsi="Arial"/>
                <w:sz w:val="9"/>
                <w:szCs w:val="9"/>
                <w:color w:val="auto"/>
                <w:w w:val="95"/>
              </w:rPr>
              <w:t>(Annualized escalated rent amounts in thousands)</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9"/>
                <w:szCs w:val="9"/>
                <w:b w:val="1"/>
                <w:bCs w:val="1"/>
                <w:color w:val="auto"/>
                <w:w w:val="93"/>
              </w:rPr>
              <w:t>Square Feet</w:t>
            </w: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Weighted</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2"/>
              </w:rPr>
              <w:t>Under</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60"/>
              <w:spacing w:after="0" w:line="86" w:lineRule="exact"/>
              <w:rPr>
                <w:sz w:val="20"/>
                <w:szCs w:val="20"/>
                <w:color w:val="auto"/>
              </w:rPr>
            </w:pPr>
            <w:r>
              <w:rPr>
                <w:rFonts w:ascii="Arial" w:cs="Arial" w:eastAsia="Arial" w:hAnsi="Arial"/>
                <w:sz w:val="9"/>
                <w:szCs w:val="9"/>
                <w:b w:val="1"/>
                <w:bCs w:val="1"/>
                <w:color w:val="auto"/>
                <w:w w:val="95"/>
              </w:rPr>
              <w:t>Average</w:t>
            </w:r>
          </w:p>
        </w:tc>
        <w:tc>
          <w:tcPr>
            <w:tcW w:w="8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5"/>
              </w:rPr>
              <w:t>Annualized</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9"/>
                <w:szCs w:val="9"/>
                <w:b w:val="1"/>
                <w:bCs w:val="1"/>
                <w:color w:val="auto"/>
                <w:w w:val="96"/>
              </w:rPr>
              <w:t>Encumbrances</w:t>
            </w:r>
          </w:p>
        </w:tc>
        <w:tc>
          <w:tcPr>
            <w:tcW w:w="1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60" w:type="dxa"/>
            <w:vAlign w:val="bottom"/>
          </w:tcPr>
          <w:p>
            <w:pPr>
              <w:spacing w:after="0"/>
              <w:rPr>
                <w:sz w:val="7"/>
                <w:szCs w:val="7"/>
                <w:color w:val="auto"/>
              </w:rPr>
            </w:pPr>
          </w:p>
        </w:tc>
        <w:tc>
          <w:tcPr>
            <w:tcW w:w="620" w:type="dxa"/>
            <w:vAlign w:val="bottom"/>
            <w:gridSpan w:val="2"/>
            <w:vMerge w:val="restart"/>
          </w:tcPr>
          <w:p>
            <w:pPr>
              <w:jc w:val="right"/>
              <w:ind w:right="157"/>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740" w:type="dxa"/>
            <w:vAlign w:val="bottom"/>
            <w:gridSpan w:val="2"/>
            <w:vMerge w:val="restart"/>
          </w:tcPr>
          <w:p>
            <w:pPr>
              <w:jc w:val="right"/>
              <w:ind w:right="257"/>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40"/>
              <w:spacing w:after="0" w:line="86" w:lineRule="exact"/>
              <w:rPr>
                <w:sz w:val="20"/>
                <w:szCs w:val="20"/>
                <w:color w:val="auto"/>
              </w:rPr>
            </w:pPr>
            <w:r>
              <w:rPr>
                <w:rFonts w:ascii="Arial" w:cs="Arial" w:eastAsia="Arial" w:hAnsi="Arial"/>
                <w:sz w:val="9"/>
                <w:szCs w:val="9"/>
                <w:b w:val="1"/>
                <w:bCs w:val="1"/>
                <w:color w:val="auto"/>
                <w:w w:val="95"/>
              </w:rPr>
              <w:t>Escalated</w:t>
            </w: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2"/>
              </w:rPr>
              <w:t>Total</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tcPr>
          <w:p>
            <w:pPr>
              <w:jc w:val="center"/>
              <w:ind w:right="60"/>
              <w:spacing w:after="0" w:line="86" w:lineRule="exact"/>
              <w:rPr>
                <w:sz w:val="20"/>
                <w:szCs w:val="20"/>
                <w:color w:val="auto"/>
              </w:rPr>
            </w:pPr>
            <w:r>
              <w:rPr>
                <w:rFonts w:ascii="Arial" w:cs="Arial" w:eastAsia="Arial" w:hAnsi="Arial"/>
                <w:sz w:val="9"/>
                <w:szCs w:val="9"/>
                <w:b w:val="1"/>
                <w:bCs w:val="1"/>
                <w:color w:val="auto"/>
                <w:w w:val="95"/>
              </w:rPr>
              <w:t>Development</w:t>
            </w: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60" w:type="dxa"/>
            <w:vAlign w:val="bottom"/>
            <w:vMerge w:val="restart"/>
          </w:tcPr>
          <w:p>
            <w:pPr>
              <w:ind w:left="800"/>
              <w:spacing w:after="0"/>
              <w:rPr>
                <w:sz w:val="20"/>
                <w:szCs w:val="20"/>
                <w:color w:val="auto"/>
              </w:rPr>
            </w:pPr>
            <w:r>
              <w:rPr>
                <w:rFonts w:ascii="Arial" w:cs="Arial" w:eastAsia="Arial" w:hAnsi="Arial"/>
                <w:sz w:val="9"/>
                <w:szCs w:val="9"/>
                <w:b w:val="1"/>
                <w:bCs w:val="1"/>
                <w:color w:val="auto"/>
              </w:rPr>
              <w:t>Property</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60"/>
              <w:spacing w:after="0" w:line="86" w:lineRule="exact"/>
              <w:rPr>
                <w:sz w:val="20"/>
                <w:szCs w:val="20"/>
                <w:color w:val="auto"/>
              </w:rPr>
            </w:pPr>
            <w:r>
              <w:rPr>
                <w:rFonts w:ascii="Arial" w:cs="Arial" w:eastAsia="Arial" w:hAnsi="Arial"/>
                <w:sz w:val="9"/>
                <w:szCs w:val="9"/>
                <w:b w:val="1"/>
                <w:bCs w:val="1"/>
                <w:color w:val="auto"/>
                <w:w w:val="94"/>
              </w:rPr>
              <w:t>Annual Rent</w:t>
            </w:r>
          </w:p>
        </w:tc>
        <w:tc>
          <w:tcPr>
            <w:tcW w:w="80" w:type="dxa"/>
            <w:vAlign w:val="bottom"/>
          </w:tcPr>
          <w:p>
            <w:pPr>
              <w:spacing w:after="0"/>
              <w:rPr>
                <w:sz w:val="7"/>
                <w:szCs w:val="7"/>
                <w:color w:val="auto"/>
              </w:rPr>
            </w:pPr>
          </w:p>
        </w:tc>
        <w:tc>
          <w:tcPr>
            <w:tcW w:w="620" w:type="dxa"/>
            <w:vAlign w:val="bottom"/>
            <w:gridSpan w:val="2"/>
          </w:tcPr>
          <w:p>
            <w:pPr>
              <w:jc w:val="center"/>
              <w:ind w:right="140"/>
              <w:spacing w:after="0" w:line="86" w:lineRule="exact"/>
              <w:rPr>
                <w:sz w:val="20"/>
                <w:szCs w:val="20"/>
                <w:color w:val="auto"/>
              </w:rPr>
            </w:pPr>
            <w:r>
              <w:rPr>
                <w:rFonts w:ascii="Arial" w:cs="Arial" w:eastAsia="Arial" w:hAnsi="Arial"/>
                <w:sz w:val="9"/>
                <w:szCs w:val="9"/>
                <w:b w:val="1"/>
                <w:bCs w:val="1"/>
                <w:color w:val="auto"/>
                <w:w w:val="95"/>
              </w:rPr>
              <w:t>Escalated</w:t>
            </w:r>
          </w:p>
        </w:tc>
        <w:tc>
          <w:tcPr>
            <w:tcW w:w="760" w:type="dxa"/>
            <w:vAlign w:val="bottom"/>
            <w:gridSpan w:val="2"/>
            <w:vMerge w:val="continue"/>
          </w:tcPr>
          <w:p>
            <w:pPr>
              <w:spacing w:after="0"/>
              <w:rPr>
                <w:sz w:val="7"/>
                <w:szCs w:val="7"/>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8"/>
              </w:rPr>
              <w:t>In Service</w:t>
            </w:r>
          </w:p>
        </w:tc>
        <w:tc>
          <w:tcPr>
            <w:tcW w:w="800" w:type="dxa"/>
            <w:vAlign w:val="bottom"/>
            <w:gridSpan w:val="2"/>
          </w:tcPr>
          <w:p>
            <w:pPr>
              <w:jc w:val="center"/>
              <w:ind w:right="60"/>
              <w:spacing w:after="0" w:line="86" w:lineRule="exact"/>
              <w:rPr>
                <w:sz w:val="20"/>
                <w:szCs w:val="20"/>
                <w:color w:val="auto"/>
              </w:rPr>
            </w:pPr>
            <w:r>
              <w:rPr>
                <w:rFonts w:ascii="Arial" w:cs="Arial" w:eastAsia="Arial" w:hAnsi="Arial"/>
                <w:sz w:val="9"/>
                <w:szCs w:val="9"/>
                <w:b w:val="1"/>
                <w:bCs w:val="1"/>
                <w:color w:val="auto"/>
                <w:w w:val="96"/>
              </w:rPr>
              <w:t>or Not Available</w:t>
            </w:r>
          </w:p>
        </w:tc>
        <w:tc>
          <w:tcPr>
            <w:tcW w:w="60" w:type="dxa"/>
            <w:vAlign w:val="bottom"/>
          </w:tcPr>
          <w:p>
            <w:pPr>
              <w:spacing w:after="0"/>
              <w:rPr>
                <w:sz w:val="7"/>
                <w:szCs w:val="7"/>
                <w:color w:val="auto"/>
              </w:rPr>
            </w:pPr>
          </w:p>
        </w:tc>
        <w:tc>
          <w:tcPr>
            <w:tcW w:w="700" w:type="dxa"/>
            <w:vAlign w:val="bottom"/>
          </w:tcPr>
          <w:p>
            <w:pPr>
              <w:jc w:val="center"/>
              <w:ind w:right="17"/>
              <w:spacing w:after="0" w:line="86" w:lineRule="exact"/>
              <w:rPr>
                <w:sz w:val="20"/>
                <w:szCs w:val="20"/>
                <w:color w:val="auto"/>
              </w:rPr>
            </w:pPr>
            <w:r>
              <w:rPr>
                <w:rFonts w:ascii="Arial" w:cs="Arial" w:eastAsia="Arial" w:hAnsi="Arial"/>
                <w:sz w:val="9"/>
                <w:szCs w:val="9"/>
                <w:b w:val="1"/>
                <w:bCs w:val="1"/>
                <w:color w:val="auto"/>
                <w:w w:val="93"/>
              </w:rPr>
              <w:t>(non-GAAP)</w:t>
            </w:r>
          </w:p>
        </w:tc>
        <w:tc>
          <w:tcPr>
            <w:tcW w:w="180" w:type="dxa"/>
            <w:vAlign w:val="bottom"/>
          </w:tcPr>
          <w:p>
            <w:pPr>
              <w:spacing w:after="0"/>
              <w:rPr>
                <w:sz w:val="7"/>
                <w:szCs w:val="7"/>
                <w:color w:val="auto"/>
              </w:rPr>
            </w:pPr>
          </w:p>
        </w:tc>
        <w:tc>
          <w:tcPr>
            <w:tcW w:w="2980" w:type="dxa"/>
            <w:vAlign w:val="bottom"/>
            <w:vMerge w:val="restart"/>
          </w:tcPr>
          <w:p>
            <w:pPr>
              <w:ind w:left="1200"/>
              <w:spacing w:after="0"/>
              <w:rPr>
                <w:sz w:val="20"/>
                <w:szCs w:val="20"/>
                <w:color w:val="auto"/>
              </w:rPr>
            </w:pPr>
            <w:r>
              <w:rPr>
                <w:rFonts w:ascii="Arial" w:cs="Arial" w:eastAsia="Arial" w:hAnsi="Arial"/>
                <w:sz w:val="9"/>
                <w:szCs w:val="9"/>
                <w:b w:val="1"/>
                <w:bCs w:val="1"/>
                <w:color w:val="auto"/>
              </w:rPr>
              <w:t>Major Tenants</w:t>
            </w:r>
          </w:p>
        </w:tc>
        <w:tc>
          <w:tcPr>
            <w:tcW w:w="0" w:type="dxa"/>
            <w:vAlign w:val="bottom"/>
          </w:tcPr>
          <w:p>
            <w:pPr>
              <w:spacing w:after="0"/>
              <w:rPr>
                <w:sz w:val="1"/>
                <w:szCs w:val="1"/>
                <w:color w:val="auto"/>
              </w:rPr>
            </w:pPr>
          </w:p>
        </w:tc>
      </w:tr>
      <w:tr>
        <w:trPr>
          <w:trHeight w:val="129"/>
        </w:trPr>
        <w:tc>
          <w:tcPr>
            <w:tcW w:w="1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77"/>
              <w:spacing w:after="0"/>
              <w:rPr>
                <w:sz w:val="20"/>
                <w:szCs w:val="20"/>
                <w:color w:val="auto"/>
              </w:rPr>
            </w:pPr>
            <w:r>
              <w:rPr>
                <w:rFonts w:ascii="Arial" w:cs="Arial" w:eastAsia="Arial" w:hAnsi="Arial"/>
                <w:sz w:val="9"/>
                <w:szCs w:val="9"/>
                <w:b w:val="1"/>
                <w:bCs w:val="1"/>
                <w:color w:val="auto"/>
              </w:rPr>
              <w:t>Ownership</w:t>
            </w:r>
          </w:p>
        </w:tc>
        <w:tc>
          <w:tcPr>
            <w:tcW w:w="60" w:type="dxa"/>
            <w:vAlign w:val="bottom"/>
          </w:tcPr>
          <w:p>
            <w:pPr>
              <w:spacing w:after="0"/>
              <w:rPr>
                <w:sz w:val="11"/>
                <w:szCs w:val="11"/>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9"/>
                <w:szCs w:val="9"/>
                <w:b w:val="1"/>
                <w:bCs w:val="1"/>
                <w:color w:val="auto"/>
              </w:rPr>
              <w:t>Occupancy</w:t>
            </w:r>
          </w:p>
        </w:tc>
        <w:tc>
          <w:tcPr>
            <w:tcW w:w="8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PSF</w:t>
            </w:r>
            <w:r>
              <w:rPr>
                <w:rFonts w:ascii="Arial" w:cs="Arial" w:eastAsia="Arial" w:hAnsi="Arial"/>
                <w:sz w:val="11"/>
                <w:szCs w:val="11"/>
                <w:b w:val="1"/>
                <w:bCs w:val="1"/>
                <w:color w:val="auto"/>
                <w:w w:val="90"/>
                <w:vertAlign w:val="superscript"/>
              </w:rPr>
              <w:t>(1)</w:t>
            </w:r>
          </w:p>
        </w:tc>
        <w:tc>
          <w:tcPr>
            <w:tcW w:w="80" w:type="dxa"/>
            <w:vAlign w:val="bottom"/>
          </w:tcPr>
          <w:p>
            <w:pPr>
              <w:spacing w:after="0"/>
              <w:rPr>
                <w:sz w:val="11"/>
                <w:szCs w:val="11"/>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9"/>
              </w:rPr>
              <w:t>Rent</w:t>
            </w:r>
            <w:r>
              <w:rPr>
                <w:rFonts w:ascii="Arial" w:cs="Arial" w:eastAsia="Arial" w:hAnsi="Arial"/>
                <w:sz w:val="11"/>
                <w:szCs w:val="11"/>
                <w:b w:val="1"/>
                <w:bCs w:val="1"/>
                <w:color w:val="auto"/>
                <w:w w:val="89"/>
                <w:vertAlign w:val="superscript"/>
              </w:rPr>
              <w:t>(2)</w:t>
            </w:r>
          </w:p>
        </w:tc>
        <w:tc>
          <w:tcPr>
            <w:tcW w:w="76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1"/>
              </w:rPr>
              <w:t>Property</w:t>
            </w:r>
          </w:p>
        </w:tc>
        <w:tc>
          <w:tcPr>
            <w:tcW w:w="720" w:type="dxa"/>
            <w:vAlign w:val="bottom"/>
            <w:gridSpan w:val="2"/>
            <w:vMerge w:val="continue"/>
          </w:tcPr>
          <w:p>
            <w:pPr>
              <w:spacing w:after="0"/>
              <w:rPr>
                <w:sz w:val="11"/>
                <w:szCs w:val="11"/>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4"/>
              </w:rPr>
              <w:t>for Lease</w:t>
            </w:r>
          </w:p>
        </w:tc>
        <w:tc>
          <w:tcPr>
            <w:tcW w:w="760" w:type="dxa"/>
            <w:vAlign w:val="bottom"/>
            <w:gridSpan w:val="2"/>
          </w:tcPr>
          <w:p>
            <w:pPr>
              <w:jc w:val="center"/>
              <w:spacing w:after="0"/>
              <w:rPr>
                <w:sz w:val="20"/>
                <w:szCs w:val="20"/>
                <w:color w:val="auto"/>
              </w:rPr>
            </w:pPr>
            <w:r>
              <w:rPr>
                <w:rFonts w:ascii="Arial" w:cs="Arial" w:eastAsia="Arial" w:hAnsi="Arial"/>
                <w:sz w:val="9"/>
                <w:szCs w:val="9"/>
                <w:b w:val="1"/>
                <w:bCs w:val="1"/>
                <w:color w:val="auto"/>
                <w:w w:val="92"/>
              </w:rPr>
              <w:t>(in thousands)</w:t>
            </w:r>
            <w:r>
              <w:rPr>
                <w:rFonts w:ascii="Arial" w:cs="Arial" w:eastAsia="Arial" w:hAnsi="Arial"/>
                <w:sz w:val="11"/>
                <w:szCs w:val="11"/>
                <w:b w:val="1"/>
                <w:bCs w:val="1"/>
                <w:color w:val="auto"/>
                <w:w w:val="92"/>
                <w:vertAlign w:val="superscript"/>
              </w:rPr>
              <w:t>(3)</w:t>
            </w:r>
          </w:p>
        </w:tc>
        <w:tc>
          <w:tcPr>
            <w:tcW w:w="18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960" w:type="dxa"/>
            <w:vAlign w:val="bottom"/>
            <w:tcBorders>
              <w:top w:val="single" w:sz="8" w:color="auto"/>
            </w:tcBorders>
          </w:tcPr>
          <w:p>
            <w:pPr>
              <w:ind w:left="20"/>
              <w:spacing w:after="0"/>
              <w:rPr>
                <w:sz w:val="20"/>
                <w:szCs w:val="20"/>
                <w:color w:val="auto"/>
              </w:rPr>
            </w:pPr>
            <w:r>
              <w:rPr>
                <w:rFonts w:ascii="Arial" w:cs="Arial" w:eastAsia="Arial" w:hAnsi="Arial"/>
                <w:sz w:val="9"/>
                <w:szCs w:val="9"/>
                <w:b w:val="1"/>
                <w:bCs w:val="1"/>
                <w:color w:val="auto"/>
              </w:rPr>
              <w:t>NEW YORK OFFICE:</w:t>
            </w: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b w:val="1"/>
                <w:bCs w:val="1"/>
                <w:color w:val="auto"/>
              </w:rPr>
              <w:t>PENN District: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PENN 1</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Cisco, Hartford Fire Insurance, Stout Risius Ross*,</w:t>
            </w:r>
          </w:p>
        </w:tc>
        <w:tc>
          <w:tcPr>
            <w:tcW w:w="0" w:type="dxa"/>
            <w:vAlign w:val="bottom"/>
          </w:tcPr>
          <w:p>
            <w:pPr>
              <w:spacing w:after="0"/>
              <w:rPr>
                <w:sz w:val="1"/>
                <w:szCs w:val="1"/>
                <w:color w:val="auto"/>
              </w:rPr>
            </w:pPr>
          </w:p>
        </w:tc>
      </w:tr>
      <w:tr>
        <w:trPr>
          <w:trHeight w:val="129"/>
        </w:trPr>
        <w:tc>
          <w:tcPr>
            <w:tcW w:w="1960" w:type="dxa"/>
            <w:vAlign w:val="bottom"/>
          </w:tcPr>
          <w:p>
            <w:pPr>
              <w:ind w:left="280"/>
              <w:spacing w:after="0"/>
              <w:rPr>
                <w:sz w:val="20"/>
                <w:szCs w:val="20"/>
                <w:color w:val="auto"/>
              </w:rPr>
            </w:pPr>
            <w:r>
              <w:rPr>
                <w:rFonts w:ascii="Arial" w:cs="Arial" w:eastAsia="Arial" w:hAnsi="Arial"/>
                <w:sz w:val="9"/>
                <w:szCs w:val="9"/>
                <w:color w:val="auto"/>
              </w:rPr>
              <w:t>(ground leased through 2098)**</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Empire Healthchoice Assurance, Inc., United Healthcare Services, Inc.,</w:t>
            </w: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Siemens Mobility, WSP USA, Samsung, OnCloud*, Gusto, Inc*,</w:t>
            </w:r>
          </w:p>
        </w:tc>
        <w:tc>
          <w:tcPr>
            <w:tcW w:w="0" w:type="dxa"/>
            <w:vAlign w:val="bottom"/>
          </w:tcPr>
          <w:p>
            <w:pPr>
              <w:spacing w:after="0"/>
              <w:rPr>
                <w:sz w:val="1"/>
                <w:szCs w:val="1"/>
                <w:color w:val="auto"/>
              </w:rPr>
            </w:pPr>
          </w:p>
        </w:tc>
      </w:tr>
      <w:tr>
        <w:trPr>
          <w:trHeight w:val="129"/>
        </w:trPr>
        <w:tc>
          <w:tcPr>
            <w:tcW w:w="1960" w:type="dxa"/>
            <w:vAlign w:val="bottom"/>
          </w:tcPr>
          <w:p>
            <w:pPr>
              <w:ind w:left="540"/>
              <w:spacing w:after="0"/>
              <w:rPr>
                <w:sz w:val="20"/>
                <w:szCs w:val="20"/>
                <w:color w:val="auto"/>
              </w:rPr>
            </w:pPr>
            <w:r>
              <w:rPr>
                <w:rFonts w:ascii="Arial" w:cs="Arial" w:eastAsia="Arial" w:hAnsi="Arial"/>
                <w:sz w:val="9"/>
                <w:szCs w:val="9"/>
                <w:color w:val="auto"/>
              </w:rPr>
              <w:t>-Office</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900" w:type="dxa"/>
            <w:vAlign w:val="bottom"/>
            <w:gridSpan w:val="4"/>
          </w:tcPr>
          <w:p>
            <w:pPr>
              <w:jc w:val="right"/>
              <w:ind w:right="20"/>
              <w:spacing w:after="0"/>
              <w:rPr>
                <w:sz w:val="20"/>
                <w:szCs w:val="20"/>
                <w:color w:val="auto"/>
              </w:rPr>
            </w:pPr>
            <w:r>
              <w:rPr>
                <w:rFonts w:ascii="Arial" w:cs="Arial" w:eastAsia="Arial" w:hAnsi="Arial"/>
                <w:sz w:val="9"/>
                <w:szCs w:val="9"/>
                <w:color w:val="auto"/>
              </w:rPr>
              <w:t>96.2 %  $</w:t>
            </w:r>
          </w:p>
        </w:tc>
        <w:tc>
          <w:tcPr>
            <w:tcW w:w="620" w:type="dxa"/>
            <w:vAlign w:val="bottom"/>
          </w:tcPr>
          <w:p>
            <w:pPr>
              <w:jc w:val="right"/>
              <w:spacing w:after="0"/>
              <w:rPr>
                <w:sz w:val="20"/>
                <w:szCs w:val="20"/>
                <w:color w:val="auto"/>
              </w:rPr>
            </w:pPr>
            <w:r>
              <w:rPr>
                <w:rFonts w:ascii="Arial" w:cs="Arial" w:eastAsia="Arial" w:hAnsi="Arial"/>
                <w:sz w:val="9"/>
                <w:szCs w:val="9"/>
                <w:color w:val="auto"/>
              </w:rPr>
              <w:t>95.23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2,238,000</w:t>
            </w:r>
          </w:p>
        </w:tc>
        <w:tc>
          <w:tcPr>
            <w:tcW w:w="6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2,238,000</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Canaccord Genuity LLC, Roivant Sciences Inc.</w:t>
            </w:r>
          </w:p>
        </w:tc>
        <w:tc>
          <w:tcPr>
            <w:tcW w:w="0" w:type="dxa"/>
            <w:vAlign w:val="bottom"/>
          </w:tcPr>
          <w:p>
            <w:pPr>
              <w:spacing w:after="0"/>
              <w:rPr>
                <w:sz w:val="1"/>
                <w:szCs w:val="1"/>
                <w:color w:val="auto"/>
              </w:rPr>
            </w:pPr>
          </w:p>
        </w:tc>
      </w:tr>
      <w:tr>
        <w:trPr>
          <w:trHeight w:val="137"/>
        </w:trPr>
        <w:tc>
          <w:tcPr>
            <w:tcW w:w="1960" w:type="dxa"/>
            <w:vAlign w:val="bottom"/>
          </w:tcPr>
          <w:p>
            <w:pPr>
              <w:ind w:left="540"/>
              <w:spacing w:after="0"/>
              <w:rPr>
                <w:sz w:val="20"/>
                <w:szCs w:val="20"/>
                <w:color w:val="auto"/>
              </w:rPr>
            </w:pPr>
            <w:r>
              <w:rPr>
                <w:rFonts w:ascii="Arial" w:cs="Arial" w:eastAsia="Arial" w:hAnsi="Arial"/>
                <w:sz w:val="9"/>
                <w:szCs w:val="9"/>
                <w:color w:val="auto"/>
              </w:rPr>
              <w:t>-Retail</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58.3 %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196.10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239,000</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239,000</w:t>
            </w:r>
          </w:p>
        </w:tc>
        <w:tc>
          <w:tcPr>
            <w:tcW w:w="6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Starbucks, Blue Bottle Coffee Inc., Shake Shack</w:t>
            </w: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92.7 %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101.14</w:t>
            </w:r>
          </w:p>
        </w:tc>
        <w:tc>
          <w:tcPr>
            <w:tcW w:w="1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229,900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2,477,000</w:t>
            </w:r>
          </w:p>
        </w:tc>
        <w:tc>
          <w:tcPr>
            <w:tcW w:w="60" w:type="dxa"/>
            <w:vAlign w:val="bottom"/>
          </w:tcPr>
          <w:p>
            <w:pPr>
              <w:spacing w:after="0"/>
              <w:rPr>
                <w:sz w:val="9"/>
                <w:szCs w:val="9"/>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2,477,000</w:t>
            </w:r>
          </w:p>
        </w:tc>
        <w:tc>
          <w:tcPr>
            <w:tcW w:w="60" w:type="dxa"/>
            <w:vAlign w:val="bottom"/>
          </w:tcPr>
          <w:p>
            <w:pPr>
              <w:spacing w:after="0"/>
              <w:rPr>
                <w:sz w:val="9"/>
                <w:szCs w:val="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PENN 2</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Madison Square Garden, Major League Soccer LLC, Veeva Systems,</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UMG Recordings, Inc.*, Current, Capgemini*, Altana Technologies*,</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92.1 %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107.98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1,759,000</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1,759,000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Verizon, Pernod Ricard, FGS Global*, Dick’s Sporting Goods</w:t>
            </w:r>
          </w:p>
        </w:tc>
        <w:tc>
          <w:tcPr>
            <w:tcW w:w="0" w:type="dxa"/>
            <w:vAlign w:val="bottom"/>
          </w:tcPr>
          <w:p>
            <w:pPr>
              <w:spacing w:after="0"/>
              <w:rPr>
                <w:sz w:val="1"/>
                <w:szCs w:val="1"/>
                <w:color w:val="auto"/>
              </w:rPr>
            </w:pPr>
          </w:p>
        </w:tc>
      </w:tr>
      <w:tr>
        <w:trPr>
          <w:trHeight w:val="137"/>
        </w:trPr>
        <w:tc>
          <w:tcPr>
            <w:tcW w:w="1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62.9 %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226.60</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66,000</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66,000</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JPMorgan Chase</w:t>
            </w: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91.1 %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110.93</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184,000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1,825,000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1,825,000</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575,000</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6"/>
                <w:szCs w:val="6"/>
                <w:b w:val="1"/>
                <w:bCs w:val="1"/>
                <w:color w:val="auto"/>
                <w:w w:val="81"/>
              </w:rPr>
              <w:t>(4)</w:t>
            </w: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960" w:type="dxa"/>
            <w:vAlign w:val="bottom"/>
          </w:tcPr>
          <w:p>
            <w:pPr>
              <w:ind w:left="20"/>
              <w:spacing w:after="0" w:line="87" w:lineRule="exact"/>
              <w:rPr>
                <w:sz w:val="20"/>
                <w:szCs w:val="20"/>
                <w:color w:val="auto"/>
              </w:rPr>
            </w:pPr>
            <w:r>
              <w:rPr>
                <w:rFonts w:ascii="Arial" w:cs="Arial" w:eastAsia="Arial" w:hAnsi="Arial"/>
                <w:sz w:val="9"/>
                <w:szCs w:val="9"/>
                <w:color w:val="auto"/>
              </w:rPr>
              <w:t>The Farley Building</w:t>
            </w: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60" w:type="dxa"/>
            <w:vAlign w:val="bottom"/>
          </w:tcPr>
          <w:p>
            <w:pPr>
              <w:ind w:left="280"/>
              <w:spacing w:after="0" w:line="86" w:lineRule="exact"/>
              <w:rPr>
                <w:sz w:val="20"/>
                <w:szCs w:val="20"/>
                <w:color w:val="auto"/>
              </w:rPr>
            </w:pPr>
            <w:r>
              <w:rPr>
                <w:rFonts w:ascii="Arial" w:cs="Arial" w:eastAsia="Arial" w:hAnsi="Arial"/>
                <w:sz w:val="9"/>
                <w:szCs w:val="9"/>
                <w:color w:val="auto"/>
              </w:rPr>
              <w:t>(ground and building leased through</w:t>
            </w: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80"/>
              <w:spacing w:after="0"/>
              <w:rPr>
                <w:sz w:val="20"/>
                <w:szCs w:val="20"/>
                <w:color w:val="auto"/>
              </w:rPr>
            </w:pPr>
            <w:r>
              <w:rPr>
                <w:rFonts w:ascii="Arial" w:cs="Arial" w:eastAsia="Arial" w:hAnsi="Arial"/>
                <w:sz w:val="9"/>
                <w:szCs w:val="9"/>
                <w:color w:val="auto"/>
              </w:rPr>
              <w:t>2116)**</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60" w:type="dxa"/>
            <w:vAlign w:val="bottom"/>
          </w:tcPr>
          <w:p>
            <w:pPr>
              <w:ind w:left="540"/>
              <w:spacing w:after="0"/>
              <w:rPr>
                <w:sz w:val="20"/>
                <w:szCs w:val="20"/>
                <w:color w:val="auto"/>
              </w:rPr>
            </w:pPr>
            <w:r>
              <w:rPr>
                <w:rFonts w:ascii="Arial" w:cs="Arial" w:eastAsia="Arial" w:hAnsi="Arial"/>
                <w:sz w:val="9"/>
                <w:szCs w:val="9"/>
                <w:color w:val="auto"/>
              </w:rPr>
              <w:t>-Office</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95.0 %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120.55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88,000</w:t>
            </w: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733,000</w:t>
            </w:r>
          </w:p>
        </w:tc>
        <w:tc>
          <w:tcPr>
            <w:tcW w:w="6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733,000</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Meta Platforms, Inc.</w:t>
            </w: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PENN 11</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94.7 %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75.79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1,120,000</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1,120,000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Apple Inc., Madison Square Garden, AMC Networks, Inc., Macy's</w:t>
            </w:r>
          </w:p>
        </w:tc>
        <w:tc>
          <w:tcPr>
            <w:tcW w:w="0" w:type="dxa"/>
            <w:vAlign w:val="bottom"/>
          </w:tcPr>
          <w:p>
            <w:pPr>
              <w:spacing w:after="0"/>
              <w:rPr>
                <w:sz w:val="1"/>
                <w:szCs w:val="1"/>
                <w:color w:val="auto"/>
              </w:rPr>
            </w:pPr>
          </w:p>
        </w:tc>
      </w:tr>
      <w:tr>
        <w:trPr>
          <w:trHeight w:val="137"/>
        </w:trPr>
        <w:tc>
          <w:tcPr>
            <w:tcW w:w="1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41.1 %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237.79</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39,000</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39,000</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PNC Bank National Association, Starbucks</w:t>
            </w: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92.5 %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77.93</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77,800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1,159,000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1,159,000</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450,000</w:t>
            </w: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100 West 33rd Street</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60" w:type="dxa"/>
            <w:vAlign w:val="bottom"/>
          </w:tcPr>
          <w:p>
            <w:pPr>
              <w:ind w:left="540"/>
              <w:spacing w:after="0"/>
              <w:rPr>
                <w:sz w:val="20"/>
                <w:szCs w:val="20"/>
                <w:color w:val="auto"/>
              </w:rPr>
            </w:pPr>
            <w:r>
              <w:rPr>
                <w:rFonts w:ascii="Arial" w:cs="Arial" w:eastAsia="Arial" w:hAnsi="Arial"/>
                <w:sz w:val="9"/>
                <w:szCs w:val="9"/>
                <w:color w:val="auto"/>
              </w:rPr>
              <w:t>-Office</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87.4 %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69.39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858,000</w:t>
            </w:r>
          </w:p>
        </w:tc>
        <w:tc>
          <w:tcPr>
            <w:tcW w:w="6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858,000</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Omnicom (formerly IPG and affiliates)</w:t>
            </w:r>
          </w:p>
        </w:tc>
        <w:tc>
          <w:tcPr>
            <w:tcW w:w="0" w:type="dxa"/>
            <w:vAlign w:val="bottom"/>
          </w:tcPr>
          <w:p>
            <w:pPr>
              <w:spacing w:after="0"/>
              <w:rPr>
                <w:sz w:val="1"/>
                <w:szCs w:val="1"/>
                <w:color w:val="auto"/>
              </w:rPr>
            </w:pPr>
          </w:p>
        </w:tc>
      </w:tr>
      <w:tr>
        <w:trPr>
          <w:trHeight w:val="137"/>
        </w:trPr>
        <w:tc>
          <w:tcPr>
            <w:tcW w:w="1960" w:type="dxa"/>
            <w:vAlign w:val="bottom"/>
          </w:tcPr>
          <w:p>
            <w:pPr>
              <w:ind w:left="540"/>
              <w:spacing w:after="0"/>
              <w:rPr>
                <w:sz w:val="20"/>
                <w:szCs w:val="20"/>
                <w:color w:val="auto"/>
              </w:rPr>
            </w:pPr>
            <w:r>
              <w:rPr>
                <w:rFonts w:ascii="Arial" w:cs="Arial" w:eastAsia="Arial" w:hAnsi="Arial"/>
                <w:sz w:val="9"/>
                <w:szCs w:val="9"/>
                <w:color w:val="auto"/>
              </w:rPr>
              <w:t>-Retail</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60" w:type="dxa"/>
            <w:vAlign w:val="bottom"/>
          </w:tcPr>
          <w:p>
            <w:pPr>
              <w:spacing w:after="0"/>
              <w:rPr>
                <w:sz w:val="11"/>
                <w:szCs w:val="11"/>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9"/>
                <w:szCs w:val="9"/>
                <w:color w:val="auto"/>
              </w:rPr>
              <w:t>— %</w:t>
            </w:r>
          </w:p>
        </w:tc>
        <w:tc>
          <w:tcPr>
            <w:tcW w:w="8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257,000</w:t>
            </w: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257,000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87.4 %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69.39</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52,600</w:t>
            </w:r>
          </w:p>
        </w:tc>
        <w:tc>
          <w:tcPr>
            <w:tcW w:w="80" w:type="dxa"/>
            <w:vAlign w:val="bottom"/>
          </w:tcPr>
          <w:p>
            <w:pPr>
              <w:spacing w:after="0"/>
              <w:rPr>
                <w:sz w:val="9"/>
                <w:szCs w:val="9"/>
                <w:color w:val="auto"/>
              </w:rPr>
            </w:pP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9"/>
                <w:szCs w:val="9"/>
                <w:color w:val="auto"/>
              </w:rPr>
              <w:t>1,115,000</w:t>
            </w:r>
          </w:p>
        </w:tc>
        <w:tc>
          <w:tcPr>
            <w:tcW w:w="60" w:type="dxa"/>
            <w:vAlign w:val="bottom"/>
          </w:tcPr>
          <w:p>
            <w:pPr>
              <w:spacing w:after="0"/>
              <w:rPr>
                <w:sz w:val="9"/>
                <w:szCs w:val="9"/>
                <w:color w:val="auto"/>
              </w:rPr>
            </w:pP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9"/>
                <w:szCs w:val="9"/>
                <w:color w:val="auto"/>
              </w:rPr>
              <w:t>858,000</w:t>
            </w:r>
          </w:p>
        </w:tc>
        <w:tc>
          <w:tcPr>
            <w:tcW w:w="60" w:type="dxa"/>
            <w:vAlign w:val="bottom"/>
          </w:tcPr>
          <w:p>
            <w:pPr>
              <w:spacing w:after="0"/>
              <w:rPr>
                <w:sz w:val="9"/>
                <w:szCs w:val="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257,000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480,000</w:t>
            </w: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330 West 34th Street</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280"/>
              <w:spacing w:after="0"/>
              <w:rPr>
                <w:sz w:val="20"/>
                <w:szCs w:val="20"/>
                <w:color w:val="auto"/>
              </w:rPr>
            </w:pPr>
            <w:r>
              <w:rPr>
                <w:rFonts w:ascii="Arial" w:cs="Arial" w:eastAsia="Arial" w:hAnsi="Arial"/>
                <w:sz w:val="9"/>
                <w:szCs w:val="9"/>
                <w:color w:val="auto"/>
              </w:rPr>
              <w:t>(65.2% ground leased through 2149)**</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94.9 %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83.81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702,000</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702,000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Structure Tone, Deutsch, Inc., HomeAdvisor, Inc., WeWork, Rippling*</w:t>
            </w:r>
          </w:p>
        </w:tc>
        <w:tc>
          <w:tcPr>
            <w:tcW w:w="0" w:type="dxa"/>
            <w:vAlign w:val="bottom"/>
          </w:tcPr>
          <w:p>
            <w:pPr>
              <w:spacing w:after="0"/>
              <w:rPr>
                <w:sz w:val="1"/>
                <w:szCs w:val="1"/>
                <w:color w:val="auto"/>
              </w:rPr>
            </w:pPr>
          </w:p>
        </w:tc>
      </w:tr>
      <w:tr>
        <w:trPr>
          <w:trHeight w:val="137"/>
        </w:trPr>
        <w:tc>
          <w:tcPr>
            <w:tcW w:w="1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85.5 %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123.45</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24,000</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24,000</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Starbucks</w:t>
            </w: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94.6 %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84.79</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56,300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726,000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726,000</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100,000</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6"/>
                <w:szCs w:val="6"/>
                <w:b w:val="1"/>
                <w:bCs w:val="1"/>
                <w:color w:val="auto"/>
                <w:w w:val="81"/>
              </w:rPr>
              <w:t>(5)</w:t>
            </w: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7 West 34th Street</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60" w:type="dxa"/>
            <w:vAlign w:val="bottom"/>
          </w:tcPr>
          <w:p>
            <w:pPr>
              <w:ind w:left="540"/>
              <w:spacing w:after="0"/>
              <w:rPr>
                <w:sz w:val="20"/>
                <w:szCs w:val="20"/>
                <w:color w:val="auto"/>
              </w:rPr>
            </w:pPr>
            <w:r>
              <w:rPr>
                <w:rFonts w:ascii="Arial" w:cs="Arial" w:eastAsia="Arial" w:hAnsi="Arial"/>
                <w:sz w:val="9"/>
                <w:szCs w:val="9"/>
                <w:color w:val="auto"/>
              </w:rPr>
              <w:t>-Office</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53.0 %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85.59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458,000</w:t>
            </w:r>
          </w:p>
        </w:tc>
        <w:tc>
          <w:tcPr>
            <w:tcW w:w="6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458,000</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Amazon</w:t>
            </w:r>
          </w:p>
        </w:tc>
        <w:tc>
          <w:tcPr>
            <w:tcW w:w="0" w:type="dxa"/>
            <w:vAlign w:val="bottom"/>
          </w:tcPr>
          <w:p>
            <w:pPr>
              <w:spacing w:after="0"/>
              <w:rPr>
                <w:sz w:val="1"/>
                <w:szCs w:val="1"/>
                <w:color w:val="auto"/>
              </w:rPr>
            </w:pPr>
          </w:p>
        </w:tc>
      </w:tr>
      <w:tr>
        <w:trPr>
          <w:trHeight w:val="137"/>
        </w:trPr>
        <w:tc>
          <w:tcPr>
            <w:tcW w:w="1960" w:type="dxa"/>
            <w:vAlign w:val="bottom"/>
          </w:tcPr>
          <w:p>
            <w:pPr>
              <w:ind w:left="540"/>
              <w:spacing w:after="0"/>
              <w:rPr>
                <w:sz w:val="20"/>
                <w:szCs w:val="20"/>
                <w:color w:val="auto"/>
              </w:rPr>
            </w:pPr>
            <w:r>
              <w:rPr>
                <w:rFonts w:ascii="Arial" w:cs="Arial" w:eastAsia="Arial" w:hAnsi="Arial"/>
                <w:sz w:val="9"/>
                <w:szCs w:val="9"/>
                <w:color w:val="auto"/>
              </w:rPr>
              <w:t>-Retail</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53.0 %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89.6 %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369.78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19,000</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19,000</w:t>
            </w:r>
          </w:p>
        </w:tc>
        <w:tc>
          <w:tcPr>
            <w:tcW w:w="6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Amazon, Lindt</w:t>
            </w: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53.0 %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99.6 %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96.39</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44,800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477,000</w:t>
            </w:r>
          </w:p>
        </w:tc>
        <w:tc>
          <w:tcPr>
            <w:tcW w:w="60" w:type="dxa"/>
            <w:vAlign w:val="bottom"/>
          </w:tcPr>
          <w:p>
            <w:pPr>
              <w:spacing w:after="0"/>
              <w:rPr>
                <w:sz w:val="9"/>
                <w:szCs w:val="9"/>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477,000</w:t>
            </w:r>
          </w:p>
        </w:tc>
        <w:tc>
          <w:tcPr>
            <w:tcW w:w="60" w:type="dxa"/>
            <w:vAlign w:val="bottom"/>
          </w:tcPr>
          <w:p>
            <w:pPr>
              <w:spacing w:after="0"/>
              <w:rPr>
                <w:sz w:val="9"/>
                <w:szCs w:val="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250,000</w:t>
            </w: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960" w:type="dxa"/>
            <w:vAlign w:val="bottom"/>
          </w:tcPr>
          <w:p>
            <w:pPr>
              <w:spacing w:after="0"/>
              <w:rPr>
                <w:sz w:val="14"/>
                <w:szCs w:val="14"/>
                <w:color w:val="auto"/>
              </w:rPr>
            </w:pPr>
          </w:p>
        </w:tc>
        <w:tc>
          <w:tcPr>
            <w:tcW w:w="7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PENN 15</w:t>
            </w:r>
            <w:r>
              <w:rPr>
                <w:rFonts w:ascii="Arial" w:cs="Arial" w:eastAsia="Arial" w:hAnsi="Arial"/>
                <w:sz w:val="11"/>
                <w:szCs w:val="11"/>
                <w:b w:val="1"/>
                <w:bCs w:val="1"/>
                <w:color w:val="auto"/>
                <w:vertAlign w:val="superscript"/>
              </w:rPr>
              <w:t>(6)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9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960" w:type="dxa"/>
            <w:vAlign w:val="bottom"/>
          </w:tcPr>
          <w:p>
            <w:pPr>
              <w:ind w:left="540"/>
              <w:spacing w:after="0"/>
              <w:rPr>
                <w:sz w:val="20"/>
                <w:szCs w:val="20"/>
                <w:color w:val="auto"/>
              </w:rPr>
            </w:pPr>
            <w:r>
              <w:rPr>
                <w:rFonts w:ascii="Arial" w:cs="Arial" w:eastAsia="Arial" w:hAnsi="Arial"/>
                <w:sz w:val="9"/>
                <w:szCs w:val="9"/>
                <w:color w:val="auto"/>
              </w:rPr>
              <w:t>Total PENN District</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733,400</w:t>
            </w:r>
          </w:p>
        </w:tc>
        <w:tc>
          <w:tcPr>
            <w:tcW w:w="80" w:type="dxa"/>
            <w:vAlign w:val="bottom"/>
          </w:tcPr>
          <w:p>
            <w:pPr>
              <w:spacing w:after="0"/>
              <w:rPr>
                <w:sz w:val="9"/>
                <w:szCs w:val="9"/>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8,512,000</w:t>
            </w:r>
          </w:p>
        </w:tc>
        <w:tc>
          <w:tcPr>
            <w:tcW w:w="60" w:type="dxa"/>
            <w:vAlign w:val="bottom"/>
          </w:tcPr>
          <w:p>
            <w:pPr>
              <w:spacing w:after="0"/>
              <w:rPr>
                <w:sz w:val="9"/>
                <w:szCs w:val="9"/>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8,255,000</w:t>
            </w:r>
          </w:p>
        </w:tc>
        <w:tc>
          <w:tcPr>
            <w:tcW w:w="60" w:type="dxa"/>
            <w:vAlign w:val="bottom"/>
          </w:tcPr>
          <w:p>
            <w:pPr>
              <w:spacing w:after="0"/>
              <w:rPr>
                <w:sz w:val="9"/>
                <w:szCs w:val="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257,000</w:t>
            </w: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1,855,000</w:t>
            </w: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- 36 -</w:t>
      </w:r>
    </w:p>
    <w:p>
      <w:pPr>
        <w:sectPr>
          <w:pgSz w:w="11900" w:h="16838" w:orient="portrait"/>
          <w:cols w:equalWidth="0" w:num="1">
            <w:col w:w="11280"/>
          </w:cols>
          <w:pgMar w:left="300" w:top="988"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PROPERTY TABLE</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6"/>
          </w:tcPr>
          <w:p>
            <w:pPr>
              <w:ind w:left="380"/>
              <w:spacing w:after="0"/>
              <w:rPr>
                <w:sz w:val="20"/>
                <w:szCs w:val="20"/>
                <w:color w:val="auto"/>
              </w:rPr>
            </w:pPr>
            <w:r>
              <w:rPr>
                <w:rFonts w:ascii="Arial" w:cs="Arial" w:eastAsia="Arial" w:hAnsi="Arial"/>
                <w:sz w:val="17"/>
                <w:szCs w:val="17"/>
                <w:b w:val="1"/>
                <w:bCs w:val="1"/>
                <w:color w:val="auto"/>
              </w:rPr>
              <w:t>NEW YORK OFFICE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9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940" w:type="dxa"/>
            <w:vAlign w:val="bottom"/>
          </w:tcPr>
          <w:p>
            <w:pPr>
              <w:ind w:left="20"/>
              <w:spacing w:after="0" w:line="77" w:lineRule="exact"/>
              <w:rPr>
                <w:sz w:val="20"/>
                <w:szCs w:val="20"/>
                <w:color w:val="auto"/>
              </w:rPr>
            </w:pPr>
            <w:r>
              <w:rPr>
                <w:rFonts w:ascii="Arial" w:cs="Arial" w:eastAsia="Arial" w:hAnsi="Arial"/>
                <w:sz w:val="8"/>
                <w:szCs w:val="8"/>
                <w:color w:val="auto"/>
              </w:rPr>
              <w:t>(Annualized escalated rent amounts in</w:t>
            </w: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9"/>
                <w:szCs w:val="9"/>
                <w:b w:val="1"/>
                <w:bCs w:val="1"/>
                <w:color w:val="auto"/>
                <w:w w:val="93"/>
              </w:rPr>
              <w:t>Square Feet</w:t>
            </w: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940" w:type="dxa"/>
            <w:vAlign w:val="bottom"/>
          </w:tcPr>
          <w:p>
            <w:pPr>
              <w:ind w:left="20"/>
              <w:spacing w:after="0"/>
              <w:rPr>
                <w:sz w:val="20"/>
                <w:szCs w:val="20"/>
                <w:color w:val="auto"/>
              </w:rPr>
            </w:pPr>
            <w:r>
              <w:rPr>
                <w:rFonts w:ascii="Arial" w:cs="Arial" w:eastAsia="Arial" w:hAnsi="Arial"/>
                <w:sz w:val="9"/>
                <w:szCs w:val="9"/>
                <w:color w:val="auto"/>
              </w:rPr>
              <w:t>thousands)</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58"/>
              <w:spacing w:after="0"/>
              <w:rPr>
                <w:sz w:val="20"/>
                <w:szCs w:val="20"/>
                <w:color w:val="auto"/>
              </w:rPr>
            </w:pPr>
            <w:r>
              <w:rPr>
                <w:rFonts w:ascii="Arial" w:cs="Arial" w:eastAsia="Arial" w:hAnsi="Arial"/>
                <w:sz w:val="9"/>
                <w:szCs w:val="9"/>
                <w:b w:val="1"/>
                <w:bCs w:val="1"/>
                <w:color w:val="auto"/>
                <w:w w:val="98"/>
              </w:rPr>
              <w:t>Weighted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2"/>
              </w:rPr>
              <w:t>Under</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38"/>
              <w:spacing w:after="0" w:line="86" w:lineRule="exact"/>
              <w:rPr>
                <w:sz w:val="20"/>
                <w:szCs w:val="20"/>
                <w:color w:val="auto"/>
              </w:rPr>
            </w:pPr>
            <w:r>
              <w:rPr>
                <w:rFonts w:ascii="Arial" w:cs="Arial" w:eastAsia="Arial" w:hAnsi="Arial"/>
                <w:sz w:val="9"/>
                <w:szCs w:val="9"/>
                <w:b w:val="1"/>
                <w:bCs w:val="1"/>
                <w:color w:val="auto"/>
                <w:w w:val="95"/>
              </w:rPr>
              <w:t>Average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5"/>
              </w:rPr>
              <w:t>Annualized</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9"/>
                <w:szCs w:val="9"/>
                <w:b w:val="1"/>
                <w:bCs w:val="1"/>
                <w:color w:val="auto"/>
                <w:w w:val="96"/>
              </w:rPr>
              <w:t>Encumbrances</w:t>
            </w:r>
          </w:p>
        </w:tc>
        <w:tc>
          <w:tcPr>
            <w:tcW w:w="1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Pr>
          <w:p>
            <w:pPr>
              <w:spacing w:after="0"/>
              <w:rPr>
                <w:sz w:val="7"/>
                <w:szCs w:val="7"/>
                <w:color w:val="auto"/>
              </w:rPr>
            </w:pPr>
          </w:p>
        </w:tc>
        <w:tc>
          <w:tcPr>
            <w:tcW w:w="620" w:type="dxa"/>
            <w:vAlign w:val="bottom"/>
            <w:gridSpan w:val="2"/>
            <w:vMerge w:val="restart"/>
          </w:tcPr>
          <w:p>
            <w:pPr>
              <w:jc w:val="right"/>
              <w:ind w:right="137"/>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jc w:val="right"/>
              <w:ind w:right="257"/>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58"/>
              <w:spacing w:after="0" w:line="86" w:lineRule="exact"/>
              <w:rPr>
                <w:sz w:val="20"/>
                <w:szCs w:val="20"/>
                <w:color w:val="auto"/>
              </w:rPr>
            </w:pPr>
            <w:r>
              <w:rPr>
                <w:rFonts w:ascii="Arial" w:cs="Arial" w:eastAsia="Arial" w:hAnsi="Arial"/>
                <w:sz w:val="9"/>
                <w:szCs w:val="9"/>
                <w:b w:val="1"/>
                <w:bCs w:val="1"/>
                <w:color w:val="auto"/>
                <w:w w:val="95"/>
              </w:rPr>
              <w:t>Escalated</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2"/>
              </w:rPr>
              <w:t>Total</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5"/>
              </w:rPr>
              <w:t>Development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vMerge w:val="restart"/>
          </w:tcPr>
          <w:p>
            <w:pPr>
              <w:ind w:left="800"/>
              <w:spacing w:after="0"/>
              <w:rPr>
                <w:sz w:val="20"/>
                <w:szCs w:val="20"/>
                <w:color w:val="auto"/>
              </w:rPr>
            </w:pPr>
            <w:r>
              <w:rPr>
                <w:rFonts w:ascii="Arial" w:cs="Arial" w:eastAsia="Arial" w:hAnsi="Arial"/>
                <w:sz w:val="9"/>
                <w:szCs w:val="9"/>
                <w:b w:val="1"/>
                <w:bCs w:val="1"/>
                <w:color w:val="auto"/>
              </w:rPr>
              <w:t>Property</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58"/>
              <w:spacing w:after="0" w:line="86" w:lineRule="exact"/>
              <w:rPr>
                <w:sz w:val="20"/>
                <w:szCs w:val="20"/>
                <w:color w:val="auto"/>
              </w:rPr>
            </w:pPr>
            <w:r>
              <w:rPr>
                <w:rFonts w:ascii="Arial" w:cs="Arial" w:eastAsia="Arial" w:hAnsi="Arial"/>
                <w:sz w:val="9"/>
                <w:szCs w:val="9"/>
                <w:b w:val="1"/>
                <w:bCs w:val="1"/>
                <w:color w:val="auto"/>
                <w:w w:val="98"/>
              </w:rPr>
              <w:t>Annual Rent</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40"/>
              <w:spacing w:after="0" w:line="86" w:lineRule="exact"/>
              <w:rPr>
                <w:sz w:val="20"/>
                <w:szCs w:val="20"/>
                <w:color w:val="auto"/>
              </w:rPr>
            </w:pPr>
            <w:r>
              <w:rPr>
                <w:rFonts w:ascii="Arial" w:cs="Arial" w:eastAsia="Arial" w:hAnsi="Arial"/>
                <w:sz w:val="9"/>
                <w:szCs w:val="9"/>
                <w:b w:val="1"/>
                <w:bCs w:val="1"/>
                <w:color w:val="auto"/>
                <w:w w:val="95"/>
              </w:rPr>
              <w:t>Escalated</w:t>
            </w:r>
          </w:p>
        </w:tc>
        <w:tc>
          <w:tcPr>
            <w:tcW w:w="760" w:type="dxa"/>
            <w:vAlign w:val="bottom"/>
            <w:gridSpan w:val="2"/>
            <w:vMerge w:val="continue"/>
          </w:tcPr>
          <w:p>
            <w:pPr>
              <w:spacing w:after="0"/>
              <w:rPr>
                <w:sz w:val="7"/>
                <w:szCs w:val="7"/>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8"/>
              </w:rPr>
              <w:t>In Service</w:t>
            </w:r>
          </w:p>
        </w:tc>
        <w:tc>
          <w:tcPr>
            <w:tcW w:w="72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6"/>
              </w:rPr>
              <w:t>or Not Available</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jc w:val="center"/>
              <w:ind w:right="17"/>
              <w:spacing w:after="0" w:line="86" w:lineRule="exact"/>
              <w:rPr>
                <w:sz w:val="20"/>
                <w:szCs w:val="20"/>
                <w:color w:val="auto"/>
              </w:rPr>
            </w:pPr>
            <w:r>
              <w:rPr>
                <w:rFonts w:ascii="Arial" w:cs="Arial" w:eastAsia="Arial" w:hAnsi="Arial"/>
                <w:sz w:val="9"/>
                <w:szCs w:val="9"/>
                <w:b w:val="1"/>
                <w:bCs w:val="1"/>
                <w:color w:val="auto"/>
                <w:w w:val="93"/>
              </w:rPr>
              <w:t>(non-GAAP)</w:t>
            </w:r>
          </w:p>
        </w:tc>
        <w:tc>
          <w:tcPr>
            <w:tcW w:w="180" w:type="dxa"/>
            <w:vAlign w:val="bottom"/>
          </w:tcPr>
          <w:p>
            <w:pPr>
              <w:spacing w:after="0"/>
              <w:rPr>
                <w:sz w:val="7"/>
                <w:szCs w:val="7"/>
                <w:color w:val="auto"/>
              </w:rPr>
            </w:pPr>
          </w:p>
        </w:tc>
        <w:tc>
          <w:tcPr>
            <w:tcW w:w="2980" w:type="dxa"/>
            <w:vAlign w:val="bottom"/>
            <w:vMerge w:val="restart"/>
          </w:tcPr>
          <w:p>
            <w:pPr>
              <w:ind w:left="1200"/>
              <w:spacing w:after="0"/>
              <w:rPr>
                <w:sz w:val="20"/>
                <w:szCs w:val="20"/>
                <w:color w:val="auto"/>
              </w:rPr>
            </w:pPr>
            <w:r>
              <w:rPr>
                <w:rFonts w:ascii="Arial" w:cs="Arial" w:eastAsia="Arial" w:hAnsi="Arial"/>
                <w:sz w:val="9"/>
                <w:szCs w:val="9"/>
                <w:b w:val="1"/>
                <w:bCs w:val="1"/>
                <w:color w:val="auto"/>
              </w:rPr>
              <w:t>Major Tenants</w:t>
            </w:r>
          </w:p>
        </w:tc>
        <w:tc>
          <w:tcPr>
            <w:tcW w:w="0" w:type="dxa"/>
            <w:vAlign w:val="bottom"/>
          </w:tcPr>
          <w:p>
            <w:pPr>
              <w:spacing w:after="0"/>
              <w:rPr>
                <w:sz w:val="1"/>
                <w:szCs w:val="1"/>
                <w:color w:val="auto"/>
              </w:rPr>
            </w:pPr>
          </w:p>
        </w:tc>
      </w:tr>
      <w:tr>
        <w:trPr>
          <w:trHeight w:val="129"/>
        </w:trPr>
        <w:tc>
          <w:tcPr>
            <w:tcW w:w="1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12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Occupancy</w:t>
            </w:r>
          </w:p>
        </w:tc>
        <w:tc>
          <w:tcPr>
            <w:tcW w:w="80" w:type="dxa"/>
            <w:vAlign w:val="bottom"/>
          </w:tcPr>
          <w:p>
            <w:pPr>
              <w:spacing w:after="0"/>
              <w:rPr>
                <w:sz w:val="11"/>
                <w:szCs w:val="11"/>
                <w:color w:val="auto"/>
              </w:rPr>
            </w:pPr>
          </w:p>
        </w:tc>
        <w:tc>
          <w:tcPr>
            <w:tcW w:w="62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8"/>
                <w:vertAlign w:val="subscript"/>
              </w:rPr>
              <w:t>PSF</w:t>
            </w:r>
            <w:r>
              <w:rPr>
                <w:rFonts w:ascii="Arial" w:cs="Arial" w:eastAsia="Arial" w:hAnsi="Arial"/>
                <w:sz w:val="5"/>
                <w:szCs w:val="5"/>
                <w:b w:val="1"/>
                <w:bCs w:val="1"/>
                <w:color w:val="auto"/>
                <w:w w:val="98"/>
              </w:rPr>
              <w:t>(1)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9"/>
              </w:rPr>
              <w:t>Rent</w:t>
            </w:r>
            <w:r>
              <w:rPr>
                <w:rFonts w:ascii="Arial" w:cs="Arial" w:eastAsia="Arial" w:hAnsi="Arial"/>
                <w:sz w:val="11"/>
                <w:szCs w:val="11"/>
                <w:b w:val="1"/>
                <w:bCs w:val="1"/>
                <w:color w:val="auto"/>
                <w:w w:val="89"/>
                <w:vertAlign w:val="superscript"/>
              </w:rPr>
              <w:t>(2)</w:t>
            </w:r>
          </w:p>
        </w:tc>
        <w:tc>
          <w:tcPr>
            <w:tcW w:w="76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1"/>
              </w:rPr>
              <w:t>Property</w:t>
            </w:r>
          </w:p>
        </w:tc>
        <w:tc>
          <w:tcPr>
            <w:tcW w:w="720" w:type="dxa"/>
            <w:vAlign w:val="bottom"/>
            <w:gridSpan w:val="2"/>
            <w:vMerge w:val="continue"/>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4"/>
              </w:rPr>
              <w:t>for Lease</w:t>
            </w:r>
          </w:p>
        </w:tc>
        <w:tc>
          <w:tcPr>
            <w:tcW w:w="8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9"/>
                <w:szCs w:val="9"/>
                <w:b w:val="1"/>
                <w:bCs w:val="1"/>
                <w:color w:val="auto"/>
                <w:w w:val="92"/>
              </w:rPr>
              <w:t>(in thousands)</w:t>
            </w:r>
            <w:r>
              <w:rPr>
                <w:rFonts w:ascii="Arial" w:cs="Arial" w:eastAsia="Arial" w:hAnsi="Arial"/>
                <w:sz w:val="11"/>
                <w:szCs w:val="11"/>
                <w:b w:val="1"/>
                <w:bCs w:val="1"/>
                <w:color w:val="auto"/>
                <w:w w:val="92"/>
                <w:vertAlign w:val="superscript"/>
              </w:rPr>
              <w:t>(3)</w:t>
            </w:r>
          </w:p>
        </w:tc>
        <w:tc>
          <w:tcPr>
            <w:tcW w:w="18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940" w:type="dxa"/>
            <w:vAlign w:val="bottom"/>
            <w:tcBorders>
              <w:top w:val="single" w:sz="8" w:color="auto"/>
            </w:tcBorders>
          </w:tcPr>
          <w:p>
            <w:pPr>
              <w:ind w:left="20"/>
              <w:spacing w:after="0"/>
              <w:rPr>
                <w:sz w:val="20"/>
                <w:szCs w:val="20"/>
                <w:color w:val="auto"/>
              </w:rPr>
            </w:pPr>
            <w:r>
              <w:rPr>
                <w:rFonts w:ascii="Arial" w:cs="Arial" w:eastAsia="Arial" w:hAnsi="Arial"/>
                <w:sz w:val="9"/>
                <w:szCs w:val="9"/>
                <w:b w:val="1"/>
                <w:bCs w:val="1"/>
                <w:color w:val="auto"/>
              </w:rPr>
              <w:t>NEW YORK OFFICE (Continued):</w:t>
            </w: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b w:val="1"/>
                <w:bCs w:val="1"/>
                <w:color w:val="auto"/>
              </w:rPr>
              <w:t>Plaza District: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40" w:type="dxa"/>
            <w:vAlign w:val="bottom"/>
          </w:tcPr>
          <w:p>
            <w:pPr>
              <w:ind w:left="20"/>
              <w:spacing w:after="0"/>
              <w:rPr>
                <w:sz w:val="20"/>
                <w:szCs w:val="20"/>
                <w:color w:val="auto"/>
              </w:rPr>
            </w:pPr>
            <w:r>
              <w:rPr>
                <w:rFonts w:ascii="Arial" w:cs="Arial" w:eastAsia="Arial" w:hAnsi="Arial"/>
                <w:sz w:val="9"/>
                <w:szCs w:val="9"/>
                <w:color w:val="auto"/>
              </w:rPr>
              <w:t>623 Fifth Avenue</w:t>
            </w:r>
            <w:r>
              <w:rPr>
                <w:rFonts w:ascii="Arial" w:cs="Arial" w:eastAsia="Arial" w:hAnsi="Arial"/>
                <w:sz w:val="11"/>
                <w:szCs w:val="11"/>
                <w:b w:val="1"/>
                <w:bCs w:val="1"/>
                <w:color w:val="auto"/>
                <w:vertAlign w:val="superscript"/>
              </w:rPr>
              <w:t>(7)</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540"/>
              <w:spacing w:after="0"/>
              <w:rPr>
                <w:sz w:val="20"/>
                <w:szCs w:val="20"/>
                <w:color w:val="auto"/>
              </w:rPr>
            </w:pPr>
            <w:r>
              <w:rPr>
                <w:rFonts w:ascii="Arial" w:cs="Arial" w:eastAsia="Arial" w:hAnsi="Arial"/>
                <w:sz w:val="9"/>
                <w:szCs w:val="9"/>
                <w:color w:val="auto"/>
              </w:rPr>
              <w:t>-Office</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ind w:right="18"/>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383,000</w:t>
            </w:r>
          </w:p>
        </w:tc>
        <w:tc>
          <w:tcPr>
            <w:tcW w:w="60" w:type="dxa"/>
            <w:vAlign w:val="bottom"/>
          </w:tcPr>
          <w:p>
            <w:pPr>
              <w:spacing w:after="0"/>
              <w:rPr>
                <w:sz w:val="9"/>
                <w:szCs w:val="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383,000</w:t>
            </w:r>
          </w:p>
        </w:tc>
        <w:tc>
          <w:tcPr>
            <w:tcW w:w="1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7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color w:val="auto"/>
              </w:rPr>
              <w:t>280 Park Avenue</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Elliott Investment Management L.P., PJT Partners Holdings, GIC Inc.,</w:t>
            </w: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50.0 %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99.3 %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9"/>
                <w:szCs w:val="9"/>
                <w:color w:val="auto"/>
              </w:rPr>
              <w:t>123.62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1,238,000</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1,238,000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Wells Fargo, Investcorp International Inc., Sagard Capital Partners</w:t>
            </w:r>
          </w:p>
        </w:tc>
        <w:tc>
          <w:tcPr>
            <w:tcW w:w="0" w:type="dxa"/>
            <w:vAlign w:val="bottom"/>
          </w:tcPr>
          <w:p>
            <w:pPr>
              <w:spacing w:after="0"/>
              <w:rPr>
                <w:sz w:val="1"/>
                <w:szCs w:val="1"/>
                <w:color w:val="auto"/>
              </w:rPr>
            </w:pPr>
          </w:p>
        </w:tc>
      </w:tr>
      <w:tr>
        <w:trPr>
          <w:trHeight w:val="137"/>
        </w:trPr>
        <w:tc>
          <w:tcPr>
            <w:tcW w:w="1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9"/>
                <w:szCs w:val="9"/>
                <w:color w:val="auto"/>
              </w:rPr>
              <w:t>63.05</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29,000</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29,000</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Starbucks, Fasano Restaurant</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99.3 %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9"/>
                <w:szCs w:val="9"/>
                <w:color w:val="auto"/>
              </w:rPr>
              <w:t>122.26</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152,800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1,267,000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1,267,000</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1,075,000</w:t>
            </w: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940" w:type="dxa"/>
            <w:vAlign w:val="bottom"/>
          </w:tcPr>
          <w:p>
            <w:pPr>
              <w:ind w:left="20"/>
              <w:spacing w:after="0"/>
              <w:rPr>
                <w:sz w:val="20"/>
                <w:szCs w:val="20"/>
                <w:color w:val="auto"/>
              </w:rPr>
            </w:pPr>
            <w:r>
              <w:rPr>
                <w:rFonts w:ascii="Arial" w:cs="Arial" w:eastAsia="Arial" w:hAnsi="Arial"/>
                <w:sz w:val="9"/>
                <w:szCs w:val="9"/>
                <w:color w:val="auto"/>
              </w:rPr>
              <w:t xml:space="preserve">350 Park Avenue </w:t>
            </w:r>
            <w:r>
              <w:rPr>
                <w:rFonts w:ascii="Arial" w:cs="Arial" w:eastAsia="Arial" w:hAnsi="Arial"/>
                <w:sz w:val="11"/>
                <w:szCs w:val="11"/>
                <w:b w:val="1"/>
                <w:bCs w:val="1"/>
                <w:color w:val="auto"/>
                <w:vertAlign w:val="superscript"/>
              </w:rPr>
              <w:t>(8)</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3"/>
                <w:szCs w:val="13"/>
                <w:color w:val="auto"/>
              </w:rPr>
            </w:pPr>
          </w:p>
        </w:tc>
        <w:tc>
          <w:tcPr>
            <w:tcW w:w="620" w:type="dxa"/>
            <w:vAlign w:val="bottom"/>
          </w:tcPr>
          <w:p>
            <w:pPr>
              <w:jc w:val="right"/>
              <w:ind w:right="18"/>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585,000</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585,000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400,000</w:t>
            </w:r>
          </w:p>
        </w:tc>
        <w:tc>
          <w:tcPr>
            <w:tcW w:w="1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color w:val="auto"/>
              </w:rPr>
              <w:t>Park Avenue Plaza</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49.0 %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9"/>
                <w:szCs w:val="9"/>
                <w:color w:val="auto"/>
              </w:rPr>
              <w:t>100.52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1,167,000</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1,167,000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Evercore, Morgan Stanley</w:t>
            </w:r>
          </w:p>
        </w:tc>
        <w:tc>
          <w:tcPr>
            <w:tcW w:w="0" w:type="dxa"/>
            <w:vAlign w:val="bottom"/>
          </w:tcPr>
          <w:p>
            <w:pPr>
              <w:spacing w:after="0"/>
              <w:rPr>
                <w:sz w:val="1"/>
                <w:szCs w:val="1"/>
                <w:color w:val="auto"/>
              </w:rPr>
            </w:pPr>
          </w:p>
        </w:tc>
      </w:tr>
      <w:tr>
        <w:trPr>
          <w:trHeight w:val="137"/>
        </w:trPr>
        <w:tc>
          <w:tcPr>
            <w:tcW w:w="1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61.9 %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9"/>
                <w:szCs w:val="9"/>
                <w:color w:val="auto"/>
              </w:rPr>
              <w:t>92.79</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8,000</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8,000</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Duane Reade</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49.0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99.7 %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9"/>
                <w:szCs w:val="9"/>
                <w:color w:val="auto"/>
              </w:rPr>
              <w:t>100.49</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117,000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1,175,000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1,175,000</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575,000</w:t>
            </w: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20"/>
              <w:spacing w:after="0"/>
              <w:rPr>
                <w:sz w:val="20"/>
                <w:szCs w:val="20"/>
                <w:color w:val="auto"/>
              </w:rPr>
            </w:pPr>
            <w:r>
              <w:rPr>
                <w:rFonts w:ascii="Arial" w:cs="Arial" w:eastAsia="Arial" w:hAnsi="Arial"/>
                <w:sz w:val="9"/>
                <w:szCs w:val="9"/>
                <w:color w:val="auto"/>
              </w:rPr>
              <w:t>1290 Avenue of the Americas</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w w:val="96"/>
              </w:rPr>
              <w:t>Hachette Book Group Inc., Bryan Cave LLP, Neuberger Berman Group LLC,</w:t>
            </w: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Cushman &amp; Wakefield, Selendy Gay PLLC, Columbia University,</w:t>
            </w:r>
          </w:p>
        </w:tc>
        <w:tc>
          <w:tcPr>
            <w:tcW w:w="0" w:type="dxa"/>
            <w:vAlign w:val="bottom"/>
          </w:tcPr>
          <w:p>
            <w:pPr>
              <w:spacing w:after="0"/>
              <w:rPr>
                <w:sz w:val="1"/>
                <w:szCs w:val="1"/>
                <w:color w:val="auto"/>
              </w:rPr>
            </w:pPr>
          </w:p>
        </w:tc>
      </w:tr>
      <w:tr>
        <w:trPr>
          <w:trHeight w:val="129"/>
        </w:trPr>
        <w:tc>
          <w:tcPr>
            <w:tcW w:w="1940" w:type="dxa"/>
            <w:vAlign w:val="bottom"/>
          </w:tcPr>
          <w:p>
            <w:pPr>
              <w:ind w:left="540"/>
              <w:spacing w:after="0"/>
              <w:rPr>
                <w:sz w:val="20"/>
                <w:szCs w:val="20"/>
                <w:color w:val="auto"/>
              </w:rPr>
            </w:pPr>
            <w:r>
              <w:rPr>
                <w:rFonts w:ascii="Arial" w:cs="Arial" w:eastAsia="Arial" w:hAnsi="Arial"/>
                <w:sz w:val="9"/>
                <w:szCs w:val="9"/>
                <w:color w:val="auto"/>
              </w:rPr>
              <w:t>-Office</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70.0 %</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97.3 %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8"/>
              <w:spacing w:after="0"/>
              <w:rPr>
                <w:sz w:val="20"/>
                <w:szCs w:val="20"/>
                <w:color w:val="auto"/>
              </w:rPr>
            </w:pPr>
            <w:r>
              <w:rPr>
                <w:rFonts w:ascii="Arial" w:cs="Arial" w:eastAsia="Arial" w:hAnsi="Arial"/>
                <w:sz w:val="9"/>
                <w:szCs w:val="9"/>
                <w:color w:val="auto"/>
              </w:rPr>
              <w:t>92.34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2,007,000</w:t>
            </w:r>
          </w:p>
        </w:tc>
        <w:tc>
          <w:tcPr>
            <w:tcW w:w="6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2,007,000</w:t>
            </w: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Fubotv Inc, LinkLaters, King &amp; Spalding, Oaktree Capital</w:t>
            </w:r>
          </w:p>
        </w:tc>
        <w:tc>
          <w:tcPr>
            <w:tcW w:w="0" w:type="dxa"/>
            <w:vAlign w:val="bottom"/>
          </w:tcPr>
          <w:p>
            <w:pPr>
              <w:spacing w:after="0"/>
              <w:rPr>
                <w:sz w:val="1"/>
                <w:szCs w:val="1"/>
                <w:color w:val="auto"/>
              </w:rPr>
            </w:pPr>
          </w:p>
        </w:tc>
      </w:tr>
      <w:tr>
        <w:trPr>
          <w:trHeight w:val="137"/>
        </w:trPr>
        <w:tc>
          <w:tcPr>
            <w:tcW w:w="1940" w:type="dxa"/>
            <w:vAlign w:val="bottom"/>
          </w:tcPr>
          <w:p>
            <w:pPr>
              <w:ind w:left="540"/>
              <w:spacing w:after="0"/>
              <w:rPr>
                <w:sz w:val="20"/>
                <w:szCs w:val="20"/>
                <w:color w:val="auto"/>
              </w:rPr>
            </w:pPr>
            <w:r>
              <w:rPr>
                <w:rFonts w:ascii="Arial" w:cs="Arial" w:eastAsia="Arial" w:hAnsi="Arial"/>
                <w:sz w:val="9"/>
                <w:szCs w:val="9"/>
                <w:color w:val="auto"/>
              </w:rPr>
              <w:t>-Retail</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70.0 %</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95.0 %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8"/>
              <w:spacing w:after="0"/>
              <w:rPr>
                <w:sz w:val="20"/>
                <w:szCs w:val="20"/>
                <w:color w:val="auto"/>
              </w:rPr>
            </w:pPr>
            <w:r>
              <w:rPr>
                <w:rFonts w:ascii="Arial" w:cs="Arial" w:eastAsia="Arial" w:hAnsi="Arial"/>
                <w:sz w:val="9"/>
                <w:szCs w:val="9"/>
                <w:color w:val="auto"/>
              </w:rPr>
              <w:t>202.51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90,000</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90,000</w:t>
            </w:r>
          </w:p>
        </w:tc>
        <w:tc>
          <w:tcPr>
            <w:tcW w:w="6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Duane Reade, JPMorgan Chase Bank, Starbucks</w:t>
            </w:r>
          </w:p>
        </w:tc>
        <w:tc>
          <w:tcPr>
            <w:tcW w:w="0" w:type="dxa"/>
            <w:vAlign w:val="bottom"/>
          </w:tcPr>
          <w:p>
            <w:pPr>
              <w:spacing w:after="0"/>
              <w:rPr>
                <w:sz w:val="1"/>
                <w:szCs w:val="1"/>
                <w:color w:val="auto"/>
              </w:rPr>
            </w:pPr>
          </w:p>
        </w:tc>
      </w:tr>
      <w:tr>
        <w:trPr>
          <w:trHeight w:val="112"/>
        </w:trPr>
        <w:tc>
          <w:tcPr>
            <w:tcW w:w="1940" w:type="dxa"/>
            <w:vAlign w:val="bottom"/>
          </w:tcPr>
          <w:p>
            <w:pPr>
              <w:spacing w:after="0"/>
              <w:rPr>
                <w:sz w:val="9"/>
                <w:szCs w:val="9"/>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70.0 %</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97.2 %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8"/>
              <w:spacing w:after="0"/>
              <w:rPr>
                <w:sz w:val="20"/>
                <w:szCs w:val="20"/>
                <w:color w:val="auto"/>
              </w:rPr>
            </w:pPr>
            <w:r>
              <w:rPr>
                <w:rFonts w:ascii="Arial" w:cs="Arial" w:eastAsia="Arial" w:hAnsi="Arial"/>
                <w:sz w:val="9"/>
                <w:szCs w:val="9"/>
                <w:color w:val="auto"/>
              </w:rPr>
              <w:t>95.81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190,300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2,097,000</w:t>
            </w:r>
          </w:p>
        </w:tc>
        <w:tc>
          <w:tcPr>
            <w:tcW w:w="60" w:type="dxa"/>
            <w:vAlign w:val="bottom"/>
          </w:tcPr>
          <w:p>
            <w:pPr>
              <w:spacing w:after="0"/>
              <w:rPr>
                <w:sz w:val="9"/>
                <w:szCs w:val="9"/>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2,097,000</w:t>
            </w:r>
          </w:p>
        </w:tc>
        <w:tc>
          <w:tcPr>
            <w:tcW w:w="6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950,000</w:t>
            </w: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40" w:type="dxa"/>
            <w:vAlign w:val="bottom"/>
          </w:tcPr>
          <w:p>
            <w:pPr>
              <w:spacing w:after="0"/>
              <w:rPr>
                <w:sz w:val="5"/>
                <w:szCs w:val="5"/>
                <w:color w:val="auto"/>
              </w:rPr>
            </w:pPr>
          </w:p>
        </w:tc>
        <w:tc>
          <w:tcPr>
            <w:tcW w:w="720" w:type="dxa"/>
            <w:vAlign w:val="bottom"/>
            <w:gridSpan w:val="3"/>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color w:val="auto"/>
              </w:rPr>
              <w:t xml:space="preserve">3 East 54th Street </w:t>
            </w:r>
            <w:r>
              <w:rPr>
                <w:rFonts w:ascii="Arial" w:cs="Arial" w:eastAsia="Arial" w:hAnsi="Arial"/>
                <w:sz w:val="11"/>
                <w:szCs w:val="11"/>
                <w:b w:val="1"/>
                <w:bCs w:val="1"/>
                <w:color w:val="auto"/>
                <w:vertAlign w:val="superscript"/>
              </w:rPr>
              <w:t>(6)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940" w:type="dxa"/>
            <w:vAlign w:val="bottom"/>
            <w:shd w:val="clear" w:color="auto" w:fill="CCEEFF"/>
          </w:tcPr>
          <w:p>
            <w:pPr>
              <w:spacing w:after="0"/>
              <w:rPr>
                <w:sz w:val="6"/>
                <w:szCs w:val="6"/>
                <w:color w:val="auto"/>
              </w:rPr>
            </w:pPr>
          </w:p>
        </w:tc>
        <w:tc>
          <w:tcPr>
            <w:tcW w:w="720" w:type="dxa"/>
            <w:vAlign w:val="bottom"/>
            <w:gridSpan w:val="3"/>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40" w:type="dxa"/>
            <w:vAlign w:val="bottom"/>
          </w:tcPr>
          <w:p>
            <w:pPr>
              <w:ind w:left="20"/>
              <w:spacing w:after="0"/>
              <w:rPr>
                <w:sz w:val="20"/>
                <w:szCs w:val="20"/>
                <w:color w:val="auto"/>
              </w:rPr>
            </w:pPr>
            <w:r>
              <w:rPr>
                <w:rFonts w:ascii="Arial" w:cs="Arial" w:eastAsia="Arial" w:hAnsi="Arial"/>
                <w:sz w:val="9"/>
                <w:szCs w:val="9"/>
                <w:color w:val="auto"/>
              </w:rPr>
              <w:t xml:space="preserve">57th Street Land </w:t>
            </w:r>
            <w:r>
              <w:rPr>
                <w:rFonts w:ascii="Arial" w:cs="Arial" w:eastAsia="Arial" w:hAnsi="Arial"/>
                <w:sz w:val="11"/>
                <w:szCs w:val="11"/>
                <w:b w:val="1"/>
                <w:bCs w:val="1"/>
                <w:color w:val="auto"/>
                <w:vertAlign w:val="superscript"/>
              </w:rPr>
              <w:t>(6)</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50.0 %</w:t>
            </w:r>
          </w:p>
        </w:tc>
        <w:tc>
          <w:tcPr>
            <w:tcW w:w="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3"/>
                <w:szCs w:val="13"/>
                <w:color w:val="auto"/>
              </w:rPr>
            </w:pPr>
          </w:p>
        </w:tc>
        <w:tc>
          <w:tcPr>
            <w:tcW w:w="620" w:type="dxa"/>
            <w:vAlign w:val="bottom"/>
          </w:tcPr>
          <w:p>
            <w:pPr>
              <w:jc w:val="right"/>
              <w:ind w:right="18"/>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9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9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9"/>
                <w:szCs w:val="9"/>
                <w:color w:val="auto"/>
              </w:rPr>
              <w:t>Total Plaza District</w:t>
            </w:r>
          </w:p>
        </w:tc>
        <w:tc>
          <w:tcPr>
            <w:tcW w:w="6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460,100</w:t>
            </w:r>
          </w:p>
        </w:tc>
        <w:tc>
          <w:tcPr>
            <w:tcW w:w="8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5,507,000</w:t>
            </w:r>
          </w:p>
        </w:tc>
        <w:tc>
          <w:tcPr>
            <w:tcW w:w="6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4,539,000</w:t>
            </w:r>
          </w:p>
        </w:tc>
        <w:tc>
          <w:tcPr>
            <w:tcW w:w="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968,000</w:t>
            </w:r>
          </w:p>
        </w:tc>
        <w:tc>
          <w:tcPr>
            <w:tcW w:w="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3,000,000</w:t>
            </w: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940" w:type="dxa"/>
            <w:vAlign w:val="bottom"/>
          </w:tcPr>
          <w:p>
            <w:pPr>
              <w:ind w:left="20"/>
              <w:spacing w:after="0"/>
              <w:rPr>
                <w:sz w:val="20"/>
                <w:szCs w:val="20"/>
                <w:color w:val="auto"/>
              </w:rPr>
            </w:pPr>
            <w:r>
              <w:rPr>
                <w:rFonts w:ascii="Arial" w:cs="Arial" w:eastAsia="Arial" w:hAnsi="Arial"/>
                <w:sz w:val="9"/>
                <w:szCs w:val="9"/>
                <w:b w:val="1"/>
                <w:bCs w:val="1"/>
                <w:color w:val="auto"/>
              </w:rPr>
              <w:t>Midtown:</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color w:val="auto"/>
              </w:rPr>
              <w:t>90 Park Avenue</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Alston &amp; Bird, PwC, MassMutual, Glencore,</w:t>
            </w: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9"/>
                <w:szCs w:val="9"/>
                <w:color w:val="auto"/>
              </w:rPr>
              <w:t>87.00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939,000</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939,000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Factset Research Systems Inc., Foley &amp; Lardner</w:t>
            </w:r>
          </w:p>
        </w:tc>
        <w:tc>
          <w:tcPr>
            <w:tcW w:w="0" w:type="dxa"/>
            <w:vAlign w:val="bottom"/>
          </w:tcPr>
          <w:p>
            <w:pPr>
              <w:spacing w:after="0"/>
              <w:rPr>
                <w:sz w:val="1"/>
                <w:szCs w:val="1"/>
                <w:color w:val="auto"/>
              </w:rPr>
            </w:pPr>
          </w:p>
        </w:tc>
      </w:tr>
      <w:tr>
        <w:trPr>
          <w:trHeight w:val="137"/>
        </w:trPr>
        <w:tc>
          <w:tcPr>
            <w:tcW w:w="1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96.0 %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9"/>
                <w:szCs w:val="9"/>
                <w:color w:val="auto"/>
              </w:rPr>
              <w:t>176.80</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17,000</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17,000</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Citibank, Starbucks</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99.9 %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9"/>
                <w:szCs w:val="9"/>
                <w:color w:val="auto"/>
              </w:rPr>
              <w:t>88.47</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81,600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956,000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956,000</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20"/>
              <w:spacing w:after="0"/>
              <w:rPr>
                <w:sz w:val="20"/>
                <w:szCs w:val="20"/>
                <w:color w:val="auto"/>
              </w:rPr>
            </w:pPr>
            <w:r>
              <w:rPr>
                <w:rFonts w:ascii="Arial" w:cs="Arial" w:eastAsia="Arial" w:hAnsi="Arial"/>
                <w:sz w:val="9"/>
                <w:szCs w:val="9"/>
                <w:color w:val="auto"/>
              </w:rPr>
              <w:t>909 Third Avenue</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40" w:type="dxa"/>
            <w:vAlign w:val="bottom"/>
          </w:tcPr>
          <w:p>
            <w:pPr>
              <w:ind w:left="280"/>
              <w:spacing w:after="0"/>
              <w:rPr>
                <w:sz w:val="20"/>
                <w:szCs w:val="20"/>
                <w:color w:val="auto"/>
              </w:rPr>
            </w:pPr>
            <w:r>
              <w:rPr>
                <w:rFonts w:ascii="Arial" w:cs="Arial" w:eastAsia="Arial" w:hAnsi="Arial"/>
                <w:sz w:val="9"/>
                <w:szCs w:val="9"/>
                <w:color w:val="auto"/>
              </w:rPr>
              <w:t>(ground leased through 2063)**</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w w:val="95"/>
              </w:rPr>
              <w:t>Omnicom (formerly IPG and affiliates), AbbVie Inc., United States Post Office</w:t>
            </w:r>
          </w:p>
        </w:tc>
        <w:tc>
          <w:tcPr>
            <w:tcW w:w="0" w:type="dxa"/>
            <w:vAlign w:val="bottom"/>
          </w:tcPr>
          <w:p>
            <w:pPr>
              <w:spacing w:after="0"/>
              <w:rPr>
                <w:sz w:val="1"/>
                <w:szCs w:val="1"/>
                <w:color w:val="auto"/>
              </w:rPr>
            </w:pPr>
          </w:p>
        </w:tc>
      </w:tr>
      <w:tr>
        <w:trPr>
          <w:trHeight w:val="129"/>
        </w:trPr>
        <w:tc>
          <w:tcPr>
            <w:tcW w:w="1940" w:type="dxa"/>
            <w:vAlign w:val="bottom"/>
          </w:tcPr>
          <w:p>
            <w:pPr>
              <w:ind w:left="540"/>
              <w:spacing w:after="0"/>
              <w:rPr>
                <w:sz w:val="20"/>
                <w:szCs w:val="20"/>
                <w:color w:val="auto"/>
              </w:rPr>
            </w:pPr>
            <w:r>
              <w:rPr>
                <w:rFonts w:ascii="Arial" w:cs="Arial" w:eastAsia="Arial" w:hAnsi="Arial"/>
                <w:sz w:val="9"/>
                <w:szCs w:val="9"/>
                <w:color w:val="auto"/>
              </w:rPr>
              <w:t>-Office</w:t>
            </w:r>
          </w:p>
        </w:tc>
        <w:tc>
          <w:tcPr>
            <w:tcW w:w="72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68.0 %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8"/>
              <w:spacing w:after="0"/>
              <w:rPr>
                <w:sz w:val="20"/>
                <w:szCs w:val="20"/>
                <w:color w:val="auto"/>
              </w:rPr>
            </w:pPr>
            <w:r>
              <w:rPr>
                <w:rFonts w:ascii="Arial" w:cs="Arial" w:eastAsia="Arial" w:hAnsi="Arial"/>
                <w:sz w:val="9"/>
                <w:szCs w:val="9"/>
                <w:color w:val="auto"/>
              </w:rPr>
              <w:t>69.71</w:t>
            </w:r>
          </w:p>
        </w:tc>
        <w:tc>
          <w:tcPr>
            <w:tcW w:w="180" w:type="dxa"/>
            <w:vAlign w:val="bottom"/>
          </w:tcPr>
          <w:p>
            <w:pPr>
              <w:jc w:val="right"/>
              <w:ind w:right="72"/>
              <w:spacing w:after="0"/>
              <w:rPr>
                <w:sz w:val="20"/>
                <w:szCs w:val="20"/>
                <w:color w:val="auto"/>
              </w:rPr>
            </w:pPr>
            <w:r>
              <w:rPr>
                <w:rFonts w:ascii="Arial" w:cs="Arial" w:eastAsia="Arial" w:hAnsi="Arial"/>
                <w:sz w:val="6"/>
                <w:szCs w:val="6"/>
                <w:b w:val="1"/>
                <w:bCs w:val="1"/>
                <w:color w:val="auto"/>
                <w:w w:val="81"/>
              </w:rPr>
              <w:t>(9)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47,000</w:t>
            </w: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1,353,000</w:t>
            </w:r>
          </w:p>
        </w:tc>
        <w:tc>
          <w:tcPr>
            <w:tcW w:w="6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1,353,000</w:t>
            </w: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350,000</w:t>
            </w:r>
          </w:p>
        </w:tc>
        <w:tc>
          <w:tcPr>
            <w:tcW w:w="180" w:type="dxa"/>
            <w:vAlign w:val="bottom"/>
          </w:tcPr>
          <w:p>
            <w:pPr>
              <w:spacing w:after="0"/>
              <w:rPr>
                <w:sz w:val="11"/>
                <w:szCs w:val="11"/>
                <w:color w:val="auto"/>
              </w:rPr>
            </w:pPr>
          </w:p>
        </w:tc>
        <w:tc>
          <w:tcPr>
            <w:tcW w:w="2980" w:type="dxa"/>
            <w:vAlign w:val="bottom"/>
          </w:tcPr>
          <w:p>
            <w:pPr>
              <w:ind w:left="20"/>
              <w:spacing w:after="0"/>
              <w:rPr>
                <w:sz w:val="20"/>
                <w:szCs w:val="20"/>
                <w:color w:val="auto"/>
              </w:rPr>
            </w:pPr>
            <w:r>
              <w:rPr>
                <w:rFonts w:ascii="Arial" w:cs="Arial" w:eastAsia="Arial" w:hAnsi="Arial"/>
                <w:sz w:val="9"/>
                <w:szCs w:val="9"/>
                <w:color w:val="auto"/>
              </w:rPr>
              <w:t>Morrison Cohen LLP, Alix Partners*</w:t>
            </w:r>
          </w:p>
        </w:tc>
        <w:tc>
          <w:tcPr>
            <w:tcW w:w="0" w:type="dxa"/>
            <w:vAlign w:val="bottom"/>
          </w:tcPr>
          <w:p>
            <w:pPr>
              <w:spacing w:after="0"/>
              <w:rPr>
                <w:sz w:val="1"/>
                <w:szCs w:val="1"/>
                <w:color w:val="auto"/>
              </w:rPr>
            </w:pPr>
          </w:p>
        </w:tc>
      </w:tr>
      <w:tr>
        <w:trPr>
          <w:trHeight w:val="92"/>
        </w:trPr>
        <w:tc>
          <w:tcPr>
            <w:tcW w:w="19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color w:val="auto"/>
              </w:rPr>
              <w:t>150 East 58th Street</w:t>
            </w:r>
            <w:r>
              <w:rPr>
                <w:rFonts w:ascii="Arial" w:cs="Arial" w:eastAsia="Arial" w:hAnsi="Arial"/>
                <w:sz w:val="11"/>
                <w:szCs w:val="11"/>
                <w:b w:val="1"/>
                <w:bCs w:val="1"/>
                <w:color w:val="auto"/>
                <w:vertAlign w:val="superscript"/>
              </w:rPr>
              <w:t>(10)</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76.3 %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9"/>
                <w:szCs w:val="9"/>
                <w:color w:val="auto"/>
              </w:rPr>
              <w:t>83.69</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540,000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540,000</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9"/>
                <w:szCs w:val="9"/>
                <w:color w:val="auto"/>
              </w:rPr>
              <w:t>Castle Harlan, Tournesol Realty LLC (Peter Marino)</w:t>
            </w:r>
          </w:p>
        </w:tc>
        <w:tc>
          <w:tcPr>
            <w:tcW w:w="0" w:type="dxa"/>
            <w:vAlign w:val="bottom"/>
          </w:tcPr>
          <w:p>
            <w:pPr>
              <w:spacing w:after="0"/>
              <w:rPr>
                <w:sz w:val="1"/>
                <w:szCs w:val="1"/>
                <w:color w:val="auto"/>
              </w:rPr>
            </w:pPr>
          </w:p>
        </w:tc>
      </w:tr>
      <w:tr>
        <w:trPr>
          <w:trHeight w:val="137"/>
        </w:trPr>
        <w:tc>
          <w:tcPr>
            <w:tcW w:w="1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9"/>
                <w:szCs w:val="9"/>
                <w:color w:val="auto"/>
              </w:rPr>
              <w:t>95.02</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3,000</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3,000</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9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76.4 %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9"/>
                <w:szCs w:val="9"/>
                <w:color w:val="auto"/>
              </w:rPr>
              <w:t>83.76</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34,600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543,000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543,000</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- 37 -</w:t>
      </w:r>
    </w:p>
    <w:p>
      <w:pPr>
        <w:sectPr>
          <w:pgSz w:w="11900" w:h="16838" w:orient="portrait"/>
          <w:cols w:equalWidth="0" w:num="1">
            <w:col w:w="11280"/>
          </w:cols>
          <w:pgMar w:left="300" w:top="988"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PROPERTY TABLE</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6"/>
          </w:tcPr>
          <w:p>
            <w:pPr>
              <w:ind w:left="380"/>
              <w:spacing w:after="0"/>
              <w:rPr>
                <w:sz w:val="20"/>
                <w:szCs w:val="20"/>
                <w:color w:val="auto"/>
              </w:rPr>
            </w:pPr>
            <w:r>
              <w:rPr>
                <w:rFonts w:ascii="Arial" w:cs="Arial" w:eastAsia="Arial" w:hAnsi="Arial"/>
                <w:sz w:val="17"/>
                <w:szCs w:val="17"/>
                <w:b w:val="1"/>
                <w:bCs w:val="1"/>
                <w:color w:val="auto"/>
              </w:rPr>
              <w:t>NEW YORK OFFICE</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940" w:type="dxa"/>
            <w:vAlign w:val="bottom"/>
          </w:tcPr>
          <w:p>
            <w:pPr>
              <w:ind w:left="20"/>
              <w:spacing w:after="0" w:line="77" w:lineRule="exact"/>
              <w:rPr>
                <w:sz w:val="20"/>
                <w:szCs w:val="20"/>
                <w:color w:val="auto"/>
              </w:rPr>
            </w:pPr>
            <w:r>
              <w:rPr>
                <w:rFonts w:ascii="Arial" w:cs="Arial" w:eastAsia="Arial" w:hAnsi="Arial"/>
                <w:sz w:val="8"/>
                <w:szCs w:val="8"/>
                <w:color w:val="auto"/>
              </w:rPr>
              <w:t>(Annualized escalated rent amounts in</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3"/>
              </w:rPr>
              <w:t>Square Feet</w:t>
            </w: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940" w:type="dxa"/>
            <w:vAlign w:val="bottom"/>
          </w:tcPr>
          <w:p>
            <w:pPr>
              <w:ind w:left="20"/>
              <w:spacing w:after="0"/>
              <w:rPr>
                <w:sz w:val="20"/>
                <w:szCs w:val="20"/>
                <w:color w:val="auto"/>
              </w:rPr>
            </w:pPr>
            <w:r>
              <w:rPr>
                <w:rFonts w:ascii="Arial" w:cs="Arial" w:eastAsia="Arial" w:hAnsi="Arial"/>
                <w:sz w:val="9"/>
                <w:szCs w:val="9"/>
                <w:color w:val="auto"/>
              </w:rPr>
              <w:t>thousands)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tcPr>
          <w:p>
            <w:pPr>
              <w:jc w:val="center"/>
              <w:ind w:right="260"/>
              <w:spacing w:after="0" w:line="65" w:lineRule="exact"/>
              <w:rPr>
                <w:sz w:val="20"/>
                <w:szCs w:val="20"/>
                <w:color w:val="auto"/>
              </w:rPr>
            </w:pPr>
            <w:r>
              <w:rPr>
                <w:rFonts w:ascii="Arial" w:cs="Arial" w:eastAsia="Arial" w:hAnsi="Arial"/>
                <w:sz w:val="6"/>
                <w:szCs w:val="6"/>
                <w:b w:val="1"/>
                <w:bCs w:val="1"/>
                <w:color w:val="auto"/>
              </w:rPr>
              <w:t>Weighted</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9"/>
              </w:rPr>
              <w:t>Under</w:t>
            </w: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9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60"/>
              <w:spacing w:after="0" w:line="86" w:lineRule="exact"/>
              <w:rPr>
                <w:sz w:val="20"/>
                <w:szCs w:val="20"/>
                <w:color w:val="auto"/>
              </w:rPr>
            </w:pPr>
            <w:r>
              <w:rPr>
                <w:rFonts w:ascii="Arial" w:cs="Arial" w:eastAsia="Arial" w:hAnsi="Arial"/>
                <w:sz w:val="9"/>
                <w:szCs w:val="9"/>
                <w:b w:val="1"/>
                <w:bCs w:val="1"/>
                <w:color w:val="auto"/>
                <w:w w:val="95"/>
              </w:rPr>
              <w:t>Average</w:t>
            </w:r>
          </w:p>
        </w:tc>
        <w:tc>
          <w:tcPr>
            <w:tcW w:w="80" w:type="dxa"/>
            <w:vAlign w:val="bottom"/>
          </w:tcPr>
          <w:p>
            <w:pPr>
              <w:spacing w:after="0"/>
              <w:rPr>
                <w:sz w:val="7"/>
                <w:szCs w:val="7"/>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5"/>
              </w:rPr>
              <w:t>Annualized</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9"/>
                <w:szCs w:val="9"/>
                <w:b w:val="1"/>
                <w:bCs w:val="1"/>
                <w:color w:val="auto"/>
                <w:w w:val="96"/>
              </w:rPr>
              <w:t>Encumbrances</w:t>
            </w:r>
          </w:p>
        </w:tc>
        <w:tc>
          <w:tcPr>
            <w:tcW w:w="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Pr>
          <w:p>
            <w:pPr>
              <w:spacing w:after="0"/>
              <w:rPr>
                <w:sz w:val="7"/>
                <w:szCs w:val="7"/>
                <w:color w:val="auto"/>
              </w:rPr>
            </w:pPr>
          </w:p>
        </w:tc>
        <w:tc>
          <w:tcPr>
            <w:tcW w:w="640" w:type="dxa"/>
            <w:vAlign w:val="bottom"/>
            <w:gridSpan w:val="2"/>
            <w:vMerge w:val="restart"/>
          </w:tcPr>
          <w:p>
            <w:pPr>
              <w:jc w:val="right"/>
              <w:ind w:right="157"/>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740" w:type="dxa"/>
            <w:vAlign w:val="bottom"/>
            <w:gridSpan w:val="2"/>
            <w:vMerge w:val="restart"/>
          </w:tcPr>
          <w:p>
            <w:pPr>
              <w:jc w:val="right"/>
              <w:ind w:right="257"/>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80"/>
              <w:spacing w:after="0" w:line="86" w:lineRule="exact"/>
              <w:rPr>
                <w:sz w:val="20"/>
                <w:szCs w:val="20"/>
                <w:color w:val="auto"/>
              </w:rPr>
            </w:pPr>
            <w:r>
              <w:rPr>
                <w:rFonts w:ascii="Arial" w:cs="Arial" w:eastAsia="Arial" w:hAnsi="Arial"/>
                <w:sz w:val="9"/>
                <w:szCs w:val="9"/>
                <w:b w:val="1"/>
                <w:bCs w:val="1"/>
                <w:color w:val="auto"/>
                <w:w w:val="95"/>
              </w:rPr>
              <w:t>Escalated</w:t>
            </w: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2"/>
              </w:rPr>
              <w:t>Total</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80"/>
              <w:spacing w:after="0" w:line="86" w:lineRule="exact"/>
              <w:rPr>
                <w:sz w:val="20"/>
                <w:szCs w:val="20"/>
                <w:color w:val="auto"/>
              </w:rPr>
            </w:pPr>
            <w:r>
              <w:rPr>
                <w:rFonts w:ascii="Arial" w:cs="Arial" w:eastAsia="Arial" w:hAnsi="Arial"/>
                <w:sz w:val="9"/>
                <w:szCs w:val="9"/>
                <w:b w:val="1"/>
                <w:bCs w:val="1"/>
                <w:color w:val="auto"/>
                <w:w w:val="95"/>
              </w:rPr>
              <w:t>Development</w:t>
            </w: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vMerge w:val="restart"/>
          </w:tcPr>
          <w:p>
            <w:pPr>
              <w:ind w:left="800"/>
              <w:spacing w:after="0"/>
              <w:rPr>
                <w:sz w:val="20"/>
                <w:szCs w:val="20"/>
                <w:color w:val="auto"/>
              </w:rPr>
            </w:pPr>
            <w:r>
              <w:rPr>
                <w:rFonts w:ascii="Arial" w:cs="Arial" w:eastAsia="Arial" w:hAnsi="Arial"/>
                <w:sz w:val="9"/>
                <w:szCs w:val="9"/>
                <w:b w:val="1"/>
                <w:bCs w:val="1"/>
                <w:color w:val="auto"/>
              </w:rPr>
              <w:t>Property</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60"/>
              <w:spacing w:after="0" w:line="86" w:lineRule="exact"/>
              <w:rPr>
                <w:sz w:val="20"/>
                <w:szCs w:val="20"/>
                <w:color w:val="auto"/>
              </w:rPr>
            </w:pPr>
            <w:r>
              <w:rPr>
                <w:rFonts w:ascii="Arial" w:cs="Arial" w:eastAsia="Arial" w:hAnsi="Arial"/>
                <w:sz w:val="9"/>
                <w:szCs w:val="9"/>
                <w:b w:val="1"/>
                <w:bCs w:val="1"/>
                <w:color w:val="auto"/>
                <w:w w:val="94"/>
              </w:rPr>
              <w:t>Annual Rent</w:t>
            </w:r>
          </w:p>
        </w:tc>
        <w:tc>
          <w:tcPr>
            <w:tcW w:w="80" w:type="dxa"/>
            <w:vAlign w:val="bottom"/>
          </w:tcPr>
          <w:p>
            <w:pPr>
              <w:spacing w:after="0"/>
              <w:rPr>
                <w:sz w:val="7"/>
                <w:szCs w:val="7"/>
                <w:color w:val="auto"/>
              </w:rPr>
            </w:pPr>
          </w:p>
        </w:tc>
        <w:tc>
          <w:tcPr>
            <w:tcW w:w="680" w:type="dxa"/>
            <w:vAlign w:val="bottom"/>
            <w:gridSpan w:val="2"/>
          </w:tcPr>
          <w:p>
            <w:pPr>
              <w:jc w:val="center"/>
              <w:ind w:right="160"/>
              <w:spacing w:after="0" w:line="86" w:lineRule="exact"/>
              <w:rPr>
                <w:sz w:val="20"/>
                <w:szCs w:val="20"/>
                <w:color w:val="auto"/>
              </w:rPr>
            </w:pPr>
            <w:r>
              <w:rPr>
                <w:rFonts w:ascii="Arial" w:cs="Arial" w:eastAsia="Arial" w:hAnsi="Arial"/>
                <w:sz w:val="9"/>
                <w:szCs w:val="9"/>
                <w:b w:val="1"/>
                <w:bCs w:val="1"/>
                <w:color w:val="auto"/>
                <w:w w:val="95"/>
              </w:rPr>
              <w:t>Escalated</w:t>
            </w:r>
          </w:p>
        </w:tc>
        <w:tc>
          <w:tcPr>
            <w:tcW w:w="78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3"/>
              </w:rPr>
              <w:t>In Service</w:t>
            </w:r>
          </w:p>
        </w:tc>
        <w:tc>
          <w:tcPr>
            <w:tcW w:w="780" w:type="dxa"/>
            <w:vAlign w:val="bottom"/>
            <w:gridSpan w:val="2"/>
          </w:tcPr>
          <w:p>
            <w:pPr>
              <w:jc w:val="center"/>
              <w:ind w:right="80"/>
              <w:spacing w:after="0" w:line="86" w:lineRule="exact"/>
              <w:rPr>
                <w:sz w:val="20"/>
                <w:szCs w:val="20"/>
                <w:color w:val="auto"/>
              </w:rPr>
            </w:pPr>
            <w:r>
              <w:rPr>
                <w:rFonts w:ascii="Arial" w:cs="Arial" w:eastAsia="Arial" w:hAnsi="Arial"/>
                <w:sz w:val="9"/>
                <w:szCs w:val="9"/>
                <w:b w:val="1"/>
                <w:bCs w:val="1"/>
                <w:color w:val="auto"/>
                <w:w w:val="96"/>
              </w:rPr>
              <w:t>or Not Available</w:t>
            </w:r>
          </w:p>
        </w:tc>
        <w:tc>
          <w:tcPr>
            <w:tcW w:w="60" w:type="dxa"/>
            <w:vAlign w:val="bottom"/>
          </w:tcPr>
          <w:p>
            <w:pPr>
              <w:spacing w:after="0"/>
              <w:rPr>
                <w:sz w:val="7"/>
                <w:szCs w:val="7"/>
                <w:color w:val="auto"/>
              </w:rPr>
            </w:pPr>
          </w:p>
        </w:tc>
        <w:tc>
          <w:tcPr>
            <w:tcW w:w="72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3"/>
              </w:rPr>
              <w:t>(non-GAAP)</w:t>
            </w:r>
          </w:p>
        </w:tc>
        <w:tc>
          <w:tcPr>
            <w:tcW w:w="80" w:type="dxa"/>
            <w:vAlign w:val="bottom"/>
          </w:tcPr>
          <w:p>
            <w:pPr>
              <w:spacing w:after="0"/>
              <w:rPr>
                <w:sz w:val="7"/>
                <w:szCs w:val="7"/>
                <w:color w:val="auto"/>
              </w:rPr>
            </w:pPr>
          </w:p>
        </w:tc>
        <w:tc>
          <w:tcPr>
            <w:tcW w:w="2940" w:type="dxa"/>
            <w:vAlign w:val="bottom"/>
            <w:vMerge w:val="restart"/>
          </w:tcPr>
          <w:p>
            <w:pPr>
              <w:ind w:left="1180"/>
              <w:spacing w:after="0"/>
              <w:rPr>
                <w:sz w:val="20"/>
                <w:szCs w:val="20"/>
                <w:color w:val="auto"/>
              </w:rPr>
            </w:pPr>
            <w:r>
              <w:rPr>
                <w:rFonts w:ascii="Arial" w:cs="Arial" w:eastAsia="Arial" w:hAnsi="Arial"/>
                <w:sz w:val="9"/>
                <w:szCs w:val="9"/>
                <w:b w:val="1"/>
                <w:bCs w:val="1"/>
                <w:color w:val="auto"/>
              </w:rPr>
              <w:t>Major Tenants</w:t>
            </w:r>
          </w:p>
        </w:tc>
        <w:tc>
          <w:tcPr>
            <w:tcW w:w="0" w:type="dxa"/>
            <w:vAlign w:val="bottom"/>
          </w:tcPr>
          <w:p>
            <w:pPr>
              <w:spacing w:after="0"/>
              <w:rPr>
                <w:sz w:val="1"/>
                <w:szCs w:val="1"/>
                <w:color w:val="auto"/>
              </w:rPr>
            </w:pPr>
          </w:p>
        </w:tc>
      </w:tr>
      <w:tr>
        <w:trPr>
          <w:trHeight w:val="129"/>
        </w:trPr>
        <w:tc>
          <w:tcPr>
            <w:tcW w:w="1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77"/>
              <w:spacing w:after="0"/>
              <w:rPr>
                <w:sz w:val="20"/>
                <w:szCs w:val="20"/>
                <w:color w:val="auto"/>
              </w:rPr>
            </w:pPr>
            <w:r>
              <w:rPr>
                <w:rFonts w:ascii="Arial" w:cs="Arial" w:eastAsia="Arial" w:hAnsi="Arial"/>
                <w:sz w:val="9"/>
                <w:szCs w:val="9"/>
                <w:b w:val="1"/>
                <w:bCs w:val="1"/>
                <w:color w:val="auto"/>
              </w:rPr>
              <w:t>Ownership</w:t>
            </w:r>
          </w:p>
        </w:tc>
        <w:tc>
          <w:tcPr>
            <w:tcW w:w="6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9"/>
                <w:szCs w:val="9"/>
                <w:b w:val="1"/>
                <w:bCs w:val="1"/>
                <w:color w:val="auto"/>
              </w:rPr>
              <w:t>Occupancy</w:t>
            </w:r>
          </w:p>
        </w:tc>
        <w:tc>
          <w:tcPr>
            <w:tcW w:w="80" w:type="dxa"/>
            <w:vAlign w:val="bottom"/>
          </w:tcPr>
          <w:p>
            <w:pPr>
              <w:spacing w:after="0"/>
              <w:rPr>
                <w:sz w:val="11"/>
                <w:szCs w:val="11"/>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0"/>
              </w:rPr>
              <w:t>PSF</w:t>
            </w:r>
            <w:r>
              <w:rPr>
                <w:rFonts w:ascii="Arial" w:cs="Arial" w:eastAsia="Arial" w:hAnsi="Arial"/>
                <w:sz w:val="11"/>
                <w:szCs w:val="11"/>
                <w:b w:val="1"/>
                <w:bCs w:val="1"/>
                <w:color w:val="auto"/>
                <w:w w:val="90"/>
                <w:vertAlign w:val="superscript"/>
              </w:rPr>
              <w:t>(1)</w:t>
            </w: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9"/>
              </w:rPr>
              <w:t>Rent</w:t>
            </w:r>
            <w:r>
              <w:rPr>
                <w:rFonts w:ascii="Arial" w:cs="Arial" w:eastAsia="Arial" w:hAnsi="Arial"/>
                <w:sz w:val="11"/>
                <w:szCs w:val="11"/>
                <w:b w:val="1"/>
                <w:bCs w:val="1"/>
                <w:color w:val="auto"/>
                <w:w w:val="89"/>
                <w:vertAlign w:val="superscript"/>
              </w:rPr>
              <w:t>(2)</w:t>
            </w:r>
          </w:p>
        </w:tc>
        <w:tc>
          <w:tcPr>
            <w:tcW w:w="78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7"/>
              </w:rPr>
              <w:t>Property</w:t>
            </w:r>
          </w:p>
        </w:tc>
        <w:tc>
          <w:tcPr>
            <w:tcW w:w="780" w:type="dxa"/>
            <w:vAlign w:val="bottom"/>
            <w:gridSpan w:val="2"/>
            <w:vMerge w:val="continue"/>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4"/>
              </w:rPr>
              <w:t>for Lease</w:t>
            </w:r>
          </w:p>
        </w:tc>
        <w:tc>
          <w:tcPr>
            <w:tcW w:w="60" w:type="dxa"/>
            <w:vAlign w:val="bottom"/>
          </w:tcPr>
          <w:p>
            <w:pPr>
              <w:spacing w:after="0"/>
              <w:rPr>
                <w:sz w:val="11"/>
                <w:szCs w:val="11"/>
                <w:color w:val="auto"/>
              </w:rPr>
            </w:pPr>
          </w:p>
        </w:tc>
        <w:tc>
          <w:tcPr>
            <w:tcW w:w="720" w:type="dxa"/>
            <w:vAlign w:val="bottom"/>
          </w:tcPr>
          <w:p>
            <w:pPr>
              <w:jc w:val="center"/>
              <w:ind w:right="17"/>
              <w:spacing w:after="0"/>
              <w:rPr>
                <w:sz w:val="20"/>
                <w:szCs w:val="20"/>
                <w:color w:val="auto"/>
              </w:rPr>
            </w:pPr>
            <w:r>
              <w:rPr>
                <w:rFonts w:ascii="Arial" w:cs="Arial" w:eastAsia="Arial" w:hAnsi="Arial"/>
                <w:sz w:val="9"/>
                <w:szCs w:val="9"/>
                <w:b w:val="1"/>
                <w:bCs w:val="1"/>
                <w:color w:val="auto"/>
                <w:w w:val="92"/>
              </w:rPr>
              <w:t>(in thousands)</w:t>
            </w:r>
            <w:r>
              <w:rPr>
                <w:rFonts w:ascii="Arial" w:cs="Arial" w:eastAsia="Arial" w:hAnsi="Arial"/>
                <w:sz w:val="11"/>
                <w:szCs w:val="11"/>
                <w:b w:val="1"/>
                <w:bCs w:val="1"/>
                <w:color w:val="auto"/>
                <w:w w:val="92"/>
                <w:vertAlign w:val="superscript"/>
              </w:rPr>
              <w:t>(3)</w:t>
            </w:r>
          </w:p>
        </w:tc>
        <w:tc>
          <w:tcPr>
            <w:tcW w:w="8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40" w:type="dxa"/>
            <w:vAlign w:val="bottom"/>
            <w:tcBorders>
              <w:top w:val="single" w:sz="8" w:color="auto"/>
            </w:tcBorders>
          </w:tcPr>
          <w:p>
            <w:pPr>
              <w:ind w:left="20"/>
              <w:spacing w:after="0"/>
              <w:rPr>
                <w:sz w:val="20"/>
                <w:szCs w:val="20"/>
                <w:color w:val="auto"/>
              </w:rPr>
            </w:pPr>
            <w:r>
              <w:rPr>
                <w:rFonts w:ascii="Arial" w:cs="Arial" w:eastAsia="Arial" w:hAnsi="Arial"/>
                <w:sz w:val="9"/>
                <w:szCs w:val="9"/>
                <w:b w:val="1"/>
                <w:bCs w:val="1"/>
                <w:color w:val="auto"/>
              </w:rPr>
              <w:t>NEW YORK OFFICE (Continued):</w:t>
            </w: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20"/>
              <w:spacing w:after="0"/>
              <w:rPr>
                <w:sz w:val="20"/>
                <w:szCs w:val="20"/>
                <w:color w:val="auto"/>
              </w:rPr>
            </w:pPr>
            <w:r>
              <w:rPr>
                <w:rFonts w:ascii="Arial" w:cs="Arial" w:eastAsia="Arial" w:hAnsi="Arial"/>
                <w:sz w:val="9"/>
                <w:szCs w:val="9"/>
                <w:b w:val="1"/>
                <w:bCs w:val="1"/>
                <w:color w:val="auto"/>
              </w:rPr>
              <w:t>Midtown (continued):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color w:val="auto"/>
              </w:rPr>
              <w:t>888 Seventh Avenue</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280"/>
              <w:spacing w:after="0"/>
              <w:rPr>
                <w:sz w:val="20"/>
                <w:szCs w:val="20"/>
                <w:color w:val="auto"/>
              </w:rPr>
            </w:pPr>
            <w:r>
              <w:rPr>
                <w:rFonts w:ascii="Arial" w:cs="Arial" w:eastAsia="Arial" w:hAnsi="Arial"/>
                <w:sz w:val="9"/>
                <w:szCs w:val="9"/>
                <w:color w:val="auto"/>
              </w:rPr>
              <w:t>(ground leased through 2067)**</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9"/>
                <w:szCs w:val="9"/>
                <w:color w:val="auto"/>
              </w:rPr>
              <w:t>Lone Star US Acquisitions LLC, Top-New York, Inc.,</w:t>
            </w: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85.1 %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102.28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873,000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873,000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9"/>
                <w:szCs w:val="9"/>
                <w:color w:val="auto"/>
              </w:rPr>
              <w:t>Vornado Executive Headquarters, United Talent Agency</w:t>
            </w:r>
          </w:p>
        </w:tc>
        <w:tc>
          <w:tcPr>
            <w:tcW w:w="0" w:type="dxa"/>
            <w:vAlign w:val="bottom"/>
          </w:tcPr>
          <w:p>
            <w:pPr>
              <w:spacing w:after="0"/>
              <w:rPr>
                <w:sz w:val="1"/>
                <w:szCs w:val="1"/>
                <w:color w:val="auto"/>
              </w:rPr>
            </w:pPr>
          </w:p>
        </w:tc>
      </w:tr>
      <w:tr>
        <w:trPr>
          <w:trHeight w:val="137"/>
        </w:trPr>
        <w:tc>
          <w:tcPr>
            <w:tcW w:w="1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12.1 %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9"/>
                <w:szCs w:val="9"/>
                <w:color w:val="auto"/>
              </w:rPr>
              <w:t>855.19</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15,000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15,000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9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84.4 %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103.24</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77,600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888,000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888,000</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244,543</w:t>
            </w:r>
          </w:p>
        </w:tc>
        <w:tc>
          <w:tcPr>
            <w:tcW w:w="80" w:type="dxa"/>
            <w:vAlign w:val="bottom"/>
            <w:shd w:val="clear" w:color="auto" w:fill="CCEEFF"/>
          </w:tcPr>
          <w:p>
            <w:pPr>
              <w:spacing w:after="0"/>
              <w:rPr>
                <w:sz w:val="9"/>
                <w:szCs w:val="9"/>
                <w:color w:val="auto"/>
              </w:rPr>
            </w:pPr>
          </w:p>
        </w:tc>
        <w:tc>
          <w:tcPr>
            <w:tcW w:w="2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20"/>
              <w:spacing w:after="0"/>
              <w:rPr>
                <w:sz w:val="20"/>
                <w:szCs w:val="20"/>
                <w:color w:val="auto"/>
              </w:rPr>
            </w:pPr>
            <w:r>
              <w:rPr>
                <w:rFonts w:ascii="Arial" w:cs="Arial" w:eastAsia="Arial" w:hAnsi="Arial"/>
                <w:sz w:val="9"/>
                <w:szCs w:val="9"/>
                <w:color w:val="auto"/>
              </w:rPr>
              <w:t>50 West 57th Street</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40" w:type="dxa"/>
            <w:vAlign w:val="bottom"/>
          </w:tcPr>
          <w:p>
            <w:pPr>
              <w:ind w:left="540"/>
              <w:spacing w:after="0"/>
              <w:rPr>
                <w:sz w:val="20"/>
                <w:szCs w:val="20"/>
                <w:color w:val="auto"/>
              </w:rPr>
            </w:pPr>
            <w:r>
              <w:rPr>
                <w:rFonts w:ascii="Arial" w:cs="Arial" w:eastAsia="Arial" w:hAnsi="Arial"/>
                <w:sz w:val="9"/>
                <w:szCs w:val="9"/>
                <w:color w:val="auto"/>
              </w:rPr>
              <w:t>-Office</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50.0 %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65.78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69,000</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69,000</w:t>
            </w:r>
          </w:p>
        </w:tc>
        <w:tc>
          <w:tcPr>
            <w:tcW w:w="8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40" w:type="dxa"/>
            <w:vAlign w:val="bottom"/>
          </w:tcPr>
          <w:p>
            <w:pPr>
              <w:ind w:left="540"/>
              <w:spacing w:after="0"/>
              <w:rPr>
                <w:sz w:val="20"/>
                <w:szCs w:val="20"/>
                <w:color w:val="auto"/>
              </w:rPr>
            </w:pPr>
            <w:r>
              <w:rPr>
                <w:rFonts w:ascii="Arial" w:cs="Arial" w:eastAsia="Arial" w:hAnsi="Arial"/>
                <w:sz w:val="9"/>
                <w:szCs w:val="9"/>
                <w:color w:val="auto"/>
              </w:rPr>
              <w:t>-Retail</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50.0 %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103.96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10,000</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10,000</w:t>
            </w:r>
          </w:p>
        </w:tc>
        <w:tc>
          <w:tcPr>
            <w:tcW w:w="80" w:type="dxa"/>
            <w:vAlign w:val="bottom"/>
          </w:tcPr>
          <w:p>
            <w:pPr>
              <w:spacing w:after="0"/>
              <w:rPr>
                <w:sz w:val="11"/>
                <w:szCs w:val="11"/>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Arial" w:cs="Arial" w:eastAsia="Arial" w:hAnsi="Arial"/>
                <w:sz w:val="9"/>
                <w:szCs w:val="9"/>
                <w:color w:val="auto"/>
              </w:rPr>
              <w:t>Le Colonial*</w:t>
            </w:r>
          </w:p>
        </w:tc>
        <w:tc>
          <w:tcPr>
            <w:tcW w:w="0" w:type="dxa"/>
            <w:vAlign w:val="bottom"/>
          </w:tcPr>
          <w:p>
            <w:pPr>
              <w:spacing w:after="0"/>
              <w:rPr>
                <w:sz w:val="1"/>
                <w:szCs w:val="1"/>
                <w:color w:val="auto"/>
              </w:rPr>
            </w:pPr>
          </w:p>
        </w:tc>
      </w:tr>
      <w:tr>
        <w:trPr>
          <w:trHeight w:val="112"/>
        </w:trPr>
        <w:tc>
          <w:tcPr>
            <w:tcW w:w="1940" w:type="dxa"/>
            <w:vAlign w:val="bottom"/>
          </w:tcPr>
          <w:p>
            <w:pPr>
              <w:spacing w:after="0"/>
              <w:rPr>
                <w:sz w:val="9"/>
                <w:szCs w:val="9"/>
                <w:color w:val="auto"/>
              </w:rPr>
            </w:pP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50.0 %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69.13</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4"/>
              <w:spacing w:after="0"/>
              <w:rPr>
                <w:sz w:val="20"/>
                <w:szCs w:val="20"/>
                <w:color w:val="auto"/>
              </w:rPr>
            </w:pPr>
            <w:r>
              <w:rPr>
                <w:rFonts w:ascii="Arial" w:cs="Arial" w:eastAsia="Arial" w:hAnsi="Arial"/>
                <w:sz w:val="9"/>
                <w:szCs w:val="9"/>
                <w:color w:val="auto"/>
              </w:rPr>
              <w:t>5,300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79,000</w:t>
            </w: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79,000</w:t>
            </w:r>
          </w:p>
        </w:tc>
        <w:tc>
          <w:tcPr>
            <w:tcW w:w="80" w:type="dxa"/>
            <w:vAlign w:val="bottom"/>
          </w:tcPr>
          <w:p>
            <w:pPr>
              <w:spacing w:after="0"/>
              <w:rPr>
                <w:sz w:val="9"/>
                <w:szCs w:val="9"/>
                <w:color w:val="auto"/>
              </w:rPr>
            </w:pPr>
          </w:p>
        </w:tc>
        <w:tc>
          <w:tcPr>
            <w:tcW w:w="780" w:type="dxa"/>
            <w:vAlign w:val="bottom"/>
            <w:gridSpan w:val="2"/>
          </w:tcPr>
          <w:p>
            <w:pPr>
              <w:ind w:left="5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color w:val="auto"/>
              </w:rPr>
              <w:t>825 Seventh Avenue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50.0 %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79.6 %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43.99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5,800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169,000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48,000</w:t>
            </w:r>
          </w:p>
        </w:tc>
        <w:tc>
          <w:tcPr>
            <w:tcW w:w="80" w:type="dxa"/>
            <w:vAlign w:val="bottom"/>
            <w:shd w:val="clear" w:color="auto" w:fill="CCEEFF"/>
          </w:tcPr>
          <w:p>
            <w:pPr>
              <w:spacing w:after="0"/>
              <w:rPr>
                <w:sz w:val="11"/>
                <w:szCs w:val="11"/>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9"/>
                <w:szCs w:val="9"/>
                <w:color w:val="auto"/>
              </w:rPr>
              <w:t>Young Adult Institute Inc., New Alternatives for Children, Inc.</w:t>
            </w:r>
          </w:p>
        </w:tc>
        <w:tc>
          <w:tcPr>
            <w:tcW w:w="0" w:type="dxa"/>
            <w:vAlign w:val="bottom"/>
          </w:tcPr>
          <w:p>
            <w:pPr>
              <w:spacing w:after="0"/>
              <w:rPr>
                <w:sz w:val="1"/>
                <w:szCs w:val="1"/>
                <w:color w:val="auto"/>
              </w:rPr>
            </w:pPr>
          </w:p>
        </w:tc>
      </w:tr>
      <w:tr>
        <w:trPr>
          <w:trHeight w:val="60"/>
        </w:trPr>
        <w:tc>
          <w:tcPr>
            <w:tcW w:w="19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940" w:type="dxa"/>
            <w:vAlign w:val="bottom"/>
          </w:tcPr>
          <w:p>
            <w:pPr>
              <w:ind w:left="140"/>
              <w:spacing w:after="0"/>
              <w:rPr>
                <w:sz w:val="20"/>
                <w:szCs w:val="20"/>
                <w:color w:val="auto"/>
              </w:rPr>
            </w:pPr>
            <w:r>
              <w:rPr>
                <w:rFonts w:ascii="Arial" w:cs="Arial" w:eastAsia="Arial" w:hAnsi="Arial"/>
                <w:sz w:val="9"/>
                <w:szCs w:val="9"/>
                <w:color w:val="auto"/>
              </w:rPr>
              <w:t>Total Midtown</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4"/>
              <w:spacing w:after="0"/>
              <w:rPr>
                <w:sz w:val="20"/>
                <w:szCs w:val="20"/>
                <w:color w:val="auto"/>
              </w:rPr>
            </w:pPr>
            <w:r>
              <w:rPr>
                <w:rFonts w:ascii="Arial" w:cs="Arial" w:eastAsia="Arial" w:hAnsi="Arial"/>
                <w:sz w:val="9"/>
                <w:szCs w:val="9"/>
                <w:color w:val="auto"/>
              </w:rPr>
              <w:t>251,900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3,988,000</w:t>
            </w: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3,988,000</w:t>
            </w:r>
          </w:p>
        </w:tc>
        <w:tc>
          <w:tcPr>
            <w:tcW w:w="80" w:type="dxa"/>
            <w:vAlign w:val="bottom"/>
          </w:tcPr>
          <w:p>
            <w:pPr>
              <w:spacing w:after="0"/>
              <w:rPr>
                <w:sz w:val="9"/>
                <w:szCs w:val="9"/>
                <w:color w:val="auto"/>
              </w:rPr>
            </w:pPr>
          </w:p>
        </w:tc>
        <w:tc>
          <w:tcPr>
            <w:tcW w:w="780" w:type="dxa"/>
            <w:vAlign w:val="bottom"/>
            <w:gridSpan w:val="2"/>
          </w:tcPr>
          <w:p>
            <w:pPr>
              <w:ind w:left="5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642,543</w:t>
            </w:r>
          </w:p>
        </w:tc>
        <w:tc>
          <w:tcPr>
            <w:tcW w:w="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b w:val="1"/>
                <w:bCs w:val="1"/>
                <w:color w:val="auto"/>
              </w:rPr>
              <w:t>Chelsea/Meatpacking District: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20"/>
              <w:spacing w:after="0"/>
              <w:rPr>
                <w:sz w:val="20"/>
                <w:szCs w:val="20"/>
                <w:color w:val="auto"/>
              </w:rPr>
            </w:pPr>
            <w:r>
              <w:rPr>
                <w:rFonts w:ascii="Arial" w:cs="Arial" w:eastAsia="Arial" w:hAnsi="Arial"/>
                <w:sz w:val="9"/>
                <w:szCs w:val="9"/>
                <w:color w:val="auto"/>
              </w:rPr>
              <w:t>260 Eleventh Avenue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40" w:type="dxa"/>
            <w:vAlign w:val="bottom"/>
          </w:tcPr>
          <w:p>
            <w:pPr>
              <w:ind w:left="280"/>
              <w:spacing w:after="0"/>
              <w:rPr>
                <w:sz w:val="20"/>
                <w:szCs w:val="20"/>
                <w:color w:val="auto"/>
              </w:rPr>
            </w:pPr>
            <w:r>
              <w:rPr>
                <w:rFonts w:ascii="Arial" w:cs="Arial" w:eastAsia="Arial" w:hAnsi="Arial"/>
                <w:sz w:val="9"/>
                <w:szCs w:val="9"/>
                <w:color w:val="auto"/>
              </w:rPr>
              <w:t>(ground leased through 2114)**</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40" w:type="dxa"/>
            <w:vAlign w:val="bottom"/>
          </w:tcPr>
          <w:p>
            <w:pPr>
              <w:ind w:left="540"/>
              <w:spacing w:after="0"/>
              <w:rPr>
                <w:sz w:val="20"/>
                <w:szCs w:val="20"/>
                <w:color w:val="auto"/>
              </w:rPr>
            </w:pPr>
            <w:r>
              <w:rPr>
                <w:rFonts w:ascii="Arial" w:cs="Arial" w:eastAsia="Arial" w:hAnsi="Arial"/>
                <w:sz w:val="9"/>
                <w:szCs w:val="9"/>
                <w:color w:val="auto"/>
              </w:rPr>
              <w:t>-Office</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50.33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4"/>
              <w:spacing w:after="0"/>
              <w:rPr>
                <w:sz w:val="20"/>
                <w:szCs w:val="20"/>
                <w:color w:val="auto"/>
              </w:rPr>
            </w:pPr>
            <w:r>
              <w:rPr>
                <w:rFonts w:ascii="Arial" w:cs="Arial" w:eastAsia="Arial" w:hAnsi="Arial"/>
                <w:sz w:val="9"/>
                <w:szCs w:val="9"/>
                <w:color w:val="auto"/>
              </w:rPr>
              <w:t>10,500</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209,000</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209,000</w:t>
            </w:r>
          </w:p>
        </w:tc>
        <w:tc>
          <w:tcPr>
            <w:tcW w:w="8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3740" w:type="dxa"/>
            <w:vAlign w:val="bottom"/>
            <w:gridSpan w:val="3"/>
          </w:tcPr>
          <w:p>
            <w:pPr>
              <w:ind w:left="600"/>
              <w:spacing w:after="0"/>
              <w:rPr>
                <w:sz w:val="20"/>
                <w:szCs w:val="20"/>
                <w:color w:val="auto"/>
              </w:rPr>
            </w:pPr>
            <w:r>
              <w:rPr>
                <w:rFonts w:ascii="Arial" w:cs="Arial" w:eastAsia="Arial" w:hAnsi="Arial"/>
                <w:sz w:val="9"/>
                <w:szCs w:val="9"/>
                <w:color w:val="auto"/>
              </w:rPr>
              <w:t>—   The City of New York</w:t>
            </w:r>
          </w:p>
        </w:tc>
        <w:tc>
          <w:tcPr>
            <w:tcW w:w="0" w:type="dxa"/>
            <w:vAlign w:val="bottom"/>
          </w:tcPr>
          <w:p>
            <w:pPr>
              <w:spacing w:after="0"/>
              <w:rPr>
                <w:sz w:val="1"/>
                <w:szCs w:val="1"/>
                <w:color w:val="auto"/>
              </w:rPr>
            </w:pPr>
          </w:p>
        </w:tc>
      </w:tr>
      <w:tr>
        <w:trPr>
          <w:trHeight w:val="92"/>
        </w:trPr>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color w:val="auto"/>
              </w:rPr>
              <w:t>85 Tenth Avenue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9"/>
                <w:szCs w:val="9"/>
                <w:color w:val="auto"/>
              </w:rPr>
              <w:t>Google, Telehouse International Corp.,</w:t>
            </w: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49.9 %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89.9 %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95.97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598,000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598,000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9"/>
                <w:szCs w:val="9"/>
                <w:color w:val="auto"/>
              </w:rPr>
              <w:t>Clear Secure, Inc., Shopify</w:t>
            </w:r>
          </w:p>
        </w:tc>
        <w:tc>
          <w:tcPr>
            <w:tcW w:w="0" w:type="dxa"/>
            <w:vAlign w:val="bottom"/>
          </w:tcPr>
          <w:p>
            <w:pPr>
              <w:spacing w:after="0"/>
              <w:rPr>
                <w:sz w:val="1"/>
                <w:szCs w:val="1"/>
                <w:color w:val="auto"/>
              </w:rPr>
            </w:pPr>
          </w:p>
        </w:tc>
      </w:tr>
      <w:tr>
        <w:trPr>
          <w:trHeight w:val="137"/>
        </w:trPr>
        <w:tc>
          <w:tcPr>
            <w:tcW w:w="1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76.3 %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9"/>
                <w:szCs w:val="9"/>
                <w:color w:val="auto"/>
              </w:rPr>
              <w:t>96.01</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43,000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43,000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Crane Club, Verde</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49.9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89.1 %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95.97</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54,600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641,000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641,000</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625,000</w:t>
            </w:r>
          </w:p>
        </w:tc>
        <w:tc>
          <w:tcPr>
            <w:tcW w:w="80" w:type="dxa"/>
            <w:vAlign w:val="bottom"/>
            <w:shd w:val="clear" w:color="auto" w:fill="CCEEFF"/>
          </w:tcPr>
          <w:p>
            <w:pPr>
              <w:spacing w:after="0"/>
              <w:rPr>
                <w:sz w:val="9"/>
                <w:szCs w:val="9"/>
                <w:color w:val="auto"/>
              </w:rPr>
            </w:pPr>
          </w:p>
        </w:tc>
        <w:tc>
          <w:tcPr>
            <w:tcW w:w="2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20"/>
              <w:spacing w:after="0"/>
              <w:rPr>
                <w:sz w:val="20"/>
                <w:szCs w:val="20"/>
                <w:color w:val="auto"/>
              </w:rPr>
            </w:pPr>
            <w:r>
              <w:rPr>
                <w:rFonts w:ascii="Arial" w:cs="Arial" w:eastAsia="Arial" w:hAnsi="Arial"/>
                <w:sz w:val="9"/>
                <w:szCs w:val="9"/>
                <w:color w:val="auto"/>
              </w:rPr>
              <w:t>61 Ninth Avenue (2 buildings)</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40" w:type="dxa"/>
            <w:vAlign w:val="bottom"/>
          </w:tcPr>
          <w:p>
            <w:pPr>
              <w:ind w:left="280"/>
              <w:spacing w:after="0"/>
              <w:rPr>
                <w:sz w:val="20"/>
                <w:szCs w:val="20"/>
                <w:color w:val="auto"/>
              </w:rPr>
            </w:pPr>
            <w:r>
              <w:rPr>
                <w:rFonts w:ascii="Arial" w:cs="Arial" w:eastAsia="Arial" w:hAnsi="Arial"/>
                <w:sz w:val="9"/>
                <w:szCs w:val="9"/>
                <w:color w:val="auto"/>
              </w:rPr>
              <w:t>(ground leased through 2115)**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40" w:type="dxa"/>
            <w:vAlign w:val="bottom"/>
          </w:tcPr>
          <w:p>
            <w:pPr>
              <w:ind w:left="540"/>
              <w:spacing w:after="0"/>
              <w:rPr>
                <w:sz w:val="20"/>
                <w:szCs w:val="20"/>
                <w:color w:val="auto"/>
              </w:rPr>
            </w:pPr>
            <w:r>
              <w:rPr>
                <w:rFonts w:ascii="Arial" w:cs="Arial" w:eastAsia="Arial" w:hAnsi="Arial"/>
                <w:sz w:val="9"/>
                <w:szCs w:val="9"/>
                <w:color w:val="auto"/>
              </w:rPr>
              <w:t>-Office</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45.1 %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152.38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171,000</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171,000</w:t>
            </w:r>
          </w:p>
        </w:tc>
        <w:tc>
          <w:tcPr>
            <w:tcW w:w="8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Arial" w:cs="Arial" w:eastAsia="Arial" w:hAnsi="Arial"/>
                <w:sz w:val="9"/>
                <w:szCs w:val="9"/>
                <w:color w:val="auto"/>
              </w:rPr>
              <w:t>Aetna Life Insurance Company, Apple Inc.</w:t>
            </w:r>
          </w:p>
        </w:tc>
        <w:tc>
          <w:tcPr>
            <w:tcW w:w="0" w:type="dxa"/>
            <w:vAlign w:val="bottom"/>
          </w:tcPr>
          <w:p>
            <w:pPr>
              <w:spacing w:after="0"/>
              <w:rPr>
                <w:sz w:val="1"/>
                <w:szCs w:val="1"/>
                <w:color w:val="auto"/>
              </w:rPr>
            </w:pPr>
          </w:p>
        </w:tc>
      </w:tr>
      <w:tr>
        <w:trPr>
          <w:trHeight w:val="137"/>
        </w:trPr>
        <w:tc>
          <w:tcPr>
            <w:tcW w:w="1940" w:type="dxa"/>
            <w:vAlign w:val="bottom"/>
          </w:tcPr>
          <w:p>
            <w:pPr>
              <w:ind w:left="540"/>
              <w:spacing w:after="0"/>
              <w:rPr>
                <w:sz w:val="20"/>
                <w:szCs w:val="20"/>
                <w:color w:val="auto"/>
              </w:rPr>
            </w:pPr>
            <w:r>
              <w:rPr>
                <w:rFonts w:ascii="Arial" w:cs="Arial" w:eastAsia="Arial" w:hAnsi="Arial"/>
                <w:sz w:val="9"/>
                <w:szCs w:val="9"/>
                <w:color w:val="auto"/>
              </w:rPr>
              <w:t>-Retail</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45.1 %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415.53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23,000</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23,000</w:t>
            </w:r>
          </w:p>
        </w:tc>
        <w:tc>
          <w:tcPr>
            <w:tcW w:w="80" w:type="dxa"/>
            <w:vAlign w:val="bottom"/>
          </w:tcPr>
          <w:p>
            <w:pPr>
              <w:spacing w:after="0"/>
              <w:rPr>
                <w:sz w:val="11"/>
                <w:szCs w:val="11"/>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Arial" w:cs="Arial" w:eastAsia="Arial" w:hAnsi="Arial"/>
                <w:sz w:val="9"/>
                <w:szCs w:val="9"/>
                <w:color w:val="auto"/>
              </w:rPr>
              <w:t>Starbucks</w:t>
            </w:r>
          </w:p>
        </w:tc>
        <w:tc>
          <w:tcPr>
            <w:tcW w:w="0" w:type="dxa"/>
            <w:vAlign w:val="bottom"/>
          </w:tcPr>
          <w:p>
            <w:pPr>
              <w:spacing w:after="0"/>
              <w:rPr>
                <w:sz w:val="1"/>
                <w:szCs w:val="1"/>
                <w:color w:val="auto"/>
              </w:rPr>
            </w:pPr>
          </w:p>
        </w:tc>
      </w:tr>
      <w:tr>
        <w:trPr>
          <w:trHeight w:val="112"/>
        </w:trPr>
        <w:tc>
          <w:tcPr>
            <w:tcW w:w="1940" w:type="dxa"/>
            <w:vAlign w:val="bottom"/>
          </w:tcPr>
          <w:p>
            <w:pPr>
              <w:spacing w:after="0"/>
              <w:rPr>
                <w:sz w:val="9"/>
                <w:szCs w:val="9"/>
                <w:color w:val="auto"/>
              </w:rPr>
            </w:pP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45.1 %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169.68</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4"/>
              <w:spacing w:after="0"/>
              <w:rPr>
                <w:sz w:val="20"/>
                <w:szCs w:val="20"/>
                <w:color w:val="auto"/>
              </w:rPr>
            </w:pPr>
            <w:r>
              <w:rPr>
                <w:rFonts w:ascii="Arial" w:cs="Arial" w:eastAsia="Arial" w:hAnsi="Arial"/>
                <w:sz w:val="9"/>
                <w:szCs w:val="9"/>
                <w:color w:val="auto"/>
              </w:rPr>
              <w:t>35,400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194,000</w:t>
            </w: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194,000</w:t>
            </w:r>
          </w:p>
        </w:tc>
        <w:tc>
          <w:tcPr>
            <w:tcW w:w="80" w:type="dxa"/>
            <w:vAlign w:val="bottom"/>
          </w:tcPr>
          <w:p>
            <w:pPr>
              <w:spacing w:after="0"/>
              <w:rPr>
                <w:sz w:val="9"/>
                <w:szCs w:val="9"/>
                <w:color w:val="auto"/>
              </w:rPr>
            </w:pPr>
          </w:p>
        </w:tc>
        <w:tc>
          <w:tcPr>
            <w:tcW w:w="780" w:type="dxa"/>
            <w:vAlign w:val="bottom"/>
            <w:gridSpan w:val="2"/>
          </w:tcPr>
          <w:p>
            <w:pPr>
              <w:ind w:left="5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161,000</w:t>
            </w:r>
          </w:p>
        </w:tc>
        <w:tc>
          <w:tcPr>
            <w:tcW w:w="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9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940" w:type="dxa"/>
            <w:vAlign w:val="bottom"/>
            <w:shd w:val="clear" w:color="auto" w:fill="CCEEFF"/>
          </w:tcPr>
          <w:p>
            <w:pPr>
              <w:ind w:left="140"/>
              <w:spacing w:after="0"/>
              <w:rPr>
                <w:sz w:val="20"/>
                <w:szCs w:val="20"/>
                <w:color w:val="auto"/>
              </w:rPr>
            </w:pPr>
            <w:r>
              <w:rPr>
                <w:rFonts w:ascii="Arial" w:cs="Arial" w:eastAsia="Arial" w:hAnsi="Arial"/>
                <w:sz w:val="9"/>
                <w:szCs w:val="9"/>
                <w:color w:val="auto"/>
              </w:rPr>
              <w:t>Total Chelsea/Meatpacking District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100,500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1,044,000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1,044,000</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786,000</w:t>
            </w:r>
          </w:p>
        </w:tc>
        <w:tc>
          <w:tcPr>
            <w:tcW w:w="80" w:type="dxa"/>
            <w:vAlign w:val="bottom"/>
            <w:shd w:val="clear" w:color="auto" w:fill="CCEEFF"/>
          </w:tcPr>
          <w:p>
            <w:pPr>
              <w:spacing w:after="0"/>
              <w:rPr>
                <w:sz w:val="9"/>
                <w:szCs w:val="9"/>
                <w:color w:val="auto"/>
              </w:rPr>
            </w:pPr>
          </w:p>
        </w:tc>
        <w:tc>
          <w:tcPr>
            <w:tcW w:w="2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940" w:type="dxa"/>
            <w:vAlign w:val="bottom"/>
          </w:tcPr>
          <w:p>
            <w:pPr>
              <w:ind w:left="20"/>
              <w:spacing w:after="0"/>
              <w:rPr>
                <w:sz w:val="20"/>
                <w:szCs w:val="20"/>
                <w:color w:val="auto"/>
              </w:rPr>
            </w:pPr>
            <w:r>
              <w:rPr>
                <w:rFonts w:ascii="Arial" w:cs="Arial" w:eastAsia="Arial" w:hAnsi="Arial"/>
                <w:sz w:val="9"/>
                <w:szCs w:val="9"/>
                <w:b w:val="1"/>
                <w:bCs w:val="1"/>
                <w:color w:val="auto"/>
              </w:rPr>
              <w:t>Midtown South</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40" w:type="dxa"/>
            <w:vAlign w:val="bottom"/>
            <w:shd w:val="clear" w:color="auto" w:fill="CCEEFF"/>
          </w:tcPr>
          <w:p>
            <w:pPr>
              <w:ind w:left="20"/>
              <w:spacing w:after="0"/>
              <w:rPr>
                <w:sz w:val="20"/>
                <w:szCs w:val="20"/>
                <w:color w:val="auto"/>
              </w:rPr>
            </w:pPr>
            <w:r>
              <w:rPr>
                <w:rFonts w:ascii="Arial" w:cs="Arial" w:eastAsia="Arial" w:hAnsi="Arial"/>
                <w:sz w:val="9"/>
                <w:szCs w:val="9"/>
                <w:color w:val="auto"/>
              </w:rPr>
              <w:t>770 Broadway</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center"/>
              <w:ind w:right="37"/>
              <w:spacing w:after="0"/>
              <w:rPr>
                <w:sz w:val="20"/>
                <w:szCs w:val="20"/>
                <w:color w:val="auto"/>
              </w:rPr>
            </w:pPr>
            <w:r>
              <w:rPr>
                <w:rFonts w:ascii="Arial" w:cs="Arial" w:eastAsia="Arial" w:hAnsi="Arial"/>
                <w:sz w:val="9"/>
                <w:szCs w:val="9"/>
                <w:b w:val="1"/>
                <w:bCs w:val="1"/>
                <w:color w:val="auto"/>
                <w:w w:val="87"/>
              </w:rPr>
              <w:t>(11)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center"/>
              <w:ind w:right="34"/>
              <w:spacing w:after="0"/>
              <w:rPr>
                <w:sz w:val="20"/>
                <w:szCs w:val="20"/>
                <w:color w:val="auto"/>
              </w:rPr>
            </w:pPr>
            <w:r>
              <w:rPr>
                <w:rFonts w:ascii="Arial" w:cs="Arial" w:eastAsia="Arial" w:hAnsi="Arial"/>
                <w:sz w:val="9"/>
                <w:szCs w:val="9"/>
                <w:b w:val="1"/>
                <w:bCs w:val="1"/>
                <w:color w:val="auto"/>
                <w:w w:val="87"/>
              </w:rPr>
              <w:t>(11)</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1,091,000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1,091,000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9"/>
                <w:szCs w:val="9"/>
                <w:color w:val="auto"/>
              </w:rPr>
              <w:t>New York University</w:t>
            </w:r>
          </w:p>
        </w:tc>
        <w:tc>
          <w:tcPr>
            <w:tcW w:w="0" w:type="dxa"/>
            <w:vAlign w:val="bottom"/>
          </w:tcPr>
          <w:p>
            <w:pPr>
              <w:spacing w:after="0"/>
              <w:rPr>
                <w:sz w:val="1"/>
                <w:szCs w:val="1"/>
                <w:color w:val="auto"/>
              </w:rPr>
            </w:pPr>
          </w:p>
        </w:tc>
      </w:tr>
      <w:tr>
        <w:trPr>
          <w:trHeight w:val="131"/>
        </w:trPr>
        <w:tc>
          <w:tcPr>
            <w:tcW w:w="1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9"/>
                <w:szCs w:val="9"/>
                <w:color w:val="auto"/>
              </w:rPr>
              <w:t>71.82</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9"/>
                <w:szCs w:val="9"/>
                <w:color w:val="auto"/>
              </w:rPr>
              <w:t>6,200</w:t>
            </w: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92,000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92,000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Wegmans Food Markets</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1,183,000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1,183,000</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2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20"/>
              <w:spacing w:after="0"/>
              <w:rPr>
                <w:sz w:val="20"/>
                <w:szCs w:val="20"/>
                <w:color w:val="auto"/>
              </w:rPr>
            </w:pPr>
            <w:r>
              <w:rPr>
                <w:rFonts w:ascii="Arial" w:cs="Arial" w:eastAsia="Arial" w:hAnsi="Arial"/>
                <w:sz w:val="9"/>
                <w:szCs w:val="9"/>
                <w:color w:val="auto"/>
              </w:rPr>
              <w:t>One Park Avenue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Arial" w:cs="Arial" w:eastAsia="Arial" w:hAnsi="Arial"/>
                <w:sz w:val="9"/>
                <w:szCs w:val="9"/>
                <w:color w:val="auto"/>
              </w:rPr>
              <w:t>New York University, BMG Rights Management LLC,</w:t>
            </w:r>
          </w:p>
        </w:tc>
        <w:tc>
          <w:tcPr>
            <w:tcW w:w="0" w:type="dxa"/>
            <w:vAlign w:val="bottom"/>
          </w:tcPr>
          <w:p>
            <w:pPr>
              <w:spacing w:after="0"/>
              <w:rPr>
                <w:sz w:val="1"/>
                <w:szCs w:val="1"/>
                <w:color w:val="auto"/>
              </w:rPr>
            </w:pPr>
          </w:p>
        </w:tc>
      </w:tr>
      <w:tr>
        <w:trPr>
          <w:trHeight w:val="129"/>
        </w:trPr>
        <w:tc>
          <w:tcPr>
            <w:tcW w:w="1940" w:type="dxa"/>
            <w:vAlign w:val="bottom"/>
          </w:tcPr>
          <w:p>
            <w:pPr>
              <w:ind w:left="540"/>
              <w:spacing w:after="0"/>
              <w:rPr>
                <w:sz w:val="20"/>
                <w:szCs w:val="20"/>
                <w:color w:val="auto"/>
              </w:rPr>
            </w:pPr>
            <w:r>
              <w:rPr>
                <w:rFonts w:ascii="Arial" w:cs="Arial" w:eastAsia="Arial" w:hAnsi="Arial"/>
                <w:sz w:val="9"/>
                <w:szCs w:val="9"/>
                <w:color w:val="auto"/>
              </w:rPr>
              <w:t>-Office</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93.9 %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74.07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867,000</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867,000</w:t>
            </w:r>
          </w:p>
        </w:tc>
        <w:tc>
          <w:tcPr>
            <w:tcW w:w="8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Arial" w:cs="Arial" w:eastAsia="Arial" w:hAnsi="Arial"/>
                <w:sz w:val="9"/>
                <w:szCs w:val="9"/>
                <w:color w:val="auto"/>
              </w:rPr>
              <w:t>Robert A.M. Stern Architect</w:t>
            </w:r>
          </w:p>
        </w:tc>
        <w:tc>
          <w:tcPr>
            <w:tcW w:w="0" w:type="dxa"/>
            <w:vAlign w:val="bottom"/>
          </w:tcPr>
          <w:p>
            <w:pPr>
              <w:spacing w:after="0"/>
              <w:rPr>
                <w:sz w:val="1"/>
                <w:szCs w:val="1"/>
                <w:color w:val="auto"/>
              </w:rPr>
            </w:pPr>
          </w:p>
        </w:tc>
      </w:tr>
      <w:tr>
        <w:trPr>
          <w:trHeight w:val="137"/>
        </w:trPr>
        <w:tc>
          <w:tcPr>
            <w:tcW w:w="1940" w:type="dxa"/>
            <w:vAlign w:val="bottom"/>
          </w:tcPr>
          <w:p>
            <w:pPr>
              <w:ind w:left="540"/>
              <w:spacing w:after="0"/>
              <w:rPr>
                <w:sz w:val="20"/>
                <w:szCs w:val="20"/>
                <w:color w:val="auto"/>
              </w:rPr>
            </w:pPr>
            <w:r>
              <w:rPr>
                <w:rFonts w:ascii="Arial" w:cs="Arial" w:eastAsia="Arial" w:hAnsi="Arial"/>
                <w:sz w:val="9"/>
                <w:szCs w:val="9"/>
                <w:color w:val="auto"/>
              </w:rPr>
              <w:t>-Retail</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95.6 %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85.73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78,000</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78,000</w:t>
            </w:r>
          </w:p>
        </w:tc>
        <w:tc>
          <w:tcPr>
            <w:tcW w:w="80" w:type="dxa"/>
            <w:vAlign w:val="bottom"/>
          </w:tcPr>
          <w:p>
            <w:pPr>
              <w:spacing w:after="0"/>
              <w:rPr>
                <w:sz w:val="11"/>
                <w:szCs w:val="11"/>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Pr>
          <w:p>
            <w:pPr>
              <w:ind w:left="20"/>
              <w:spacing w:after="0"/>
              <w:rPr>
                <w:sz w:val="20"/>
                <w:szCs w:val="20"/>
                <w:color w:val="auto"/>
              </w:rPr>
            </w:pPr>
            <w:r>
              <w:rPr>
                <w:rFonts w:ascii="Arial" w:cs="Arial" w:eastAsia="Arial" w:hAnsi="Arial"/>
                <w:sz w:val="9"/>
                <w:szCs w:val="9"/>
                <w:color w:val="auto"/>
              </w:rPr>
              <w:t>Bank of Baroda, Citibank, Equinox, Tous Les Jour*</w:t>
            </w:r>
          </w:p>
        </w:tc>
        <w:tc>
          <w:tcPr>
            <w:tcW w:w="0" w:type="dxa"/>
            <w:vAlign w:val="bottom"/>
          </w:tcPr>
          <w:p>
            <w:pPr>
              <w:spacing w:after="0"/>
              <w:rPr>
                <w:sz w:val="1"/>
                <w:szCs w:val="1"/>
                <w:color w:val="auto"/>
              </w:rPr>
            </w:pPr>
          </w:p>
        </w:tc>
      </w:tr>
      <w:tr>
        <w:trPr>
          <w:trHeight w:val="121"/>
        </w:trPr>
        <w:tc>
          <w:tcPr>
            <w:tcW w:w="194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gridSpan w:val="3"/>
          </w:tcPr>
          <w:p>
            <w:pPr>
              <w:jc w:val="right"/>
              <w:spacing w:after="0"/>
              <w:rPr>
                <w:sz w:val="20"/>
                <w:szCs w:val="20"/>
                <w:color w:val="auto"/>
              </w:rPr>
            </w:pPr>
            <w:r>
              <w:rPr>
                <w:rFonts w:ascii="Arial" w:cs="Arial" w:eastAsia="Arial" w:hAnsi="Arial"/>
                <w:sz w:val="9"/>
                <w:szCs w:val="9"/>
                <w:color w:val="auto"/>
              </w:rPr>
              <w:t>100.0 %</w:t>
            </w:r>
          </w:p>
        </w:tc>
        <w:tc>
          <w:tcPr>
            <w:tcW w:w="740" w:type="dxa"/>
            <w:vAlign w:val="bottom"/>
            <w:tcBorders>
              <w:bottom w:val="single" w:sz="8" w:color="CCEEFF"/>
            </w:tcBorders>
            <w:gridSpan w:val="2"/>
          </w:tcPr>
          <w:p>
            <w:pPr>
              <w:jc w:val="right"/>
              <w:spacing w:after="0"/>
              <w:rPr>
                <w:sz w:val="20"/>
                <w:szCs w:val="20"/>
                <w:color w:val="auto"/>
              </w:rPr>
            </w:pPr>
            <w:r>
              <w:rPr>
                <w:rFonts w:ascii="Arial" w:cs="Arial" w:eastAsia="Arial" w:hAnsi="Arial"/>
                <w:sz w:val="9"/>
                <w:szCs w:val="9"/>
                <w:color w:val="auto"/>
              </w:rPr>
              <w:t>94.0 %</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jc w:val="right"/>
              <w:ind w:right="17"/>
              <w:spacing w:after="0"/>
              <w:rPr>
                <w:sz w:val="20"/>
                <w:szCs w:val="20"/>
                <w:color w:val="auto"/>
              </w:rPr>
            </w:pPr>
            <w:r>
              <w:rPr>
                <w:rFonts w:ascii="Arial" w:cs="Arial" w:eastAsia="Arial" w:hAnsi="Arial"/>
                <w:sz w:val="9"/>
                <w:szCs w:val="9"/>
                <w:color w:val="auto"/>
              </w:rPr>
              <w:t>75.03</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color w:val="auto"/>
              </w:rPr>
              <w:t>65,300</w:t>
            </w: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945,000</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945,000</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525,000</w:t>
            </w:r>
          </w:p>
        </w:tc>
        <w:tc>
          <w:tcPr>
            <w:tcW w:w="80" w:type="dxa"/>
            <w:vAlign w:val="bottom"/>
            <w:tcBorders>
              <w:bottom w:val="single" w:sz="8" w:color="CCEEFF"/>
            </w:tcBorders>
          </w:tcPr>
          <w:p>
            <w:pPr>
              <w:spacing w:after="0"/>
              <w:rPr>
                <w:sz w:val="10"/>
                <w:szCs w:val="10"/>
                <w:color w:val="auto"/>
              </w:rPr>
            </w:pPr>
          </w:p>
        </w:tc>
        <w:tc>
          <w:tcPr>
            <w:tcW w:w="29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940" w:type="dxa"/>
            <w:vAlign w:val="bottom"/>
            <w:shd w:val="clear" w:color="auto" w:fill="CCEEFF"/>
          </w:tcPr>
          <w:p>
            <w:pPr>
              <w:ind w:left="140"/>
              <w:spacing w:after="0"/>
              <w:rPr>
                <w:sz w:val="20"/>
                <w:szCs w:val="20"/>
                <w:color w:val="auto"/>
              </w:rPr>
            </w:pPr>
            <w:r>
              <w:rPr>
                <w:rFonts w:ascii="Arial" w:cs="Arial" w:eastAsia="Arial" w:hAnsi="Arial"/>
                <w:sz w:val="9"/>
                <w:szCs w:val="9"/>
                <w:color w:val="auto"/>
              </w:rPr>
              <w:t>Total Midtown South</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9"/>
                <w:szCs w:val="9"/>
                <w:color w:val="auto"/>
              </w:rPr>
              <w:t>71,500</w:t>
            </w:r>
          </w:p>
        </w:tc>
        <w:tc>
          <w:tcPr>
            <w:tcW w:w="6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2,128,000</w:t>
            </w:r>
          </w:p>
        </w:tc>
        <w:tc>
          <w:tcPr>
            <w:tcW w:w="8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2,128,000</w:t>
            </w:r>
          </w:p>
        </w:tc>
        <w:tc>
          <w:tcPr>
            <w:tcW w:w="8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525,000</w:t>
            </w:r>
          </w:p>
        </w:tc>
        <w:tc>
          <w:tcPr>
            <w:tcW w:w="8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- 38 -</w:t>
      </w:r>
    </w:p>
    <w:p>
      <w:pPr>
        <w:sectPr>
          <w:pgSz w:w="11900" w:h="16838" w:orient="portrait"/>
          <w:cols w:equalWidth="0" w:num="1">
            <w:col w:w="11280"/>
          </w:cols>
          <w:pgMar w:left="300" w:top="988"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NEW YORK STREET RETAIL</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4629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629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960" w:type="dxa"/>
            <w:vAlign w:val="bottom"/>
          </w:tcPr>
          <w:p>
            <w:pPr>
              <w:ind w:left="20"/>
              <w:spacing w:after="0"/>
              <w:rPr>
                <w:sz w:val="20"/>
                <w:szCs w:val="20"/>
                <w:color w:val="auto"/>
              </w:rPr>
            </w:pPr>
            <w:r>
              <w:rPr>
                <w:rFonts w:ascii="Arial" w:cs="Arial" w:eastAsia="Arial" w:hAnsi="Arial"/>
                <w:sz w:val="9"/>
                <w:szCs w:val="9"/>
                <w:color w:val="auto"/>
                <w:w w:val="95"/>
              </w:rPr>
              <w:t>(Annualized escalated rent amounts in thousands)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9"/>
                <w:szCs w:val="9"/>
                <w:b w:val="1"/>
                <w:bCs w:val="1"/>
                <w:color w:val="auto"/>
                <w:w w:val="93"/>
              </w:rPr>
              <w:t>Square Feet</w:t>
            </w: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3"/>
              </w:rPr>
              <w:t>Weighted</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9"/>
                <w:szCs w:val="9"/>
                <w:b w:val="1"/>
                <w:bCs w:val="1"/>
                <w:color w:val="auto"/>
                <w:w w:val="99"/>
              </w:rPr>
              <w:t>Under</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180"/>
              <w:spacing w:after="0" w:line="86" w:lineRule="exact"/>
              <w:rPr>
                <w:sz w:val="20"/>
                <w:szCs w:val="20"/>
                <w:color w:val="auto"/>
              </w:rPr>
            </w:pPr>
            <w:r>
              <w:rPr>
                <w:rFonts w:ascii="Arial" w:cs="Arial" w:eastAsia="Arial" w:hAnsi="Arial"/>
                <w:sz w:val="9"/>
                <w:szCs w:val="9"/>
                <w:b w:val="1"/>
                <w:bCs w:val="1"/>
                <w:color w:val="auto"/>
                <w:w w:val="95"/>
              </w:rPr>
              <w:t>Average</w:t>
            </w:r>
          </w:p>
        </w:tc>
        <w:tc>
          <w:tcPr>
            <w:tcW w:w="100" w:type="dxa"/>
            <w:vAlign w:val="bottom"/>
          </w:tcPr>
          <w:p>
            <w:pPr>
              <w:spacing w:after="0"/>
              <w:rPr>
                <w:sz w:val="7"/>
                <w:szCs w:val="7"/>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5"/>
              </w:rPr>
              <w:t>Annualized</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6"/>
              </w:rPr>
              <w:t>Encumbrances</w:t>
            </w:r>
          </w:p>
        </w:tc>
        <w:tc>
          <w:tcPr>
            <w:tcW w:w="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60" w:type="dxa"/>
            <w:vAlign w:val="bottom"/>
          </w:tcPr>
          <w:p>
            <w:pPr>
              <w:spacing w:after="0"/>
              <w:rPr>
                <w:sz w:val="7"/>
                <w:szCs w:val="7"/>
                <w:color w:val="auto"/>
              </w:rPr>
            </w:pPr>
          </w:p>
        </w:tc>
        <w:tc>
          <w:tcPr>
            <w:tcW w:w="640" w:type="dxa"/>
            <w:vAlign w:val="bottom"/>
            <w:gridSpan w:val="2"/>
            <w:vMerge w:val="restart"/>
          </w:tcPr>
          <w:p>
            <w:pPr>
              <w:jc w:val="right"/>
              <w:ind w:right="157"/>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right"/>
              <w:ind w:right="257"/>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160"/>
              <w:spacing w:after="0" w:line="86" w:lineRule="exact"/>
              <w:rPr>
                <w:sz w:val="20"/>
                <w:szCs w:val="20"/>
                <w:color w:val="auto"/>
              </w:rPr>
            </w:pPr>
            <w:r>
              <w:rPr>
                <w:rFonts w:ascii="Arial" w:cs="Arial" w:eastAsia="Arial" w:hAnsi="Arial"/>
                <w:sz w:val="9"/>
                <w:szCs w:val="9"/>
                <w:b w:val="1"/>
                <w:bCs w:val="1"/>
                <w:color w:val="auto"/>
                <w:w w:val="95"/>
              </w:rPr>
              <w:t>Escalated</w:t>
            </w: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2"/>
              </w:rPr>
              <w:t>Total</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tcPr>
          <w:p>
            <w:pPr>
              <w:jc w:val="center"/>
              <w:ind w:right="140"/>
              <w:spacing w:after="0" w:line="86" w:lineRule="exact"/>
              <w:rPr>
                <w:sz w:val="20"/>
                <w:szCs w:val="20"/>
                <w:color w:val="auto"/>
              </w:rPr>
            </w:pPr>
            <w:r>
              <w:rPr>
                <w:rFonts w:ascii="Arial" w:cs="Arial" w:eastAsia="Arial" w:hAnsi="Arial"/>
                <w:sz w:val="9"/>
                <w:szCs w:val="9"/>
                <w:b w:val="1"/>
                <w:bCs w:val="1"/>
                <w:color w:val="auto"/>
                <w:w w:val="95"/>
              </w:rPr>
              <w:t>Development</w:t>
            </w: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60" w:type="dxa"/>
            <w:vAlign w:val="bottom"/>
            <w:vMerge w:val="restart"/>
          </w:tcPr>
          <w:p>
            <w:pPr>
              <w:ind w:left="800"/>
              <w:spacing w:after="0"/>
              <w:rPr>
                <w:sz w:val="20"/>
                <w:szCs w:val="20"/>
                <w:color w:val="auto"/>
              </w:rPr>
            </w:pPr>
            <w:r>
              <w:rPr>
                <w:rFonts w:ascii="Arial" w:cs="Arial" w:eastAsia="Arial" w:hAnsi="Arial"/>
                <w:sz w:val="9"/>
                <w:szCs w:val="9"/>
                <w:b w:val="1"/>
                <w:bCs w:val="1"/>
                <w:color w:val="auto"/>
              </w:rPr>
              <w:t>Property</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180"/>
              <w:spacing w:after="0" w:line="86" w:lineRule="exact"/>
              <w:rPr>
                <w:sz w:val="20"/>
                <w:szCs w:val="20"/>
                <w:color w:val="auto"/>
              </w:rPr>
            </w:pPr>
            <w:r>
              <w:rPr>
                <w:rFonts w:ascii="Arial" w:cs="Arial" w:eastAsia="Arial" w:hAnsi="Arial"/>
                <w:sz w:val="9"/>
                <w:szCs w:val="9"/>
                <w:b w:val="1"/>
                <w:bCs w:val="1"/>
                <w:color w:val="auto"/>
                <w:w w:val="94"/>
              </w:rPr>
              <w:t>Annual Rent</w:t>
            </w:r>
          </w:p>
        </w:tc>
        <w:tc>
          <w:tcPr>
            <w:tcW w:w="100" w:type="dxa"/>
            <w:vAlign w:val="bottom"/>
          </w:tcPr>
          <w:p>
            <w:pPr>
              <w:spacing w:after="0"/>
              <w:rPr>
                <w:sz w:val="7"/>
                <w:szCs w:val="7"/>
                <w:color w:val="auto"/>
              </w:rPr>
            </w:pPr>
          </w:p>
        </w:tc>
        <w:tc>
          <w:tcPr>
            <w:tcW w:w="680" w:type="dxa"/>
            <w:vAlign w:val="bottom"/>
            <w:gridSpan w:val="2"/>
          </w:tcPr>
          <w:p>
            <w:pPr>
              <w:jc w:val="center"/>
              <w:ind w:right="180"/>
              <w:spacing w:after="0" w:line="86" w:lineRule="exact"/>
              <w:rPr>
                <w:sz w:val="20"/>
                <w:szCs w:val="20"/>
                <w:color w:val="auto"/>
              </w:rPr>
            </w:pPr>
            <w:r>
              <w:rPr>
                <w:rFonts w:ascii="Arial" w:cs="Arial" w:eastAsia="Arial" w:hAnsi="Arial"/>
                <w:sz w:val="9"/>
                <w:szCs w:val="9"/>
                <w:b w:val="1"/>
                <w:bCs w:val="1"/>
                <w:color w:val="auto"/>
                <w:w w:val="99"/>
              </w:rPr>
              <w:t>Escalated</w:t>
            </w:r>
          </w:p>
        </w:tc>
        <w:tc>
          <w:tcPr>
            <w:tcW w:w="76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3"/>
              </w:rPr>
              <w:t>In Service</w:t>
            </w:r>
          </w:p>
        </w:tc>
        <w:tc>
          <w:tcPr>
            <w:tcW w:w="840" w:type="dxa"/>
            <w:vAlign w:val="bottom"/>
            <w:gridSpan w:val="3"/>
          </w:tcPr>
          <w:p>
            <w:pPr>
              <w:jc w:val="center"/>
              <w:ind w:right="140"/>
              <w:spacing w:after="0" w:line="86" w:lineRule="exact"/>
              <w:rPr>
                <w:sz w:val="20"/>
                <w:szCs w:val="20"/>
                <w:color w:val="auto"/>
              </w:rPr>
            </w:pPr>
            <w:r>
              <w:rPr>
                <w:rFonts w:ascii="Arial" w:cs="Arial" w:eastAsia="Arial" w:hAnsi="Arial"/>
                <w:sz w:val="9"/>
                <w:szCs w:val="9"/>
                <w:b w:val="1"/>
                <w:bCs w:val="1"/>
                <w:color w:val="auto"/>
                <w:w w:val="96"/>
              </w:rPr>
              <w:t>or Not Available</w:t>
            </w:r>
          </w:p>
        </w:tc>
        <w:tc>
          <w:tcPr>
            <w:tcW w:w="740" w:type="dxa"/>
            <w:vAlign w:val="bottom"/>
          </w:tcPr>
          <w:p>
            <w:pPr>
              <w:jc w:val="center"/>
              <w:ind w:right="17"/>
              <w:spacing w:after="0" w:line="86" w:lineRule="exact"/>
              <w:rPr>
                <w:sz w:val="20"/>
                <w:szCs w:val="20"/>
                <w:color w:val="auto"/>
              </w:rPr>
            </w:pPr>
            <w:r>
              <w:rPr>
                <w:rFonts w:ascii="Arial" w:cs="Arial" w:eastAsia="Arial" w:hAnsi="Arial"/>
                <w:sz w:val="9"/>
                <w:szCs w:val="9"/>
                <w:b w:val="1"/>
                <w:bCs w:val="1"/>
                <w:color w:val="auto"/>
                <w:w w:val="93"/>
              </w:rPr>
              <w:t>(non-GAAP)</w:t>
            </w:r>
          </w:p>
        </w:tc>
        <w:tc>
          <w:tcPr>
            <w:tcW w:w="80" w:type="dxa"/>
            <w:vAlign w:val="bottom"/>
          </w:tcPr>
          <w:p>
            <w:pPr>
              <w:spacing w:after="0"/>
              <w:rPr>
                <w:sz w:val="7"/>
                <w:szCs w:val="7"/>
                <w:color w:val="auto"/>
              </w:rPr>
            </w:pPr>
          </w:p>
        </w:tc>
        <w:tc>
          <w:tcPr>
            <w:tcW w:w="2960" w:type="dxa"/>
            <w:vAlign w:val="bottom"/>
            <w:vMerge w:val="restart"/>
          </w:tcPr>
          <w:p>
            <w:pPr>
              <w:ind w:left="1200"/>
              <w:spacing w:after="0"/>
              <w:rPr>
                <w:sz w:val="20"/>
                <w:szCs w:val="20"/>
                <w:color w:val="auto"/>
              </w:rPr>
            </w:pPr>
            <w:r>
              <w:rPr>
                <w:rFonts w:ascii="Arial" w:cs="Arial" w:eastAsia="Arial" w:hAnsi="Arial"/>
                <w:sz w:val="9"/>
                <w:szCs w:val="9"/>
                <w:b w:val="1"/>
                <w:bCs w:val="1"/>
                <w:color w:val="auto"/>
              </w:rPr>
              <w:t>Major Tenants</w:t>
            </w:r>
          </w:p>
        </w:tc>
        <w:tc>
          <w:tcPr>
            <w:tcW w:w="0" w:type="dxa"/>
            <w:vAlign w:val="bottom"/>
          </w:tcPr>
          <w:p>
            <w:pPr>
              <w:spacing w:after="0"/>
              <w:rPr>
                <w:sz w:val="1"/>
                <w:szCs w:val="1"/>
                <w:color w:val="auto"/>
              </w:rPr>
            </w:pPr>
          </w:p>
        </w:tc>
      </w:tr>
      <w:tr>
        <w:trPr>
          <w:trHeight w:val="129"/>
        </w:trPr>
        <w:tc>
          <w:tcPr>
            <w:tcW w:w="1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ind w:left="100"/>
              <w:spacing w:after="0"/>
              <w:rPr>
                <w:sz w:val="20"/>
                <w:szCs w:val="20"/>
                <w:color w:val="auto"/>
              </w:rPr>
            </w:pPr>
            <w:r>
              <w:rPr>
                <w:rFonts w:ascii="Arial" w:cs="Arial" w:eastAsia="Arial" w:hAnsi="Arial"/>
                <w:sz w:val="9"/>
                <w:szCs w:val="9"/>
                <w:b w:val="1"/>
                <w:bCs w:val="1"/>
                <w:color w:val="auto"/>
              </w:rPr>
              <w:t>Ownership</w:t>
            </w:r>
          </w:p>
        </w:tc>
        <w:tc>
          <w:tcPr>
            <w:tcW w:w="820" w:type="dxa"/>
            <w:vAlign w:val="bottom"/>
            <w:gridSpan w:val="3"/>
          </w:tcPr>
          <w:p>
            <w:pPr>
              <w:jc w:val="right"/>
              <w:ind w:right="260"/>
              <w:spacing w:after="0"/>
              <w:rPr>
                <w:sz w:val="20"/>
                <w:szCs w:val="20"/>
                <w:color w:val="auto"/>
              </w:rPr>
            </w:pPr>
            <w:r>
              <w:rPr>
                <w:rFonts w:ascii="Arial" w:cs="Arial" w:eastAsia="Arial" w:hAnsi="Arial"/>
                <w:sz w:val="9"/>
                <w:szCs w:val="9"/>
                <w:b w:val="1"/>
                <w:bCs w:val="1"/>
                <w:color w:val="auto"/>
              </w:rPr>
              <w:t>Occupancy</w:t>
            </w:r>
          </w:p>
        </w:tc>
        <w:tc>
          <w:tcPr>
            <w:tcW w:w="7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PSF</w:t>
            </w:r>
            <w:r>
              <w:rPr>
                <w:rFonts w:ascii="Arial" w:cs="Arial" w:eastAsia="Arial" w:hAnsi="Arial"/>
                <w:sz w:val="11"/>
                <w:szCs w:val="11"/>
                <w:b w:val="1"/>
                <w:bCs w:val="1"/>
                <w:color w:val="auto"/>
                <w:w w:val="90"/>
                <w:vertAlign w:val="superscript"/>
              </w:rPr>
              <w:t>(1)</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9"/>
              </w:rPr>
              <w:t>Rent</w:t>
            </w:r>
            <w:r>
              <w:rPr>
                <w:rFonts w:ascii="Arial" w:cs="Arial" w:eastAsia="Arial" w:hAnsi="Arial"/>
                <w:sz w:val="11"/>
                <w:szCs w:val="11"/>
                <w:b w:val="1"/>
                <w:bCs w:val="1"/>
                <w:color w:val="auto"/>
                <w:w w:val="89"/>
                <w:vertAlign w:val="superscript"/>
              </w:rPr>
              <w:t>(2)</w:t>
            </w:r>
          </w:p>
        </w:tc>
        <w:tc>
          <w:tcPr>
            <w:tcW w:w="7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7"/>
              </w:rPr>
              <w:t>Property</w:t>
            </w:r>
          </w:p>
        </w:tc>
        <w:tc>
          <w:tcPr>
            <w:tcW w:w="780" w:type="dxa"/>
            <w:vAlign w:val="bottom"/>
            <w:gridSpan w:val="2"/>
            <w:vMerge w:val="continue"/>
          </w:tcPr>
          <w:p>
            <w:pPr>
              <w:spacing w:after="0"/>
              <w:rPr>
                <w:sz w:val="11"/>
                <w:szCs w:val="11"/>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9"/>
                <w:szCs w:val="9"/>
                <w:b w:val="1"/>
                <w:bCs w:val="1"/>
                <w:color w:val="auto"/>
                <w:w w:val="94"/>
              </w:rPr>
              <w:t>for Lease</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2"/>
              </w:rPr>
              <w:t>(in thousands)</w:t>
            </w:r>
            <w:r>
              <w:rPr>
                <w:rFonts w:ascii="Arial" w:cs="Arial" w:eastAsia="Arial" w:hAnsi="Arial"/>
                <w:sz w:val="11"/>
                <w:szCs w:val="11"/>
                <w:b w:val="1"/>
                <w:bCs w:val="1"/>
                <w:color w:val="auto"/>
                <w:w w:val="92"/>
                <w:vertAlign w:val="superscript"/>
              </w:rPr>
              <w:t>(3)</w:t>
            </w:r>
          </w:p>
        </w:tc>
        <w:tc>
          <w:tcPr>
            <w:tcW w:w="8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960" w:type="dxa"/>
            <w:vAlign w:val="bottom"/>
            <w:tcBorders>
              <w:top w:val="single" w:sz="8" w:color="auto"/>
            </w:tcBorders>
          </w:tcPr>
          <w:p>
            <w:pPr>
              <w:ind w:left="20"/>
              <w:spacing w:after="0"/>
              <w:rPr>
                <w:sz w:val="20"/>
                <w:szCs w:val="20"/>
                <w:color w:val="auto"/>
              </w:rPr>
            </w:pPr>
            <w:r>
              <w:rPr>
                <w:rFonts w:ascii="Arial" w:cs="Arial" w:eastAsia="Arial" w:hAnsi="Arial"/>
                <w:sz w:val="9"/>
                <w:szCs w:val="9"/>
                <w:b w:val="1"/>
                <w:bCs w:val="1"/>
                <w:color w:val="auto"/>
              </w:rPr>
              <w:t>NEW YORK STREET RETAIL:</w:t>
            </w: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b w:val="1"/>
                <w:bCs w:val="1"/>
                <w:color w:val="auto"/>
              </w:rPr>
              <w:t>PENN District: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PENN 1 East &amp; West and South Concourse</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9"/>
                <w:szCs w:val="9"/>
                <w:color w:val="auto"/>
              </w:rPr>
              <w:t>77.5 %  $</w:t>
            </w:r>
          </w:p>
        </w:tc>
        <w:tc>
          <w:tcPr>
            <w:tcW w:w="620" w:type="dxa"/>
            <w:vAlign w:val="bottom"/>
          </w:tcPr>
          <w:p>
            <w:pPr>
              <w:jc w:val="right"/>
              <w:spacing w:after="0"/>
              <w:rPr>
                <w:sz w:val="20"/>
                <w:szCs w:val="20"/>
                <w:color w:val="auto"/>
              </w:rPr>
            </w:pPr>
            <w:r>
              <w:rPr>
                <w:rFonts w:ascii="Arial" w:cs="Arial" w:eastAsia="Arial" w:hAnsi="Arial"/>
                <w:sz w:val="9"/>
                <w:szCs w:val="9"/>
                <w:color w:val="auto"/>
              </w:rPr>
              <w:t>306.02</w:t>
            </w:r>
          </w:p>
        </w:tc>
        <w:tc>
          <w:tcPr>
            <w:tcW w:w="10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16,000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73,000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73,000</w:t>
            </w:r>
          </w:p>
        </w:tc>
        <w:tc>
          <w:tcPr>
            <w:tcW w:w="80" w:type="dxa"/>
            <w:vAlign w:val="bottom"/>
          </w:tcPr>
          <w:p>
            <w:pPr>
              <w:spacing w:after="0"/>
              <w:rPr>
                <w:sz w:val="9"/>
                <w:szCs w:val="9"/>
                <w:color w:val="auto"/>
              </w:rPr>
            </w:pPr>
          </w:p>
        </w:tc>
        <w:tc>
          <w:tcPr>
            <w:tcW w:w="840" w:type="dxa"/>
            <w:vAlign w:val="bottom"/>
            <w:gridSpan w:val="3"/>
          </w:tcPr>
          <w:p>
            <w:pPr>
              <w:ind w:left="580"/>
              <w:spacing w:after="0"/>
              <w:rPr>
                <w:sz w:val="20"/>
                <w:szCs w:val="20"/>
                <w:color w:val="auto"/>
              </w:rPr>
            </w:pPr>
            <w:r>
              <w:rPr>
                <w:rFonts w:ascii="Arial" w:cs="Arial" w:eastAsia="Arial" w:hAnsi="Arial"/>
                <w:sz w:val="9"/>
                <w:szCs w:val="9"/>
                <w:color w:val="auto"/>
              </w:rPr>
              <w:t>—   $</w:t>
            </w: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960" w:type="dxa"/>
            <w:vAlign w:val="bottom"/>
          </w:tcPr>
          <w:p>
            <w:pPr>
              <w:ind w:left="20"/>
              <w:spacing w:after="0"/>
              <w:rPr>
                <w:sz w:val="20"/>
                <w:szCs w:val="20"/>
                <w:color w:val="auto"/>
              </w:rPr>
            </w:pPr>
            <w:r>
              <w:rPr>
                <w:rFonts w:ascii="Arial" w:cs="Arial" w:eastAsia="Arial" w:hAnsi="Arial"/>
                <w:sz w:val="9"/>
                <w:szCs w:val="9"/>
                <w:color w:val="auto"/>
              </w:rPr>
              <w:t>Bank of America, Roberta’s</w:t>
            </w: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960" w:type="dxa"/>
            <w:vAlign w:val="bottom"/>
            <w:shd w:val="clear" w:color="auto" w:fill="CCEEFF"/>
          </w:tcPr>
          <w:p>
            <w:pPr>
              <w:ind w:left="20"/>
              <w:spacing w:after="0" w:line="87" w:lineRule="exact"/>
              <w:rPr>
                <w:sz w:val="20"/>
                <w:szCs w:val="20"/>
                <w:color w:val="auto"/>
              </w:rPr>
            </w:pPr>
            <w:r>
              <w:rPr>
                <w:rFonts w:ascii="Arial" w:cs="Arial" w:eastAsia="Arial" w:hAnsi="Arial"/>
                <w:sz w:val="9"/>
                <w:szCs w:val="9"/>
                <w:color w:val="auto"/>
              </w:rPr>
              <w:t>The Farley Building</w:t>
            </w: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9"/>
                <w:szCs w:val="9"/>
                <w:color w:val="auto"/>
              </w:rPr>
              <w:t>Avra Prime, Duane Reade, Magnolia Bakery, Starbucks, Birch Coffee,</w:t>
            </w:r>
          </w:p>
        </w:tc>
        <w:tc>
          <w:tcPr>
            <w:tcW w:w="0" w:type="dxa"/>
            <w:vAlign w:val="bottom"/>
          </w:tcPr>
          <w:p>
            <w:pPr>
              <w:spacing w:after="0"/>
              <w:rPr>
                <w:sz w:val="1"/>
                <w:szCs w:val="1"/>
                <w:color w:val="auto"/>
              </w:rPr>
            </w:pPr>
          </w:p>
        </w:tc>
      </w:tr>
      <w:tr>
        <w:trPr>
          <w:trHeight w:val="86"/>
        </w:trPr>
        <w:tc>
          <w:tcPr>
            <w:tcW w:w="1960" w:type="dxa"/>
            <w:vAlign w:val="bottom"/>
            <w:shd w:val="clear" w:color="auto" w:fill="CCEEFF"/>
          </w:tcPr>
          <w:p>
            <w:pPr>
              <w:ind w:left="280"/>
              <w:spacing w:after="0" w:line="86" w:lineRule="exact"/>
              <w:rPr>
                <w:sz w:val="20"/>
                <w:szCs w:val="20"/>
                <w:color w:val="auto"/>
              </w:rPr>
            </w:pPr>
            <w:r>
              <w:rPr>
                <w:rFonts w:ascii="Arial" w:cs="Arial" w:eastAsia="Arial" w:hAnsi="Arial"/>
                <w:sz w:val="9"/>
                <w:szCs w:val="9"/>
                <w:color w:val="auto"/>
              </w:rPr>
              <w:t>(ground and building leased through</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9"/>
                <w:szCs w:val="9"/>
                <w:color w:val="auto"/>
              </w:rPr>
              <w:t>95.0 %</w:t>
            </w:r>
          </w:p>
        </w:tc>
        <w:tc>
          <w:tcPr>
            <w:tcW w:w="8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46.4 %</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327.37</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13,800</w:t>
            </w:r>
          </w:p>
        </w:tc>
        <w:tc>
          <w:tcPr>
            <w:tcW w:w="8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113,000</w:t>
            </w:r>
          </w:p>
        </w:tc>
        <w:tc>
          <w:tcPr>
            <w:tcW w:w="6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113,000</w:t>
            </w:r>
          </w:p>
        </w:tc>
        <w:tc>
          <w:tcPr>
            <w:tcW w:w="80" w:type="dxa"/>
            <w:vAlign w:val="bottom"/>
            <w:shd w:val="clear" w:color="auto" w:fill="CCEEFF"/>
          </w:tcPr>
          <w:p>
            <w:pPr>
              <w:spacing w:after="0"/>
              <w:rPr>
                <w:sz w:val="7"/>
                <w:szCs w:val="7"/>
                <w:color w:val="auto"/>
              </w:rPr>
            </w:pPr>
          </w:p>
        </w:tc>
        <w:tc>
          <w:tcPr>
            <w:tcW w:w="840" w:type="dxa"/>
            <w:vAlign w:val="bottom"/>
            <w:gridSpan w:val="3"/>
            <w:vMerge w:val="restart"/>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2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80"/>
              <w:spacing w:after="0"/>
              <w:rPr>
                <w:sz w:val="20"/>
                <w:szCs w:val="20"/>
                <w:color w:val="auto"/>
              </w:rPr>
            </w:pPr>
            <w:r>
              <w:rPr>
                <w:rFonts w:ascii="Arial" w:cs="Arial" w:eastAsia="Arial" w:hAnsi="Arial"/>
                <w:sz w:val="9"/>
                <w:szCs w:val="9"/>
                <w:color w:val="auto"/>
              </w:rPr>
              <w:t>2116)**</w:t>
            </w:r>
          </w:p>
        </w:tc>
        <w:tc>
          <w:tcPr>
            <w:tcW w:w="74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3"/>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9"/>
                <w:szCs w:val="9"/>
                <w:color w:val="auto"/>
              </w:rPr>
              <w:t>H&amp;H Bagels</w:t>
            </w: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435 Seventh Avenue</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43,000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43,000</w:t>
            </w:r>
          </w:p>
        </w:tc>
        <w:tc>
          <w:tcPr>
            <w:tcW w:w="80" w:type="dxa"/>
            <w:vAlign w:val="bottom"/>
          </w:tcPr>
          <w:p>
            <w:pPr>
              <w:spacing w:after="0"/>
              <w:rPr>
                <w:sz w:val="9"/>
                <w:szCs w:val="9"/>
                <w:color w:val="auto"/>
              </w:rPr>
            </w:pPr>
          </w:p>
        </w:tc>
        <w:tc>
          <w:tcPr>
            <w:tcW w:w="840" w:type="dxa"/>
            <w:vAlign w:val="bottom"/>
            <w:gridSpan w:val="3"/>
          </w:tcPr>
          <w:p>
            <w:pPr>
              <w:ind w:left="580"/>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75,000</w:t>
            </w: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431 Seventh Avenue</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0.0 %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9,000</w:t>
            </w:r>
          </w:p>
        </w:tc>
        <w:tc>
          <w:tcPr>
            <w:tcW w:w="80" w:type="dxa"/>
            <w:vAlign w:val="bottom"/>
            <w:shd w:val="clear" w:color="auto" w:fill="CCEEFF"/>
          </w:tcPr>
          <w:p>
            <w:pPr>
              <w:spacing w:after="0"/>
              <w:rPr>
                <w:sz w:val="9"/>
                <w:szCs w:val="9"/>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138-142 West 32nd Street</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80.3 %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138.31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8,000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8,000</w:t>
            </w:r>
          </w:p>
        </w:tc>
        <w:tc>
          <w:tcPr>
            <w:tcW w:w="80" w:type="dxa"/>
            <w:vAlign w:val="bottom"/>
          </w:tcPr>
          <w:p>
            <w:pPr>
              <w:spacing w:after="0"/>
              <w:rPr>
                <w:sz w:val="9"/>
                <w:szCs w:val="9"/>
                <w:color w:val="auto"/>
              </w:rPr>
            </w:pPr>
          </w:p>
        </w:tc>
        <w:tc>
          <w:tcPr>
            <w:tcW w:w="840" w:type="dxa"/>
            <w:vAlign w:val="bottom"/>
            <w:gridSpan w:val="3"/>
          </w:tcPr>
          <w:p>
            <w:pPr>
              <w:ind w:left="580"/>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150 West 34th Street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63.48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5,000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79,000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79,000</w:t>
            </w:r>
          </w:p>
        </w:tc>
        <w:tc>
          <w:tcPr>
            <w:tcW w:w="80" w:type="dxa"/>
            <w:vAlign w:val="bottom"/>
            <w:shd w:val="clear" w:color="auto" w:fill="CCEEFF"/>
          </w:tcPr>
          <w:p>
            <w:pPr>
              <w:spacing w:after="0"/>
              <w:rPr>
                <w:sz w:val="9"/>
                <w:szCs w:val="9"/>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75,000</w:t>
            </w: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9"/>
                <w:szCs w:val="9"/>
                <w:color w:val="auto"/>
              </w:rPr>
              <w:t>Primark</w:t>
            </w: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137 West 33rd Street</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99.77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3,000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3,000</w:t>
            </w:r>
          </w:p>
        </w:tc>
        <w:tc>
          <w:tcPr>
            <w:tcW w:w="80" w:type="dxa"/>
            <w:vAlign w:val="bottom"/>
          </w:tcPr>
          <w:p>
            <w:pPr>
              <w:spacing w:after="0"/>
              <w:rPr>
                <w:sz w:val="9"/>
                <w:szCs w:val="9"/>
                <w:color w:val="auto"/>
              </w:rPr>
            </w:pPr>
          </w:p>
        </w:tc>
        <w:tc>
          <w:tcPr>
            <w:tcW w:w="840" w:type="dxa"/>
            <w:vAlign w:val="bottom"/>
            <w:gridSpan w:val="3"/>
          </w:tcPr>
          <w:p>
            <w:pPr>
              <w:ind w:left="580"/>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960" w:type="dxa"/>
            <w:vAlign w:val="bottom"/>
          </w:tcPr>
          <w:p>
            <w:pPr>
              <w:ind w:left="20"/>
              <w:spacing w:after="0"/>
              <w:rPr>
                <w:sz w:val="20"/>
                <w:szCs w:val="20"/>
                <w:color w:val="auto"/>
              </w:rPr>
            </w:pPr>
            <w:r>
              <w:rPr>
                <w:rFonts w:ascii="Arial" w:cs="Arial" w:eastAsia="Arial" w:hAnsi="Arial"/>
                <w:sz w:val="9"/>
                <w:szCs w:val="9"/>
                <w:color w:val="auto"/>
              </w:rPr>
              <w:t>Celtic Rail</w:t>
            </w: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131-135 West 33rd Street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66.28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22,000</w:t>
            </w:r>
          </w:p>
        </w:tc>
        <w:tc>
          <w:tcPr>
            <w:tcW w:w="80" w:type="dxa"/>
            <w:vAlign w:val="bottom"/>
            <w:shd w:val="clear" w:color="auto" w:fill="CCEEFF"/>
          </w:tcPr>
          <w:p>
            <w:pPr>
              <w:spacing w:after="0"/>
              <w:rPr>
                <w:sz w:val="9"/>
                <w:szCs w:val="9"/>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9"/>
                <w:szCs w:val="9"/>
                <w:color w:val="auto"/>
              </w:rPr>
              <w:t>The Five Hats Club (BSE Global)</w:t>
            </w: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Other (4 buildings)</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74.5 %</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53.5 %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107.40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1,700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34,000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34,000</w:t>
            </w:r>
          </w:p>
        </w:tc>
        <w:tc>
          <w:tcPr>
            <w:tcW w:w="80" w:type="dxa"/>
            <w:vAlign w:val="bottom"/>
          </w:tcPr>
          <w:p>
            <w:pPr>
              <w:spacing w:after="0"/>
              <w:rPr>
                <w:sz w:val="9"/>
                <w:szCs w:val="9"/>
                <w:color w:val="auto"/>
              </w:rPr>
            </w:pPr>
          </w:p>
        </w:tc>
        <w:tc>
          <w:tcPr>
            <w:tcW w:w="840" w:type="dxa"/>
            <w:vAlign w:val="bottom"/>
            <w:gridSpan w:val="3"/>
          </w:tcPr>
          <w:p>
            <w:pPr>
              <w:ind w:left="580"/>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5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9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960" w:type="dxa"/>
            <w:vAlign w:val="bottom"/>
            <w:shd w:val="clear" w:color="auto" w:fill="CCEEFF"/>
          </w:tcPr>
          <w:p>
            <w:pPr>
              <w:ind w:left="140"/>
              <w:spacing w:after="0"/>
              <w:rPr>
                <w:sz w:val="20"/>
                <w:szCs w:val="20"/>
                <w:color w:val="auto"/>
              </w:rPr>
            </w:pPr>
            <w:r>
              <w:rPr>
                <w:rFonts w:ascii="Arial" w:cs="Arial" w:eastAsia="Arial" w:hAnsi="Arial"/>
                <w:sz w:val="9"/>
                <w:szCs w:val="9"/>
                <w:color w:val="auto"/>
              </w:rPr>
              <w:t>Total PENN District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38,800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384,000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384,000</w:t>
            </w:r>
          </w:p>
        </w:tc>
        <w:tc>
          <w:tcPr>
            <w:tcW w:w="80" w:type="dxa"/>
            <w:vAlign w:val="bottom"/>
            <w:shd w:val="clear" w:color="auto" w:fill="CCEEFF"/>
          </w:tcPr>
          <w:p>
            <w:pPr>
              <w:spacing w:after="0"/>
              <w:rPr>
                <w:sz w:val="9"/>
                <w:szCs w:val="9"/>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150,000</w:t>
            </w: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960" w:type="dxa"/>
            <w:vAlign w:val="bottom"/>
          </w:tcPr>
          <w:p>
            <w:pPr>
              <w:ind w:left="20"/>
              <w:spacing w:after="0"/>
              <w:rPr>
                <w:sz w:val="20"/>
                <w:szCs w:val="20"/>
                <w:color w:val="auto"/>
              </w:rPr>
            </w:pPr>
            <w:r>
              <w:rPr>
                <w:rFonts w:ascii="Arial" w:cs="Arial" w:eastAsia="Arial" w:hAnsi="Arial"/>
                <w:sz w:val="9"/>
                <w:szCs w:val="9"/>
                <w:b w:val="1"/>
                <w:bCs w:val="1"/>
                <w:color w:val="auto"/>
              </w:rPr>
              <w:t>Upper Fifth Avenue/Madison:</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640 Fifth Avenue</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9"/>
                <w:szCs w:val="9"/>
                <w:color w:val="auto"/>
              </w:rPr>
              <w:t>Fidelity Investments, Abbott Capital Management,</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52.0 %</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95.7 %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108.19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247,000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247,000</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9"/>
                <w:szCs w:val="9"/>
                <w:color w:val="auto"/>
              </w:rPr>
              <w:t>The Klein Company, Rockefeller Capital</w:t>
            </w:r>
          </w:p>
        </w:tc>
        <w:tc>
          <w:tcPr>
            <w:tcW w:w="0" w:type="dxa"/>
            <w:vAlign w:val="bottom"/>
          </w:tcPr>
          <w:p>
            <w:pPr>
              <w:spacing w:after="0"/>
              <w:rPr>
                <w:sz w:val="1"/>
                <w:szCs w:val="1"/>
                <w:color w:val="auto"/>
              </w:rPr>
            </w:pPr>
          </w:p>
        </w:tc>
      </w:tr>
      <w:tr>
        <w:trPr>
          <w:trHeight w:val="137"/>
        </w:trPr>
        <w:tc>
          <w:tcPr>
            <w:tcW w:w="1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1,150.68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69,000</w:t>
            </w: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69,000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gridSpan w:val="2"/>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Victoria's Secret, Dyson</w:t>
            </w: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52.0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96.3 %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271.99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79,900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316,000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316,000</w:t>
            </w:r>
          </w:p>
        </w:tc>
        <w:tc>
          <w:tcPr>
            <w:tcW w:w="80" w:type="dxa"/>
            <w:vAlign w:val="bottom"/>
            <w:shd w:val="clear" w:color="auto" w:fill="CCEEFF"/>
          </w:tcPr>
          <w:p>
            <w:pPr>
              <w:spacing w:after="0"/>
              <w:rPr>
                <w:sz w:val="9"/>
                <w:szCs w:val="9"/>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384,833</w:t>
            </w: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666 Fifth Avenue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60" w:type="dxa"/>
            <w:vAlign w:val="bottom"/>
          </w:tcPr>
          <w:p>
            <w:pPr>
              <w:ind w:left="540"/>
              <w:spacing w:after="0"/>
              <w:rPr>
                <w:sz w:val="20"/>
                <w:szCs w:val="20"/>
                <w:color w:val="auto"/>
              </w:rPr>
            </w:pPr>
            <w:r>
              <w:rPr>
                <w:rFonts w:ascii="Arial" w:cs="Arial" w:eastAsia="Arial" w:hAnsi="Arial"/>
                <w:sz w:val="9"/>
                <w:szCs w:val="9"/>
                <w:color w:val="auto"/>
              </w:rPr>
              <w:t>-Retail</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52.0 %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950.59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12,600</w:t>
            </w: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24,000</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24,000</w:t>
            </w:r>
          </w:p>
        </w:tc>
        <w:tc>
          <w:tcPr>
            <w:tcW w:w="80" w:type="dxa"/>
            <w:vAlign w:val="bottom"/>
          </w:tcPr>
          <w:p>
            <w:pPr>
              <w:spacing w:after="0"/>
              <w:rPr>
                <w:sz w:val="11"/>
                <w:szCs w:val="11"/>
                <w:color w:val="auto"/>
              </w:rPr>
            </w:pPr>
          </w:p>
        </w:tc>
        <w:tc>
          <w:tcPr>
            <w:tcW w:w="840" w:type="dxa"/>
            <w:vAlign w:val="bottom"/>
            <w:gridSpan w:val="3"/>
          </w:tcPr>
          <w:p>
            <w:pPr>
              <w:ind w:left="580"/>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2960" w:type="dxa"/>
            <w:vAlign w:val="bottom"/>
          </w:tcPr>
          <w:p>
            <w:pPr>
              <w:ind w:left="20"/>
              <w:spacing w:after="0"/>
              <w:rPr>
                <w:sz w:val="20"/>
                <w:szCs w:val="20"/>
                <w:color w:val="auto"/>
              </w:rPr>
            </w:pPr>
            <w:r>
              <w:rPr>
                <w:rFonts w:ascii="Arial" w:cs="Arial" w:eastAsia="Arial" w:hAnsi="Arial"/>
                <w:sz w:val="9"/>
                <w:szCs w:val="9"/>
                <w:color w:val="auto"/>
              </w:rPr>
              <w:t>Abercrombie &amp; Fitch, Warby Parker</w:t>
            </w: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689 Fifth Avenue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540"/>
              <w:spacing w:after="0"/>
              <w:rPr>
                <w:sz w:val="20"/>
                <w:szCs w:val="20"/>
                <w:color w:val="auto"/>
              </w:rPr>
            </w:pPr>
            <w:r>
              <w:rPr>
                <w:rFonts w:ascii="Arial" w:cs="Arial" w:eastAsia="Arial" w:hAnsi="Arial"/>
                <w:sz w:val="9"/>
                <w:szCs w:val="9"/>
                <w:color w:val="auto"/>
              </w:rPr>
              <w:t>-Office</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52.0 %</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81,000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81,000</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9"/>
                <w:szCs w:val="9"/>
                <w:color w:val="auto"/>
              </w:rPr>
              <w:t>Brunello Cucinelli USA Inc., Yamaha Artist Services Inc.</w:t>
            </w:r>
          </w:p>
        </w:tc>
        <w:tc>
          <w:tcPr>
            <w:tcW w:w="0" w:type="dxa"/>
            <w:vAlign w:val="bottom"/>
          </w:tcPr>
          <w:p>
            <w:pPr>
              <w:spacing w:after="0"/>
              <w:rPr>
                <w:sz w:val="1"/>
                <w:szCs w:val="1"/>
                <w:color w:val="auto"/>
              </w:rPr>
            </w:pPr>
          </w:p>
        </w:tc>
      </w:tr>
      <w:tr>
        <w:trPr>
          <w:trHeight w:val="137"/>
        </w:trPr>
        <w:tc>
          <w:tcPr>
            <w:tcW w:w="1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788.50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16,000</w:t>
            </w: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16,000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gridSpan w:val="2"/>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Canada Goose</w:t>
            </w: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52.0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177.64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16,300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97,000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97,000</w:t>
            </w:r>
          </w:p>
        </w:tc>
        <w:tc>
          <w:tcPr>
            <w:tcW w:w="80" w:type="dxa"/>
            <w:vAlign w:val="bottom"/>
            <w:shd w:val="clear" w:color="auto" w:fill="CCEEFF"/>
          </w:tcPr>
          <w:p>
            <w:pPr>
              <w:spacing w:after="0"/>
              <w:rPr>
                <w:sz w:val="9"/>
                <w:szCs w:val="9"/>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655 Fifth Avenue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60" w:type="dxa"/>
            <w:vAlign w:val="bottom"/>
          </w:tcPr>
          <w:p>
            <w:pPr>
              <w:ind w:left="540"/>
              <w:spacing w:after="0"/>
              <w:rPr>
                <w:sz w:val="20"/>
                <w:szCs w:val="20"/>
                <w:color w:val="auto"/>
              </w:rPr>
            </w:pPr>
            <w:r>
              <w:rPr>
                <w:rFonts w:ascii="Arial" w:cs="Arial" w:eastAsia="Arial" w:hAnsi="Arial"/>
                <w:sz w:val="9"/>
                <w:szCs w:val="9"/>
                <w:color w:val="auto"/>
              </w:rPr>
              <w:t>-Retail</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50.0 %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296.06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17,100</w:t>
            </w: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57,000</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57,000</w:t>
            </w:r>
          </w:p>
        </w:tc>
        <w:tc>
          <w:tcPr>
            <w:tcW w:w="80" w:type="dxa"/>
            <w:vAlign w:val="bottom"/>
          </w:tcPr>
          <w:p>
            <w:pPr>
              <w:spacing w:after="0"/>
              <w:rPr>
                <w:sz w:val="11"/>
                <w:szCs w:val="11"/>
                <w:color w:val="auto"/>
              </w:rPr>
            </w:pPr>
          </w:p>
        </w:tc>
        <w:tc>
          <w:tcPr>
            <w:tcW w:w="840" w:type="dxa"/>
            <w:vAlign w:val="bottom"/>
            <w:gridSpan w:val="3"/>
          </w:tcPr>
          <w:p>
            <w:pPr>
              <w:ind w:left="580"/>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2960" w:type="dxa"/>
            <w:vAlign w:val="bottom"/>
          </w:tcPr>
          <w:p>
            <w:pPr>
              <w:ind w:left="20"/>
              <w:spacing w:after="0"/>
              <w:rPr>
                <w:sz w:val="20"/>
                <w:szCs w:val="20"/>
                <w:color w:val="auto"/>
              </w:rPr>
            </w:pPr>
            <w:r>
              <w:rPr>
                <w:rFonts w:ascii="Arial" w:cs="Arial" w:eastAsia="Arial" w:hAnsi="Arial"/>
                <w:sz w:val="9"/>
                <w:szCs w:val="9"/>
                <w:color w:val="auto"/>
              </w:rPr>
              <w:t>Ferragamo</w:t>
            </w: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rPr>
                <w:sz w:val="20"/>
                <w:szCs w:val="20"/>
                <w:color w:val="auto"/>
              </w:rPr>
            </w:pPr>
            <w:r>
              <w:rPr>
                <w:rFonts w:ascii="Arial" w:cs="Arial" w:eastAsia="Arial" w:hAnsi="Arial"/>
                <w:sz w:val="9"/>
                <w:szCs w:val="9"/>
                <w:color w:val="auto"/>
              </w:rPr>
              <w:t>697-703 Fifth Avenue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44.8 %</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2,758.20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44,500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27,000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27,000</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354,558</w:t>
            </w:r>
          </w:p>
        </w:tc>
        <w:tc>
          <w:tcPr>
            <w:tcW w:w="80" w:type="dxa"/>
            <w:vAlign w:val="bottom"/>
            <w:shd w:val="clear" w:color="auto" w:fill="CCEEFF"/>
          </w:tcPr>
          <w:p>
            <w:pPr>
              <w:spacing w:after="0"/>
              <w:rPr>
                <w:sz w:val="11"/>
                <w:szCs w:val="11"/>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9"/>
                <w:szCs w:val="9"/>
                <w:color w:val="auto"/>
              </w:rPr>
              <w:t>Swatch Group USA, Harry Winston, Meta Platforms, Inc.</w:t>
            </w:r>
          </w:p>
        </w:tc>
        <w:tc>
          <w:tcPr>
            <w:tcW w:w="0" w:type="dxa"/>
            <w:vAlign w:val="bottom"/>
          </w:tcPr>
          <w:p>
            <w:pPr>
              <w:spacing w:after="0"/>
              <w:rPr>
                <w:sz w:val="1"/>
                <w:szCs w:val="1"/>
                <w:color w:val="auto"/>
              </w:rPr>
            </w:pPr>
          </w:p>
        </w:tc>
      </w:tr>
      <w:tr>
        <w:trPr>
          <w:trHeight w:val="92"/>
        </w:trPr>
        <w:tc>
          <w:tcPr>
            <w:tcW w:w="1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9"/>
                <w:szCs w:val="9"/>
                <w:color w:val="auto"/>
              </w:rPr>
              <w:t>595 Madison Avenue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tcPr>
          <w:p>
            <w:pPr>
              <w:ind w:left="20"/>
              <w:spacing w:after="0"/>
              <w:rPr>
                <w:sz w:val="20"/>
                <w:szCs w:val="20"/>
                <w:color w:val="auto"/>
              </w:rPr>
            </w:pPr>
            <w:r>
              <w:rPr>
                <w:rFonts w:ascii="Arial" w:cs="Arial" w:eastAsia="Arial" w:hAnsi="Arial"/>
                <w:sz w:val="9"/>
                <w:szCs w:val="9"/>
                <w:color w:val="auto"/>
              </w:rPr>
              <w:t>LVMH Moet Hennessy Louis Vuitton Inc.,</w:t>
            </w:r>
          </w:p>
        </w:tc>
        <w:tc>
          <w:tcPr>
            <w:tcW w:w="0" w:type="dxa"/>
            <w:vAlign w:val="bottom"/>
          </w:tcPr>
          <w:p>
            <w:pPr>
              <w:spacing w:after="0"/>
              <w:rPr>
                <w:sz w:val="1"/>
                <w:szCs w:val="1"/>
                <w:color w:val="auto"/>
              </w:rPr>
            </w:pPr>
          </w:p>
        </w:tc>
      </w:tr>
      <w:tr>
        <w:trPr>
          <w:trHeight w:val="129"/>
        </w:trPr>
        <w:tc>
          <w:tcPr>
            <w:tcW w:w="1960" w:type="dxa"/>
            <w:vAlign w:val="bottom"/>
          </w:tcPr>
          <w:p>
            <w:pPr>
              <w:ind w:left="540"/>
              <w:spacing w:after="0"/>
              <w:rPr>
                <w:sz w:val="20"/>
                <w:szCs w:val="20"/>
                <w:color w:val="auto"/>
              </w:rPr>
            </w:pPr>
            <w:r>
              <w:rPr>
                <w:rFonts w:ascii="Arial" w:cs="Arial" w:eastAsia="Arial" w:hAnsi="Arial"/>
                <w:sz w:val="9"/>
                <w:szCs w:val="9"/>
                <w:color w:val="auto"/>
              </w:rPr>
              <w:t>-Office</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84.5 %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84.36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303,000</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303,000</w:t>
            </w:r>
          </w:p>
        </w:tc>
        <w:tc>
          <w:tcPr>
            <w:tcW w:w="80" w:type="dxa"/>
            <w:vAlign w:val="bottom"/>
          </w:tcPr>
          <w:p>
            <w:pPr>
              <w:spacing w:after="0"/>
              <w:rPr>
                <w:sz w:val="11"/>
                <w:szCs w:val="11"/>
                <w:color w:val="auto"/>
              </w:rPr>
            </w:pPr>
          </w:p>
        </w:tc>
        <w:tc>
          <w:tcPr>
            <w:tcW w:w="840" w:type="dxa"/>
            <w:vAlign w:val="bottom"/>
            <w:gridSpan w:val="3"/>
          </w:tcPr>
          <w:p>
            <w:pPr>
              <w:ind w:left="58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tcPr>
          <w:p>
            <w:pPr>
              <w:ind w:left="20"/>
              <w:spacing w:after="0"/>
              <w:rPr>
                <w:sz w:val="20"/>
                <w:szCs w:val="20"/>
                <w:color w:val="auto"/>
              </w:rPr>
            </w:pPr>
            <w:r>
              <w:rPr>
                <w:rFonts w:ascii="Arial" w:cs="Arial" w:eastAsia="Arial" w:hAnsi="Arial"/>
                <w:sz w:val="9"/>
                <w:szCs w:val="9"/>
                <w:color w:val="auto"/>
              </w:rPr>
              <w:t>Albea Beauty Solutions, Aerin LLC</w:t>
            </w:r>
          </w:p>
        </w:tc>
        <w:tc>
          <w:tcPr>
            <w:tcW w:w="0" w:type="dxa"/>
            <w:vAlign w:val="bottom"/>
          </w:tcPr>
          <w:p>
            <w:pPr>
              <w:spacing w:after="0"/>
              <w:rPr>
                <w:sz w:val="1"/>
                <w:szCs w:val="1"/>
                <w:color w:val="auto"/>
              </w:rPr>
            </w:pPr>
          </w:p>
        </w:tc>
      </w:tr>
      <w:tr>
        <w:trPr>
          <w:trHeight w:val="137"/>
        </w:trPr>
        <w:tc>
          <w:tcPr>
            <w:tcW w:w="1960" w:type="dxa"/>
            <w:vAlign w:val="bottom"/>
          </w:tcPr>
          <w:p>
            <w:pPr>
              <w:ind w:left="540"/>
              <w:spacing w:after="0"/>
              <w:rPr>
                <w:sz w:val="20"/>
                <w:szCs w:val="20"/>
                <w:color w:val="auto"/>
              </w:rPr>
            </w:pPr>
            <w:r>
              <w:rPr>
                <w:rFonts w:ascii="Arial" w:cs="Arial" w:eastAsia="Arial" w:hAnsi="Arial"/>
                <w:sz w:val="9"/>
                <w:szCs w:val="9"/>
                <w:color w:val="auto"/>
              </w:rPr>
              <w:t>-Retail</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768.09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30,000</w:t>
            </w:r>
          </w:p>
        </w:tc>
        <w:tc>
          <w:tcPr>
            <w:tcW w:w="6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30,000</w:t>
            </w:r>
          </w:p>
        </w:tc>
        <w:tc>
          <w:tcPr>
            <w:tcW w:w="80" w:type="dxa"/>
            <w:vAlign w:val="bottom"/>
          </w:tcPr>
          <w:p>
            <w:pPr>
              <w:spacing w:after="0"/>
              <w:rPr>
                <w:sz w:val="11"/>
                <w:szCs w:val="11"/>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9"/>
                <w:szCs w:val="9"/>
                <w:color w:val="auto"/>
              </w:rPr>
              <w:t>—</w:t>
            </w:r>
          </w:p>
        </w:tc>
        <w:tc>
          <w:tcPr>
            <w:tcW w:w="1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tcPr>
          <w:p>
            <w:pPr>
              <w:ind w:left="20"/>
              <w:spacing w:after="0"/>
              <w:rPr>
                <w:sz w:val="20"/>
                <w:szCs w:val="20"/>
                <w:color w:val="auto"/>
              </w:rPr>
            </w:pPr>
            <w:r>
              <w:rPr>
                <w:rFonts w:ascii="Arial" w:cs="Arial" w:eastAsia="Arial" w:hAnsi="Arial"/>
                <w:sz w:val="9"/>
                <w:szCs w:val="9"/>
                <w:color w:val="auto"/>
              </w:rPr>
              <w:t>Fendi, Berluti, Christofle Silver Inc.</w:t>
            </w: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85.5 %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134.62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39,600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333,000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333,000</w:t>
            </w:r>
          </w:p>
        </w:tc>
        <w:tc>
          <w:tcPr>
            <w:tcW w:w="80" w:type="dxa"/>
            <w:vAlign w:val="bottom"/>
          </w:tcPr>
          <w:p>
            <w:pPr>
              <w:spacing w:after="0"/>
              <w:rPr>
                <w:sz w:val="9"/>
                <w:szCs w:val="9"/>
                <w:color w:val="auto"/>
              </w:rPr>
            </w:pPr>
          </w:p>
        </w:tc>
        <w:tc>
          <w:tcPr>
            <w:tcW w:w="840" w:type="dxa"/>
            <w:vAlign w:val="bottom"/>
            <w:gridSpan w:val="3"/>
          </w:tcPr>
          <w:p>
            <w:pPr>
              <w:ind w:left="580"/>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9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60" w:type="dxa"/>
            <w:vAlign w:val="bottom"/>
            <w:shd w:val="clear" w:color="auto" w:fill="CCEEFF"/>
          </w:tcPr>
          <w:p>
            <w:pPr>
              <w:ind w:left="140"/>
              <w:spacing w:after="0"/>
              <w:rPr>
                <w:sz w:val="20"/>
                <w:szCs w:val="20"/>
                <w:color w:val="auto"/>
              </w:rPr>
            </w:pPr>
            <w:r>
              <w:rPr>
                <w:rFonts w:ascii="Arial" w:cs="Arial" w:eastAsia="Arial" w:hAnsi="Arial"/>
                <w:sz w:val="9"/>
                <w:szCs w:val="9"/>
                <w:color w:val="auto"/>
              </w:rPr>
              <w:t>Total Upper Fifth Avenue/Madison</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210,000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854,000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854,000</w:t>
            </w:r>
          </w:p>
        </w:tc>
        <w:tc>
          <w:tcPr>
            <w:tcW w:w="80" w:type="dxa"/>
            <w:vAlign w:val="bottom"/>
            <w:shd w:val="clear" w:color="auto" w:fill="CCEEFF"/>
          </w:tcPr>
          <w:p>
            <w:pPr>
              <w:spacing w:after="0"/>
              <w:rPr>
                <w:sz w:val="9"/>
                <w:szCs w:val="9"/>
                <w:color w:val="auto"/>
              </w:rPr>
            </w:pP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739,391</w:t>
            </w:r>
          </w:p>
        </w:tc>
        <w:tc>
          <w:tcPr>
            <w:tcW w:w="8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- 39 -</w:t>
      </w:r>
    </w:p>
    <w:p>
      <w:pPr>
        <w:sectPr>
          <w:pgSz w:w="11900" w:h="16838" w:orient="portrait"/>
          <w:cols w:equalWidth="0" w:num="1">
            <w:col w:w="11260"/>
          </w:cols>
          <w:pgMar w:left="300" w:top="988" w:right="3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NEW YORK STREET RETAIL / RESIDENTIAL / DEVELOPMENT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6026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20"/>
        </w:trPr>
        <w:tc>
          <w:tcPr>
            <w:tcW w:w="1980" w:type="dxa"/>
            <w:vAlign w:val="bottom"/>
          </w:tcPr>
          <w:p>
            <w:pPr>
              <w:ind w:left="20"/>
              <w:spacing w:after="0"/>
              <w:rPr>
                <w:sz w:val="20"/>
                <w:szCs w:val="20"/>
                <w:color w:val="auto"/>
              </w:rPr>
            </w:pPr>
            <w:r>
              <w:rPr>
                <w:rFonts w:ascii="Arial" w:cs="Arial" w:eastAsia="Arial" w:hAnsi="Arial"/>
                <w:sz w:val="9"/>
                <w:szCs w:val="9"/>
                <w:color w:val="auto"/>
                <w:w w:val="96"/>
              </w:rPr>
              <w:t>(Annualized escalated rent amounts in thousands)</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9"/>
                <w:szCs w:val="9"/>
                <w:b w:val="1"/>
                <w:bCs w:val="1"/>
                <w:color w:val="auto"/>
                <w:w w:val="93"/>
              </w:rPr>
              <w:t>Square Feet</w:t>
            </w:r>
          </w:p>
        </w:tc>
        <w:tc>
          <w:tcPr>
            <w:tcW w:w="7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9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tcPr>
          <w:p>
            <w:pPr>
              <w:jc w:val="center"/>
              <w:ind w:right="260"/>
              <w:spacing w:after="0" w:line="76" w:lineRule="exact"/>
              <w:rPr>
                <w:sz w:val="20"/>
                <w:szCs w:val="20"/>
                <w:color w:val="auto"/>
              </w:rPr>
            </w:pPr>
            <w:r>
              <w:rPr>
                <w:rFonts w:ascii="Arial" w:cs="Arial" w:eastAsia="Arial" w:hAnsi="Arial"/>
                <w:sz w:val="8"/>
                <w:szCs w:val="8"/>
                <w:b w:val="1"/>
                <w:bCs w:val="1"/>
                <w:color w:val="auto"/>
              </w:rPr>
              <w:t>Weighted</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2"/>
              </w:rPr>
              <w:t>Under</w:t>
            </w: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60"/>
              <w:spacing w:after="0" w:line="86" w:lineRule="exact"/>
              <w:rPr>
                <w:sz w:val="20"/>
                <w:szCs w:val="20"/>
                <w:color w:val="auto"/>
              </w:rPr>
            </w:pPr>
            <w:r>
              <w:rPr>
                <w:rFonts w:ascii="Arial" w:cs="Arial" w:eastAsia="Arial" w:hAnsi="Arial"/>
                <w:sz w:val="9"/>
                <w:szCs w:val="9"/>
                <w:b w:val="1"/>
                <w:bCs w:val="1"/>
                <w:color w:val="auto"/>
                <w:w w:val="95"/>
              </w:rPr>
              <w:t>Average</w:t>
            </w:r>
          </w:p>
        </w:tc>
        <w:tc>
          <w:tcPr>
            <w:tcW w:w="80" w:type="dxa"/>
            <w:vAlign w:val="bottom"/>
          </w:tcPr>
          <w:p>
            <w:pPr>
              <w:spacing w:after="0"/>
              <w:rPr>
                <w:sz w:val="7"/>
                <w:szCs w:val="7"/>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5"/>
              </w:rPr>
              <w:t>Annualized</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9"/>
                <w:szCs w:val="9"/>
                <w:b w:val="1"/>
                <w:bCs w:val="1"/>
                <w:color w:val="auto"/>
                <w:w w:val="96"/>
              </w:rPr>
              <w:t>Encumbrances</w:t>
            </w:r>
          </w:p>
        </w:tc>
        <w:tc>
          <w:tcPr>
            <w:tcW w:w="60" w:type="dxa"/>
            <w:vAlign w:val="bottom"/>
          </w:tcPr>
          <w:p>
            <w:pPr>
              <w:spacing w:after="0"/>
              <w:rPr>
                <w:sz w:val="7"/>
                <w:szCs w:val="7"/>
                <w:color w:val="auto"/>
              </w:rPr>
            </w:pPr>
          </w:p>
        </w:tc>
        <w:tc>
          <w:tcPr>
            <w:tcW w:w="2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80" w:type="dxa"/>
            <w:vAlign w:val="bottom"/>
          </w:tcPr>
          <w:p>
            <w:pPr>
              <w:spacing w:after="0"/>
              <w:rPr>
                <w:sz w:val="7"/>
                <w:szCs w:val="7"/>
                <w:color w:val="auto"/>
              </w:rPr>
            </w:pPr>
          </w:p>
        </w:tc>
        <w:tc>
          <w:tcPr>
            <w:tcW w:w="720" w:type="dxa"/>
            <w:vAlign w:val="bottom"/>
            <w:gridSpan w:val="2"/>
            <w:vMerge w:val="restart"/>
          </w:tcPr>
          <w:p>
            <w:pPr>
              <w:jc w:val="right"/>
              <w:ind w:right="237"/>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7"/>
                <w:szCs w:val="7"/>
                <w:color w:val="auto"/>
              </w:rPr>
            </w:pPr>
          </w:p>
        </w:tc>
        <w:tc>
          <w:tcPr>
            <w:tcW w:w="680" w:type="dxa"/>
            <w:vAlign w:val="bottom"/>
            <w:vMerge w:val="restart"/>
          </w:tcPr>
          <w:p>
            <w:pPr>
              <w:jc w:val="right"/>
              <w:ind w:right="257"/>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80"/>
              <w:spacing w:after="0" w:line="86" w:lineRule="exact"/>
              <w:rPr>
                <w:sz w:val="20"/>
                <w:szCs w:val="20"/>
                <w:color w:val="auto"/>
              </w:rPr>
            </w:pPr>
            <w:r>
              <w:rPr>
                <w:rFonts w:ascii="Arial" w:cs="Arial" w:eastAsia="Arial" w:hAnsi="Arial"/>
                <w:sz w:val="9"/>
                <w:szCs w:val="9"/>
                <w:b w:val="1"/>
                <w:bCs w:val="1"/>
                <w:color w:val="auto"/>
                <w:w w:val="95"/>
              </w:rPr>
              <w:t>Escalated</w:t>
            </w: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2"/>
              </w:rPr>
              <w:t>Total</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80"/>
              <w:spacing w:after="0" w:line="86" w:lineRule="exact"/>
              <w:rPr>
                <w:sz w:val="20"/>
                <w:szCs w:val="20"/>
                <w:color w:val="auto"/>
              </w:rPr>
            </w:pPr>
            <w:r>
              <w:rPr>
                <w:rFonts w:ascii="Arial" w:cs="Arial" w:eastAsia="Arial" w:hAnsi="Arial"/>
                <w:sz w:val="9"/>
                <w:szCs w:val="9"/>
                <w:b w:val="1"/>
                <w:bCs w:val="1"/>
                <w:color w:val="auto"/>
                <w:w w:val="95"/>
              </w:rPr>
              <w:t>Development</w:t>
            </w: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80" w:type="dxa"/>
            <w:vAlign w:val="bottom"/>
            <w:vMerge w:val="restart"/>
          </w:tcPr>
          <w:p>
            <w:pPr>
              <w:ind w:left="820"/>
              <w:spacing w:after="0"/>
              <w:rPr>
                <w:sz w:val="20"/>
                <w:szCs w:val="20"/>
                <w:color w:val="auto"/>
              </w:rPr>
            </w:pPr>
            <w:r>
              <w:rPr>
                <w:rFonts w:ascii="Arial" w:cs="Arial" w:eastAsia="Arial" w:hAnsi="Arial"/>
                <w:sz w:val="9"/>
                <w:szCs w:val="9"/>
                <w:b w:val="1"/>
                <w:bCs w:val="1"/>
                <w:color w:val="auto"/>
              </w:rPr>
              <w:t>Property</w:t>
            </w: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60"/>
              <w:spacing w:after="0" w:line="86" w:lineRule="exact"/>
              <w:rPr>
                <w:sz w:val="20"/>
                <w:szCs w:val="20"/>
                <w:color w:val="auto"/>
              </w:rPr>
            </w:pPr>
            <w:r>
              <w:rPr>
                <w:rFonts w:ascii="Arial" w:cs="Arial" w:eastAsia="Arial" w:hAnsi="Arial"/>
                <w:sz w:val="9"/>
                <w:szCs w:val="9"/>
                <w:b w:val="1"/>
                <w:bCs w:val="1"/>
                <w:color w:val="auto"/>
                <w:w w:val="94"/>
              </w:rPr>
              <w:t>Annual Rent</w:t>
            </w:r>
          </w:p>
        </w:tc>
        <w:tc>
          <w:tcPr>
            <w:tcW w:w="80" w:type="dxa"/>
            <w:vAlign w:val="bottom"/>
          </w:tcPr>
          <w:p>
            <w:pPr>
              <w:spacing w:after="0"/>
              <w:rPr>
                <w:sz w:val="7"/>
                <w:szCs w:val="7"/>
                <w:color w:val="auto"/>
              </w:rPr>
            </w:pPr>
          </w:p>
        </w:tc>
        <w:tc>
          <w:tcPr>
            <w:tcW w:w="700" w:type="dxa"/>
            <w:vAlign w:val="bottom"/>
            <w:gridSpan w:val="2"/>
          </w:tcPr>
          <w:p>
            <w:pPr>
              <w:jc w:val="center"/>
              <w:ind w:right="180"/>
              <w:spacing w:after="0" w:line="86" w:lineRule="exact"/>
              <w:rPr>
                <w:sz w:val="20"/>
                <w:szCs w:val="20"/>
                <w:color w:val="auto"/>
              </w:rPr>
            </w:pPr>
            <w:r>
              <w:rPr>
                <w:rFonts w:ascii="Arial" w:cs="Arial" w:eastAsia="Arial" w:hAnsi="Arial"/>
                <w:sz w:val="9"/>
                <w:szCs w:val="9"/>
                <w:b w:val="1"/>
                <w:bCs w:val="1"/>
                <w:color w:val="auto"/>
                <w:w w:val="95"/>
              </w:rPr>
              <w:t>Escalated</w:t>
            </w:r>
          </w:p>
        </w:tc>
        <w:tc>
          <w:tcPr>
            <w:tcW w:w="76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3"/>
              </w:rPr>
              <w:t>In Service</w:t>
            </w:r>
          </w:p>
        </w:tc>
        <w:tc>
          <w:tcPr>
            <w:tcW w:w="780" w:type="dxa"/>
            <w:vAlign w:val="bottom"/>
            <w:gridSpan w:val="2"/>
          </w:tcPr>
          <w:p>
            <w:pPr>
              <w:jc w:val="center"/>
              <w:ind w:right="60"/>
              <w:spacing w:after="0" w:line="86" w:lineRule="exact"/>
              <w:rPr>
                <w:sz w:val="20"/>
                <w:szCs w:val="20"/>
                <w:color w:val="auto"/>
              </w:rPr>
            </w:pPr>
            <w:r>
              <w:rPr>
                <w:rFonts w:ascii="Arial" w:cs="Arial" w:eastAsia="Arial" w:hAnsi="Arial"/>
                <w:sz w:val="9"/>
                <w:szCs w:val="9"/>
                <w:b w:val="1"/>
                <w:bCs w:val="1"/>
                <w:color w:val="auto"/>
                <w:w w:val="93"/>
              </w:rPr>
              <w:t>or Not Available</w:t>
            </w:r>
          </w:p>
        </w:tc>
        <w:tc>
          <w:tcPr>
            <w:tcW w:w="80" w:type="dxa"/>
            <w:vAlign w:val="bottom"/>
          </w:tcPr>
          <w:p>
            <w:pPr>
              <w:spacing w:after="0"/>
              <w:rPr>
                <w:sz w:val="7"/>
                <w:szCs w:val="7"/>
                <w:color w:val="auto"/>
              </w:rPr>
            </w:pPr>
          </w:p>
        </w:tc>
        <w:tc>
          <w:tcPr>
            <w:tcW w:w="700" w:type="dxa"/>
            <w:vAlign w:val="bottom"/>
          </w:tcPr>
          <w:p>
            <w:pPr>
              <w:jc w:val="center"/>
              <w:ind w:right="37"/>
              <w:spacing w:after="0" w:line="86" w:lineRule="exact"/>
              <w:rPr>
                <w:sz w:val="20"/>
                <w:szCs w:val="20"/>
                <w:color w:val="auto"/>
              </w:rPr>
            </w:pPr>
            <w:r>
              <w:rPr>
                <w:rFonts w:ascii="Arial" w:cs="Arial" w:eastAsia="Arial" w:hAnsi="Arial"/>
                <w:sz w:val="9"/>
                <w:szCs w:val="9"/>
                <w:b w:val="1"/>
                <w:bCs w:val="1"/>
                <w:color w:val="auto"/>
                <w:w w:val="97"/>
              </w:rPr>
              <w:t>(non-GAAP)</w:t>
            </w:r>
          </w:p>
        </w:tc>
        <w:tc>
          <w:tcPr>
            <w:tcW w:w="60" w:type="dxa"/>
            <w:vAlign w:val="bottom"/>
          </w:tcPr>
          <w:p>
            <w:pPr>
              <w:spacing w:after="0"/>
              <w:rPr>
                <w:sz w:val="7"/>
                <w:szCs w:val="7"/>
                <w:color w:val="auto"/>
              </w:rPr>
            </w:pPr>
          </w:p>
        </w:tc>
        <w:tc>
          <w:tcPr>
            <w:tcW w:w="2920" w:type="dxa"/>
            <w:vAlign w:val="bottom"/>
            <w:vMerge w:val="restart"/>
          </w:tcPr>
          <w:p>
            <w:pPr>
              <w:ind w:left="1180"/>
              <w:spacing w:after="0"/>
              <w:rPr>
                <w:sz w:val="20"/>
                <w:szCs w:val="20"/>
                <w:color w:val="auto"/>
              </w:rPr>
            </w:pPr>
            <w:r>
              <w:rPr>
                <w:rFonts w:ascii="Arial" w:cs="Arial" w:eastAsia="Arial" w:hAnsi="Arial"/>
                <w:sz w:val="9"/>
                <w:szCs w:val="9"/>
                <w:b w:val="1"/>
                <w:bCs w:val="1"/>
                <w:color w:val="auto"/>
              </w:rPr>
              <w:t>Major Tenants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0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Occupancy</w:t>
            </w:r>
          </w:p>
        </w:tc>
        <w:tc>
          <w:tcPr>
            <w:tcW w:w="80" w:type="dxa"/>
            <w:vAlign w:val="bottom"/>
          </w:tcPr>
          <w:p>
            <w:pPr>
              <w:spacing w:after="0"/>
              <w:rPr>
                <w:sz w:val="11"/>
                <w:szCs w:val="11"/>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0"/>
              </w:rPr>
              <w:t>PSF</w:t>
            </w:r>
            <w:r>
              <w:rPr>
                <w:rFonts w:ascii="Arial" w:cs="Arial" w:eastAsia="Arial" w:hAnsi="Arial"/>
                <w:sz w:val="11"/>
                <w:szCs w:val="11"/>
                <w:b w:val="1"/>
                <w:bCs w:val="1"/>
                <w:color w:val="auto"/>
                <w:w w:val="90"/>
                <w:vertAlign w:val="superscript"/>
              </w:rPr>
              <w:t>(1)</w:t>
            </w: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9"/>
              </w:rPr>
              <w:t>Rent</w:t>
            </w:r>
            <w:r>
              <w:rPr>
                <w:rFonts w:ascii="Arial" w:cs="Arial" w:eastAsia="Arial" w:hAnsi="Arial"/>
                <w:sz w:val="11"/>
                <w:szCs w:val="11"/>
                <w:b w:val="1"/>
                <w:bCs w:val="1"/>
                <w:color w:val="auto"/>
                <w:w w:val="89"/>
                <w:vertAlign w:val="superscript"/>
              </w:rPr>
              <w:t>(2)</w:t>
            </w:r>
          </w:p>
        </w:tc>
        <w:tc>
          <w:tcPr>
            <w:tcW w:w="7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7"/>
              </w:rPr>
              <w:t>Property</w:t>
            </w:r>
          </w:p>
        </w:tc>
        <w:tc>
          <w:tcPr>
            <w:tcW w:w="780" w:type="dxa"/>
            <w:vAlign w:val="bottom"/>
            <w:gridSpan w:val="2"/>
            <w:vMerge w:val="continue"/>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4"/>
              </w:rPr>
              <w:t>for Lease</w:t>
            </w:r>
          </w:p>
        </w:tc>
        <w:tc>
          <w:tcPr>
            <w:tcW w:w="780" w:type="dxa"/>
            <w:vAlign w:val="bottom"/>
            <w:gridSpan w:val="2"/>
          </w:tcPr>
          <w:p>
            <w:pPr>
              <w:jc w:val="center"/>
              <w:spacing w:after="0"/>
              <w:rPr>
                <w:sz w:val="20"/>
                <w:szCs w:val="20"/>
                <w:color w:val="auto"/>
              </w:rPr>
            </w:pPr>
            <w:r>
              <w:rPr>
                <w:rFonts w:ascii="Arial" w:cs="Arial" w:eastAsia="Arial" w:hAnsi="Arial"/>
                <w:sz w:val="9"/>
                <w:szCs w:val="9"/>
                <w:b w:val="1"/>
                <w:bCs w:val="1"/>
                <w:color w:val="auto"/>
                <w:w w:val="92"/>
              </w:rPr>
              <w:t>(in thousands)</w:t>
            </w:r>
            <w:r>
              <w:rPr>
                <w:rFonts w:ascii="Arial" w:cs="Arial" w:eastAsia="Arial" w:hAnsi="Arial"/>
                <w:sz w:val="11"/>
                <w:szCs w:val="11"/>
                <w:b w:val="1"/>
                <w:bCs w:val="1"/>
                <w:color w:val="auto"/>
                <w:w w:val="92"/>
                <w:vertAlign w:val="superscript"/>
              </w:rPr>
              <w:t>(3)</w:t>
            </w:r>
          </w:p>
        </w:tc>
        <w:tc>
          <w:tcPr>
            <w:tcW w:w="6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9"/>
                <w:szCs w:val="9"/>
                <w:b w:val="1"/>
                <w:bCs w:val="1"/>
                <w:color w:val="auto"/>
              </w:rPr>
              <w:t>NEW YORK STREET RETAIL (Continued):</w:t>
            </w: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rPr>
                <w:sz w:val="20"/>
                <w:szCs w:val="20"/>
                <w:color w:val="auto"/>
              </w:rPr>
            </w:pPr>
            <w:r>
              <w:rPr>
                <w:rFonts w:ascii="Arial" w:cs="Arial" w:eastAsia="Arial" w:hAnsi="Arial"/>
                <w:sz w:val="9"/>
                <w:szCs w:val="9"/>
                <w:b w:val="1"/>
                <w:bCs w:val="1"/>
                <w:color w:val="auto"/>
              </w:rPr>
              <w:t>Times Square: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1540 Broadway</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980" w:type="dxa"/>
            <w:vAlign w:val="bottom"/>
            <w:tcBorders>
              <w:left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52.0 %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22.1 %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404.33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14,200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161,000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161,000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9"/>
                <w:szCs w:val="9"/>
                <w:color w:val="auto"/>
              </w:rPr>
              <w:t>U.S. Polo, Disney, Pop Mart*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8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9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80" w:type="dxa"/>
            <w:vAlign w:val="bottom"/>
          </w:tcPr>
          <w:p>
            <w:pPr>
              <w:ind w:left="20"/>
              <w:spacing w:after="0"/>
              <w:rPr>
                <w:sz w:val="20"/>
                <w:szCs w:val="20"/>
                <w:color w:val="auto"/>
              </w:rPr>
            </w:pPr>
            <w:r>
              <w:rPr>
                <w:rFonts w:ascii="Arial" w:cs="Arial" w:eastAsia="Arial" w:hAnsi="Arial"/>
                <w:sz w:val="9"/>
                <w:szCs w:val="9"/>
                <w:color w:val="auto"/>
              </w:rPr>
              <w:t>1535 Broadway</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80" w:type="dxa"/>
            <w:vAlign w:val="bottom"/>
            <w:vMerge w:val="restart"/>
          </w:tcPr>
          <w:p>
            <w:pPr>
              <w:ind w:left="540"/>
              <w:spacing w:after="0"/>
              <w:rPr>
                <w:sz w:val="20"/>
                <w:szCs w:val="20"/>
                <w:color w:val="auto"/>
              </w:rPr>
            </w:pPr>
            <w:r>
              <w:rPr>
                <w:rFonts w:ascii="Arial" w:cs="Arial" w:eastAsia="Arial" w:hAnsi="Arial"/>
                <w:sz w:val="9"/>
                <w:szCs w:val="9"/>
                <w:color w:val="auto"/>
              </w:rPr>
              <w:t>-Retail</w:t>
            </w:r>
          </w:p>
        </w:tc>
        <w:tc>
          <w:tcPr>
            <w:tcW w:w="720" w:type="dxa"/>
            <w:vAlign w:val="bottom"/>
            <w:gridSpan w:val="2"/>
            <w:vMerge w:val="restart"/>
          </w:tcPr>
          <w:p>
            <w:pPr>
              <w:jc w:val="right"/>
              <w:spacing w:after="0"/>
              <w:rPr>
                <w:sz w:val="20"/>
                <w:szCs w:val="20"/>
                <w:color w:val="auto"/>
              </w:rPr>
            </w:pPr>
            <w:r>
              <w:rPr>
                <w:rFonts w:ascii="Arial" w:cs="Arial" w:eastAsia="Arial" w:hAnsi="Arial"/>
                <w:sz w:val="9"/>
                <w:szCs w:val="9"/>
                <w:color w:val="auto"/>
              </w:rPr>
              <w:t>52.0 %</w:t>
            </w: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9"/>
                <w:szCs w:val="9"/>
                <w:color w:val="auto"/>
              </w:rPr>
              <w:t>1,103.58</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9"/>
                <w:szCs w:val="9"/>
                <w:color w:val="auto"/>
              </w:rPr>
              <w:t>45,000</w:t>
            </w:r>
          </w:p>
        </w:tc>
        <w:tc>
          <w:tcPr>
            <w:tcW w:w="6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45,000</w:t>
            </w:r>
          </w:p>
        </w:tc>
        <w:tc>
          <w:tcPr>
            <w:tcW w:w="8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tcPr>
          <w:p>
            <w:pPr>
              <w:ind w:left="20"/>
              <w:spacing w:after="0"/>
              <w:rPr>
                <w:sz w:val="20"/>
                <w:szCs w:val="20"/>
                <w:color w:val="auto"/>
              </w:rPr>
            </w:pPr>
            <w:r>
              <w:rPr>
                <w:rFonts w:ascii="Arial" w:cs="Arial" w:eastAsia="Arial" w:hAnsi="Arial"/>
                <w:sz w:val="9"/>
                <w:szCs w:val="9"/>
                <w:color w:val="auto"/>
              </w:rPr>
              <w:t>T-Mobile, Swatch Group USA, Levi's, Sephora, Anita La Mamma Del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tcPr>
          <w:p>
            <w:pPr>
              <w:ind w:left="20"/>
              <w:spacing w:after="0"/>
              <w:rPr>
                <w:sz w:val="20"/>
                <w:szCs w:val="20"/>
                <w:color w:val="auto"/>
              </w:rPr>
            </w:pPr>
            <w:r>
              <w:rPr>
                <w:rFonts w:ascii="Arial" w:cs="Arial" w:eastAsia="Arial" w:hAnsi="Arial"/>
                <w:sz w:val="9"/>
                <w:szCs w:val="9"/>
                <w:color w:val="auto"/>
              </w:rPr>
              <w:t>Gelato</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980" w:type="dxa"/>
            <w:vAlign w:val="bottom"/>
          </w:tcPr>
          <w:p>
            <w:pPr>
              <w:ind w:left="540"/>
              <w:spacing w:after="0"/>
              <w:rPr>
                <w:sz w:val="20"/>
                <w:szCs w:val="20"/>
                <w:color w:val="auto"/>
              </w:rPr>
            </w:pPr>
            <w:r>
              <w:rPr>
                <w:rFonts w:ascii="Arial" w:cs="Arial" w:eastAsia="Arial" w:hAnsi="Arial"/>
                <w:sz w:val="9"/>
                <w:szCs w:val="9"/>
                <w:color w:val="auto"/>
              </w:rPr>
              <w:t>-Theatre</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52.0 %</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17.78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62,000</w:t>
            </w:r>
          </w:p>
        </w:tc>
        <w:tc>
          <w:tcPr>
            <w:tcW w:w="6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62,000</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20" w:type="dxa"/>
            <w:vAlign w:val="bottom"/>
          </w:tcPr>
          <w:p>
            <w:pPr>
              <w:ind w:left="20"/>
              <w:spacing w:after="0"/>
              <w:rPr>
                <w:sz w:val="20"/>
                <w:szCs w:val="20"/>
                <w:color w:val="auto"/>
              </w:rPr>
            </w:pPr>
            <w:r>
              <w:rPr>
                <w:rFonts w:ascii="Arial" w:cs="Arial" w:eastAsia="Arial" w:hAnsi="Arial"/>
                <w:sz w:val="9"/>
                <w:szCs w:val="9"/>
                <w:color w:val="auto"/>
              </w:rPr>
              <w:t>Nederlander-Marquis Theatre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80" w:type="dxa"/>
            <w:vAlign w:val="bottom"/>
          </w:tcPr>
          <w:p>
            <w:pPr>
              <w:spacing w:after="0"/>
              <w:rPr>
                <w:sz w:val="9"/>
                <w:szCs w:val="9"/>
                <w:color w:val="auto"/>
              </w:rPr>
            </w:pP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52.0 %</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425.71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42,100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107,000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107,000</w:t>
            </w:r>
          </w:p>
        </w:tc>
        <w:tc>
          <w:tcPr>
            <w:tcW w:w="80" w:type="dxa"/>
            <w:vAlign w:val="bottom"/>
          </w:tcPr>
          <w:p>
            <w:pPr>
              <w:spacing w:after="0"/>
              <w:rPr>
                <w:sz w:val="9"/>
                <w:szCs w:val="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450,000</w:t>
            </w:r>
          </w:p>
        </w:tc>
        <w:tc>
          <w:tcPr>
            <w:tcW w:w="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98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9"/>
                <w:szCs w:val="9"/>
                <w:color w:val="auto"/>
              </w:rPr>
              <w:t>Total Times Square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56,300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268,000</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268,000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450,000</w:t>
            </w:r>
          </w:p>
        </w:tc>
        <w:tc>
          <w:tcPr>
            <w:tcW w:w="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80" w:type="dxa"/>
            <w:vAlign w:val="bottom"/>
            <w:tcBorders>
              <w:top w:val="single" w:sz="8" w:color="CCEEFF"/>
            </w:tcBorders>
          </w:tcPr>
          <w:p>
            <w:pPr>
              <w:ind w:left="20"/>
              <w:spacing w:after="0"/>
              <w:rPr>
                <w:sz w:val="20"/>
                <w:szCs w:val="20"/>
                <w:color w:val="auto"/>
              </w:rPr>
            </w:pPr>
            <w:r>
              <w:rPr>
                <w:rFonts w:ascii="Arial" w:cs="Arial" w:eastAsia="Arial" w:hAnsi="Arial"/>
                <w:sz w:val="9"/>
                <w:szCs w:val="9"/>
                <w:b w:val="1"/>
                <w:bCs w:val="1"/>
                <w:color w:val="auto"/>
              </w:rPr>
              <w:t>Midtown South:</w:t>
            </w: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920" w:type="dxa"/>
            <w:vAlign w:val="bottom"/>
            <w:tcBorders>
              <w:top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4 Union Square South</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980" w:type="dxa"/>
            <w:vAlign w:val="bottom"/>
            <w:tcBorders>
              <w:left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-Retail</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143.30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29,300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204,000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204,000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120,000</w:t>
            </w:r>
          </w:p>
        </w:tc>
        <w:tc>
          <w:tcPr>
            <w:tcW w:w="60" w:type="dxa"/>
            <w:vAlign w:val="bottom"/>
            <w:shd w:val="clear" w:color="auto" w:fill="CCEEFF"/>
          </w:tcPr>
          <w:p>
            <w:pPr>
              <w:spacing w:after="0"/>
              <w:rPr>
                <w:sz w:val="11"/>
                <w:szCs w:val="11"/>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9"/>
                <w:szCs w:val="9"/>
                <w:color w:val="auto"/>
              </w:rPr>
              <w:t>Burlington, Whole Foods Market, DSW, Sephora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8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9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rPr>
                <w:sz w:val="20"/>
                <w:szCs w:val="20"/>
                <w:color w:val="auto"/>
              </w:rPr>
            </w:pPr>
            <w:r>
              <w:rPr>
                <w:rFonts w:ascii="Arial" w:cs="Arial" w:eastAsia="Arial" w:hAnsi="Arial"/>
                <w:sz w:val="9"/>
                <w:szCs w:val="9"/>
                <w:b w:val="1"/>
                <w:bCs w:val="1"/>
                <w:color w:val="auto"/>
              </w:rPr>
              <w:t>Midtown:</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715 Lexington Avenue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78.5 %</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207.92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3,600</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22,000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22,000</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9"/>
                <w:szCs w:val="9"/>
                <w:color w:val="auto"/>
              </w:rPr>
              <w:t>Casper, Santander Bank, Blu Dot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980" w:type="dxa"/>
            <w:vAlign w:val="bottom"/>
            <w:tcBorders>
              <w:left w:val="single" w:sz="8" w:color="CCEEFF"/>
            </w:tcBorders>
            <w:shd w:val="clear" w:color="auto" w:fill="CCEEFF"/>
          </w:tcPr>
          <w:p>
            <w:pPr>
              <w:spacing w:after="0"/>
              <w:rPr>
                <w:sz w:val="5"/>
                <w:szCs w:val="5"/>
                <w:color w:val="auto"/>
              </w:rPr>
            </w:pPr>
          </w:p>
        </w:tc>
        <w:tc>
          <w:tcPr>
            <w:tcW w:w="72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9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80" w:type="dxa"/>
            <w:vAlign w:val="bottom"/>
          </w:tcPr>
          <w:p>
            <w:pPr>
              <w:ind w:left="20"/>
              <w:spacing w:after="0"/>
              <w:rPr>
                <w:sz w:val="20"/>
                <w:szCs w:val="20"/>
                <w:color w:val="auto"/>
              </w:rPr>
            </w:pPr>
            <w:r>
              <w:rPr>
                <w:rFonts w:ascii="Arial" w:cs="Arial" w:eastAsia="Arial" w:hAnsi="Arial"/>
                <w:sz w:val="9"/>
                <w:szCs w:val="9"/>
                <w:color w:val="auto"/>
              </w:rPr>
              <w:t>966 Third Avenue</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112.60</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7,000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7,000</w:t>
            </w:r>
          </w:p>
        </w:tc>
        <w:tc>
          <w:tcPr>
            <w:tcW w:w="80" w:type="dxa"/>
            <w:vAlign w:val="bottom"/>
          </w:tcPr>
          <w:p>
            <w:pPr>
              <w:spacing w:after="0"/>
              <w:rPr>
                <w:sz w:val="9"/>
                <w:szCs w:val="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2920" w:type="dxa"/>
            <w:vAlign w:val="bottom"/>
          </w:tcPr>
          <w:p>
            <w:pPr>
              <w:ind w:left="20"/>
              <w:spacing w:after="0"/>
              <w:rPr>
                <w:sz w:val="20"/>
                <w:szCs w:val="20"/>
                <w:color w:val="auto"/>
              </w:rPr>
            </w:pPr>
            <w:r>
              <w:rPr>
                <w:rFonts w:ascii="Arial" w:cs="Arial" w:eastAsia="Arial" w:hAnsi="Arial"/>
                <w:sz w:val="9"/>
                <w:szCs w:val="9"/>
                <w:color w:val="auto"/>
              </w:rPr>
              <w:t>McDonald's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8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968 Third Avenue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50.0 %</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200.04</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7,000</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9"/>
                <w:szCs w:val="9"/>
                <w:color w:val="auto"/>
              </w:rPr>
              <w:t>Wells Fargo</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80" w:type="dxa"/>
            <w:vAlign w:val="bottom"/>
            <w:tcBorders>
              <w:left w:val="single" w:sz="8" w:color="CCEEFF"/>
            </w:tcBorders>
            <w:shd w:val="clear" w:color="auto" w:fill="CCEEFF"/>
          </w:tcPr>
          <w:p>
            <w:pPr>
              <w:spacing w:after="0"/>
              <w:rPr>
                <w:sz w:val="5"/>
                <w:szCs w:val="5"/>
                <w:color w:val="auto"/>
              </w:rPr>
            </w:pPr>
          </w:p>
        </w:tc>
        <w:tc>
          <w:tcPr>
            <w:tcW w:w="72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9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80" w:type="dxa"/>
            <w:vAlign w:val="bottom"/>
          </w:tcPr>
          <w:p>
            <w:pPr>
              <w:ind w:left="20"/>
              <w:spacing w:after="0"/>
              <w:rPr>
                <w:sz w:val="20"/>
                <w:szCs w:val="20"/>
                <w:color w:val="auto"/>
              </w:rPr>
            </w:pPr>
            <w:r>
              <w:rPr>
                <w:rFonts w:ascii="Arial" w:cs="Arial" w:eastAsia="Arial" w:hAnsi="Arial"/>
                <w:sz w:val="9"/>
                <w:szCs w:val="9"/>
                <w:color w:val="auto"/>
              </w:rPr>
              <w:t>825 Seventh Avenue</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151.13</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600</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4,000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4,000</w:t>
            </w:r>
          </w:p>
        </w:tc>
        <w:tc>
          <w:tcPr>
            <w:tcW w:w="80" w:type="dxa"/>
            <w:vAlign w:val="bottom"/>
          </w:tcPr>
          <w:p>
            <w:pPr>
              <w:spacing w:after="0"/>
              <w:rPr>
                <w:sz w:val="9"/>
                <w:szCs w:val="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2920" w:type="dxa"/>
            <w:vAlign w:val="bottom"/>
          </w:tcPr>
          <w:p>
            <w:pPr>
              <w:ind w:left="20"/>
              <w:spacing w:after="0"/>
              <w:rPr>
                <w:sz w:val="20"/>
                <w:szCs w:val="20"/>
                <w:color w:val="auto"/>
              </w:rPr>
            </w:pPr>
            <w:r>
              <w:rPr>
                <w:rFonts w:ascii="Arial" w:cs="Arial" w:eastAsia="Arial" w:hAnsi="Arial"/>
                <w:sz w:val="9"/>
                <w:szCs w:val="9"/>
                <w:color w:val="auto"/>
              </w:rPr>
              <w:t>Venchi</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Total Midtown</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6,300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40,000</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40,000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80" w:type="dxa"/>
            <w:vAlign w:val="bottom"/>
            <w:tcBorders>
              <w:top w:val="single" w:sz="8" w:color="CCEEFF"/>
            </w:tcBorders>
          </w:tcPr>
          <w:p>
            <w:pPr>
              <w:ind w:left="20"/>
              <w:spacing w:after="0"/>
              <w:rPr>
                <w:sz w:val="20"/>
                <w:szCs w:val="20"/>
                <w:color w:val="auto"/>
              </w:rPr>
            </w:pPr>
            <w:r>
              <w:rPr>
                <w:rFonts w:ascii="Arial" w:cs="Arial" w:eastAsia="Arial" w:hAnsi="Arial"/>
                <w:sz w:val="9"/>
                <w:szCs w:val="9"/>
                <w:b w:val="1"/>
                <w:bCs w:val="1"/>
                <w:color w:val="auto"/>
              </w:rPr>
              <w:t>Upper East Side:</w:t>
            </w: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920" w:type="dxa"/>
            <w:vAlign w:val="bottom"/>
            <w:tcBorders>
              <w:top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1131 Third Avenue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90.5 %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203.01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4,200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23,000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9"/>
                <w:szCs w:val="9"/>
                <w:color w:val="auto"/>
              </w:rPr>
              <w:t>Crunch LLC, J.Jill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rPr>
                <w:sz w:val="20"/>
                <w:szCs w:val="20"/>
                <w:color w:val="auto"/>
              </w:rPr>
            </w:pPr>
            <w:r>
              <w:rPr>
                <w:rFonts w:ascii="Arial" w:cs="Arial" w:eastAsia="Arial" w:hAnsi="Arial"/>
                <w:sz w:val="9"/>
                <w:szCs w:val="9"/>
                <w:b w:val="1"/>
                <w:bCs w:val="1"/>
                <w:color w:val="auto"/>
              </w:rPr>
              <w:t>Chelsea/Meatpacking District: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537 West 26th Street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138.26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17,000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rPr>
                <w:sz w:val="20"/>
                <w:szCs w:val="20"/>
                <w:color w:val="auto"/>
              </w:rPr>
            </w:pPr>
            <w:r>
              <w:rPr>
                <w:rFonts w:ascii="Arial" w:cs="Arial" w:eastAsia="Arial" w:hAnsi="Arial"/>
                <w:sz w:val="9"/>
                <w:szCs w:val="9"/>
                <w:b w:val="1"/>
                <w:bCs w:val="1"/>
                <w:color w:val="auto"/>
              </w:rPr>
              <w:t>Tribeca:</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339 Greenwich Street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156.47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800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9,000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9"/>
                <w:szCs w:val="9"/>
                <w:color w:val="auto"/>
              </w:rPr>
              <w:t>Paper Moon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rPr>
                <w:sz w:val="20"/>
                <w:szCs w:val="20"/>
                <w:color w:val="auto"/>
              </w:rPr>
            </w:pPr>
            <w:r>
              <w:rPr>
                <w:rFonts w:ascii="Arial" w:cs="Arial" w:eastAsia="Arial" w:hAnsi="Arial"/>
                <w:sz w:val="9"/>
                <w:szCs w:val="9"/>
                <w:b w:val="1"/>
                <w:bCs w:val="1"/>
                <w:color w:val="auto"/>
              </w:rPr>
              <w:t>NEW YORK RESIDENTIAL:</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rPr>
              <w:t>Tribeca:</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80" w:type="dxa"/>
            <w:vAlign w:val="bottom"/>
          </w:tcPr>
          <w:p>
            <w:pPr>
              <w:ind w:left="20"/>
              <w:spacing w:after="0"/>
              <w:rPr>
                <w:sz w:val="20"/>
                <w:szCs w:val="20"/>
                <w:color w:val="auto"/>
              </w:rPr>
            </w:pPr>
            <w:r>
              <w:rPr>
                <w:rFonts w:ascii="Arial" w:cs="Arial" w:eastAsia="Arial" w:hAnsi="Arial"/>
                <w:sz w:val="9"/>
                <w:szCs w:val="9"/>
                <w:color w:val="auto"/>
              </w:rPr>
              <w:t>Independence Plaza</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80" w:type="dxa"/>
            <w:vAlign w:val="bottom"/>
          </w:tcPr>
          <w:p>
            <w:pPr>
              <w:ind w:left="540"/>
              <w:spacing w:after="0"/>
              <w:rPr>
                <w:sz w:val="20"/>
                <w:szCs w:val="20"/>
                <w:color w:val="auto"/>
              </w:rPr>
            </w:pPr>
            <w:r>
              <w:rPr>
                <w:rFonts w:ascii="Arial" w:cs="Arial" w:eastAsia="Arial" w:hAnsi="Arial"/>
                <w:sz w:val="9"/>
                <w:szCs w:val="9"/>
                <w:color w:val="auto"/>
              </w:rPr>
              <w:t>-Residential (1,328 units)</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50.1 %</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97.8 %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1,186,000</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1,186,000</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80" w:type="dxa"/>
            <w:vAlign w:val="bottom"/>
          </w:tcPr>
          <w:p>
            <w:pPr>
              <w:ind w:left="540"/>
              <w:spacing w:after="0"/>
              <w:rPr>
                <w:sz w:val="20"/>
                <w:szCs w:val="20"/>
                <w:color w:val="auto"/>
              </w:rPr>
            </w:pPr>
            <w:r>
              <w:rPr>
                <w:rFonts w:ascii="Arial" w:cs="Arial" w:eastAsia="Arial" w:hAnsi="Arial"/>
                <w:sz w:val="9"/>
                <w:szCs w:val="9"/>
                <w:color w:val="auto"/>
              </w:rPr>
              <w:t>-Retail</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50.1 %</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69.1 %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99.91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4,700</w:t>
            </w:r>
          </w:p>
        </w:tc>
        <w:tc>
          <w:tcPr>
            <w:tcW w:w="80" w:type="dxa"/>
            <w:vAlign w:val="bottom"/>
          </w:tcPr>
          <w:p>
            <w:pPr>
              <w:spacing w:after="0"/>
              <w:rPr>
                <w:sz w:val="11"/>
                <w:szCs w:val="11"/>
                <w:color w:val="auto"/>
              </w:rPr>
            </w:pPr>
          </w:p>
        </w:tc>
        <w:tc>
          <w:tcPr>
            <w:tcW w:w="700" w:type="dxa"/>
            <w:vAlign w:val="bottom"/>
          </w:tcPr>
          <w:p>
            <w:pPr>
              <w:jc w:val="right"/>
              <w:ind w:right="17"/>
              <w:spacing w:after="0"/>
              <w:rPr>
                <w:sz w:val="20"/>
                <w:szCs w:val="20"/>
                <w:color w:val="auto"/>
              </w:rPr>
            </w:pPr>
            <w:r>
              <w:rPr>
                <w:rFonts w:ascii="Arial" w:cs="Arial" w:eastAsia="Arial" w:hAnsi="Arial"/>
                <w:sz w:val="9"/>
                <w:szCs w:val="9"/>
                <w:color w:val="auto"/>
              </w:rPr>
              <w:t>71,000</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71,000</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20" w:type="dxa"/>
            <w:vAlign w:val="bottom"/>
          </w:tcPr>
          <w:p>
            <w:pPr>
              <w:ind w:left="20"/>
              <w:spacing w:after="0"/>
              <w:rPr>
                <w:sz w:val="20"/>
                <w:szCs w:val="20"/>
                <w:color w:val="auto"/>
              </w:rPr>
            </w:pPr>
            <w:r>
              <w:rPr>
                <w:rFonts w:ascii="Arial" w:cs="Arial" w:eastAsia="Arial" w:hAnsi="Arial"/>
                <w:sz w:val="9"/>
                <w:szCs w:val="9"/>
                <w:color w:val="auto"/>
              </w:rPr>
              <w:t>Duane Reade, Tompkins Square Bagels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98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9"/>
                <w:szCs w:val="9"/>
                <w:color w:val="auto"/>
              </w:rPr>
              <w:t>Total Tribeca - Residential</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4,700</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1,257,000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1,257,000</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675,000</w:t>
            </w:r>
          </w:p>
        </w:tc>
        <w:tc>
          <w:tcPr>
            <w:tcW w:w="60" w:type="dxa"/>
            <w:vAlign w:val="bottom"/>
            <w:shd w:val="clear" w:color="auto" w:fill="CCEEFF"/>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20"/>
              <w:spacing w:after="0"/>
              <w:rPr>
                <w:sz w:val="20"/>
                <w:szCs w:val="20"/>
                <w:color w:val="auto"/>
              </w:rPr>
            </w:pPr>
            <w:r>
              <w:rPr>
                <w:rFonts w:ascii="Arial" w:cs="Arial" w:eastAsia="Arial" w:hAnsi="Arial"/>
                <w:sz w:val="9"/>
                <w:szCs w:val="9"/>
                <w:b w:val="1"/>
                <w:bCs w:val="1"/>
                <w:color w:val="auto"/>
              </w:rPr>
              <w:t>PENN District: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34th and Eighth Avenue land</w:t>
            </w:r>
            <w:r>
              <w:rPr>
                <w:rFonts w:ascii="Arial" w:cs="Arial" w:eastAsia="Arial" w:hAnsi="Arial"/>
                <w:sz w:val="11"/>
                <w:szCs w:val="11"/>
                <w:b w:val="1"/>
                <w:bCs w:val="1"/>
                <w:color w:val="auto"/>
                <w:vertAlign w:val="superscript"/>
              </w:rPr>
              <w:t>(6)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METRICS BY SPACE TYPE</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8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New York Office:</w:t>
            </w:r>
          </w:p>
        </w:tc>
        <w:tc>
          <w:tcPr>
            <w:tcW w:w="80" w:type="dxa"/>
            <w:vAlign w:val="bottom"/>
            <w:tcBorders>
              <w:bottom w:val="single" w:sz="8" w:color="auto"/>
            </w:tcBorders>
            <w:shd w:val="clear" w:color="auto" w:fill="FFFF99"/>
          </w:tcPr>
          <w:p>
            <w:pPr>
              <w:spacing w:after="0"/>
              <w:rPr>
                <w:sz w:val="10"/>
                <w:szCs w:val="10"/>
                <w:color w:val="auto"/>
              </w:rPr>
            </w:pPr>
          </w:p>
        </w:tc>
        <w:tc>
          <w:tcPr>
            <w:tcW w:w="640" w:type="dxa"/>
            <w:vAlign w:val="bottom"/>
            <w:tcBorders>
              <w:bottom w:val="single" w:sz="8" w:color="auto"/>
            </w:tcBorders>
            <w:shd w:val="clear" w:color="auto" w:fill="FFFF99"/>
          </w:tcPr>
          <w:p>
            <w:pPr>
              <w:spacing w:after="0"/>
              <w:rPr>
                <w:sz w:val="10"/>
                <w:szCs w:val="10"/>
                <w:color w:val="auto"/>
              </w:rPr>
            </w:pPr>
          </w:p>
        </w:tc>
        <w:tc>
          <w:tcPr>
            <w:tcW w:w="80" w:type="dxa"/>
            <w:vAlign w:val="bottom"/>
            <w:tcBorders>
              <w:bottom w:val="single" w:sz="8" w:color="auto"/>
            </w:tcBorders>
            <w:shd w:val="clear" w:color="auto" w:fill="FFFF99"/>
          </w:tcPr>
          <w:p>
            <w:pPr>
              <w:spacing w:after="0"/>
              <w:rPr>
                <w:sz w:val="10"/>
                <w:szCs w:val="10"/>
                <w:color w:val="auto"/>
              </w:rPr>
            </w:pPr>
          </w:p>
        </w:tc>
        <w:tc>
          <w:tcPr>
            <w:tcW w:w="680" w:type="dxa"/>
            <w:vAlign w:val="bottom"/>
            <w:tcBorders>
              <w:bottom w:val="single" w:sz="8" w:color="auto"/>
            </w:tcBorders>
            <w:shd w:val="clear" w:color="auto" w:fill="FFFF99"/>
          </w:tcPr>
          <w:p>
            <w:pPr>
              <w:spacing w:after="0"/>
              <w:rPr>
                <w:sz w:val="10"/>
                <w:szCs w:val="10"/>
                <w:color w:val="auto"/>
              </w:rPr>
            </w:pPr>
          </w:p>
        </w:tc>
        <w:tc>
          <w:tcPr>
            <w:tcW w:w="80" w:type="dxa"/>
            <w:vAlign w:val="bottom"/>
            <w:tcBorders>
              <w:bottom w:val="single" w:sz="8" w:color="auto"/>
            </w:tcBorders>
            <w:shd w:val="clear" w:color="auto" w:fill="FFFF99"/>
          </w:tcPr>
          <w:p>
            <w:pPr>
              <w:spacing w:after="0"/>
              <w:rPr>
                <w:sz w:val="10"/>
                <w:szCs w:val="10"/>
                <w:color w:val="auto"/>
              </w:rPr>
            </w:pPr>
          </w:p>
        </w:tc>
        <w:tc>
          <w:tcPr>
            <w:tcW w:w="80" w:type="dxa"/>
            <w:vAlign w:val="bottom"/>
            <w:tcBorders>
              <w:bottom w:val="single" w:sz="8" w:color="auto"/>
            </w:tcBorders>
            <w:shd w:val="clear" w:color="auto" w:fill="FFFF99"/>
          </w:tcPr>
          <w:p>
            <w:pPr>
              <w:spacing w:after="0"/>
              <w:rPr>
                <w:sz w:val="10"/>
                <w:szCs w:val="10"/>
                <w:color w:val="auto"/>
              </w:rPr>
            </w:pPr>
          </w:p>
        </w:tc>
        <w:tc>
          <w:tcPr>
            <w:tcW w:w="620" w:type="dxa"/>
            <w:vAlign w:val="bottom"/>
            <w:tcBorders>
              <w:bottom w:val="single" w:sz="8" w:color="auto"/>
            </w:tcBorders>
            <w:shd w:val="clear" w:color="auto" w:fill="FFFF99"/>
          </w:tcPr>
          <w:p>
            <w:pPr>
              <w:spacing w:after="0"/>
              <w:rPr>
                <w:sz w:val="10"/>
                <w:szCs w:val="10"/>
                <w:color w:val="auto"/>
              </w:rPr>
            </w:pPr>
          </w:p>
        </w:tc>
        <w:tc>
          <w:tcPr>
            <w:tcW w:w="180" w:type="dxa"/>
            <w:vAlign w:val="bottom"/>
            <w:tcBorders>
              <w:bottom w:val="single" w:sz="8" w:color="auto"/>
            </w:tcBorders>
            <w:shd w:val="clear" w:color="auto" w:fill="FFFF99"/>
          </w:tcPr>
          <w:p>
            <w:pPr>
              <w:spacing w:after="0"/>
              <w:rPr>
                <w:sz w:val="10"/>
                <w:szCs w:val="10"/>
                <w:color w:val="auto"/>
              </w:rPr>
            </w:pPr>
          </w:p>
        </w:tc>
        <w:tc>
          <w:tcPr>
            <w:tcW w:w="80" w:type="dxa"/>
            <w:vAlign w:val="bottom"/>
            <w:tcBorders>
              <w:bottom w:val="single" w:sz="8" w:color="auto"/>
            </w:tcBorders>
            <w:shd w:val="clear" w:color="auto" w:fill="FFFF99"/>
          </w:tcPr>
          <w:p>
            <w:pPr>
              <w:spacing w:after="0"/>
              <w:rPr>
                <w:sz w:val="10"/>
                <w:szCs w:val="10"/>
                <w:color w:val="auto"/>
              </w:rPr>
            </w:pPr>
          </w:p>
        </w:tc>
        <w:tc>
          <w:tcPr>
            <w:tcW w:w="620" w:type="dxa"/>
            <w:vAlign w:val="bottom"/>
            <w:tcBorders>
              <w:bottom w:val="single" w:sz="8" w:color="auto"/>
            </w:tcBorders>
            <w:shd w:val="clear" w:color="auto" w:fill="FFFF99"/>
          </w:tcPr>
          <w:p>
            <w:pPr>
              <w:spacing w:after="0"/>
              <w:rPr>
                <w:sz w:val="10"/>
                <w:szCs w:val="10"/>
                <w:color w:val="auto"/>
              </w:rPr>
            </w:pPr>
          </w:p>
        </w:tc>
        <w:tc>
          <w:tcPr>
            <w:tcW w:w="80" w:type="dxa"/>
            <w:vAlign w:val="bottom"/>
            <w:tcBorders>
              <w:bottom w:val="single" w:sz="8" w:color="auto"/>
            </w:tcBorders>
            <w:shd w:val="clear" w:color="auto" w:fill="FFFF99"/>
          </w:tcPr>
          <w:p>
            <w:pPr>
              <w:spacing w:after="0"/>
              <w:rPr>
                <w:sz w:val="10"/>
                <w:szCs w:val="10"/>
                <w:color w:val="auto"/>
              </w:rPr>
            </w:pPr>
          </w:p>
        </w:tc>
        <w:tc>
          <w:tcPr>
            <w:tcW w:w="700" w:type="dxa"/>
            <w:vAlign w:val="bottom"/>
            <w:tcBorders>
              <w:bottom w:val="single" w:sz="8" w:color="auto"/>
            </w:tcBorders>
            <w:shd w:val="clear" w:color="auto" w:fill="FFFF99"/>
          </w:tcPr>
          <w:p>
            <w:pPr>
              <w:spacing w:after="0"/>
              <w:rPr>
                <w:sz w:val="10"/>
                <w:szCs w:val="10"/>
                <w:color w:val="auto"/>
              </w:rPr>
            </w:pPr>
          </w:p>
        </w:tc>
        <w:tc>
          <w:tcPr>
            <w:tcW w:w="60" w:type="dxa"/>
            <w:vAlign w:val="bottom"/>
            <w:tcBorders>
              <w:bottom w:val="single" w:sz="8" w:color="auto"/>
            </w:tcBorders>
            <w:shd w:val="clear" w:color="auto" w:fill="FFFF99"/>
          </w:tcPr>
          <w:p>
            <w:pPr>
              <w:spacing w:after="0"/>
              <w:rPr>
                <w:sz w:val="10"/>
                <w:szCs w:val="10"/>
                <w:color w:val="auto"/>
              </w:rPr>
            </w:pPr>
          </w:p>
        </w:tc>
        <w:tc>
          <w:tcPr>
            <w:tcW w:w="700" w:type="dxa"/>
            <w:vAlign w:val="bottom"/>
            <w:tcBorders>
              <w:bottom w:val="single" w:sz="8" w:color="auto"/>
            </w:tcBorders>
            <w:shd w:val="clear" w:color="auto" w:fill="FFFF99"/>
          </w:tcPr>
          <w:p>
            <w:pPr>
              <w:spacing w:after="0"/>
              <w:rPr>
                <w:sz w:val="10"/>
                <w:szCs w:val="10"/>
                <w:color w:val="auto"/>
              </w:rPr>
            </w:pPr>
          </w:p>
        </w:tc>
        <w:tc>
          <w:tcPr>
            <w:tcW w:w="80" w:type="dxa"/>
            <w:vAlign w:val="bottom"/>
            <w:tcBorders>
              <w:bottom w:val="single" w:sz="8" w:color="auto"/>
            </w:tcBorders>
            <w:shd w:val="clear" w:color="auto" w:fill="FFFF99"/>
          </w:tcPr>
          <w:p>
            <w:pPr>
              <w:spacing w:after="0"/>
              <w:rPr>
                <w:sz w:val="10"/>
                <w:szCs w:val="10"/>
                <w:color w:val="auto"/>
              </w:rPr>
            </w:pPr>
          </w:p>
        </w:tc>
        <w:tc>
          <w:tcPr>
            <w:tcW w:w="720" w:type="dxa"/>
            <w:vAlign w:val="bottom"/>
            <w:tcBorders>
              <w:bottom w:val="single" w:sz="8" w:color="auto"/>
            </w:tcBorders>
            <w:shd w:val="clear" w:color="auto" w:fill="FFFF99"/>
          </w:tcPr>
          <w:p>
            <w:pPr>
              <w:spacing w:after="0"/>
              <w:rPr>
                <w:sz w:val="10"/>
                <w:szCs w:val="10"/>
                <w:color w:val="auto"/>
              </w:rPr>
            </w:pPr>
          </w:p>
        </w:tc>
        <w:tc>
          <w:tcPr>
            <w:tcW w:w="60" w:type="dxa"/>
            <w:vAlign w:val="bottom"/>
            <w:tcBorders>
              <w:bottom w:val="single" w:sz="8" w:color="auto"/>
            </w:tcBorders>
            <w:shd w:val="clear" w:color="auto" w:fill="FFFF99"/>
          </w:tcPr>
          <w:p>
            <w:pPr>
              <w:spacing w:after="0"/>
              <w:rPr>
                <w:sz w:val="10"/>
                <w:szCs w:val="10"/>
                <w:color w:val="auto"/>
              </w:rPr>
            </w:pPr>
          </w:p>
        </w:tc>
        <w:tc>
          <w:tcPr>
            <w:tcW w:w="80" w:type="dxa"/>
            <w:vAlign w:val="bottom"/>
            <w:tcBorders>
              <w:bottom w:val="single" w:sz="8" w:color="auto"/>
            </w:tcBorders>
            <w:shd w:val="clear" w:color="auto" w:fill="FFFF99"/>
          </w:tcPr>
          <w:p>
            <w:pPr>
              <w:spacing w:after="0"/>
              <w:rPr>
                <w:sz w:val="10"/>
                <w:szCs w:val="10"/>
                <w:color w:val="auto"/>
              </w:rPr>
            </w:pPr>
          </w:p>
        </w:tc>
        <w:tc>
          <w:tcPr>
            <w:tcW w:w="700" w:type="dxa"/>
            <w:vAlign w:val="bottom"/>
            <w:tcBorders>
              <w:bottom w:val="single" w:sz="8" w:color="auto"/>
            </w:tcBorders>
            <w:shd w:val="clear" w:color="auto" w:fill="FFFF99"/>
          </w:tcPr>
          <w:p>
            <w:pPr>
              <w:spacing w:after="0"/>
              <w:rPr>
                <w:sz w:val="10"/>
                <w:szCs w:val="10"/>
                <w:color w:val="auto"/>
              </w:rPr>
            </w:pPr>
          </w:p>
        </w:tc>
        <w:tc>
          <w:tcPr>
            <w:tcW w:w="60" w:type="dxa"/>
            <w:vAlign w:val="bottom"/>
            <w:tcBorders>
              <w:bottom w:val="single" w:sz="8" w:color="auto"/>
            </w:tcBorders>
            <w:shd w:val="clear" w:color="auto" w:fill="FFFF99"/>
          </w:tcPr>
          <w:p>
            <w:pPr>
              <w:spacing w:after="0"/>
              <w:rPr>
                <w:sz w:val="10"/>
                <w:szCs w:val="10"/>
                <w:color w:val="auto"/>
              </w:rPr>
            </w:pPr>
          </w:p>
        </w:tc>
        <w:tc>
          <w:tcPr>
            <w:tcW w:w="2920" w:type="dxa"/>
            <w:vAlign w:val="bottom"/>
            <w:tcBorders>
              <w:bottom w:val="single" w:sz="8" w:color="auto"/>
            </w:tcBorders>
            <w:shd w:val="clear" w:color="auto" w:fill="FFFF99"/>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80" w:type="dxa"/>
            <w:vAlign w:val="bottom"/>
            <w:tcBorders>
              <w:left w:val="single" w:sz="8" w:color="auto"/>
              <w:bottom w:val="single" w:sz="8" w:color="auto"/>
            </w:tcBorders>
            <w:shd w:val="clear" w:color="auto" w:fill="FFFF99"/>
          </w:tcPr>
          <w:p>
            <w:pPr>
              <w:ind w:left="280"/>
              <w:spacing w:after="0"/>
              <w:rPr>
                <w:sz w:val="20"/>
                <w:szCs w:val="20"/>
                <w:color w:val="auto"/>
              </w:rPr>
            </w:pPr>
            <w:r>
              <w:rPr>
                <w:rFonts w:ascii="Arial" w:cs="Arial" w:eastAsia="Arial" w:hAnsi="Arial"/>
                <w:sz w:val="9"/>
                <w:szCs w:val="9"/>
                <w:b w:val="1"/>
                <w:bCs w:val="1"/>
                <w:color w:val="auto"/>
              </w:rPr>
              <w:t>Total</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93.6 %</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93.94</w:t>
            </w:r>
          </w:p>
        </w:tc>
        <w:tc>
          <w:tcPr>
            <w:tcW w:w="1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1,578,700</w:t>
            </w: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20,758,000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19,790,000</w:t>
            </w:r>
          </w:p>
        </w:tc>
        <w:tc>
          <w:tcPr>
            <w:tcW w:w="80" w:type="dxa"/>
            <w:vAlign w:val="bottom"/>
            <w:tcBorders>
              <w:bottom w:val="single" w:sz="8" w:color="auto"/>
            </w:tcBorders>
            <w:shd w:val="clear" w:color="auto" w:fill="FFFF99"/>
          </w:tcPr>
          <w:p>
            <w:pPr>
              <w:spacing w:after="0"/>
              <w:rPr>
                <w:sz w:val="9"/>
                <w:szCs w:val="9"/>
                <w:color w:val="auto"/>
              </w:rPr>
            </w:pPr>
          </w:p>
        </w:tc>
        <w:tc>
          <w:tcPr>
            <w:tcW w:w="7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968,000</w:t>
            </w:r>
          </w:p>
        </w:tc>
        <w:tc>
          <w:tcPr>
            <w:tcW w:w="6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6,808,543</w:t>
            </w:r>
          </w:p>
        </w:tc>
        <w:tc>
          <w:tcPr>
            <w:tcW w:w="60" w:type="dxa"/>
            <w:vAlign w:val="bottom"/>
            <w:tcBorders>
              <w:bottom w:val="single" w:sz="8" w:color="auto"/>
            </w:tcBorders>
            <w:shd w:val="clear" w:color="auto" w:fill="FFFF99"/>
          </w:tcPr>
          <w:p>
            <w:pPr>
              <w:spacing w:after="0"/>
              <w:rPr>
                <w:sz w:val="9"/>
                <w:szCs w:val="9"/>
                <w:color w:val="auto"/>
              </w:rPr>
            </w:pPr>
          </w:p>
        </w:tc>
        <w:tc>
          <w:tcPr>
            <w:tcW w:w="29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80" w:type="dxa"/>
            <w:vAlign w:val="bottom"/>
            <w:tcBorders>
              <w:left w:val="single" w:sz="8" w:color="auto"/>
              <w:bottom w:val="single" w:sz="8" w:color="auto"/>
            </w:tcBorders>
            <w:shd w:val="clear" w:color="auto" w:fill="FFFF99"/>
          </w:tcPr>
          <w:p>
            <w:pPr>
              <w:ind w:left="280"/>
              <w:spacing w:after="0"/>
              <w:rPr>
                <w:sz w:val="20"/>
                <w:szCs w:val="20"/>
                <w:color w:val="auto"/>
              </w:rPr>
            </w:pPr>
            <w:r>
              <w:rPr>
                <w:rFonts w:ascii="Arial" w:cs="Arial" w:eastAsia="Arial" w:hAnsi="Arial"/>
                <w:sz w:val="9"/>
                <w:szCs w:val="9"/>
                <w:b w:val="1"/>
                <w:bCs w:val="1"/>
                <w:color w:val="auto"/>
              </w:rPr>
              <w:t>Vornado's Ownership Interest</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93.0 %</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92.24</w:t>
            </w:r>
          </w:p>
        </w:tc>
        <w:tc>
          <w:tcPr>
            <w:tcW w:w="1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1,316,400</w:t>
            </w: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18,019,000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17,051,000</w:t>
            </w:r>
          </w:p>
        </w:tc>
        <w:tc>
          <w:tcPr>
            <w:tcW w:w="80" w:type="dxa"/>
            <w:vAlign w:val="bottom"/>
            <w:tcBorders>
              <w:bottom w:val="single" w:sz="8" w:color="auto"/>
            </w:tcBorders>
            <w:shd w:val="clear" w:color="auto" w:fill="FFFF99"/>
          </w:tcPr>
          <w:p>
            <w:pPr>
              <w:spacing w:after="0"/>
              <w:rPr>
                <w:sz w:val="9"/>
                <w:szCs w:val="9"/>
                <w:color w:val="auto"/>
              </w:rPr>
            </w:pPr>
          </w:p>
        </w:tc>
        <w:tc>
          <w:tcPr>
            <w:tcW w:w="7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968,000</w:t>
            </w:r>
          </w:p>
        </w:tc>
        <w:tc>
          <w:tcPr>
            <w:tcW w:w="6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5,084,604</w:t>
            </w:r>
          </w:p>
        </w:tc>
        <w:tc>
          <w:tcPr>
            <w:tcW w:w="60" w:type="dxa"/>
            <w:vAlign w:val="bottom"/>
            <w:tcBorders>
              <w:bottom w:val="single" w:sz="8" w:color="auto"/>
            </w:tcBorders>
            <w:shd w:val="clear" w:color="auto" w:fill="FFFF99"/>
          </w:tcPr>
          <w:p>
            <w:pPr>
              <w:spacing w:after="0"/>
              <w:rPr>
                <w:sz w:val="9"/>
                <w:szCs w:val="9"/>
                <w:color w:val="auto"/>
              </w:rPr>
            </w:pPr>
          </w:p>
        </w:tc>
        <w:tc>
          <w:tcPr>
            <w:tcW w:w="29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8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New York Retail:</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20" w:type="dxa"/>
            <w:vAlign w:val="bottom"/>
            <w:tcBorders>
              <w:bottom w:val="single" w:sz="8" w:color="auto"/>
            </w:tcBorders>
            <w:shd w:val="clear" w:color="auto" w:fill="FFFF99"/>
          </w:tcPr>
          <w:p>
            <w:pPr>
              <w:spacing w:after="0"/>
              <w:rPr>
                <w:sz w:val="9"/>
                <w:szCs w:val="9"/>
                <w:color w:val="auto"/>
              </w:rPr>
            </w:pPr>
          </w:p>
        </w:tc>
        <w:tc>
          <w:tcPr>
            <w:tcW w:w="1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2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72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spacing w:after="0"/>
              <w:rPr>
                <w:sz w:val="9"/>
                <w:szCs w:val="9"/>
                <w:color w:val="auto"/>
              </w:rPr>
            </w:pPr>
          </w:p>
        </w:tc>
        <w:tc>
          <w:tcPr>
            <w:tcW w:w="29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80" w:type="dxa"/>
            <w:vAlign w:val="bottom"/>
            <w:tcBorders>
              <w:left w:val="single" w:sz="8" w:color="auto"/>
              <w:bottom w:val="single" w:sz="8" w:color="auto"/>
            </w:tcBorders>
            <w:shd w:val="clear" w:color="auto" w:fill="FFFF99"/>
          </w:tcPr>
          <w:p>
            <w:pPr>
              <w:ind w:left="280"/>
              <w:spacing w:after="0"/>
              <w:rPr>
                <w:sz w:val="20"/>
                <w:szCs w:val="20"/>
                <w:color w:val="auto"/>
              </w:rPr>
            </w:pPr>
            <w:r>
              <w:rPr>
                <w:rFonts w:ascii="Arial" w:cs="Arial" w:eastAsia="Arial" w:hAnsi="Arial"/>
                <w:sz w:val="9"/>
                <w:szCs w:val="9"/>
                <w:b w:val="1"/>
                <w:bCs w:val="1"/>
                <w:color w:val="auto"/>
              </w:rPr>
              <w:t>Total</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77.5 %</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272.63</w:t>
            </w:r>
          </w:p>
        </w:tc>
        <w:tc>
          <w:tcPr>
            <w:tcW w:w="1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391,000</w:t>
            </w: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2,291,000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2,034,000</w:t>
            </w:r>
          </w:p>
        </w:tc>
        <w:tc>
          <w:tcPr>
            <w:tcW w:w="80" w:type="dxa"/>
            <w:vAlign w:val="bottom"/>
            <w:tcBorders>
              <w:bottom w:val="single" w:sz="8" w:color="auto"/>
            </w:tcBorders>
            <w:shd w:val="clear" w:color="auto" w:fill="FFFF99"/>
          </w:tcPr>
          <w:p>
            <w:pPr>
              <w:spacing w:after="0"/>
              <w:rPr>
                <w:sz w:val="9"/>
                <w:szCs w:val="9"/>
                <w:color w:val="auto"/>
              </w:rPr>
            </w:pPr>
          </w:p>
        </w:tc>
        <w:tc>
          <w:tcPr>
            <w:tcW w:w="7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257,000</w:t>
            </w:r>
          </w:p>
        </w:tc>
        <w:tc>
          <w:tcPr>
            <w:tcW w:w="6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1,459,391</w:t>
            </w:r>
          </w:p>
        </w:tc>
        <w:tc>
          <w:tcPr>
            <w:tcW w:w="60" w:type="dxa"/>
            <w:vAlign w:val="bottom"/>
            <w:tcBorders>
              <w:bottom w:val="single" w:sz="8" w:color="auto"/>
            </w:tcBorders>
            <w:shd w:val="clear" w:color="auto" w:fill="FFFF99"/>
          </w:tcPr>
          <w:p>
            <w:pPr>
              <w:spacing w:after="0"/>
              <w:rPr>
                <w:sz w:val="9"/>
                <w:szCs w:val="9"/>
                <w:color w:val="auto"/>
              </w:rPr>
            </w:pPr>
          </w:p>
        </w:tc>
        <w:tc>
          <w:tcPr>
            <w:tcW w:w="29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80" w:type="dxa"/>
            <w:vAlign w:val="bottom"/>
            <w:tcBorders>
              <w:left w:val="single" w:sz="8" w:color="auto"/>
              <w:bottom w:val="single" w:sz="8" w:color="auto"/>
            </w:tcBorders>
            <w:shd w:val="clear" w:color="auto" w:fill="FFFF99"/>
          </w:tcPr>
          <w:p>
            <w:pPr>
              <w:ind w:left="280"/>
              <w:spacing w:after="0"/>
              <w:rPr>
                <w:sz w:val="20"/>
                <w:szCs w:val="20"/>
                <w:color w:val="auto"/>
              </w:rPr>
            </w:pPr>
            <w:r>
              <w:rPr>
                <w:rFonts w:ascii="Arial" w:cs="Arial" w:eastAsia="Arial" w:hAnsi="Arial"/>
                <w:sz w:val="9"/>
                <w:szCs w:val="9"/>
                <w:b w:val="1"/>
                <w:bCs w:val="1"/>
                <w:color w:val="auto"/>
              </w:rPr>
              <w:t>Vornado's Ownership Interest</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78.4 %</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232.41</w:t>
            </w:r>
          </w:p>
        </w:tc>
        <w:tc>
          <w:tcPr>
            <w:tcW w:w="1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275,700</w:t>
            </w: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1,919,000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1,662,000</w:t>
            </w:r>
          </w:p>
        </w:tc>
        <w:tc>
          <w:tcPr>
            <w:tcW w:w="80" w:type="dxa"/>
            <w:vAlign w:val="bottom"/>
            <w:tcBorders>
              <w:bottom w:val="single" w:sz="8" w:color="auto"/>
            </w:tcBorders>
            <w:shd w:val="clear" w:color="auto" w:fill="FFFF99"/>
          </w:tcPr>
          <w:p>
            <w:pPr>
              <w:spacing w:after="0"/>
              <w:rPr>
                <w:sz w:val="9"/>
                <w:szCs w:val="9"/>
                <w:color w:val="auto"/>
              </w:rPr>
            </w:pPr>
          </w:p>
        </w:tc>
        <w:tc>
          <w:tcPr>
            <w:tcW w:w="7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257,000</w:t>
            </w:r>
          </w:p>
        </w:tc>
        <w:tc>
          <w:tcPr>
            <w:tcW w:w="6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862,780</w:t>
            </w:r>
          </w:p>
        </w:tc>
        <w:tc>
          <w:tcPr>
            <w:tcW w:w="60" w:type="dxa"/>
            <w:vAlign w:val="bottom"/>
            <w:tcBorders>
              <w:bottom w:val="single" w:sz="8" w:color="auto"/>
            </w:tcBorders>
            <w:shd w:val="clear" w:color="auto" w:fill="FFFF99"/>
          </w:tcPr>
          <w:p>
            <w:pPr>
              <w:spacing w:after="0"/>
              <w:rPr>
                <w:sz w:val="9"/>
                <w:szCs w:val="9"/>
                <w:color w:val="auto"/>
              </w:rPr>
            </w:pPr>
          </w:p>
        </w:tc>
        <w:tc>
          <w:tcPr>
            <w:tcW w:w="29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8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New York Residential:</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20" w:type="dxa"/>
            <w:vAlign w:val="bottom"/>
            <w:tcBorders>
              <w:bottom w:val="single" w:sz="8" w:color="auto"/>
            </w:tcBorders>
            <w:shd w:val="clear" w:color="auto" w:fill="FFFF99"/>
          </w:tcPr>
          <w:p>
            <w:pPr>
              <w:spacing w:after="0"/>
              <w:rPr>
                <w:sz w:val="9"/>
                <w:szCs w:val="9"/>
                <w:color w:val="auto"/>
              </w:rPr>
            </w:pPr>
          </w:p>
        </w:tc>
        <w:tc>
          <w:tcPr>
            <w:tcW w:w="1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2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72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spacing w:after="0"/>
              <w:rPr>
                <w:sz w:val="9"/>
                <w:szCs w:val="9"/>
                <w:color w:val="auto"/>
              </w:rPr>
            </w:pPr>
          </w:p>
        </w:tc>
        <w:tc>
          <w:tcPr>
            <w:tcW w:w="29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80" w:type="dxa"/>
            <w:vAlign w:val="bottom"/>
            <w:tcBorders>
              <w:left w:val="single" w:sz="8" w:color="auto"/>
              <w:bottom w:val="single" w:sz="8" w:color="auto"/>
            </w:tcBorders>
            <w:shd w:val="clear" w:color="auto" w:fill="FFFF99"/>
          </w:tcPr>
          <w:p>
            <w:pPr>
              <w:ind w:left="280"/>
              <w:spacing w:after="0"/>
              <w:rPr>
                <w:sz w:val="20"/>
                <w:szCs w:val="20"/>
                <w:color w:val="auto"/>
              </w:rPr>
            </w:pPr>
            <w:r>
              <w:rPr>
                <w:rFonts w:ascii="Arial" w:cs="Arial" w:eastAsia="Arial" w:hAnsi="Arial"/>
                <w:sz w:val="9"/>
                <w:szCs w:val="9"/>
                <w:b w:val="1"/>
                <w:bCs w:val="1"/>
                <w:color w:val="auto"/>
              </w:rPr>
              <w:t>Total</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97.9 %</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20" w:type="dxa"/>
            <w:vAlign w:val="bottom"/>
            <w:tcBorders>
              <w:bottom w:val="single" w:sz="8" w:color="auto"/>
            </w:tcBorders>
            <w:shd w:val="clear" w:color="auto" w:fill="FFFF99"/>
          </w:tcPr>
          <w:p>
            <w:pPr>
              <w:spacing w:after="0"/>
              <w:rPr>
                <w:sz w:val="9"/>
                <w:szCs w:val="9"/>
                <w:color w:val="auto"/>
              </w:rPr>
            </w:pPr>
          </w:p>
        </w:tc>
        <w:tc>
          <w:tcPr>
            <w:tcW w:w="1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2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1,186,000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1,186,000</w:t>
            </w:r>
          </w:p>
        </w:tc>
        <w:tc>
          <w:tcPr>
            <w:tcW w:w="80" w:type="dxa"/>
            <w:vAlign w:val="bottom"/>
            <w:tcBorders>
              <w:bottom w:val="single" w:sz="8" w:color="auto"/>
            </w:tcBorders>
            <w:shd w:val="clear" w:color="auto" w:fill="FFFF99"/>
          </w:tcPr>
          <w:p>
            <w:pPr>
              <w:spacing w:after="0"/>
              <w:rPr>
                <w:sz w:val="9"/>
                <w:szCs w:val="9"/>
                <w:color w:val="auto"/>
              </w:rPr>
            </w:pPr>
          </w:p>
        </w:tc>
        <w:tc>
          <w:tcPr>
            <w:tcW w:w="780" w:type="dxa"/>
            <w:vAlign w:val="bottom"/>
            <w:tcBorders>
              <w:bottom w:val="single" w:sz="8" w:color="auto"/>
            </w:tcBorders>
            <w:gridSpan w:val="2"/>
            <w:shd w:val="clear" w:color="auto" w:fill="FFFF99"/>
          </w:tcPr>
          <w:p>
            <w:pPr>
              <w:jc w:val="right"/>
              <w:ind w:right="120"/>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675,000</w:t>
            </w:r>
          </w:p>
        </w:tc>
        <w:tc>
          <w:tcPr>
            <w:tcW w:w="60" w:type="dxa"/>
            <w:vAlign w:val="bottom"/>
            <w:tcBorders>
              <w:bottom w:val="single" w:sz="8" w:color="auto"/>
            </w:tcBorders>
            <w:shd w:val="clear" w:color="auto" w:fill="FFFF99"/>
          </w:tcPr>
          <w:p>
            <w:pPr>
              <w:spacing w:after="0"/>
              <w:rPr>
                <w:sz w:val="9"/>
                <w:szCs w:val="9"/>
                <w:color w:val="auto"/>
              </w:rPr>
            </w:pPr>
          </w:p>
        </w:tc>
        <w:tc>
          <w:tcPr>
            <w:tcW w:w="29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80" w:type="dxa"/>
            <w:vAlign w:val="bottom"/>
            <w:tcBorders>
              <w:left w:val="single" w:sz="8" w:color="auto"/>
              <w:bottom w:val="single" w:sz="8" w:color="auto"/>
            </w:tcBorders>
            <w:shd w:val="clear" w:color="auto" w:fill="FFFF99"/>
          </w:tcPr>
          <w:p>
            <w:pPr>
              <w:ind w:left="280"/>
              <w:spacing w:after="0"/>
              <w:rPr>
                <w:sz w:val="20"/>
                <w:szCs w:val="20"/>
                <w:color w:val="auto"/>
              </w:rPr>
            </w:pPr>
            <w:r>
              <w:rPr>
                <w:rFonts w:ascii="Arial" w:cs="Arial" w:eastAsia="Arial" w:hAnsi="Arial"/>
                <w:sz w:val="9"/>
                <w:szCs w:val="9"/>
                <w:b w:val="1"/>
                <w:bCs w:val="1"/>
                <w:color w:val="auto"/>
              </w:rPr>
              <w:t>Vornado's Ownership Interest</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97.8 %</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20" w:type="dxa"/>
            <w:vAlign w:val="bottom"/>
            <w:tcBorders>
              <w:bottom w:val="single" w:sz="8" w:color="auto"/>
            </w:tcBorders>
            <w:shd w:val="clear" w:color="auto" w:fill="FFFF99"/>
          </w:tcPr>
          <w:p>
            <w:pPr>
              <w:spacing w:after="0"/>
              <w:rPr>
                <w:sz w:val="9"/>
                <w:szCs w:val="9"/>
                <w:color w:val="auto"/>
              </w:rPr>
            </w:pPr>
          </w:p>
        </w:tc>
        <w:tc>
          <w:tcPr>
            <w:tcW w:w="1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2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594,000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594,000</w:t>
            </w:r>
          </w:p>
        </w:tc>
        <w:tc>
          <w:tcPr>
            <w:tcW w:w="80" w:type="dxa"/>
            <w:vAlign w:val="bottom"/>
            <w:tcBorders>
              <w:bottom w:val="single" w:sz="8" w:color="auto"/>
            </w:tcBorders>
            <w:shd w:val="clear" w:color="auto" w:fill="FFFF99"/>
          </w:tcPr>
          <w:p>
            <w:pPr>
              <w:spacing w:after="0"/>
              <w:rPr>
                <w:sz w:val="9"/>
                <w:szCs w:val="9"/>
                <w:color w:val="auto"/>
              </w:rPr>
            </w:pPr>
          </w:p>
        </w:tc>
        <w:tc>
          <w:tcPr>
            <w:tcW w:w="780" w:type="dxa"/>
            <w:vAlign w:val="bottom"/>
            <w:tcBorders>
              <w:bottom w:val="single" w:sz="8" w:color="auto"/>
            </w:tcBorders>
            <w:gridSpan w:val="2"/>
            <w:shd w:val="clear" w:color="auto" w:fill="FFFF99"/>
          </w:tcPr>
          <w:p>
            <w:pPr>
              <w:jc w:val="right"/>
              <w:ind w:right="120"/>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338,175</w:t>
            </w:r>
          </w:p>
        </w:tc>
        <w:tc>
          <w:tcPr>
            <w:tcW w:w="60" w:type="dxa"/>
            <w:vAlign w:val="bottom"/>
            <w:tcBorders>
              <w:bottom w:val="single" w:sz="8" w:color="auto"/>
            </w:tcBorders>
            <w:shd w:val="clear" w:color="auto" w:fill="FFFF99"/>
          </w:tcPr>
          <w:p>
            <w:pPr>
              <w:spacing w:after="0"/>
              <w:rPr>
                <w:sz w:val="9"/>
                <w:szCs w:val="9"/>
                <w:color w:val="auto"/>
              </w:rPr>
            </w:pPr>
          </w:p>
        </w:tc>
        <w:tc>
          <w:tcPr>
            <w:tcW w:w="29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- 40 -</w:t>
      </w:r>
    </w:p>
    <w:p>
      <w:pPr>
        <w:sectPr>
          <w:pgSz w:w="11900" w:h="16838" w:orient="portrait"/>
          <w:cols w:equalWidth="0" w:num="1">
            <w:col w:w="11300"/>
          </w:cols>
          <w:pgMar w:left="300" w:top="988" w:right="29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NEW YORK SEGMENT - ALEXANDER’S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602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120"/>
        </w:trPr>
        <w:tc>
          <w:tcPr>
            <w:tcW w:w="2260" w:type="dxa"/>
            <w:vAlign w:val="bottom"/>
          </w:tcPr>
          <w:p>
            <w:pPr>
              <w:ind w:left="20"/>
              <w:spacing w:after="0"/>
              <w:rPr>
                <w:sz w:val="20"/>
                <w:szCs w:val="20"/>
                <w:color w:val="auto"/>
              </w:rPr>
            </w:pPr>
            <w:r>
              <w:rPr>
                <w:rFonts w:ascii="Arial" w:cs="Arial" w:eastAsia="Arial" w:hAnsi="Arial"/>
                <w:sz w:val="9"/>
                <w:szCs w:val="9"/>
                <w:color w:val="auto"/>
              </w:rPr>
              <w:t>(Annualized escalated rent amounts in thousands)</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9"/>
                <w:szCs w:val="9"/>
                <w:b w:val="1"/>
                <w:bCs w:val="1"/>
                <w:color w:val="auto"/>
                <w:w w:val="96"/>
              </w:rPr>
              <w:t>Square Feet</w:t>
            </w: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3"/>
              </w:rPr>
              <w:t>Weighted</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9"/>
              </w:rPr>
              <w:t>Under</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160"/>
              <w:spacing w:after="0" w:line="86" w:lineRule="exact"/>
              <w:rPr>
                <w:sz w:val="20"/>
                <w:szCs w:val="20"/>
                <w:color w:val="auto"/>
              </w:rPr>
            </w:pPr>
            <w:r>
              <w:rPr>
                <w:rFonts w:ascii="Arial" w:cs="Arial" w:eastAsia="Arial" w:hAnsi="Arial"/>
                <w:sz w:val="9"/>
                <w:szCs w:val="9"/>
                <w:b w:val="1"/>
                <w:bCs w:val="1"/>
                <w:color w:val="auto"/>
                <w:w w:val="95"/>
              </w:rPr>
              <w:t>Average</w:t>
            </w:r>
          </w:p>
        </w:tc>
        <w:tc>
          <w:tcPr>
            <w:tcW w:w="80" w:type="dxa"/>
            <w:vAlign w:val="bottom"/>
          </w:tcPr>
          <w:p>
            <w:pPr>
              <w:spacing w:after="0"/>
              <w:rPr>
                <w:sz w:val="7"/>
                <w:szCs w:val="7"/>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5"/>
              </w:rPr>
              <w:t>Annualized</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6"/>
              </w:rPr>
              <w:t>Encumbrances</w:t>
            </w:r>
          </w:p>
        </w:tc>
        <w:tc>
          <w:tcPr>
            <w:tcW w:w="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740" w:type="dxa"/>
            <w:vAlign w:val="bottom"/>
            <w:gridSpan w:val="2"/>
            <w:vMerge w:val="restart"/>
          </w:tcPr>
          <w:p>
            <w:pPr>
              <w:jc w:val="right"/>
              <w:ind w:right="257"/>
              <w:spacing w:after="0"/>
              <w:rPr>
                <w:sz w:val="20"/>
                <w:szCs w:val="20"/>
                <w:color w:val="auto"/>
              </w:rPr>
            </w:pPr>
            <w:r>
              <w:rPr>
                <w:rFonts w:ascii="Arial" w:cs="Arial" w:eastAsia="Arial" w:hAnsi="Arial"/>
                <w:sz w:val="9"/>
                <w:szCs w:val="9"/>
                <w:b w:val="1"/>
                <w:bCs w:val="1"/>
                <w:color w:val="auto"/>
              </w:rPr>
              <w:t>%</w:t>
            </w:r>
          </w:p>
        </w:tc>
        <w:tc>
          <w:tcPr>
            <w:tcW w:w="760" w:type="dxa"/>
            <w:vAlign w:val="bottom"/>
            <w:gridSpan w:val="2"/>
            <w:vMerge w:val="restart"/>
          </w:tcPr>
          <w:p>
            <w:pPr>
              <w:jc w:val="right"/>
              <w:ind w:right="257"/>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180"/>
              <w:spacing w:after="0" w:line="86" w:lineRule="exact"/>
              <w:rPr>
                <w:sz w:val="20"/>
                <w:szCs w:val="20"/>
                <w:color w:val="auto"/>
              </w:rPr>
            </w:pPr>
            <w:r>
              <w:rPr>
                <w:rFonts w:ascii="Arial" w:cs="Arial" w:eastAsia="Arial" w:hAnsi="Arial"/>
                <w:sz w:val="9"/>
                <w:szCs w:val="9"/>
                <w:b w:val="1"/>
                <w:bCs w:val="1"/>
                <w:color w:val="auto"/>
                <w:w w:val="95"/>
              </w:rPr>
              <w:t>Escalated</w:t>
            </w: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2"/>
              </w:rPr>
              <w:t>Total</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80"/>
              <w:spacing w:after="0" w:line="86" w:lineRule="exact"/>
              <w:rPr>
                <w:sz w:val="20"/>
                <w:szCs w:val="20"/>
                <w:color w:val="auto"/>
              </w:rPr>
            </w:pPr>
            <w:r>
              <w:rPr>
                <w:rFonts w:ascii="Arial" w:cs="Arial" w:eastAsia="Arial" w:hAnsi="Arial"/>
                <w:sz w:val="9"/>
                <w:szCs w:val="9"/>
                <w:b w:val="1"/>
                <w:bCs w:val="1"/>
                <w:color w:val="auto"/>
                <w:w w:val="95"/>
              </w:rPr>
              <w:t>Development</w:t>
            </w: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60" w:type="dxa"/>
            <w:vAlign w:val="bottom"/>
            <w:vMerge w:val="restart"/>
          </w:tcPr>
          <w:p>
            <w:pPr>
              <w:ind w:left="960"/>
              <w:spacing w:after="0"/>
              <w:rPr>
                <w:sz w:val="20"/>
                <w:szCs w:val="20"/>
                <w:color w:val="auto"/>
              </w:rPr>
            </w:pPr>
            <w:r>
              <w:rPr>
                <w:rFonts w:ascii="Arial" w:cs="Arial" w:eastAsia="Arial" w:hAnsi="Arial"/>
                <w:sz w:val="9"/>
                <w:szCs w:val="9"/>
                <w:b w:val="1"/>
                <w:bCs w:val="1"/>
                <w:color w:val="auto"/>
              </w:rPr>
              <w:t>Property</w:t>
            </w:r>
          </w:p>
        </w:tc>
        <w:tc>
          <w:tcPr>
            <w:tcW w:w="7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160"/>
              <w:spacing w:after="0" w:line="86" w:lineRule="exact"/>
              <w:rPr>
                <w:sz w:val="20"/>
                <w:szCs w:val="20"/>
                <w:color w:val="auto"/>
              </w:rPr>
            </w:pPr>
            <w:r>
              <w:rPr>
                <w:rFonts w:ascii="Arial" w:cs="Arial" w:eastAsia="Arial" w:hAnsi="Arial"/>
                <w:sz w:val="9"/>
                <w:szCs w:val="9"/>
                <w:b w:val="1"/>
                <w:bCs w:val="1"/>
                <w:color w:val="auto"/>
                <w:w w:val="94"/>
              </w:rPr>
              <w:t>Annual Rent</w:t>
            </w:r>
          </w:p>
        </w:tc>
        <w:tc>
          <w:tcPr>
            <w:tcW w:w="80" w:type="dxa"/>
            <w:vAlign w:val="bottom"/>
          </w:tcPr>
          <w:p>
            <w:pPr>
              <w:spacing w:after="0"/>
              <w:rPr>
                <w:sz w:val="7"/>
                <w:szCs w:val="7"/>
                <w:color w:val="auto"/>
              </w:rPr>
            </w:pPr>
          </w:p>
        </w:tc>
        <w:tc>
          <w:tcPr>
            <w:tcW w:w="680" w:type="dxa"/>
            <w:vAlign w:val="bottom"/>
            <w:gridSpan w:val="2"/>
          </w:tcPr>
          <w:p>
            <w:pPr>
              <w:jc w:val="center"/>
              <w:ind w:right="160"/>
              <w:spacing w:after="0" w:line="86" w:lineRule="exact"/>
              <w:rPr>
                <w:sz w:val="20"/>
                <w:szCs w:val="20"/>
                <w:color w:val="auto"/>
              </w:rPr>
            </w:pPr>
            <w:r>
              <w:rPr>
                <w:rFonts w:ascii="Arial" w:cs="Arial" w:eastAsia="Arial" w:hAnsi="Arial"/>
                <w:sz w:val="9"/>
                <w:szCs w:val="9"/>
                <w:b w:val="1"/>
                <w:bCs w:val="1"/>
                <w:color w:val="auto"/>
                <w:w w:val="95"/>
              </w:rPr>
              <w:t>Escalated</w:t>
            </w:r>
          </w:p>
        </w:tc>
        <w:tc>
          <w:tcPr>
            <w:tcW w:w="78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8"/>
              </w:rPr>
              <w:t>In Service</w:t>
            </w:r>
          </w:p>
        </w:tc>
        <w:tc>
          <w:tcPr>
            <w:tcW w:w="780" w:type="dxa"/>
            <w:vAlign w:val="bottom"/>
            <w:gridSpan w:val="2"/>
          </w:tcPr>
          <w:p>
            <w:pPr>
              <w:jc w:val="center"/>
              <w:ind w:right="80"/>
              <w:spacing w:after="0" w:line="86" w:lineRule="exact"/>
              <w:rPr>
                <w:sz w:val="20"/>
                <w:szCs w:val="20"/>
                <w:color w:val="auto"/>
              </w:rPr>
            </w:pPr>
            <w:r>
              <w:rPr>
                <w:rFonts w:ascii="Arial" w:cs="Arial" w:eastAsia="Arial" w:hAnsi="Arial"/>
                <w:sz w:val="9"/>
                <w:szCs w:val="9"/>
                <w:b w:val="1"/>
                <w:bCs w:val="1"/>
                <w:color w:val="auto"/>
                <w:w w:val="96"/>
              </w:rPr>
              <w:t>or Not Available</w:t>
            </w:r>
          </w:p>
        </w:tc>
        <w:tc>
          <w:tcPr>
            <w:tcW w:w="60" w:type="dxa"/>
            <w:vAlign w:val="bottom"/>
          </w:tcPr>
          <w:p>
            <w:pPr>
              <w:spacing w:after="0"/>
              <w:rPr>
                <w:sz w:val="7"/>
                <w:szCs w:val="7"/>
                <w:color w:val="auto"/>
              </w:rPr>
            </w:pPr>
          </w:p>
        </w:tc>
        <w:tc>
          <w:tcPr>
            <w:tcW w:w="700" w:type="dxa"/>
            <w:vAlign w:val="bottom"/>
          </w:tcPr>
          <w:p>
            <w:pPr>
              <w:jc w:val="center"/>
              <w:ind w:right="17"/>
              <w:spacing w:after="0" w:line="86" w:lineRule="exact"/>
              <w:rPr>
                <w:sz w:val="20"/>
                <w:szCs w:val="20"/>
                <w:color w:val="auto"/>
              </w:rPr>
            </w:pPr>
            <w:r>
              <w:rPr>
                <w:rFonts w:ascii="Arial" w:cs="Arial" w:eastAsia="Arial" w:hAnsi="Arial"/>
                <w:sz w:val="9"/>
                <w:szCs w:val="9"/>
                <w:b w:val="1"/>
                <w:bCs w:val="1"/>
                <w:color w:val="auto"/>
                <w:w w:val="93"/>
              </w:rPr>
              <w:t>(non-GAAP)</w:t>
            </w:r>
          </w:p>
        </w:tc>
        <w:tc>
          <w:tcPr>
            <w:tcW w:w="80" w:type="dxa"/>
            <w:vAlign w:val="bottom"/>
          </w:tcPr>
          <w:p>
            <w:pPr>
              <w:spacing w:after="0"/>
              <w:rPr>
                <w:sz w:val="7"/>
                <w:szCs w:val="7"/>
                <w:color w:val="auto"/>
              </w:rPr>
            </w:pPr>
          </w:p>
        </w:tc>
        <w:tc>
          <w:tcPr>
            <w:tcW w:w="2720" w:type="dxa"/>
            <w:vAlign w:val="bottom"/>
            <w:vMerge w:val="restart"/>
          </w:tcPr>
          <w:p>
            <w:pPr>
              <w:ind w:left="1080"/>
              <w:spacing w:after="0"/>
              <w:rPr>
                <w:sz w:val="20"/>
                <w:szCs w:val="20"/>
                <w:color w:val="auto"/>
              </w:rPr>
            </w:pPr>
            <w:r>
              <w:rPr>
                <w:rFonts w:ascii="Arial" w:cs="Arial" w:eastAsia="Arial" w:hAnsi="Arial"/>
                <w:sz w:val="9"/>
                <w:szCs w:val="9"/>
                <w:b w:val="1"/>
                <w:bCs w:val="1"/>
                <w:color w:val="auto"/>
              </w:rPr>
              <w:t>Major Tenants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57"/>
              <w:spacing w:after="0"/>
              <w:rPr>
                <w:sz w:val="20"/>
                <w:szCs w:val="20"/>
                <w:color w:val="auto"/>
              </w:rPr>
            </w:pPr>
            <w:r>
              <w:rPr>
                <w:rFonts w:ascii="Arial" w:cs="Arial" w:eastAsia="Arial" w:hAnsi="Arial"/>
                <w:sz w:val="9"/>
                <w:szCs w:val="9"/>
                <w:b w:val="1"/>
                <w:bCs w:val="1"/>
                <w:color w:val="auto"/>
              </w:rPr>
              <w:t>Ownership</w:t>
            </w:r>
          </w:p>
        </w:tc>
        <w:tc>
          <w:tcPr>
            <w:tcW w:w="8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9"/>
                <w:szCs w:val="9"/>
                <w:b w:val="1"/>
                <w:bCs w:val="1"/>
                <w:color w:val="auto"/>
              </w:rPr>
              <w:t>Occupancy</w:t>
            </w:r>
          </w:p>
        </w:tc>
        <w:tc>
          <w:tcPr>
            <w:tcW w:w="8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0"/>
              </w:rPr>
              <w:t>PSF</w:t>
            </w:r>
            <w:r>
              <w:rPr>
                <w:rFonts w:ascii="Arial" w:cs="Arial" w:eastAsia="Arial" w:hAnsi="Arial"/>
                <w:sz w:val="11"/>
                <w:szCs w:val="11"/>
                <w:b w:val="1"/>
                <w:bCs w:val="1"/>
                <w:color w:val="auto"/>
                <w:w w:val="90"/>
                <w:vertAlign w:val="superscript"/>
              </w:rPr>
              <w:t>(1)</w:t>
            </w: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9"/>
              </w:rPr>
              <w:t>Rent</w:t>
            </w:r>
            <w:r>
              <w:rPr>
                <w:rFonts w:ascii="Arial" w:cs="Arial" w:eastAsia="Arial" w:hAnsi="Arial"/>
                <w:sz w:val="11"/>
                <w:szCs w:val="11"/>
                <w:b w:val="1"/>
                <w:bCs w:val="1"/>
                <w:color w:val="auto"/>
                <w:w w:val="89"/>
                <w:vertAlign w:val="superscript"/>
              </w:rPr>
              <w:t>(2)</w:t>
            </w:r>
          </w:p>
        </w:tc>
        <w:tc>
          <w:tcPr>
            <w:tcW w:w="78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7"/>
              </w:rPr>
              <w:t>Property</w:t>
            </w:r>
          </w:p>
        </w:tc>
        <w:tc>
          <w:tcPr>
            <w:tcW w:w="780" w:type="dxa"/>
            <w:vAlign w:val="bottom"/>
            <w:gridSpan w:val="2"/>
            <w:vMerge w:val="continue"/>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4"/>
              </w:rPr>
              <w:t>for Lease</w:t>
            </w:r>
          </w:p>
        </w:tc>
        <w:tc>
          <w:tcPr>
            <w:tcW w:w="760" w:type="dxa"/>
            <w:vAlign w:val="bottom"/>
            <w:gridSpan w:val="2"/>
          </w:tcPr>
          <w:p>
            <w:pPr>
              <w:jc w:val="center"/>
              <w:spacing w:after="0"/>
              <w:rPr>
                <w:sz w:val="20"/>
                <w:szCs w:val="20"/>
                <w:color w:val="auto"/>
              </w:rPr>
            </w:pPr>
            <w:r>
              <w:rPr>
                <w:rFonts w:ascii="Arial" w:cs="Arial" w:eastAsia="Arial" w:hAnsi="Arial"/>
                <w:sz w:val="9"/>
                <w:szCs w:val="9"/>
                <w:b w:val="1"/>
                <w:bCs w:val="1"/>
                <w:color w:val="auto"/>
                <w:w w:val="92"/>
              </w:rPr>
              <w:t>(in thousands)</w:t>
            </w:r>
            <w:r>
              <w:rPr>
                <w:rFonts w:ascii="Arial" w:cs="Arial" w:eastAsia="Arial" w:hAnsi="Arial"/>
                <w:sz w:val="11"/>
                <w:szCs w:val="11"/>
                <w:b w:val="1"/>
                <w:bCs w:val="1"/>
                <w:color w:val="auto"/>
                <w:w w:val="92"/>
                <w:vertAlign w:val="superscript"/>
              </w:rPr>
              <w:t>(3)</w:t>
            </w:r>
          </w:p>
        </w:tc>
        <w:tc>
          <w:tcPr>
            <w:tcW w:w="8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9"/>
                <w:szCs w:val="9"/>
                <w:b w:val="1"/>
                <w:bCs w:val="1"/>
                <w:color w:val="auto"/>
              </w:rPr>
              <w:t>NEW YORK (Continued):</w:t>
            </w: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rPr>
              <w:t>ALEXANDER'S, INC.:</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60" w:type="dxa"/>
            <w:vAlign w:val="bottom"/>
          </w:tcPr>
          <w:p>
            <w:pPr>
              <w:ind w:left="20"/>
              <w:spacing w:after="0"/>
              <w:rPr>
                <w:sz w:val="20"/>
                <w:szCs w:val="20"/>
                <w:color w:val="auto"/>
              </w:rPr>
            </w:pPr>
            <w:r>
              <w:rPr>
                <w:rFonts w:ascii="Arial" w:cs="Arial" w:eastAsia="Arial" w:hAnsi="Arial"/>
                <w:sz w:val="9"/>
                <w:szCs w:val="9"/>
                <w:color w:val="auto"/>
              </w:rPr>
              <w:t>731 Lexington Avenue, Manhattan</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60" w:type="dxa"/>
            <w:vAlign w:val="bottom"/>
          </w:tcPr>
          <w:p>
            <w:pPr>
              <w:ind w:left="540"/>
              <w:spacing w:after="0"/>
              <w:rPr>
                <w:sz w:val="20"/>
                <w:szCs w:val="20"/>
                <w:color w:val="auto"/>
              </w:rPr>
            </w:pPr>
            <w:r>
              <w:rPr>
                <w:rFonts w:ascii="Arial" w:cs="Arial" w:eastAsia="Arial" w:hAnsi="Arial"/>
                <w:sz w:val="9"/>
                <w:szCs w:val="9"/>
                <w:color w:val="auto"/>
              </w:rPr>
              <w:t>-Office</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32.4 %</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149.39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952,000</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952,000</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9"/>
                <w:szCs w:val="9"/>
                <w:color w:val="auto"/>
              </w:rPr>
              <w:t>400,000</w:t>
            </w:r>
          </w:p>
        </w:tc>
        <w:tc>
          <w:tcPr>
            <w:tcW w:w="80" w:type="dxa"/>
            <w:vAlign w:val="bottom"/>
          </w:tcPr>
          <w:p>
            <w:pPr>
              <w:spacing w:after="0"/>
              <w:rPr>
                <w:sz w:val="11"/>
                <w:szCs w:val="11"/>
                <w:color w:val="auto"/>
              </w:rPr>
            </w:pPr>
          </w:p>
        </w:tc>
        <w:tc>
          <w:tcPr>
            <w:tcW w:w="2720" w:type="dxa"/>
            <w:vAlign w:val="bottom"/>
          </w:tcPr>
          <w:p>
            <w:pPr>
              <w:ind w:left="20"/>
              <w:spacing w:after="0"/>
              <w:rPr>
                <w:sz w:val="20"/>
                <w:szCs w:val="20"/>
                <w:color w:val="auto"/>
              </w:rPr>
            </w:pPr>
            <w:r>
              <w:rPr>
                <w:rFonts w:ascii="Arial" w:cs="Arial" w:eastAsia="Arial" w:hAnsi="Arial"/>
                <w:sz w:val="9"/>
                <w:szCs w:val="9"/>
                <w:color w:val="auto"/>
              </w:rPr>
              <w:t>Bloomberg L.P.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60" w:type="dxa"/>
            <w:vAlign w:val="bottom"/>
          </w:tcPr>
          <w:p>
            <w:pPr>
              <w:ind w:left="540"/>
              <w:spacing w:after="0"/>
              <w:rPr>
                <w:sz w:val="20"/>
                <w:szCs w:val="20"/>
                <w:color w:val="auto"/>
              </w:rPr>
            </w:pPr>
            <w:r>
              <w:rPr>
                <w:rFonts w:ascii="Arial" w:cs="Arial" w:eastAsia="Arial" w:hAnsi="Arial"/>
                <w:sz w:val="9"/>
                <w:szCs w:val="9"/>
                <w:color w:val="auto"/>
              </w:rPr>
              <w:t>-Retail</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32.4 %</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23.6 %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295.64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128,000</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128,000</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173,470</w:t>
            </w:r>
          </w:p>
        </w:tc>
        <w:tc>
          <w:tcPr>
            <w:tcW w:w="80" w:type="dxa"/>
            <w:vAlign w:val="bottom"/>
          </w:tcPr>
          <w:p>
            <w:pPr>
              <w:spacing w:after="0"/>
              <w:rPr>
                <w:sz w:val="11"/>
                <w:szCs w:val="11"/>
                <w:color w:val="auto"/>
              </w:rPr>
            </w:pPr>
          </w:p>
        </w:tc>
        <w:tc>
          <w:tcPr>
            <w:tcW w:w="2720" w:type="dxa"/>
            <w:vAlign w:val="bottom"/>
          </w:tcPr>
          <w:p>
            <w:pPr>
              <w:ind w:left="20"/>
              <w:spacing w:after="0"/>
              <w:rPr>
                <w:sz w:val="20"/>
                <w:szCs w:val="20"/>
                <w:color w:val="auto"/>
              </w:rPr>
            </w:pPr>
            <w:r>
              <w:rPr>
                <w:rFonts w:ascii="Arial" w:cs="Arial" w:eastAsia="Arial" w:hAnsi="Arial"/>
                <w:sz w:val="9"/>
                <w:szCs w:val="9"/>
                <w:color w:val="auto"/>
              </w:rPr>
              <w:t>Hutong, Capital One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32.4 %</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91.3 %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153.69</w:t>
            </w:r>
          </w:p>
        </w:tc>
        <w:tc>
          <w:tcPr>
            <w:tcW w:w="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149,300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1,080,000</w:t>
            </w: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1,080,000</w:t>
            </w:r>
          </w:p>
        </w:tc>
        <w:tc>
          <w:tcPr>
            <w:tcW w:w="80" w:type="dxa"/>
            <w:vAlign w:val="bottom"/>
          </w:tcPr>
          <w:p>
            <w:pPr>
              <w:spacing w:after="0"/>
              <w:rPr>
                <w:sz w:val="9"/>
                <w:szCs w:val="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573,470</w:t>
            </w:r>
          </w:p>
        </w:tc>
        <w:tc>
          <w:tcPr>
            <w:tcW w:w="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2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Rego Park Shopping Center</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60" w:type="dxa"/>
            <w:vAlign w:val="bottom"/>
            <w:tcBorders>
              <w:lef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Queens (6.6 acres)</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32.4 %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99.0 %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67.45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39,500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604,000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604,000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175,000</w:t>
            </w:r>
          </w:p>
        </w:tc>
        <w:tc>
          <w:tcPr>
            <w:tcW w:w="80" w:type="dxa"/>
            <w:vAlign w:val="bottom"/>
            <w:shd w:val="clear" w:color="auto" w:fill="CCEEFF"/>
          </w:tcPr>
          <w:p>
            <w:pPr>
              <w:spacing w:after="0"/>
              <w:rPr>
                <w:sz w:val="11"/>
                <w:szCs w:val="1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9"/>
                <w:szCs w:val="9"/>
                <w:color w:val="auto"/>
              </w:rPr>
              <w:t>Costco, Target*, TJ Maxx, Best Buy, Marshalls, DSW, Burlington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26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7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60" w:type="dxa"/>
            <w:vAlign w:val="bottom"/>
          </w:tcPr>
          <w:p>
            <w:pPr>
              <w:ind w:left="20"/>
              <w:spacing w:after="0"/>
              <w:rPr>
                <w:sz w:val="20"/>
                <w:szCs w:val="20"/>
                <w:color w:val="auto"/>
              </w:rPr>
            </w:pPr>
            <w:r>
              <w:rPr>
                <w:rFonts w:ascii="Arial" w:cs="Arial" w:eastAsia="Arial" w:hAnsi="Arial"/>
                <w:sz w:val="9"/>
                <w:szCs w:val="9"/>
                <w:color w:val="auto"/>
                <w:w w:val="97"/>
              </w:rPr>
              <w:t>Flushing, Queens (1.0 acre ground leased through 2037)</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32.4 %</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34.78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5,800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167,000</w:t>
            </w: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167,000</w:t>
            </w:r>
          </w:p>
        </w:tc>
        <w:tc>
          <w:tcPr>
            <w:tcW w:w="80" w:type="dxa"/>
            <w:vAlign w:val="bottom"/>
          </w:tcPr>
          <w:p>
            <w:pPr>
              <w:spacing w:after="0"/>
              <w:rPr>
                <w:sz w:val="9"/>
                <w:szCs w:val="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720" w:type="dxa"/>
            <w:vAlign w:val="bottom"/>
          </w:tcPr>
          <w:p>
            <w:pPr>
              <w:ind w:left="20"/>
              <w:spacing w:after="0"/>
              <w:rPr>
                <w:sz w:val="20"/>
                <w:szCs w:val="20"/>
                <w:color w:val="auto"/>
              </w:rPr>
            </w:pPr>
            <w:r>
              <w:rPr>
                <w:rFonts w:ascii="Arial" w:cs="Arial" w:eastAsia="Arial" w:hAnsi="Arial"/>
                <w:sz w:val="9"/>
                <w:szCs w:val="9"/>
                <w:color w:val="auto"/>
              </w:rPr>
              <w:t>New World Mall LLC</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The Alexander Apartment Tower,</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60" w:type="dxa"/>
            <w:vAlign w:val="bottom"/>
            <w:tcBorders>
              <w:lef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Rego Park, Queens, NY</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tcBorders>
              <w:left w:val="single" w:sz="8" w:color="CCEEFF"/>
            </w:tcBorders>
            <w:shd w:val="clear" w:color="auto" w:fill="CCEEFF"/>
          </w:tcPr>
          <w:p>
            <w:pPr>
              <w:ind w:left="540"/>
              <w:spacing w:after="0"/>
              <w:rPr>
                <w:sz w:val="20"/>
                <w:szCs w:val="20"/>
                <w:color w:val="auto"/>
              </w:rPr>
            </w:pPr>
            <w:r>
              <w:rPr>
                <w:rFonts w:ascii="Arial" w:cs="Arial" w:eastAsia="Arial" w:hAnsi="Arial"/>
                <w:sz w:val="9"/>
                <w:szCs w:val="9"/>
                <w:color w:val="auto"/>
              </w:rPr>
              <w:t>-Residential (312 units)</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32.4 %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98.1 %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255,000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255,000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94,000</w:t>
            </w:r>
          </w:p>
        </w:tc>
        <w:tc>
          <w:tcPr>
            <w:tcW w:w="8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26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7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260" w:type="dxa"/>
            <w:vAlign w:val="bottom"/>
          </w:tcPr>
          <w:p>
            <w:pPr>
              <w:ind w:left="280"/>
              <w:spacing w:after="0"/>
              <w:rPr>
                <w:sz w:val="20"/>
                <w:szCs w:val="20"/>
                <w:color w:val="auto"/>
              </w:rPr>
            </w:pPr>
            <w:r>
              <w:rPr>
                <w:rFonts w:ascii="Arial" w:cs="Arial" w:eastAsia="Arial" w:hAnsi="Arial"/>
                <w:sz w:val="9"/>
                <w:szCs w:val="9"/>
                <w:color w:val="auto"/>
              </w:rPr>
              <w:t>Total Alexander's</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32.4 %</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94.6 %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112.79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194,600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2,106,000</w:t>
            </w: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2,106,000</w:t>
            </w:r>
          </w:p>
        </w:tc>
        <w:tc>
          <w:tcPr>
            <w:tcW w:w="80" w:type="dxa"/>
            <w:vAlign w:val="bottom"/>
          </w:tcPr>
          <w:p>
            <w:pPr>
              <w:spacing w:after="0"/>
              <w:rPr>
                <w:sz w:val="9"/>
                <w:szCs w:val="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842,470</w:t>
            </w:r>
          </w:p>
        </w:tc>
        <w:tc>
          <w:tcPr>
            <w:tcW w:w="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26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Total New York</w:t>
            </w:r>
          </w:p>
        </w:tc>
        <w:tc>
          <w:tcPr>
            <w:tcW w:w="80" w:type="dxa"/>
            <w:vAlign w:val="bottom"/>
            <w:tcBorders>
              <w:bottom w:val="single" w:sz="8" w:color="auto"/>
            </w:tcBorders>
            <w:shd w:val="clear" w:color="auto" w:fill="FFFF99"/>
          </w:tcPr>
          <w:p>
            <w:pPr>
              <w:spacing w:after="0"/>
              <w:rPr>
                <w:sz w:val="9"/>
                <w:szCs w:val="9"/>
                <w:color w:val="auto"/>
              </w:rPr>
            </w:pPr>
          </w:p>
        </w:tc>
        <w:tc>
          <w:tcPr>
            <w:tcW w:w="660" w:type="dxa"/>
            <w:vAlign w:val="bottom"/>
            <w:tcBorders>
              <w:bottom w:val="single" w:sz="8" w:color="auto"/>
            </w:tcBorders>
            <w:shd w:val="clear" w:color="auto" w:fill="FFFF99"/>
          </w:tcPr>
          <w:p>
            <w:pPr>
              <w:spacing w:after="0"/>
              <w:rPr>
                <w:sz w:val="9"/>
                <w:szCs w:val="9"/>
                <w:color w:val="auto"/>
              </w:rPr>
            </w:pPr>
          </w:p>
        </w:tc>
        <w:tc>
          <w:tcPr>
            <w:tcW w:w="760" w:type="dxa"/>
            <w:vAlign w:val="bottom"/>
            <w:tcBorders>
              <w:bottom w:val="single" w:sz="8" w:color="auto"/>
            </w:tcBorders>
            <w:gridSpan w:val="2"/>
            <w:shd w:val="clear" w:color="auto" w:fill="FFFF99"/>
          </w:tcPr>
          <w:p>
            <w:pPr>
              <w:jc w:val="right"/>
              <w:spacing w:after="0"/>
              <w:rPr>
                <w:sz w:val="20"/>
                <w:szCs w:val="20"/>
                <w:color w:val="auto"/>
              </w:rPr>
            </w:pPr>
            <w:r>
              <w:rPr>
                <w:rFonts w:ascii="Arial" w:cs="Arial" w:eastAsia="Arial" w:hAnsi="Arial"/>
                <w:sz w:val="9"/>
                <w:szCs w:val="9"/>
                <w:b w:val="1"/>
                <w:bCs w:val="1"/>
                <w:color w:val="auto"/>
              </w:rPr>
              <w:t>92.1 %</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102.82</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2,164,300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26,341,000</w:t>
            </w: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25,116,000</w:t>
            </w: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1,225,000</w:t>
            </w:r>
          </w:p>
        </w:tc>
        <w:tc>
          <w:tcPr>
            <w:tcW w:w="8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9,785,404</w:t>
            </w:r>
          </w:p>
        </w:tc>
        <w:tc>
          <w:tcPr>
            <w:tcW w:w="80" w:type="dxa"/>
            <w:vAlign w:val="bottom"/>
            <w:tcBorders>
              <w:bottom w:val="single" w:sz="8" w:color="auto"/>
            </w:tcBorders>
            <w:shd w:val="clear" w:color="auto" w:fill="FFFF99"/>
          </w:tcPr>
          <w:p>
            <w:pPr>
              <w:spacing w:after="0"/>
              <w:rPr>
                <w:sz w:val="9"/>
                <w:szCs w:val="9"/>
                <w:color w:val="auto"/>
              </w:rPr>
            </w:pPr>
          </w:p>
        </w:tc>
        <w:tc>
          <w:tcPr>
            <w:tcW w:w="27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26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Vornado's Ownership Interest</w:t>
            </w:r>
          </w:p>
        </w:tc>
        <w:tc>
          <w:tcPr>
            <w:tcW w:w="80" w:type="dxa"/>
            <w:vAlign w:val="bottom"/>
            <w:tcBorders>
              <w:bottom w:val="single" w:sz="8" w:color="auto"/>
            </w:tcBorders>
            <w:shd w:val="clear" w:color="auto" w:fill="FFFF99"/>
          </w:tcPr>
          <w:p>
            <w:pPr>
              <w:spacing w:after="0"/>
              <w:rPr>
                <w:sz w:val="9"/>
                <w:szCs w:val="9"/>
                <w:color w:val="auto"/>
              </w:rPr>
            </w:pPr>
          </w:p>
        </w:tc>
        <w:tc>
          <w:tcPr>
            <w:tcW w:w="660" w:type="dxa"/>
            <w:vAlign w:val="bottom"/>
            <w:tcBorders>
              <w:bottom w:val="single" w:sz="8" w:color="auto"/>
            </w:tcBorders>
            <w:shd w:val="clear" w:color="auto" w:fill="FFFF99"/>
          </w:tcPr>
          <w:p>
            <w:pPr>
              <w:spacing w:after="0"/>
              <w:rPr>
                <w:sz w:val="9"/>
                <w:szCs w:val="9"/>
                <w:color w:val="auto"/>
              </w:rPr>
            </w:pPr>
          </w:p>
        </w:tc>
        <w:tc>
          <w:tcPr>
            <w:tcW w:w="760" w:type="dxa"/>
            <w:vAlign w:val="bottom"/>
            <w:tcBorders>
              <w:bottom w:val="single" w:sz="8" w:color="auto"/>
            </w:tcBorders>
            <w:gridSpan w:val="2"/>
            <w:shd w:val="clear" w:color="auto" w:fill="FFFF99"/>
          </w:tcPr>
          <w:p>
            <w:pPr>
              <w:jc w:val="right"/>
              <w:spacing w:after="0"/>
              <w:rPr>
                <w:sz w:val="20"/>
                <w:szCs w:val="20"/>
                <w:color w:val="auto"/>
              </w:rPr>
            </w:pPr>
            <w:r>
              <w:rPr>
                <w:rFonts w:ascii="Arial" w:cs="Arial" w:eastAsia="Arial" w:hAnsi="Arial"/>
                <w:sz w:val="9"/>
                <w:szCs w:val="9"/>
                <w:b w:val="1"/>
                <w:bCs w:val="1"/>
                <w:color w:val="auto"/>
              </w:rPr>
              <w:t>91.5 %</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97.04</w:t>
            </w:r>
          </w:p>
        </w:tc>
        <w:tc>
          <w:tcPr>
            <w:tcW w:w="8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1,695,700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21,214,000</w:t>
            </w: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19,989,000</w:t>
            </w:r>
          </w:p>
        </w:tc>
        <w:tc>
          <w:tcPr>
            <w:tcW w:w="8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1,225,000</w:t>
            </w:r>
          </w:p>
        </w:tc>
        <w:tc>
          <w:tcPr>
            <w:tcW w:w="8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6,558,519</w:t>
            </w:r>
          </w:p>
        </w:tc>
        <w:tc>
          <w:tcPr>
            <w:tcW w:w="80" w:type="dxa"/>
            <w:vAlign w:val="bottom"/>
            <w:tcBorders>
              <w:bottom w:val="single" w:sz="8" w:color="auto"/>
            </w:tcBorders>
            <w:shd w:val="clear" w:color="auto" w:fill="FFFF99"/>
          </w:tcPr>
          <w:p>
            <w:pPr>
              <w:spacing w:after="0"/>
              <w:rPr>
                <w:sz w:val="9"/>
                <w:szCs w:val="9"/>
                <w:color w:val="auto"/>
              </w:rPr>
            </w:pPr>
          </w:p>
        </w:tc>
        <w:tc>
          <w:tcPr>
            <w:tcW w:w="272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w:t>
      </w:r>
    </w:p>
    <w:p>
      <w:pPr>
        <w:spacing w:after="0" w:line="7" w:lineRule="exact"/>
        <w:rPr>
          <w:sz w:val="20"/>
          <w:szCs w:val="20"/>
          <w:color w:val="auto"/>
        </w:rPr>
      </w:pPr>
    </w:p>
    <w:p>
      <w:pPr>
        <w:ind w:left="160" w:hanging="154"/>
        <w:spacing w:after="0"/>
        <w:tabs>
          <w:tab w:leader="none" w:pos="160" w:val="left"/>
        </w:tabs>
        <w:numPr>
          <w:ilvl w:val="0"/>
          <w:numId w:val="37"/>
        </w:numPr>
        <w:rPr>
          <w:rFonts w:ascii="Arial" w:cs="Arial" w:eastAsia="Arial" w:hAnsi="Arial"/>
          <w:sz w:val="10"/>
          <w:szCs w:val="10"/>
          <w:color w:val="auto"/>
        </w:rPr>
      </w:pPr>
      <w:r>
        <w:rPr>
          <w:rFonts w:ascii="Arial" w:cs="Arial" w:eastAsia="Arial" w:hAnsi="Arial"/>
          <w:sz w:val="10"/>
          <w:szCs w:val="10"/>
          <w:color w:val="auto"/>
        </w:rPr>
        <w:t>Lease not yet commenced.</w:t>
      </w:r>
    </w:p>
    <w:p>
      <w:pPr>
        <w:spacing w:after="0" w:line="3" w:lineRule="exact"/>
        <w:rPr>
          <w:sz w:val="20"/>
          <w:szCs w:val="20"/>
          <w:color w:val="auto"/>
        </w:rPr>
      </w:pPr>
    </w:p>
    <w:p>
      <w:pPr>
        <w:ind w:left="200" w:hanging="194"/>
        <w:spacing w:after="0"/>
        <w:tabs>
          <w:tab w:leader="none" w:pos="200" w:val="left"/>
        </w:tabs>
        <w:numPr>
          <w:ilvl w:val="0"/>
          <w:numId w:val="38"/>
        </w:numPr>
        <w:rPr>
          <w:rFonts w:ascii="Arial" w:cs="Arial" w:eastAsia="Arial" w:hAnsi="Arial"/>
          <w:sz w:val="10"/>
          <w:szCs w:val="10"/>
          <w:color w:val="auto"/>
        </w:rPr>
      </w:pPr>
      <w:r>
        <w:rPr>
          <w:rFonts w:ascii="Arial" w:cs="Arial" w:eastAsia="Arial" w:hAnsi="Arial"/>
          <w:sz w:val="10"/>
          <w:szCs w:val="10"/>
          <w:color w:val="auto"/>
        </w:rPr>
        <w:t>Term assumes all renewal options exercised, if applicable.</w:t>
      </w:r>
    </w:p>
    <w:p>
      <w:pPr>
        <w:spacing w:after="0" w:line="69" w:lineRule="exact"/>
        <w:rPr>
          <w:sz w:val="20"/>
          <w:szCs w:val="20"/>
          <w:color w:val="auto"/>
        </w:rPr>
      </w:pPr>
    </w:p>
    <w:p>
      <w:pPr>
        <w:ind w:left="260" w:right="20" w:hanging="254"/>
        <w:spacing w:after="0" w:line="257" w:lineRule="auto"/>
        <w:tabs>
          <w:tab w:leader="none" w:pos="253"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Weighted average escalated annual rent per square foot and average occupancy percentage for office properties excludes garages and de minimis amounts of storage space. Weighted average escalated annual rent per square foot for retail excludes non-selling space.</w:t>
      </w:r>
    </w:p>
    <w:p>
      <w:pPr>
        <w:ind w:left="260" w:right="20" w:hanging="254"/>
        <w:spacing w:after="0" w:line="247" w:lineRule="auto"/>
        <w:tabs>
          <w:tab w:leader="none" w:pos="253"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Represents monthly contractual base rent before free rent plus tenant reimbursements multiplied by 12. Annualized escalated rent at share includes leases signed but not yet commenced in place of current tenants or vacancy in the same space. Includes rent from storage and other non-selling space and excludes rent from residential units.</w:t>
      </w:r>
    </w:p>
    <w:p>
      <w:pPr>
        <w:ind w:left="260" w:hanging="254"/>
        <w:spacing w:after="0"/>
        <w:tabs>
          <w:tab w:leader="none" w:pos="260"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Represents contractual debt obligations.</w:t>
      </w:r>
    </w:p>
    <w:p>
      <w:pPr>
        <w:spacing w:after="0" w:line="11" w:lineRule="exact"/>
        <w:rPr>
          <w:rFonts w:ascii="Arial" w:cs="Arial" w:eastAsia="Arial" w:hAnsi="Arial"/>
          <w:sz w:val="10"/>
          <w:szCs w:val="10"/>
          <w:b w:val="1"/>
          <w:bCs w:val="1"/>
          <w:color w:val="auto"/>
        </w:rPr>
      </w:pPr>
    </w:p>
    <w:p>
      <w:pPr>
        <w:ind w:left="260" w:hanging="254"/>
        <w:spacing w:after="0"/>
        <w:tabs>
          <w:tab w:leader="none" w:pos="260"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Secured amount outstanding on revolving credit facilities.</w:t>
      </w:r>
    </w:p>
    <w:p>
      <w:pPr>
        <w:spacing w:after="0" w:line="5" w:lineRule="exact"/>
        <w:rPr>
          <w:rFonts w:ascii="Arial" w:cs="Arial" w:eastAsia="Arial" w:hAnsi="Arial"/>
          <w:sz w:val="10"/>
          <w:szCs w:val="10"/>
          <w:b w:val="1"/>
          <w:bCs w:val="1"/>
          <w:color w:val="auto"/>
        </w:rPr>
      </w:pPr>
    </w:p>
    <w:p>
      <w:pPr>
        <w:ind w:left="260" w:hanging="254"/>
        <w:spacing w:after="0"/>
        <w:tabs>
          <w:tab w:leader="none" w:pos="260"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Amount represents debt on land which is owned 34.8% by Vornado.</w:t>
      </w:r>
    </w:p>
    <w:p>
      <w:pPr>
        <w:spacing w:after="0" w:line="3" w:lineRule="exact"/>
        <w:rPr>
          <w:rFonts w:ascii="Arial" w:cs="Arial" w:eastAsia="Arial" w:hAnsi="Arial"/>
          <w:sz w:val="10"/>
          <w:szCs w:val="10"/>
          <w:b w:val="1"/>
          <w:bCs w:val="1"/>
          <w:color w:val="auto"/>
        </w:rPr>
      </w:pPr>
    </w:p>
    <w:p>
      <w:pPr>
        <w:ind w:left="260" w:hanging="254"/>
        <w:spacing w:after="0"/>
        <w:tabs>
          <w:tab w:leader="none" w:pos="260"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Property to be developed.</w:t>
      </w:r>
    </w:p>
    <w:p>
      <w:pPr>
        <w:spacing w:after="0" w:line="3" w:lineRule="exact"/>
        <w:rPr>
          <w:rFonts w:ascii="Arial" w:cs="Arial" w:eastAsia="Arial" w:hAnsi="Arial"/>
          <w:sz w:val="10"/>
          <w:szCs w:val="10"/>
          <w:b w:val="1"/>
          <w:bCs w:val="1"/>
          <w:color w:val="auto"/>
        </w:rPr>
      </w:pPr>
    </w:p>
    <w:p>
      <w:pPr>
        <w:ind w:left="260" w:hanging="254"/>
        <w:spacing w:after="0"/>
        <w:tabs>
          <w:tab w:leader="none" w:pos="260"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Property currently under development. See page 21 for details.</w:t>
      </w:r>
    </w:p>
    <w:p>
      <w:pPr>
        <w:spacing w:after="0" w:line="3" w:lineRule="exact"/>
        <w:rPr>
          <w:rFonts w:ascii="Arial" w:cs="Arial" w:eastAsia="Arial" w:hAnsi="Arial"/>
          <w:sz w:val="10"/>
          <w:szCs w:val="10"/>
          <w:b w:val="1"/>
          <w:bCs w:val="1"/>
          <w:color w:val="auto"/>
        </w:rPr>
      </w:pPr>
    </w:p>
    <w:p>
      <w:pPr>
        <w:ind w:left="260" w:hanging="254"/>
        <w:spacing w:after="0"/>
        <w:tabs>
          <w:tab w:leader="none" w:pos="260"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Property currently under development. On October 20, 2026 the property was contributed to a joint venture. See page 3 for details.</w:t>
      </w:r>
    </w:p>
    <w:p>
      <w:pPr>
        <w:spacing w:after="0" w:line="11" w:lineRule="exact"/>
        <w:rPr>
          <w:rFonts w:ascii="Arial" w:cs="Arial" w:eastAsia="Arial" w:hAnsi="Arial"/>
          <w:sz w:val="10"/>
          <w:szCs w:val="10"/>
          <w:b w:val="1"/>
          <w:bCs w:val="1"/>
          <w:color w:val="auto"/>
        </w:rPr>
      </w:pPr>
    </w:p>
    <w:p>
      <w:pPr>
        <w:ind w:left="260" w:hanging="254"/>
        <w:spacing w:after="0"/>
        <w:tabs>
          <w:tab w:leader="none" w:pos="260"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Excludes US Post Office lease for 492,000 square feet.</w:t>
      </w:r>
    </w:p>
    <w:p>
      <w:pPr>
        <w:spacing w:after="0" w:line="5" w:lineRule="exact"/>
        <w:rPr>
          <w:rFonts w:ascii="Arial" w:cs="Arial" w:eastAsia="Arial" w:hAnsi="Arial"/>
          <w:sz w:val="10"/>
          <w:szCs w:val="10"/>
          <w:b w:val="1"/>
          <w:bCs w:val="1"/>
          <w:color w:val="auto"/>
        </w:rPr>
      </w:pPr>
    </w:p>
    <w:p>
      <w:pPr>
        <w:ind w:left="260" w:hanging="254"/>
        <w:spacing w:after="0"/>
        <w:tabs>
          <w:tab w:leader="none" w:pos="260"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Includes 962 Third Avenue (the Annex building to 150 East 58th Street) 50.0% ground leased through 2118**.</w:t>
      </w:r>
    </w:p>
    <w:p>
      <w:pPr>
        <w:spacing w:after="0" w:line="3" w:lineRule="exact"/>
        <w:rPr>
          <w:rFonts w:ascii="Arial" w:cs="Arial" w:eastAsia="Arial" w:hAnsi="Arial"/>
          <w:sz w:val="10"/>
          <w:szCs w:val="10"/>
          <w:b w:val="1"/>
          <w:bCs w:val="1"/>
          <w:color w:val="auto"/>
        </w:rPr>
      </w:pPr>
    </w:p>
    <w:p>
      <w:pPr>
        <w:ind w:left="260" w:hanging="254"/>
        <w:spacing w:after="0"/>
        <w:tabs>
          <w:tab w:leader="none" w:pos="260" w:val="left"/>
        </w:tabs>
        <w:numPr>
          <w:ilvl w:val="0"/>
          <w:numId w:val="39"/>
        </w:numPr>
        <w:rPr>
          <w:rFonts w:ascii="Arial" w:cs="Arial" w:eastAsia="Arial" w:hAnsi="Arial"/>
          <w:sz w:val="10"/>
          <w:szCs w:val="10"/>
          <w:b w:val="1"/>
          <w:bCs w:val="1"/>
          <w:color w:val="auto"/>
        </w:rPr>
      </w:pPr>
      <w:r>
        <w:rPr>
          <w:rFonts w:ascii="Arial" w:cs="Arial" w:eastAsia="Arial" w:hAnsi="Arial"/>
          <w:sz w:val="10"/>
          <w:szCs w:val="10"/>
          <w:color w:val="auto"/>
        </w:rPr>
        <w:t>Master leased to NYU for a 70-year term, square feet includes storage space.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0"/>
          <w:szCs w:val="10"/>
          <w:u w:val="single" w:color="auto"/>
          <w:color w:val="EE2724"/>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- 41 -</w:t>
      </w:r>
    </w:p>
    <w:p>
      <w:pPr>
        <w:sectPr>
          <w:pgSz w:w="11900" w:h="16838" w:orient="portrait"/>
          <w:cols w:equalWidth="0" w:num="1">
            <w:col w:w="11300"/>
          </w:cols>
          <w:pgMar w:left="300" w:top="988" w:right="29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38"/>
        </w:trPr>
        <w:tc>
          <w:tcPr>
            <w:tcW w:w="1920" w:type="dxa"/>
            <w:vAlign w:val="bottom"/>
            <w:vMerge w:val="restart"/>
          </w:tcPr>
          <w:p>
            <w:pPr>
              <w:ind w:left="20"/>
              <w:spacing w:after="0"/>
              <w:rPr>
                <w:sz w:val="20"/>
                <w:szCs w:val="20"/>
                <w:color w:val="auto"/>
              </w:rPr>
            </w:pPr>
            <w:r>
              <w:rPr>
                <w:rFonts w:ascii="Arial" w:cs="Arial" w:eastAsia="Arial" w:hAnsi="Arial"/>
                <w:sz w:val="14"/>
                <w:szCs w:val="14"/>
                <w:color w:val="auto"/>
              </w:rPr>
              <w:t>PROPERTY TABLE</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4"/>
          </w:tcPr>
          <w:p>
            <w:pPr>
              <w:ind w:left="320"/>
              <w:spacing w:after="0"/>
              <w:rPr>
                <w:sz w:val="20"/>
                <w:szCs w:val="20"/>
                <w:color w:val="auto"/>
              </w:rPr>
            </w:pPr>
            <w:r>
              <w:rPr>
                <w:rFonts w:ascii="Arial" w:cs="Arial" w:eastAsia="Arial" w:hAnsi="Arial"/>
                <w:sz w:val="17"/>
                <w:szCs w:val="17"/>
                <w:b w:val="1"/>
                <w:bCs w:val="1"/>
                <w:color w:val="auto"/>
              </w:rPr>
              <w:t>OTHER</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920" w:type="dxa"/>
            <w:vAlign w:val="bottom"/>
          </w:tcPr>
          <w:p>
            <w:pPr>
              <w:ind w:left="20"/>
              <w:spacing w:after="0" w:line="77" w:lineRule="exact"/>
              <w:rPr>
                <w:sz w:val="20"/>
                <w:szCs w:val="20"/>
                <w:color w:val="auto"/>
              </w:rPr>
            </w:pPr>
            <w:r>
              <w:rPr>
                <w:rFonts w:ascii="Arial" w:cs="Arial" w:eastAsia="Arial" w:hAnsi="Arial"/>
                <w:sz w:val="8"/>
                <w:szCs w:val="8"/>
                <w:color w:val="auto"/>
              </w:rPr>
              <w:t>(Annualized escalated rent amounts in</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9"/>
                <w:szCs w:val="9"/>
                <w:b w:val="1"/>
                <w:bCs w:val="1"/>
                <w:color w:val="auto"/>
                <w:w w:val="96"/>
              </w:rPr>
              <w:t>Square Feet</w:t>
            </w: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920" w:type="dxa"/>
            <w:vAlign w:val="bottom"/>
          </w:tcPr>
          <w:p>
            <w:pPr>
              <w:ind w:left="20"/>
              <w:spacing w:after="0"/>
              <w:rPr>
                <w:sz w:val="20"/>
                <w:szCs w:val="20"/>
                <w:color w:val="auto"/>
              </w:rPr>
            </w:pPr>
            <w:r>
              <w:rPr>
                <w:rFonts w:ascii="Arial" w:cs="Arial" w:eastAsia="Arial" w:hAnsi="Arial"/>
                <w:sz w:val="9"/>
                <w:szCs w:val="9"/>
                <w:color w:val="auto"/>
              </w:rPr>
              <w:t>thousands)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37"/>
              <w:spacing w:after="0"/>
              <w:rPr>
                <w:sz w:val="20"/>
                <w:szCs w:val="20"/>
                <w:color w:val="auto"/>
              </w:rPr>
            </w:pPr>
            <w:r>
              <w:rPr>
                <w:rFonts w:ascii="Arial" w:cs="Arial" w:eastAsia="Arial" w:hAnsi="Arial"/>
                <w:sz w:val="9"/>
                <w:szCs w:val="9"/>
                <w:b w:val="1"/>
                <w:bCs w:val="1"/>
                <w:color w:val="auto"/>
                <w:w w:val="93"/>
              </w:rPr>
              <w:t>Weighted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9"/>
              </w:rPr>
              <w:t>Under</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37"/>
              <w:spacing w:after="0" w:line="86" w:lineRule="exact"/>
              <w:rPr>
                <w:sz w:val="20"/>
                <w:szCs w:val="20"/>
                <w:color w:val="auto"/>
              </w:rPr>
            </w:pPr>
            <w:r>
              <w:rPr>
                <w:rFonts w:ascii="Arial" w:cs="Arial" w:eastAsia="Arial" w:hAnsi="Arial"/>
                <w:sz w:val="9"/>
                <w:szCs w:val="9"/>
                <w:b w:val="1"/>
                <w:bCs w:val="1"/>
                <w:color w:val="auto"/>
                <w:w w:val="95"/>
              </w:rPr>
              <w:t>Average</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5"/>
              </w:rPr>
              <w:t>Annualized</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jc w:val="center"/>
              <w:ind w:right="57"/>
              <w:spacing w:after="0"/>
              <w:rPr>
                <w:sz w:val="20"/>
                <w:szCs w:val="20"/>
                <w:color w:val="auto"/>
              </w:rPr>
            </w:pPr>
            <w:r>
              <w:rPr>
                <w:rFonts w:ascii="Arial" w:cs="Arial" w:eastAsia="Arial" w:hAnsi="Arial"/>
                <w:sz w:val="9"/>
                <w:szCs w:val="9"/>
                <w:b w:val="1"/>
                <w:bCs w:val="1"/>
                <w:color w:val="auto"/>
                <w:w w:val="96"/>
              </w:rPr>
              <w:t>Encumbrances</w:t>
            </w:r>
          </w:p>
        </w:tc>
        <w:tc>
          <w:tcPr>
            <w:tcW w:w="60" w:type="dxa"/>
            <w:vAlign w:val="bottom"/>
          </w:tcPr>
          <w:p>
            <w:pPr>
              <w:spacing w:after="0"/>
              <w:rPr>
                <w:sz w:val="7"/>
                <w:szCs w:val="7"/>
                <w:color w:val="auto"/>
              </w:rPr>
            </w:pPr>
          </w:p>
        </w:tc>
        <w:tc>
          <w:tcPr>
            <w:tcW w:w="3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20" w:type="dxa"/>
            <w:vAlign w:val="bottom"/>
          </w:tcPr>
          <w:p>
            <w:pPr>
              <w:spacing w:after="0"/>
              <w:rPr>
                <w:sz w:val="7"/>
                <w:szCs w:val="7"/>
                <w:color w:val="auto"/>
              </w:rPr>
            </w:pPr>
          </w:p>
        </w:tc>
        <w:tc>
          <w:tcPr>
            <w:tcW w:w="640" w:type="dxa"/>
            <w:vAlign w:val="bottom"/>
            <w:gridSpan w:val="2"/>
            <w:vMerge w:val="restart"/>
          </w:tcPr>
          <w:p>
            <w:pPr>
              <w:jc w:val="right"/>
              <w:ind w:right="157"/>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660" w:type="dxa"/>
            <w:vAlign w:val="bottom"/>
            <w:gridSpan w:val="2"/>
            <w:vMerge w:val="restart"/>
          </w:tcPr>
          <w:p>
            <w:pPr>
              <w:jc w:val="right"/>
              <w:ind w:right="157"/>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17"/>
              <w:spacing w:after="0" w:line="86" w:lineRule="exact"/>
              <w:rPr>
                <w:sz w:val="20"/>
                <w:szCs w:val="20"/>
                <w:color w:val="auto"/>
              </w:rPr>
            </w:pPr>
            <w:r>
              <w:rPr>
                <w:rFonts w:ascii="Arial" w:cs="Arial" w:eastAsia="Arial" w:hAnsi="Arial"/>
                <w:sz w:val="9"/>
                <w:szCs w:val="9"/>
                <w:b w:val="1"/>
                <w:bCs w:val="1"/>
                <w:color w:val="auto"/>
                <w:w w:val="95"/>
              </w:rPr>
              <w:t>Escalated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83"/>
              </w:rPr>
              <w:t>Total</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80"/>
              <w:spacing w:after="0" w:line="86" w:lineRule="exact"/>
              <w:rPr>
                <w:sz w:val="20"/>
                <w:szCs w:val="20"/>
                <w:color w:val="auto"/>
              </w:rPr>
            </w:pPr>
            <w:r>
              <w:rPr>
                <w:rFonts w:ascii="Arial" w:cs="Arial" w:eastAsia="Arial" w:hAnsi="Arial"/>
                <w:sz w:val="9"/>
                <w:szCs w:val="9"/>
                <w:b w:val="1"/>
                <w:bCs w:val="1"/>
                <w:color w:val="auto"/>
                <w:w w:val="95"/>
              </w:rPr>
              <w:t>Development</w:t>
            </w: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20" w:type="dxa"/>
            <w:vAlign w:val="bottom"/>
            <w:vMerge w:val="restart"/>
          </w:tcPr>
          <w:p>
            <w:pPr>
              <w:ind w:left="780"/>
              <w:spacing w:after="0"/>
              <w:rPr>
                <w:sz w:val="20"/>
                <w:szCs w:val="20"/>
                <w:color w:val="auto"/>
              </w:rPr>
            </w:pPr>
            <w:r>
              <w:rPr>
                <w:rFonts w:ascii="Arial" w:cs="Arial" w:eastAsia="Arial" w:hAnsi="Arial"/>
                <w:sz w:val="9"/>
                <w:szCs w:val="9"/>
                <w:b w:val="1"/>
                <w:bCs w:val="1"/>
                <w:color w:val="auto"/>
              </w:rPr>
              <w:t>Property</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37"/>
              <w:spacing w:after="0" w:line="86" w:lineRule="exact"/>
              <w:rPr>
                <w:sz w:val="20"/>
                <w:szCs w:val="20"/>
                <w:color w:val="auto"/>
              </w:rPr>
            </w:pPr>
            <w:r>
              <w:rPr>
                <w:rFonts w:ascii="Arial" w:cs="Arial" w:eastAsia="Arial" w:hAnsi="Arial"/>
                <w:sz w:val="9"/>
                <w:szCs w:val="9"/>
                <w:b w:val="1"/>
                <w:bCs w:val="1"/>
                <w:color w:val="auto"/>
                <w:w w:val="94"/>
              </w:rPr>
              <w:t>Annual Rent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60"/>
              <w:spacing w:after="0" w:line="86" w:lineRule="exact"/>
              <w:rPr>
                <w:sz w:val="20"/>
                <w:szCs w:val="20"/>
                <w:color w:val="auto"/>
              </w:rPr>
            </w:pPr>
            <w:r>
              <w:rPr>
                <w:rFonts w:ascii="Arial" w:cs="Arial" w:eastAsia="Arial" w:hAnsi="Arial"/>
                <w:sz w:val="9"/>
                <w:szCs w:val="9"/>
                <w:b w:val="1"/>
                <w:bCs w:val="1"/>
                <w:color w:val="auto"/>
                <w:w w:val="95"/>
              </w:rPr>
              <w:t>Escalated</w:t>
            </w:r>
          </w:p>
        </w:tc>
        <w:tc>
          <w:tcPr>
            <w:tcW w:w="76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3"/>
              </w:rPr>
              <w:t>In Service</w:t>
            </w:r>
          </w:p>
        </w:tc>
        <w:tc>
          <w:tcPr>
            <w:tcW w:w="780" w:type="dxa"/>
            <w:vAlign w:val="bottom"/>
            <w:gridSpan w:val="2"/>
          </w:tcPr>
          <w:p>
            <w:pPr>
              <w:jc w:val="center"/>
              <w:ind w:right="80"/>
              <w:spacing w:after="0" w:line="86" w:lineRule="exact"/>
              <w:rPr>
                <w:sz w:val="20"/>
                <w:szCs w:val="20"/>
                <w:color w:val="auto"/>
              </w:rPr>
            </w:pPr>
            <w:r>
              <w:rPr>
                <w:rFonts w:ascii="Arial" w:cs="Arial" w:eastAsia="Arial" w:hAnsi="Arial"/>
                <w:sz w:val="9"/>
                <w:szCs w:val="9"/>
                <w:b w:val="1"/>
                <w:bCs w:val="1"/>
                <w:color w:val="auto"/>
                <w:w w:val="96"/>
              </w:rPr>
              <w:t>or Not Available</w:t>
            </w:r>
          </w:p>
        </w:tc>
        <w:tc>
          <w:tcPr>
            <w:tcW w:w="80" w:type="dxa"/>
            <w:vAlign w:val="bottom"/>
          </w:tcPr>
          <w:p>
            <w:pPr>
              <w:spacing w:after="0"/>
              <w:rPr>
                <w:sz w:val="7"/>
                <w:szCs w:val="7"/>
                <w:color w:val="auto"/>
              </w:rPr>
            </w:pPr>
          </w:p>
        </w:tc>
        <w:tc>
          <w:tcPr>
            <w:tcW w:w="760" w:type="dxa"/>
            <w:vAlign w:val="bottom"/>
          </w:tcPr>
          <w:p>
            <w:pPr>
              <w:jc w:val="center"/>
              <w:ind w:right="37"/>
              <w:spacing w:after="0" w:line="86" w:lineRule="exact"/>
              <w:rPr>
                <w:sz w:val="20"/>
                <w:szCs w:val="20"/>
                <w:color w:val="auto"/>
              </w:rPr>
            </w:pPr>
            <w:r>
              <w:rPr>
                <w:rFonts w:ascii="Arial" w:cs="Arial" w:eastAsia="Arial" w:hAnsi="Arial"/>
                <w:sz w:val="9"/>
                <w:szCs w:val="9"/>
                <w:b w:val="1"/>
                <w:bCs w:val="1"/>
                <w:color w:val="auto"/>
                <w:w w:val="93"/>
              </w:rPr>
              <w:t>(non-GAAP)</w:t>
            </w:r>
          </w:p>
        </w:tc>
        <w:tc>
          <w:tcPr>
            <w:tcW w:w="60" w:type="dxa"/>
            <w:vAlign w:val="bottom"/>
          </w:tcPr>
          <w:p>
            <w:pPr>
              <w:spacing w:after="0"/>
              <w:rPr>
                <w:sz w:val="7"/>
                <w:szCs w:val="7"/>
                <w:color w:val="auto"/>
              </w:rPr>
            </w:pPr>
          </w:p>
        </w:tc>
        <w:tc>
          <w:tcPr>
            <w:tcW w:w="3040" w:type="dxa"/>
            <w:vAlign w:val="bottom"/>
            <w:vMerge w:val="restart"/>
          </w:tcPr>
          <w:p>
            <w:pPr>
              <w:ind w:left="1240"/>
              <w:spacing w:after="0"/>
              <w:rPr>
                <w:sz w:val="20"/>
                <w:szCs w:val="20"/>
                <w:color w:val="auto"/>
              </w:rPr>
            </w:pPr>
            <w:r>
              <w:rPr>
                <w:rFonts w:ascii="Arial" w:cs="Arial" w:eastAsia="Arial" w:hAnsi="Arial"/>
                <w:sz w:val="9"/>
                <w:szCs w:val="9"/>
                <w:b w:val="1"/>
                <w:bCs w:val="1"/>
                <w:color w:val="auto"/>
              </w:rPr>
              <w:t>Major Tenants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9"/>
                <w:szCs w:val="9"/>
                <w:b w:val="1"/>
                <w:bCs w:val="1"/>
                <w:color w:val="auto"/>
              </w:rPr>
              <w:t>Ownership</w:t>
            </w:r>
          </w:p>
        </w:tc>
        <w:tc>
          <w:tcPr>
            <w:tcW w:w="80" w:type="dxa"/>
            <w:vAlign w:val="bottom"/>
          </w:tcPr>
          <w:p>
            <w:pPr>
              <w:spacing w:after="0"/>
              <w:rPr>
                <w:sz w:val="11"/>
                <w:szCs w:val="11"/>
                <w:color w:val="auto"/>
              </w:rPr>
            </w:pPr>
          </w:p>
        </w:tc>
        <w:tc>
          <w:tcPr>
            <w:tcW w:w="680" w:type="dxa"/>
            <w:vAlign w:val="bottom"/>
            <w:gridSpan w:val="2"/>
          </w:tcPr>
          <w:p>
            <w:pPr>
              <w:jc w:val="right"/>
              <w:ind w:right="57"/>
              <w:spacing w:after="0"/>
              <w:rPr>
                <w:sz w:val="20"/>
                <w:szCs w:val="20"/>
                <w:color w:val="auto"/>
              </w:rPr>
            </w:pPr>
            <w:r>
              <w:rPr>
                <w:rFonts w:ascii="Arial" w:cs="Arial" w:eastAsia="Arial" w:hAnsi="Arial"/>
                <w:sz w:val="9"/>
                <w:szCs w:val="9"/>
                <w:b w:val="1"/>
                <w:bCs w:val="1"/>
                <w:color w:val="auto"/>
              </w:rPr>
              <w:t>Occupancy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7"/>
              <w:spacing w:after="0"/>
              <w:rPr>
                <w:sz w:val="20"/>
                <w:szCs w:val="20"/>
                <w:color w:val="auto"/>
              </w:rPr>
            </w:pPr>
            <w:r>
              <w:rPr>
                <w:rFonts w:ascii="Arial" w:cs="Arial" w:eastAsia="Arial" w:hAnsi="Arial"/>
                <w:sz w:val="9"/>
                <w:szCs w:val="9"/>
                <w:b w:val="1"/>
                <w:bCs w:val="1"/>
                <w:color w:val="auto"/>
                <w:w w:val="82"/>
              </w:rPr>
              <w:t>PSF</w:t>
            </w:r>
            <w:r>
              <w:rPr>
                <w:rFonts w:ascii="Arial" w:cs="Arial" w:eastAsia="Arial" w:hAnsi="Arial"/>
                <w:sz w:val="11"/>
                <w:szCs w:val="11"/>
                <w:b w:val="1"/>
                <w:bCs w:val="1"/>
                <w:color w:val="auto"/>
                <w:w w:val="82"/>
                <w:vertAlign w:val="superscript"/>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9"/>
              </w:rPr>
              <w:t>Rent</w:t>
            </w:r>
            <w:r>
              <w:rPr>
                <w:rFonts w:ascii="Arial" w:cs="Arial" w:eastAsia="Arial" w:hAnsi="Arial"/>
                <w:sz w:val="11"/>
                <w:szCs w:val="11"/>
                <w:b w:val="1"/>
                <w:bCs w:val="1"/>
                <w:color w:val="auto"/>
                <w:w w:val="89"/>
                <w:vertAlign w:val="superscript"/>
              </w:rPr>
              <w:t>(2)</w:t>
            </w:r>
          </w:p>
        </w:tc>
        <w:tc>
          <w:tcPr>
            <w:tcW w:w="76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1"/>
              </w:rPr>
              <w:t>Property</w:t>
            </w:r>
          </w:p>
        </w:tc>
        <w:tc>
          <w:tcPr>
            <w:tcW w:w="780" w:type="dxa"/>
            <w:vAlign w:val="bottom"/>
            <w:gridSpan w:val="2"/>
            <w:vMerge w:val="continue"/>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4"/>
              </w:rPr>
              <w:t>for Lease</w:t>
            </w:r>
          </w:p>
        </w:tc>
        <w:tc>
          <w:tcPr>
            <w:tcW w:w="80" w:type="dxa"/>
            <w:vAlign w:val="bottom"/>
          </w:tcPr>
          <w:p>
            <w:pPr>
              <w:spacing w:after="0"/>
              <w:rPr>
                <w:sz w:val="11"/>
                <w:szCs w:val="11"/>
                <w:color w:val="auto"/>
              </w:rPr>
            </w:pPr>
          </w:p>
        </w:tc>
        <w:tc>
          <w:tcPr>
            <w:tcW w:w="760" w:type="dxa"/>
            <w:vAlign w:val="bottom"/>
          </w:tcPr>
          <w:p>
            <w:pPr>
              <w:jc w:val="center"/>
              <w:ind w:right="57"/>
              <w:spacing w:after="0"/>
              <w:rPr>
                <w:sz w:val="20"/>
                <w:szCs w:val="20"/>
                <w:color w:val="auto"/>
              </w:rPr>
            </w:pPr>
            <w:r>
              <w:rPr>
                <w:rFonts w:ascii="Arial" w:cs="Arial" w:eastAsia="Arial" w:hAnsi="Arial"/>
                <w:sz w:val="9"/>
                <w:szCs w:val="9"/>
                <w:b w:val="1"/>
                <w:bCs w:val="1"/>
                <w:color w:val="auto"/>
                <w:w w:val="92"/>
              </w:rPr>
              <w:t>(in thousands)</w:t>
            </w:r>
            <w:r>
              <w:rPr>
                <w:rFonts w:ascii="Arial" w:cs="Arial" w:eastAsia="Arial" w:hAnsi="Arial"/>
                <w:sz w:val="11"/>
                <w:szCs w:val="11"/>
                <w:b w:val="1"/>
                <w:bCs w:val="1"/>
                <w:color w:val="auto"/>
                <w:w w:val="92"/>
                <w:vertAlign w:val="superscript"/>
              </w:rPr>
              <w:t>(3)</w:t>
            </w:r>
          </w:p>
        </w:tc>
        <w:tc>
          <w:tcPr>
            <w:tcW w:w="6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920" w:type="dxa"/>
            <w:vAlign w:val="bottom"/>
            <w:tcBorders>
              <w:top w:val="single" w:sz="8" w:color="auto"/>
            </w:tcBorders>
          </w:tcPr>
          <w:p>
            <w:pPr>
              <w:ind w:left="20"/>
              <w:spacing w:after="0"/>
              <w:rPr>
                <w:sz w:val="20"/>
                <w:szCs w:val="20"/>
                <w:color w:val="auto"/>
              </w:rPr>
            </w:pPr>
            <w:r>
              <w:rPr>
                <w:rFonts w:ascii="Arial" w:cs="Arial" w:eastAsia="Arial" w:hAnsi="Arial"/>
                <w:sz w:val="9"/>
                <w:szCs w:val="9"/>
                <w:b w:val="1"/>
                <w:bCs w:val="1"/>
                <w:color w:val="auto"/>
              </w:rPr>
              <w:t>THE MART:</w:t>
            </w: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9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THE MART, Chicago</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9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Motorola Mobility (guaranteed by Google), Allscripts Healthcare,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AAR Corp*, The Chartis Group LLC, Paypal, Inc., ConAgra Foods Inc.,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Avant LLC, Clear Channel Outdoor LLC, Omnicom (formerly IPG and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2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affiliates),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Government Employees Insurance Company, Medline Industries, Inc,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tcBorders>
              <w:lef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90.1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48.16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93,500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2,123,000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2,123,000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Innovation Development Institute, Inc., Allstate Insurance 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tcBorders>
              <w:lef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-Showroom/Trade show</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64.6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57.42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54,000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1,486,000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1,486,000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Holly Hunt Ltd., Baker Interiors Group, Ltd.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20" w:type="dxa"/>
            <w:vAlign w:val="bottom"/>
            <w:tcBorders>
              <w:left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-Retail</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49.20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2,900</w:t>
            </w: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82,000</w:t>
            </w: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82,000</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4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2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79.5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51.19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150,400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3,691,000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3,691,000</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0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Other (1 property)</w:t>
            </w:r>
          </w:p>
        </w:tc>
        <w:tc>
          <w:tcPr>
            <w:tcW w:w="740" w:type="dxa"/>
            <w:vAlign w:val="bottom"/>
            <w:tcBorders>
              <w:bottom w:val="single" w:sz="8" w:color="CCEEFF"/>
            </w:tcBorders>
            <w:gridSpan w:val="3"/>
          </w:tcPr>
          <w:p>
            <w:pPr>
              <w:jc w:val="right"/>
              <w:spacing w:after="0"/>
              <w:rPr>
                <w:sz w:val="20"/>
                <w:szCs w:val="20"/>
                <w:color w:val="auto"/>
              </w:rPr>
            </w:pPr>
            <w:r>
              <w:rPr>
                <w:rFonts w:ascii="Arial" w:cs="Arial" w:eastAsia="Arial" w:hAnsi="Arial"/>
                <w:sz w:val="9"/>
                <w:szCs w:val="9"/>
                <w:color w:val="auto"/>
              </w:rPr>
              <w:t>50.0 %</w:t>
            </w:r>
          </w:p>
        </w:tc>
        <w:tc>
          <w:tcPr>
            <w:tcW w:w="760" w:type="dxa"/>
            <w:vAlign w:val="bottom"/>
            <w:tcBorders>
              <w:bottom w:val="single" w:sz="8" w:color="CCEEFF"/>
            </w:tcBorders>
            <w:gridSpan w:val="3"/>
          </w:tcPr>
          <w:p>
            <w:pPr>
              <w:jc w:val="right"/>
              <w:spacing w:after="0"/>
              <w:rPr>
                <w:sz w:val="20"/>
                <w:szCs w:val="20"/>
                <w:color w:val="auto"/>
              </w:rPr>
            </w:pPr>
            <w:r>
              <w:rPr>
                <w:rFonts w:ascii="Arial" w:cs="Arial" w:eastAsia="Arial" w:hAnsi="Arial"/>
                <w:sz w:val="9"/>
                <w:szCs w:val="9"/>
                <w:color w:val="auto"/>
              </w:rPr>
              <w:t>100.0 %</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9"/>
                <w:szCs w:val="9"/>
                <w:color w:val="auto"/>
              </w:rPr>
              <w:t>73.79</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300</w:t>
            </w: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4,000</w:t>
            </w: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4,000</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17,883</w:t>
            </w:r>
          </w:p>
        </w:tc>
        <w:tc>
          <w:tcPr>
            <w:tcW w:w="60" w:type="dxa"/>
            <w:vAlign w:val="bottom"/>
            <w:tcBorders>
              <w:bottom w:val="single" w:sz="8" w:color="CCEEFF"/>
            </w:tcBorders>
          </w:tcPr>
          <w:p>
            <w:pPr>
              <w:spacing w:after="0"/>
              <w:rPr>
                <w:sz w:val="10"/>
                <w:szCs w:val="10"/>
                <w:color w:val="auto"/>
              </w:rPr>
            </w:pPr>
          </w:p>
        </w:tc>
        <w:tc>
          <w:tcPr>
            <w:tcW w:w="3040" w:type="dxa"/>
            <w:vAlign w:val="bottom"/>
            <w:tcBorders>
              <w:bottom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920" w:type="dxa"/>
            <w:vAlign w:val="bottom"/>
            <w:tcBorders>
              <w:left w:val="single" w:sz="8" w:color="CCEEFF"/>
            </w:tcBorders>
            <w:shd w:val="clear" w:color="auto" w:fill="CCEEFF"/>
          </w:tcPr>
          <w:p>
            <w:pPr>
              <w:ind w:left="280"/>
              <w:spacing w:after="0" w:line="101" w:lineRule="exact"/>
              <w:rPr>
                <w:sz w:val="20"/>
                <w:szCs w:val="20"/>
                <w:color w:val="auto"/>
              </w:rPr>
            </w:pPr>
            <w:r>
              <w:rPr>
                <w:rFonts w:ascii="Arial" w:cs="Arial" w:eastAsia="Arial" w:hAnsi="Arial"/>
                <w:sz w:val="9"/>
                <w:szCs w:val="9"/>
                <w:color w:val="auto"/>
              </w:rPr>
              <w:t>Total THE MART, Chicago</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150,700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3,695,000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3,695,000</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17,883</w:t>
            </w:r>
          </w:p>
        </w:tc>
        <w:tc>
          <w:tcPr>
            <w:tcW w:w="60" w:type="dxa"/>
            <w:vAlign w:val="bottom"/>
            <w:shd w:val="clear" w:color="auto" w:fill="CCEEFF"/>
          </w:tcPr>
          <w:p>
            <w:pPr>
              <w:spacing w:after="0"/>
              <w:rPr>
                <w:sz w:val="9"/>
                <w:szCs w:val="9"/>
                <w:color w:val="auto"/>
              </w:rPr>
            </w:pPr>
          </w:p>
        </w:tc>
        <w:tc>
          <w:tcPr>
            <w:tcW w:w="30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920" w:type="dxa"/>
            <w:vAlign w:val="bottom"/>
          </w:tcPr>
          <w:p>
            <w:pPr>
              <w:ind w:left="20"/>
              <w:spacing w:after="0"/>
              <w:rPr>
                <w:sz w:val="20"/>
                <w:szCs w:val="20"/>
                <w:color w:val="auto"/>
              </w:rPr>
            </w:pPr>
            <w:r>
              <w:rPr>
                <w:rFonts w:ascii="Arial" w:cs="Arial" w:eastAsia="Arial" w:hAnsi="Arial"/>
                <w:sz w:val="9"/>
                <w:szCs w:val="9"/>
                <w:b w:val="1"/>
                <w:bCs w:val="1"/>
                <w:color w:val="auto"/>
              </w:rPr>
              <w:t>Property to be Developed: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527 West Kinzie, Chicago</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7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CCEEFF"/>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gridSpan w:val="2"/>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040" w:type="dxa"/>
            <w:vAlign w:val="bottom"/>
            <w:tcBorders>
              <w:bottom w:val="single" w:sz="8" w:color="auto"/>
            </w:tcBorders>
            <w:shd w:val="clear" w:color="auto" w:fill="CCEEFF"/>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92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Total THE MART</w:t>
            </w:r>
          </w:p>
        </w:tc>
        <w:tc>
          <w:tcPr>
            <w:tcW w:w="80" w:type="dxa"/>
            <w:vAlign w:val="bottom"/>
            <w:tcBorders>
              <w:bottom w:val="single" w:sz="8" w:color="auto"/>
            </w:tcBorders>
            <w:shd w:val="clear" w:color="auto" w:fill="FFFF99"/>
          </w:tcPr>
          <w:p>
            <w:pPr>
              <w:spacing w:after="0"/>
              <w:rPr>
                <w:sz w:val="9"/>
                <w:szCs w:val="9"/>
                <w:color w:val="auto"/>
              </w:rPr>
            </w:pPr>
          </w:p>
        </w:tc>
        <w:tc>
          <w:tcPr>
            <w:tcW w:w="560" w:type="dxa"/>
            <w:vAlign w:val="bottom"/>
            <w:tcBorders>
              <w:bottom w:val="single" w:sz="8" w:color="auto"/>
            </w:tcBorders>
            <w:shd w:val="clear" w:color="auto" w:fill="FFFF99"/>
          </w:tcPr>
          <w:p>
            <w:pPr>
              <w:spacing w:after="0"/>
              <w:rPr>
                <w:sz w:val="9"/>
                <w:szCs w:val="9"/>
                <w:color w:val="auto"/>
              </w:rPr>
            </w:pPr>
          </w:p>
        </w:tc>
        <w:tc>
          <w:tcPr>
            <w:tcW w:w="100" w:type="dxa"/>
            <w:vAlign w:val="bottom"/>
            <w:tcBorders>
              <w:bottom w:val="single" w:sz="8" w:color="auto"/>
            </w:tcBorders>
            <w:shd w:val="clear" w:color="auto" w:fill="FFFF99"/>
          </w:tcPr>
          <w:p>
            <w:pPr>
              <w:spacing w:after="0"/>
              <w:rPr>
                <w:sz w:val="9"/>
                <w:szCs w:val="9"/>
                <w:color w:val="auto"/>
              </w:rPr>
            </w:pPr>
          </w:p>
        </w:tc>
        <w:tc>
          <w:tcPr>
            <w:tcW w:w="760" w:type="dxa"/>
            <w:vAlign w:val="bottom"/>
            <w:tcBorders>
              <w:bottom w:val="single" w:sz="8" w:color="auto"/>
            </w:tcBorders>
            <w:gridSpan w:val="3"/>
            <w:shd w:val="clear" w:color="auto" w:fill="FFFF99"/>
          </w:tcPr>
          <w:p>
            <w:pPr>
              <w:jc w:val="right"/>
              <w:spacing w:after="0"/>
              <w:rPr>
                <w:sz w:val="20"/>
                <w:szCs w:val="20"/>
                <w:color w:val="auto"/>
              </w:rPr>
            </w:pPr>
            <w:r>
              <w:rPr>
                <w:rFonts w:ascii="Arial" w:cs="Arial" w:eastAsia="Arial" w:hAnsi="Arial"/>
                <w:sz w:val="9"/>
                <w:szCs w:val="9"/>
                <w:b w:val="1"/>
                <w:bCs w:val="1"/>
                <w:color w:val="auto"/>
              </w:rPr>
              <w:t>79.5 %</w:t>
            </w:r>
          </w:p>
        </w:tc>
        <w:tc>
          <w:tcPr>
            <w:tcW w:w="140" w:type="dxa"/>
            <w:vAlign w:val="bottom"/>
            <w:tcBorders>
              <w:bottom w:val="single" w:sz="8" w:color="auto"/>
            </w:tcBorders>
            <w:gridSpan w:val="2"/>
            <w:shd w:val="clear" w:color="auto" w:fill="FFFF99"/>
          </w:tcPr>
          <w:p>
            <w:pPr>
              <w:jc w:val="right"/>
              <w:ind w:right="20"/>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51.22</w:t>
            </w:r>
          </w:p>
        </w:tc>
        <w:tc>
          <w:tcPr>
            <w:tcW w:w="160" w:type="dxa"/>
            <w:vAlign w:val="bottom"/>
            <w:tcBorders>
              <w:bottom w:val="single" w:sz="8" w:color="auto"/>
            </w:tcBorders>
            <w:gridSpan w:val="2"/>
            <w:shd w:val="clear" w:color="auto" w:fill="FFFF99"/>
          </w:tcPr>
          <w:p>
            <w:pPr>
              <w:jc w:val="right"/>
              <w:ind w:right="20"/>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150,700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3,695,000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3,695,000</w:t>
            </w:r>
          </w:p>
        </w:tc>
        <w:tc>
          <w:tcPr>
            <w:tcW w:w="80" w:type="dxa"/>
            <w:vAlign w:val="bottom"/>
            <w:tcBorders>
              <w:bottom w:val="single" w:sz="8" w:color="auto"/>
            </w:tcBorders>
            <w:shd w:val="clear" w:color="auto" w:fill="FFFF99"/>
          </w:tcPr>
          <w:p>
            <w:pPr>
              <w:spacing w:after="0"/>
              <w:rPr>
                <w:sz w:val="9"/>
                <w:szCs w:val="9"/>
                <w:color w:val="auto"/>
              </w:rPr>
            </w:pPr>
          </w:p>
        </w:tc>
        <w:tc>
          <w:tcPr>
            <w:tcW w:w="780" w:type="dxa"/>
            <w:vAlign w:val="bottom"/>
            <w:tcBorders>
              <w:bottom w:val="single" w:sz="8" w:color="auto"/>
            </w:tcBorders>
            <w:gridSpan w:val="2"/>
            <w:shd w:val="clear" w:color="auto" w:fill="FFFF99"/>
          </w:tcPr>
          <w:p>
            <w:pPr>
              <w:ind w:left="580"/>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17,883</w:t>
            </w:r>
          </w:p>
        </w:tc>
        <w:tc>
          <w:tcPr>
            <w:tcW w:w="60" w:type="dxa"/>
            <w:vAlign w:val="bottom"/>
            <w:tcBorders>
              <w:bottom w:val="single" w:sz="8" w:color="auto"/>
            </w:tcBorders>
            <w:shd w:val="clear" w:color="auto" w:fill="FFFF99"/>
          </w:tcPr>
          <w:p>
            <w:pPr>
              <w:spacing w:after="0"/>
              <w:rPr>
                <w:sz w:val="9"/>
                <w:szCs w:val="9"/>
                <w:color w:val="auto"/>
              </w:rPr>
            </w:pPr>
          </w:p>
        </w:tc>
        <w:tc>
          <w:tcPr>
            <w:tcW w:w="304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2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Vornado's Ownership Interest</w:t>
            </w:r>
          </w:p>
        </w:tc>
        <w:tc>
          <w:tcPr>
            <w:tcW w:w="80" w:type="dxa"/>
            <w:vAlign w:val="bottom"/>
            <w:tcBorders>
              <w:bottom w:val="single" w:sz="8" w:color="auto"/>
            </w:tcBorders>
            <w:shd w:val="clear" w:color="auto" w:fill="FFFF99"/>
          </w:tcPr>
          <w:p>
            <w:pPr>
              <w:spacing w:after="0"/>
              <w:rPr>
                <w:sz w:val="9"/>
                <w:szCs w:val="9"/>
                <w:color w:val="auto"/>
              </w:rPr>
            </w:pPr>
          </w:p>
        </w:tc>
        <w:tc>
          <w:tcPr>
            <w:tcW w:w="560" w:type="dxa"/>
            <w:vAlign w:val="bottom"/>
            <w:tcBorders>
              <w:bottom w:val="single" w:sz="8" w:color="auto"/>
            </w:tcBorders>
            <w:shd w:val="clear" w:color="auto" w:fill="FFFF99"/>
          </w:tcPr>
          <w:p>
            <w:pPr>
              <w:spacing w:after="0"/>
              <w:rPr>
                <w:sz w:val="9"/>
                <w:szCs w:val="9"/>
                <w:color w:val="auto"/>
              </w:rPr>
            </w:pPr>
          </w:p>
        </w:tc>
        <w:tc>
          <w:tcPr>
            <w:tcW w:w="100" w:type="dxa"/>
            <w:vAlign w:val="bottom"/>
            <w:tcBorders>
              <w:bottom w:val="single" w:sz="8" w:color="auto"/>
            </w:tcBorders>
            <w:shd w:val="clear" w:color="auto" w:fill="FFFF99"/>
          </w:tcPr>
          <w:p>
            <w:pPr>
              <w:spacing w:after="0"/>
              <w:rPr>
                <w:sz w:val="9"/>
                <w:szCs w:val="9"/>
                <w:color w:val="auto"/>
              </w:rPr>
            </w:pPr>
          </w:p>
        </w:tc>
        <w:tc>
          <w:tcPr>
            <w:tcW w:w="760" w:type="dxa"/>
            <w:vAlign w:val="bottom"/>
            <w:tcBorders>
              <w:bottom w:val="single" w:sz="8" w:color="auto"/>
            </w:tcBorders>
            <w:gridSpan w:val="3"/>
            <w:shd w:val="clear" w:color="auto" w:fill="FFFF99"/>
          </w:tcPr>
          <w:p>
            <w:pPr>
              <w:jc w:val="right"/>
              <w:spacing w:after="0"/>
              <w:rPr>
                <w:sz w:val="20"/>
                <w:szCs w:val="20"/>
                <w:color w:val="auto"/>
              </w:rPr>
            </w:pPr>
            <w:r>
              <w:rPr>
                <w:rFonts w:ascii="Arial" w:cs="Arial" w:eastAsia="Arial" w:hAnsi="Arial"/>
                <w:sz w:val="9"/>
                <w:szCs w:val="9"/>
                <w:b w:val="1"/>
                <w:bCs w:val="1"/>
                <w:color w:val="auto"/>
              </w:rPr>
              <w:t>79.5 %</w:t>
            </w:r>
          </w:p>
        </w:tc>
        <w:tc>
          <w:tcPr>
            <w:tcW w:w="140" w:type="dxa"/>
            <w:vAlign w:val="bottom"/>
            <w:tcBorders>
              <w:bottom w:val="single" w:sz="8" w:color="auto"/>
            </w:tcBorders>
            <w:gridSpan w:val="2"/>
            <w:shd w:val="clear" w:color="auto" w:fill="FFFF99"/>
          </w:tcPr>
          <w:p>
            <w:pPr>
              <w:jc w:val="right"/>
              <w:ind w:right="20"/>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51.20</w:t>
            </w:r>
          </w:p>
        </w:tc>
        <w:tc>
          <w:tcPr>
            <w:tcW w:w="160" w:type="dxa"/>
            <w:vAlign w:val="bottom"/>
            <w:tcBorders>
              <w:bottom w:val="single" w:sz="8" w:color="auto"/>
            </w:tcBorders>
            <w:gridSpan w:val="2"/>
            <w:shd w:val="clear" w:color="auto" w:fill="FFFF99"/>
          </w:tcPr>
          <w:p>
            <w:pPr>
              <w:jc w:val="right"/>
              <w:ind w:right="20"/>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150,600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3,693,000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3,693,000</w:t>
            </w:r>
          </w:p>
        </w:tc>
        <w:tc>
          <w:tcPr>
            <w:tcW w:w="80" w:type="dxa"/>
            <w:vAlign w:val="bottom"/>
            <w:tcBorders>
              <w:bottom w:val="single" w:sz="8" w:color="auto"/>
            </w:tcBorders>
            <w:shd w:val="clear" w:color="auto" w:fill="FFFF99"/>
          </w:tcPr>
          <w:p>
            <w:pPr>
              <w:spacing w:after="0"/>
              <w:rPr>
                <w:sz w:val="9"/>
                <w:szCs w:val="9"/>
                <w:color w:val="auto"/>
              </w:rPr>
            </w:pPr>
          </w:p>
        </w:tc>
        <w:tc>
          <w:tcPr>
            <w:tcW w:w="780" w:type="dxa"/>
            <w:vAlign w:val="bottom"/>
            <w:tcBorders>
              <w:bottom w:val="single" w:sz="8" w:color="auto"/>
            </w:tcBorders>
            <w:gridSpan w:val="2"/>
            <w:shd w:val="clear" w:color="auto" w:fill="FFFF99"/>
          </w:tcPr>
          <w:p>
            <w:pPr>
              <w:ind w:left="580"/>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8,941</w:t>
            </w:r>
          </w:p>
        </w:tc>
        <w:tc>
          <w:tcPr>
            <w:tcW w:w="60" w:type="dxa"/>
            <w:vAlign w:val="bottom"/>
            <w:tcBorders>
              <w:bottom w:val="single" w:sz="8" w:color="auto"/>
            </w:tcBorders>
            <w:shd w:val="clear" w:color="auto" w:fill="FFFF99"/>
          </w:tcPr>
          <w:p>
            <w:pPr>
              <w:spacing w:after="0"/>
              <w:rPr>
                <w:sz w:val="9"/>
                <w:szCs w:val="9"/>
                <w:color w:val="auto"/>
              </w:rPr>
            </w:pPr>
          </w:p>
        </w:tc>
        <w:tc>
          <w:tcPr>
            <w:tcW w:w="304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920" w:type="dxa"/>
            <w:vAlign w:val="bottom"/>
          </w:tcPr>
          <w:p>
            <w:pPr>
              <w:ind w:left="20"/>
              <w:spacing w:after="0"/>
              <w:rPr>
                <w:sz w:val="20"/>
                <w:szCs w:val="20"/>
                <w:color w:val="auto"/>
              </w:rPr>
            </w:pPr>
            <w:r>
              <w:rPr>
                <w:rFonts w:ascii="Arial" w:cs="Arial" w:eastAsia="Arial" w:hAnsi="Arial"/>
                <w:sz w:val="9"/>
                <w:szCs w:val="9"/>
                <w:b w:val="1"/>
                <w:bCs w:val="1"/>
                <w:color w:val="auto"/>
              </w:rPr>
              <w:t>555 California Street: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9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555 California Street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70.0 %</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88.9 %</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111.59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147,200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1,512,000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1,512,000</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1,200,000</w:t>
            </w:r>
          </w:p>
        </w:tc>
        <w:tc>
          <w:tcPr>
            <w:tcW w:w="60" w:type="dxa"/>
            <w:vAlign w:val="bottom"/>
            <w:shd w:val="clear" w:color="auto" w:fill="CCEEFF"/>
          </w:tcPr>
          <w:p>
            <w:pPr>
              <w:spacing w:after="0"/>
              <w:rPr>
                <w:sz w:val="10"/>
                <w:szCs w:val="1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Bank of America, N.A., Dodge &amp; Cox, Goldman Sachs &amp; Co.,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9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Jones Day, Kirkland &amp; Ellis LLP, Morgan Stanley &amp; Co. Inc.,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McKinsey &amp; Company Inc., UBS Financial Services,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shd w:val="clear" w:color="auto" w:fill="CCEEFF"/>
          </w:tcPr>
          <w:p>
            <w:pPr>
              <w:ind w:left="40"/>
              <w:spacing w:after="0"/>
              <w:rPr>
                <w:sz w:val="20"/>
                <w:szCs w:val="20"/>
                <w:color w:val="auto"/>
              </w:rPr>
            </w:pPr>
            <w:r>
              <w:rPr>
                <w:rFonts w:ascii="Arial" w:cs="Arial" w:eastAsia="Arial" w:hAnsi="Arial"/>
                <w:sz w:val="9"/>
                <w:szCs w:val="9"/>
                <w:color w:val="auto"/>
              </w:rPr>
              <w:t>KKR Financial, Microsoft Corporation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20" w:type="dxa"/>
            <w:vAlign w:val="bottom"/>
          </w:tcPr>
          <w:p>
            <w:pPr>
              <w:ind w:left="20"/>
              <w:spacing w:after="0"/>
              <w:rPr>
                <w:sz w:val="20"/>
                <w:szCs w:val="20"/>
                <w:color w:val="auto"/>
              </w:rPr>
            </w:pPr>
            <w:r>
              <w:rPr>
                <w:rFonts w:ascii="Arial" w:cs="Arial" w:eastAsia="Arial" w:hAnsi="Arial"/>
                <w:sz w:val="9"/>
                <w:szCs w:val="9"/>
                <w:color w:val="auto"/>
              </w:rPr>
              <w:t>315 Montgomery Street</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70.0 %</w:t>
            </w:r>
          </w:p>
        </w:tc>
        <w:tc>
          <w:tcPr>
            <w:tcW w:w="760" w:type="dxa"/>
            <w:vAlign w:val="bottom"/>
            <w:gridSpan w:val="3"/>
          </w:tcPr>
          <w:p>
            <w:pPr>
              <w:jc w:val="right"/>
              <w:spacing w:after="0"/>
              <w:rPr>
                <w:sz w:val="20"/>
                <w:szCs w:val="20"/>
                <w:color w:val="auto"/>
              </w:rPr>
            </w:pPr>
            <w:r>
              <w:rPr>
                <w:rFonts w:ascii="Arial" w:cs="Arial" w:eastAsia="Arial" w:hAnsi="Arial"/>
                <w:sz w:val="9"/>
                <w:szCs w:val="9"/>
                <w:color w:val="auto"/>
              </w:rPr>
              <w:t>74.2 %</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79.82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13,600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235,000</w:t>
            </w:r>
          </w:p>
        </w:tc>
        <w:tc>
          <w:tcPr>
            <w:tcW w:w="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235,000</w:t>
            </w:r>
          </w:p>
        </w:tc>
        <w:tc>
          <w:tcPr>
            <w:tcW w:w="80" w:type="dxa"/>
            <w:vAlign w:val="bottom"/>
          </w:tcPr>
          <w:p>
            <w:pPr>
              <w:spacing w:after="0"/>
              <w:rPr>
                <w:sz w:val="9"/>
                <w:szCs w:val="9"/>
                <w:color w:val="auto"/>
              </w:rPr>
            </w:pPr>
          </w:p>
        </w:tc>
        <w:tc>
          <w:tcPr>
            <w:tcW w:w="780" w:type="dxa"/>
            <w:vAlign w:val="bottom"/>
            <w:gridSpan w:val="2"/>
          </w:tcPr>
          <w:p>
            <w:pPr>
              <w:ind w:left="5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40" w:type="dxa"/>
            <w:vAlign w:val="bottom"/>
          </w:tcPr>
          <w:p>
            <w:pPr>
              <w:ind w:left="20"/>
              <w:spacing w:after="0"/>
              <w:rPr>
                <w:sz w:val="20"/>
                <w:szCs w:val="20"/>
                <w:color w:val="auto"/>
              </w:rPr>
            </w:pPr>
            <w:r>
              <w:rPr>
                <w:rFonts w:ascii="Arial" w:cs="Arial" w:eastAsia="Arial" w:hAnsi="Arial"/>
                <w:sz w:val="9"/>
                <w:szCs w:val="9"/>
                <w:color w:val="auto"/>
              </w:rPr>
              <w:t>Bank of America, N.A., Ripple Labs Inc., Blue Shield, Pacific Workplaces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20" w:type="dxa"/>
            <w:vAlign w:val="bottom"/>
          </w:tcPr>
          <w:p>
            <w:pPr>
              <w:spacing w:after="0"/>
              <w:rPr>
                <w:sz w:val="5"/>
                <w:szCs w:val="5"/>
                <w:color w:val="auto"/>
              </w:rPr>
            </w:pPr>
          </w:p>
        </w:tc>
        <w:tc>
          <w:tcPr>
            <w:tcW w:w="740" w:type="dxa"/>
            <w:vAlign w:val="bottom"/>
            <w:gridSpan w:val="3"/>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345 Montgomery Street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70.0 %</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shd w:val="clear" w:color="auto" w:fill="CCEEFF"/>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shd w:val="clear" w:color="auto" w:fill="CCEEFF"/>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57.18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shd w:val="clear" w:color="auto" w:fill="CCEEFF"/>
              </w:rPr>
              <w:t>4,300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76,000</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76,000</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9"/>
                <w:szCs w:val="9"/>
                <w:color w:val="auto"/>
              </w:rPr>
              <w:t>Wharton School of the University of Pennsylvania*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920" w:type="dxa"/>
            <w:vAlign w:val="bottom"/>
            <w:tcBorders>
              <w:left w:val="single" w:sz="8" w:color="CCEEFF"/>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gridSpan w:val="2"/>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0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92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Total 555 California Street</w:t>
            </w:r>
          </w:p>
        </w:tc>
        <w:tc>
          <w:tcPr>
            <w:tcW w:w="80" w:type="dxa"/>
            <w:vAlign w:val="bottom"/>
            <w:tcBorders>
              <w:bottom w:val="single" w:sz="8" w:color="auto"/>
            </w:tcBorders>
            <w:shd w:val="clear" w:color="auto" w:fill="FFFF99"/>
          </w:tcPr>
          <w:p>
            <w:pPr>
              <w:spacing w:after="0"/>
              <w:rPr>
                <w:sz w:val="9"/>
                <w:szCs w:val="9"/>
                <w:color w:val="auto"/>
              </w:rPr>
            </w:pPr>
          </w:p>
        </w:tc>
        <w:tc>
          <w:tcPr>
            <w:tcW w:w="560" w:type="dxa"/>
            <w:vAlign w:val="bottom"/>
            <w:tcBorders>
              <w:bottom w:val="single" w:sz="8" w:color="auto"/>
            </w:tcBorders>
            <w:shd w:val="clear" w:color="auto" w:fill="FFFF99"/>
          </w:tcPr>
          <w:p>
            <w:pPr>
              <w:spacing w:after="0"/>
              <w:rPr>
                <w:sz w:val="9"/>
                <w:szCs w:val="9"/>
                <w:color w:val="auto"/>
              </w:rPr>
            </w:pPr>
          </w:p>
        </w:tc>
        <w:tc>
          <w:tcPr>
            <w:tcW w:w="100" w:type="dxa"/>
            <w:vAlign w:val="bottom"/>
            <w:tcBorders>
              <w:bottom w:val="single" w:sz="8" w:color="auto"/>
            </w:tcBorders>
            <w:shd w:val="clear" w:color="auto" w:fill="FFFF99"/>
          </w:tcPr>
          <w:p>
            <w:pPr>
              <w:spacing w:after="0"/>
              <w:rPr>
                <w:sz w:val="9"/>
                <w:szCs w:val="9"/>
                <w:color w:val="auto"/>
              </w:rPr>
            </w:pPr>
          </w:p>
        </w:tc>
        <w:tc>
          <w:tcPr>
            <w:tcW w:w="760" w:type="dxa"/>
            <w:vAlign w:val="bottom"/>
            <w:tcBorders>
              <w:bottom w:val="single" w:sz="8" w:color="auto"/>
            </w:tcBorders>
            <w:gridSpan w:val="3"/>
            <w:shd w:val="clear" w:color="auto" w:fill="FFFF99"/>
          </w:tcPr>
          <w:p>
            <w:pPr>
              <w:jc w:val="right"/>
              <w:spacing w:after="0"/>
              <w:rPr>
                <w:sz w:val="20"/>
                <w:szCs w:val="20"/>
                <w:color w:val="auto"/>
              </w:rPr>
            </w:pPr>
            <w:r>
              <w:rPr>
                <w:rFonts w:ascii="Arial" w:cs="Arial" w:eastAsia="Arial" w:hAnsi="Arial"/>
                <w:sz w:val="9"/>
                <w:szCs w:val="9"/>
                <w:b w:val="1"/>
                <w:bCs w:val="1"/>
                <w:color w:val="auto"/>
              </w:rPr>
              <w:t>87.5 %</w:t>
            </w:r>
          </w:p>
        </w:tc>
        <w:tc>
          <w:tcPr>
            <w:tcW w:w="140" w:type="dxa"/>
            <w:vAlign w:val="bottom"/>
            <w:tcBorders>
              <w:bottom w:val="single" w:sz="8" w:color="auto"/>
            </w:tcBorders>
            <w:gridSpan w:val="2"/>
            <w:shd w:val="clear" w:color="auto" w:fill="FFFF99"/>
          </w:tcPr>
          <w:p>
            <w:pPr>
              <w:jc w:val="right"/>
              <w:ind w:right="20"/>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105.50</w:t>
            </w:r>
          </w:p>
        </w:tc>
        <w:tc>
          <w:tcPr>
            <w:tcW w:w="160" w:type="dxa"/>
            <w:vAlign w:val="bottom"/>
            <w:tcBorders>
              <w:bottom w:val="single" w:sz="8" w:color="auto"/>
            </w:tcBorders>
            <w:gridSpan w:val="2"/>
            <w:shd w:val="clear" w:color="auto" w:fill="FFFF99"/>
          </w:tcPr>
          <w:p>
            <w:pPr>
              <w:jc w:val="right"/>
              <w:ind w:right="20"/>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165,100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1,823,000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1,823,000</w:t>
            </w:r>
          </w:p>
        </w:tc>
        <w:tc>
          <w:tcPr>
            <w:tcW w:w="80" w:type="dxa"/>
            <w:vAlign w:val="bottom"/>
            <w:tcBorders>
              <w:bottom w:val="single" w:sz="8" w:color="auto"/>
            </w:tcBorders>
            <w:shd w:val="clear" w:color="auto" w:fill="FFFF99"/>
          </w:tcPr>
          <w:p>
            <w:pPr>
              <w:spacing w:after="0"/>
              <w:rPr>
                <w:sz w:val="9"/>
                <w:szCs w:val="9"/>
                <w:color w:val="auto"/>
              </w:rPr>
            </w:pPr>
          </w:p>
        </w:tc>
        <w:tc>
          <w:tcPr>
            <w:tcW w:w="780" w:type="dxa"/>
            <w:vAlign w:val="bottom"/>
            <w:tcBorders>
              <w:bottom w:val="single" w:sz="8" w:color="auto"/>
            </w:tcBorders>
            <w:gridSpan w:val="2"/>
            <w:shd w:val="clear" w:color="auto" w:fill="FFFF99"/>
          </w:tcPr>
          <w:p>
            <w:pPr>
              <w:ind w:left="580"/>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1,200,000</w:t>
            </w:r>
          </w:p>
        </w:tc>
        <w:tc>
          <w:tcPr>
            <w:tcW w:w="60" w:type="dxa"/>
            <w:vAlign w:val="bottom"/>
            <w:tcBorders>
              <w:bottom w:val="single" w:sz="8" w:color="auto"/>
            </w:tcBorders>
            <w:shd w:val="clear" w:color="auto" w:fill="FFFF99"/>
          </w:tcPr>
          <w:p>
            <w:pPr>
              <w:spacing w:after="0"/>
              <w:rPr>
                <w:sz w:val="9"/>
                <w:szCs w:val="9"/>
                <w:color w:val="auto"/>
              </w:rPr>
            </w:pPr>
          </w:p>
        </w:tc>
        <w:tc>
          <w:tcPr>
            <w:tcW w:w="304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92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Vornado's Ownership Interest</w:t>
            </w:r>
          </w:p>
        </w:tc>
        <w:tc>
          <w:tcPr>
            <w:tcW w:w="80" w:type="dxa"/>
            <w:vAlign w:val="bottom"/>
            <w:tcBorders>
              <w:bottom w:val="single" w:sz="8" w:color="auto"/>
            </w:tcBorders>
            <w:shd w:val="clear" w:color="auto" w:fill="FFFF99"/>
          </w:tcPr>
          <w:p>
            <w:pPr>
              <w:spacing w:after="0"/>
              <w:rPr>
                <w:sz w:val="9"/>
                <w:szCs w:val="9"/>
                <w:color w:val="auto"/>
              </w:rPr>
            </w:pPr>
          </w:p>
        </w:tc>
        <w:tc>
          <w:tcPr>
            <w:tcW w:w="560" w:type="dxa"/>
            <w:vAlign w:val="bottom"/>
            <w:tcBorders>
              <w:bottom w:val="single" w:sz="8" w:color="auto"/>
            </w:tcBorders>
            <w:shd w:val="clear" w:color="auto" w:fill="FFFF99"/>
          </w:tcPr>
          <w:p>
            <w:pPr>
              <w:spacing w:after="0"/>
              <w:rPr>
                <w:sz w:val="9"/>
                <w:szCs w:val="9"/>
                <w:color w:val="auto"/>
              </w:rPr>
            </w:pPr>
          </w:p>
        </w:tc>
        <w:tc>
          <w:tcPr>
            <w:tcW w:w="100" w:type="dxa"/>
            <w:vAlign w:val="bottom"/>
            <w:tcBorders>
              <w:bottom w:val="single" w:sz="8" w:color="auto"/>
            </w:tcBorders>
            <w:shd w:val="clear" w:color="auto" w:fill="FFFF99"/>
          </w:tcPr>
          <w:p>
            <w:pPr>
              <w:spacing w:after="0"/>
              <w:rPr>
                <w:sz w:val="9"/>
                <w:szCs w:val="9"/>
                <w:color w:val="auto"/>
              </w:rPr>
            </w:pPr>
          </w:p>
        </w:tc>
        <w:tc>
          <w:tcPr>
            <w:tcW w:w="760" w:type="dxa"/>
            <w:vAlign w:val="bottom"/>
            <w:tcBorders>
              <w:bottom w:val="single" w:sz="8" w:color="auto"/>
            </w:tcBorders>
            <w:gridSpan w:val="3"/>
            <w:shd w:val="clear" w:color="auto" w:fill="FFFF99"/>
          </w:tcPr>
          <w:p>
            <w:pPr>
              <w:jc w:val="right"/>
              <w:spacing w:after="0"/>
              <w:rPr>
                <w:sz w:val="20"/>
                <w:szCs w:val="20"/>
                <w:color w:val="auto"/>
              </w:rPr>
            </w:pPr>
            <w:r>
              <w:rPr>
                <w:rFonts w:ascii="Arial" w:cs="Arial" w:eastAsia="Arial" w:hAnsi="Arial"/>
                <w:sz w:val="9"/>
                <w:szCs w:val="9"/>
                <w:b w:val="1"/>
                <w:bCs w:val="1"/>
                <w:color w:val="auto"/>
              </w:rPr>
              <w:t>87.5 %</w:t>
            </w:r>
          </w:p>
        </w:tc>
        <w:tc>
          <w:tcPr>
            <w:tcW w:w="140" w:type="dxa"/>
            <w:vAlign w:val="bottom"/>
            <w:tcBorders>
              <w:bottom w:val="single" w:sz="8" w:color="auto"/>
            </w:tcBorders>
            <w:gridSpan w:val="2"/>
            <w:shd w:val="clear" w:color="auto" w:fill="FFFF99"/>
          </w:tcPr>
          <w:p>
            <w:pPr>
              <w:jc w:val="right"/>
              <w:ind w:right="20"/>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105.50</w:t>
            </w:r>
          </w:p>
        </w:tc>
        <w:tc>
          <w:tcPr>
            <w:tcW w:w="160" w:type="dxa"/>
            <w:vAlign w:val="bottom"/>
            <w:tcBorders>
              <w:bottom w:val="single" w:sz="8" w:color="auto"/>
            </w:tcBorders>
            <w:gridSpan w:val="2"/>
            <w:shd w:val="clear" w:color="auto" w:fill="FFFF99"/>
          </w:tcPr>
          <w:p>
            <w:pPr>
              <w:jc w:val="right"/>
              <w:ind w:right="20"/>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115,600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1,275,000</w:t>
            </w:r>
          </w:p>
        </w:tc>
        <w:tc>
          <w:tcPr>
            <w:tcW w:w="60" w:type="dxa"/>
            <w:vAlign w:val="bottom"/>
            <w:tcBorders>
              <w:bottom w:val="single" w:sz="8" w:color="auto"/>
            </w:tcBorders>
            <w:shd w:val="clear" w:color="auto" w:fill="FFFF99"/>
          </w:tcPr>
          <w:p>
            <w:pPr>
              <w:spacing w:after="0"/>
              <w:rPr>
                <w:sz w:val="9"/>
                <w:szCs w:val="9"/>
                <w:color w:val="auto"/>
              </w:rPr>
            </w:pP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1,275,000</w:t>
            </w:r>
          </w:p>
        </w:tc>
        <w:tc>
          <w:tcPr>
            <w:tcW w:w="80" w:type="dxa"/>
            <w:vAlign w:val="bottom"/>
            <w:tcBorders>
              <w:bottom w:val="single" w:sz="8" w:color="auto"/>
            </w:tcBorders>
            <w:shd w:val="clear" w:color="auto" w:fill="FFFF99"/>
          </w:tcPr>
          <w:p>
            <w:pPr>
              <w:spacing w:after="0"/>
              <w:rPr>
                <w:sz w:val="9"/>
                <w:szCs w:val="9"/>
                <w:color w:val="auto"/>
              </w:rPr>
            </w:pPr>
          </w:p>
        </w:tc>
        <w:tc>
          <w:tcPr>
            <w:tcW w:w="780" w:type="dxa"/>
            <w:vAlign w:val="bottom"/>
            <w:tcBorders>
              <w:bottom w:val="single" w:sz="8" w:color="auto"/>
            </w:tcBorders>
            <w:gridSpan w:val="2"/>
            <w:shd w:val="clear" w:color="auto" w:fill="FFFF99"/>
          </w:tcPr>
          <w:p>
            <w:pPr>
              <w:ind w:left="580"/>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840,000</w:t>
            </w:r>
          </w:p>
        </w:tc>
        <w:tc>
          <w:tcPr>
            <w:tcW w:w="60" w:type="dxa"/>
            <w:vAlign w:val="bottom"/>
            <w:tcBorders>
              <w:bottom w:val="single" w:sz="8" w:color="auto"/>
            </w:tcBorders>
            <w:shd w:val="clear" w:color="auto" w:fill="FFFF99"/>
          </w:tcPr>
          <w:p>
            <w:pPr>
              <w:spacing w:after="0"/>
              <w:rPr>
                <w:sz w:val="9"/>
                <w:szCs w:val="9"/>
                <w:color w:val="auto"/>
              </w:rPr>
            </w:pPr>
          </w:p>
        </w:tc>
        <w:tc>
          <w:tcPr>
            <w:tcW w:w="304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r>
    </w:p>
    <w:p>
      <w:pPr>
        <w:spacing w:after="0"/>
        <w:rPr>
          <w:sz w:val="20"/>
          <w:szCs w:val="20"/>
          <w:color w:val="auto"/>
        </w:rPr>
      </w:pPr>
      <w:r>
        <w:rPr>
          <w:rFonts w:ascii="Arial" w:cs="Arial" w:eastAsia="Arial" w:hAnsi="Arial"/>
          <w:sz w:val="7"/>
          <w:szCs w:val="7"/>
          <w:color w:val="auto"/>
        </w:rPr>
        <w:t>________________________________</w:t>
      </w:r>
    </w:p>
    <w:p>
      <w:pPr>
        <w:spacing w:after="0" w:line="7" w:lineRule="exact"/>
        <w:rPr>
          <w:sz w:val="20"/>
          <w:szCs w:val="20"/>
          <w:color w:val="auto"/>
        </w:rPr>
      </w:pPr>
    </w:p>
    <w:p>
      <w:pPr>
        <w:ind w:left="160" w:hanging="154"/>
        <w:spacing w:after="0"/>
        <w:tabs>
          <w:tab w:leader="none" w:pos="160" w:val="left"/>
        </w:tabs>
        <w:numPr>
          <w:ilvl w:val="0"/>
          <w:numId w:val="40"/>
        </w:numPr>
        <w:rPr>
          <w:rFonts w:ascii="Arial" w:cs="Arial" w:eastAsia="Arial" w:hAnsi="Arial"/>
          <w:sz w:val="10"/>
          <w:szCs w:val="10"/>
          <w:color w:val="auto"/>
        </w:rPr>
      </w:pPr>
      <w:r>
        <w:rPr>
          <w:rFonts w:ascii="Arial" w:cs="Arial" w:eastAsia="Arial" w:hAnsi="Arial"/>
          <w:sz w:val="10"/>
          <w:szCs w:val="10"/>
          <w:color w:val="auto"/>
        </w:rPr>
        <w:t>Lease not yet commenced.</w:t>
      </w:r>
    </w:p>
    <w:p>
      <w:pPr>
        <w:spacing w:after="0" w:line="3" w:lineRule="exact"/>
        <w:rPr>
          <w:sz w:val="20"/>
          <w:szCs w:val="20"/>
          <w:color w:val="auto"/>
        </w:rPr>
      </w:pPr>
    </w:p>
    <w:p>
      <w:pPr>
        <w:ind w:left="200" w:hanging="194"/>
        <w:spacing w:after="0"/>
        <w:tabs>
          <w:tab w:leader="none" w:pos="200" w:val="left"/>
        </w:tabs>
        <w:numPr>
          <w:ilvl w:val="0"/>
          <w:numId w:val="41"/>
        </w:numPr>
        <w:rPr>
          <w:rFonts w:ascii="Arial" w:cs="Arial" w:eastAsia="Arial" w:hAnsi="Arial"/>
          <w:sz w:val="10"/>
          <w:szCs w:val="10"/>
          <w:color w:val="auto"/>
        </w:rPr>
      </w:pPr>
      <w:r>
        <w:rPr>
          <w:rFonts w:ascii="Arial" w:cs="Arial" w:eastAsia="Arial" w:hAnsi="Arial"/>
          <w:sz w:val="10"/>
          <w:szCs w:val="10"/>
          <w:color w:val="auto"/>
        </w:rPr>
        <w:t>Term assumes all renewal options exercised, if applicable.</w:t>
      </w:r>
    </w:p>
    <w:p>
      <w:pPr>
        <w:spacing w:after="0" w:line="68" w:lineRule="exact"/>
        <w:rPr>
          <w:rFonts w:ascii="Arial" w:cs="Arial" w:eastAsia="Arial" w:hAnsi="Arial"/>
          <w:sz w:val="10"/>
          <w:szCs w:val="10"/>
          <w:color w:val="auto"/>
        </w:rPr>
      </w:pPr>
    </w:p>
    <w:p>
      <w:pPr>
        <w:ind w:left="320" w:hanging="249"/>
        <w:spacing w:after="0"/>
        <w:tabs>
          <w:tab w:leader="none" w:pos="320" w:val="left"/>
        </w:tabs>
        <w:numPr>
          <w:ilvl w:val="1"/>
          <w:numId w:val="41"/>
        </w:numPr>
        <w:rPr>
          <w:rFonts w:ascii="Arial" w:cs="Arial" w:eastAsia="Arial" w:hAnsi="Arial"/>
          <w:sz w:val="10"/>
          <w:szCs w:val="10"/>
          <w:b w:val="1"/>
          <w:bCs w:val="1"/>
          <w:color w:val="auto"/>
        </w:rPr>
      </w:pPr>
      <w:r>
        <w:rPr>
          <w:rFonts w:ascii="Arial" w:cs="Arial" w:eastAsia="Arial" w:hAnsi="Arial"/>
          <w:sz w:val="10"/>
          <w:szCs w:val="10"/>
          <w:color w:val="auto"/>
        </w:rPr>
        <w:t>Weighted average escalated annual rent per square foot excludes ground rent, storage rent and garages.</w:t>
      </w:r>
    </w:p>
    <w:p>
      <w:pPr>
        <w:spacing w:after="0" w:line="13" w:lineRule="exact"/>
        <w:rPr>
          <w:rFonts w:ascii="Arial" w:cs="Arial" w:eastAsia="Arial" w:hAnsi="Arial"/>
          <w:sz w:val="10"/>
          <w:szCs w:val="10"/>
          <w:b w:val="1"/>
          <w:bCs w:val="1"/>
          <w:color w:val="auto"/>
        </w:rPr>
      </w:pPr>
    </w:p>
    <w:p>
      <w:pPr>
        <w:ind w:left="320" w:right="20" w:hanging="249"/>
        <w:spacing w:after="0" w:line="247" w:lineRule="auto"/>
        <w:tabs>
          <w:tab w:leader="none" w:pos="314" w:val="left"/>
        </w:tabs>
        <w:numPr>
          <w:ilvl w:val="1"/>
          <w:numId w:val="41"/>
        </w:numPr>
        <w:rPr>
          <w:rFonts w:ascii="Arial" w:cs="Arial" w:eastAsia="Arial" w:hAnsi="Arial"/>
          <w:sz w:val="10"/>
          <w:szCs w:val="10"/>
          <w:b w:val="1"/>
          <w:bCs w:val="1"/>
          <w:color w:val="auto"/>
        </w:rPr>
      </w:pPr>
      <w:r>
        <w:rPr>
          <w:rFonts w:ascii="Arial" w:cs="Arial" w:eastAsia="Arial" w:hAnsi="Arial"/>
          <w:sz w:val="10"/>
          <w:szCs w:val="10"/>
          <w:color w:val="auto"/>
        </w:rPr>
        <w:t>Represents monthly contractual base rent before free rent plus tenant reimbursements multiplied by 12. Annualized escalated rent at share includes leases signed but not yet commenced in place of current tenants or vacancy in the same space. Includes rent from storage and other non-selling space and excludes rent from residential units.</w:t>
      </w:r>
    </w:p>
    <w:p>
      <w:pPr>
        <w:ind w:left="320" w:hanging="249"/>
        <w:spacing w:after="0"/>
        <w:tabs>
          <w:tab w:leader="none" w:pos="320" w:val="left"/>
        </w:tabs>
        <w:numPr>
          <w:ilvl w:val="1"/>
          <w:numId w:val="41"/>
        </w:numPr>
        <w:rPr>
          <w:rFonts w:ascii="Arial" w:cs="Arial" w:eastAsia="Arial" w:hAnsi="Arial"/>
          <w:sz w:val="10"/>
          <w:szCs w:val="10"/>
          <w:b w:val="1"/>
          <w:bCs w:val="1"/>
          <w:color w:val="auto"/>
        </w:rPr>
      </w:pPr>
      <w:r>
        <w:rPr>
          <w:rFonts w:ascii="Arial" w:cs="Arial" w:eastAsia="Arial" w:hAnsi="Arial"/>
          <w:sz w:val="10"/>
          <w:szCs w:val="10"/>
          <w:color w:val="auto"/>
        </w:rPr>
        <w:t>Represents the contractual debt obligations.</w:t>
      </w:r>
    </w:p>
    <w:p>
      <w:pPr>
        <w:spacing w:after="0" w:line="200" w:lineRule="exact"/>
        <w:rPr>
          <w:rFonts w:ascii="Arial" w:cs="Arial" w:eastAsia="Arial" w:hAnsi="Arial"/>
          <w:sz w:val="10"/>
          <w:szCs w:val="10"/>
          <w:b w:val="1"/>
          <w:bCs w:val="1"/>
          <w:color w:val="auto"/>
        </w:rPr>
      </w:pPr>
    </w:p>
    <w:p>
      <w:pPr>
        <w:spacing w:after="0" w:line="335" w:lineRule="exact"/>
        <w:rPr>
          <w:rFonts w:ascii="Arial" w:cs="Arial" w:eastAsia="Arial" w:hAnsi="Arial"/>
          <w:sz w:val="10"/>
          <w:szCs w:val="10"/>
          <w:b w:val="1"/>
          <w:bCs w:val="1"/>
          <w:color w:val="auto"/>
        </w:rPr>
      </w:pPr>
    </w:p>
    <w:p>
      <w:pPr>
        <w:ind w:left="5580" w:hanging="87"/>
        <w:spacing w:after="0"/>
        <w:tabs>
          <w:tab w:leader="none" w:pos="5580" w:val="left"/>
        </w:tabs>
        <w:numPr>
          <w:ilvl w:val="2"/>
          <w:numId w:val="41"/>
        </w:numPr>
        <w:rPr>
          <w:rFonts w:ascii="Arial" w:cs="Arial" w:eastAsia="Arial" w:hAnsi="Arial"/>
          <w:sz w:val="13"/>
          <w:szCs w:val="13"/>
          <w:color w:val="auto"/>
        </w:rPr>
      </w:pPr>
      <w:r>
        <w:rPr>
          <w:rFonts w:ascii="Arial" w:cs="Arial" w:eastAsia="Arial" w:hAnsi="Arial"/>
          <w:sz w:val="13"/>
          <w:szCs w:val="13"/>
          <w:color w:val="auto"/>
        </w:rPr>
        <w:t>42 -</w:t>
      </w:r>
    </w:p>
    <w:p>
      <w:pPr>
        <w:sectPr>
          <w:pgSz w:w="11900" w:h="16838" w:orient="portrait"/>
          <w:cols w:equalWidth="0" w:num="1">
            <w:col w:w="11300"/>
          </w:cols>
          <w:pgMar w:left="300" w:top="988" w:right="29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OTHER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6026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20"/>
        </w:trPr>
        <w:tc>
          <w:tcPr>
            <w:tcW w:w="2540" w:type="dxa"/>
            <w:vAlign w:val="bottom"/>
          </w:tcPr>
          <w:p>
            <w:pPr>
              <w:ind w:left="20"/>
              <w:spacing w:after="0"/>
              <w:rPr>
                <w:sz w:val="20"/>
                <w:szCs w:val="20"/>
                <w:color w:val="auto"/>
              </w:rPr>
            </w:pPr>
            <w:r>
              <w:rPr>
                <w:rFonts w:ascii="Arial" w:cs="Arial" w:eastAsia="Arial" w:hAnsi="Arial"/>
                <w:sz w:val="9"/>
                <w:szCs w:val="9"/>
                <w:color w:val="auto"/>
              </w:rPr>
              <w:t>(Annualized escalated rent amounts in thousands)</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9"/>
                <w:szCs w:val="9"/>
                <w:b w:val="1"/>
                <w:bCs w:val="1"/>
                <w:color w:val="auto"/>
                <w:w w:val="93"/>
              </w:rPr>
              <w:t>Square Feet</w:t>
            </w:r>
          </w:p>
        </w:tc>
        <w:tc>
          <w:tcPr>
            <w:tcW w:w="6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140"/>
              <w:spacing w:after="0" w:line="87" w:lineRule="exact"/>
              <w:rPr>
                <w:sz w:val="20"/>
                <w:szCs w:val="20"/>
                <w:color w:val="auto"/>
              </w:rPr>
            </w:pPr>
            <w:r>
              <w:rPr>
                <w:rFonts w:ascii="Arial" w:cs="Arial" w:eastAsia="Arial" w:hAnsi="Arial"/>
                <w:sz w:val="9"/>
                <w:szCs w:val="9"/>
                <w:b w:val="1"/>
                <w:bCs w:val="1"/>
                <w:color w:val="auto"/>
                <w:w w:val="93"/>
              </w:rPr>
              <w:t>Weighted</w:t>
            </w: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spacing w:after="0" w:line="87" w:lineRule="exact"/>
              <w:rPr>
                <w:sz w:val="20"/>
                <w:szCs w:val="20"/>
                <w:color w:val="auto"/>
              </w:rPr>
            </w:pPr>
            <w:r>
              <w:rPr>
                <w:rFonts w:ascii="Arial" w:cs="Arial" w:eastAsia="Arial" w:hAnsi="Arial"/>
                <w:sz w:val="9"/>
                <w:szCs w:val="9"/>
                <w:b w:val="1"/>
                <w:bCs w:val="1"/>
                <w:color w:val="auto"/>
                <w:w w:val="92"/>
              </w:rPr>
              <w:t>Under</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140"/>
              <w:spacing w:after="0" w:line="86" w:lineRule="exact"/>
              <w:rPr>
                <w:sz w:val="20"/>
                <w:szCs w:val="20"/>
                <w:color w:val="auto"/>
              </w:rPr>
            </w:pPr>
            <w:r>
              <w:rPr>
                <w:rFonts w:ascii="Arial" w:cs="Arial" w:eastAsia="Arial" w:hAnsi="Arial"/>
                <w:sz w:val="9"/>
                <w:szCs w:val="9"/>
                <w:b w:val="1"/>
                <w:bCs w:val="1"/>
                <w:color w:val="auto"/>
                <w:w w:val="95"/>
              </w:rPr>
              <w:t>Average</w:t>
            </w:r>
          </w:p>
        </w:tc>
        <w:tc>
          <w:tcPr>
            <w:tcW w:w="6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5"/>
              </w:rPr>
              <w:t>Annualized</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5"/>
              </w:rPr>
              <w:t>Development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9"/>
                <w:szCs w:val="9"/>
                <w:b w:val="1"/>
                <w:bCs w:val="1"/>
                <w:color w:val="auto"/>
                <w:w w:val="96"/>
              </w:rPr>
              <w:t>Encumbrances</w:t>
            </w:r>
          </w:p>
        </w:tc>
        <w:tc>
          <w:tcPr>
            <w:tcW w:w="18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580" w:type="dxa"/>
            <w:vAlign w:val="bottom"/>
            <w:gridSpan w:val="2"/>
            <w:vMerge w:val="restart"/>
          </w:tcPr>
          <w:p>
            <w:pPr>
              <w:jc w:val="right"/>
              <w:ind w:right="117"/>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jc w:val="right"/>
              <w:ind w:right="237"/>
              <w:spacing w:after="0"/>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160"/>
              <w:spacing w:after="0" w:line="86" w:lineRule="exact"/>
              <w:rPr>
                <w:sz w:val="20"/>
                <w:szCs w:val="20"/>
                <w:color w:val="auto"/>
              </w:rPr>
            </w:pPr>
            <w:r>
              <w:rPr>
                <w:rFonts w:ascii="Arial" w:cs="Arial" w:eastAsia="Arial" w:hAnsi="Arial"/>
                <w:sz w:val="9"/>
                <w:szCs w:val="9"/>
                <w:b w:val="1"/>
                <w:bCs w:val="1"/>
                <w:color w:val="auto"/>
                <w:w w:val="95"/>
              </w:rPr>
              <w:t>Escalated</w:t>
            </w: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2"/>
              </w:rPr>
              <w:t>Total</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7"/>
              </w:rPr>
              <w:t>or Not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540" w:type="dxa"/>
            <w:vAlign w:val="bottom"/>
            <w:vMerge w:val="restart"/>
          </w:tcPr>
          <w:p>
            <w:pPr>
              <w:ind w:left="1100"/>
              <w:spacing w:after="0"/>
              <w:rPr>
                <w:sz w:val="20"/>
                <w:szCs w:val="20"/>
                <w:color w:val="auto"/>
              </w:rPr>
            </w:pPr>
            <w:r>
              <w:rPr>
                <w:rFonts w:ascii="Arial" w:cs="Arial" w:eastAsia="Arial" w:hAnsi="Arial"/>
                <w:sz w:val="9"/>
                <w:szCs w:val="9"/>
                <w:b w:val="1"/>
                <w:bCs w:val="1"/>
                <w:color w:val="auto"/>
              </w:rPr>
              <w:t>Property</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3"/>
          </w:tcPr>
          <w:p>
            <w:pPr>
              <w:jc w:val="center"/>
              <w:ind w:right="60"/>
              <w:spacing w:after="0" w:line="86" w:lineRule="exact"/>
              <w:rPr>
                <w:sz w:val="20"/>
                <w:szCs w:val="20"/>
                <w:color w:val="auto"/>
              </w:rPr>
            </w:pPr>
            <w:r>
              <w:rPr>
                <w:rFonts w:ascii="Arial" w:cs="Arial" w:eastAsia="Arial" w:hAnsi="Arial"/>
                <w:sz w:val="9"/>
                <w:szCs w:val="9"/>
                <w:b w:val="1"/>
                <w:bCs w:val="1"/>
                <w:color w:val="auto"/>
                <w:w w:val="94"/>
              </w:rPr>
              <w:t>Annual Rent</w:t>
            </w:r>
          </w:p>
        </w:tc>
        <w:tc>
          <w:tcPr>
            <w:tcW w:w="60" w:type="dxa"/>
            <w:vAlign w:val="bottom"/>
          </w:tcPr>
          <w:p>
            <w:pPr>
              <w:spacing w:after="0"/>
              <w:rPr>
                <w:sz w:val="7"/>
                <w:szCs w:val="7"/>
                <w:color w:val="auto"/>
              </w:rPr>
            </w:pPr>
          </w:p>
        </w:tc>
        <w:tc>
          <w:tcPr>
            <w:tcW w:w="620" w:type="dxa"/>
            <w:vAlign w:val="bottom"/>
            <w:gridSpan w:val="2"/>
          </w:tcPr>
          <w:p>
            <w:pPr>
              <w:jc w:val="center"/>
              <w:ind w:right="140"/>
              <w:spacing w:after="0" w:line="86" w:lineRule="exact"/>
              <w:rPr>
                <w:sz w:val="20"/>
                <w:szCs w:val="20"/>
                <w:color w:val="auto"/>
              </w:rPr>
            </w:pPr>
            <w:r>
              <w:rPr>
                <w:rFonts w:ascii="Arial" w:cs="Arial" w:eastAsia="Arial" w:hAnsi="Arial"/>
                <w:sz w:val="9"/>
                <w:szCs w:val="9"/>
                <w:b w:val="1"/>
                <w:bCs w:val="1"/>
                <w:color w:val="auto"/>
                <w:w w:val="95"/>
              </w:rPr>
              <w:t>Escalated</w:t>
            </w:r>
          </w:p>
        </w:tc>
        <w:tc>
          <w:tcPr>
            <w:tcW w:w="720" w:type="dxa"/>
            <w:vAlign w:val="bottom"/>
            <w:gridSpan w:val="2"/>
            <w:vMerge w:val="continue"/>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3"/>
              </w:rPr>
              <w:t>In Service</w:t>
            </w:r>
          </w:p>
        </w:tc>
        <w:tc>
          <w:tcPr>
            <w:tcW w:w="66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6"/>
              </w:rPr>
              <w:t>Available</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jc w:val="center"/>
              <w:ind w:right="37"/>
              <w:spacing w:after="0" w:line="86" w:lineRule="exact"/>
              <w:rPr>
                <w:sz w:val="20"/>
                <w:szCs w:val="20"/>
                <w:color w:val="auto"/>
              </w:rPr>
            </w:pPr>
            <w:r>
              <w:rPr>
                <w:rFonts w:ascii="Arial" w:cs="Arial" w:eastAsia="Arial" w:hAnsi="Arial"/>
                <w:sz w:val="9"/>
                <w:szCs w:val="9"/>
                <w:b w:val="1"/>
                <w:bCs w:val="1"/>
                <w:color w:val="auto"/>
                <w:w w:val="97"/>
              </w:rPr>
              <w:t>(non-GAAP)</w:t>
            </w:r>
          </w:p>
        </w:tc>
        <w:tc>
          <w:tcPr>
            <w:tcW w:w="180" w:type="dxa"/>
            <w:vAlign w:val="bottom"/>
          </w:tcPr>
          <w:p>
            <w:pPr>
              <w:spacing w:after="0"/>
              <w:rPr>
                <w:sz w:val="7"/>
                <w:szCs w:val="7"/>
                <w:color w:val="auto"/>
              </w:rPr>
            </w:pPr>
          </w:p>
        </w:tc>
        <w:tc>
          <w:tcPr>
            <w:tcW w:w="2800" w:type="dxa"/>
            <w:vAlign w:val="bottom"/>
            <w:vMerge w:val="restart"/>
          </w:tcPr>
          <w:p>
            <w:pPr>
              <w:ind w:left="1120"/>
              <w:spacing w:after="0"/>
              <w:rPr>
                <w:sz w:val="20"/>
                <w:szCs w:val="20"/>
                <w:color w:val="auto"/>
              </w:rPr>
            </w:pPr>
            <w:r>
              <w:rPr>
                <w:rFonts w:ascii="Arial" w:cs="Arial" w:eastAsia="Arial" w:hAnsi="Arial"/>
                <w:sz w:val="9"/>
                <w:szCs w:val="9"/>
                <w:b w:val="1"/>
                <w:bCs w:val="1"/>
                <w:color w:val="auto"/>
              </w:rPr>
              <w:t>Major Tenants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100"/>
              <w:spacing w:after="0"/>
              <w:rPr>
                <w:sz w:val="20"/>
                <w:szCs w:val="20"/>
                <w:color w:val="auto"/>
              </w:rPr>
            </w:pPr>
            <w:r>
              <w:rPr>
                <w:rFonts w:ascii="Arial" w:cs="Arial" w:eastAsia="Arial" w:hAnsi="Arial"/>
                <w:sz w:val="9"/>
                <w:szCs w:val="9"/>
                <w:b w:val="1"/>
                <w:bCs w:val="1"/>
                <w:color w:val="auto"/>
              </w:rPr>
              <w:t>Ownership</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Occupancy</w:t>
            </w:r>
          </w:p>
        </w:tc>
        <w:tc>
          <w:tcPr>
            <w:tcW w:w="8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PSF</w:t>
            </w:r>
            <w:r>
              <w:rPr>
                <w:rFonts w:ascii="Arial" w:cs="Arial" w:eastAsia="Arial" w:hAnsi="Arial"/>
                <w:sz w:val="11"/>
                <w:szCs w:val="11"/>
                <w:b w:val="1"/>
                <w:bCs w:val="1"/>
                <w:color w:val="auto"/>
                <w:w w:val="90"/>
                <w:vertAlign w:val="superscript"/>
              </w:rPr>
              <w:t>(1)</w:t>
            </w:r>
          </w:p>
        </w:tc>
        <w:tc>
          <w:tcPr>
            <w:tcW w:w="60" w:type="dxa"/>
            <w:vAlign w:val="bottom"/>
          </w:tcPr>
          <w:p>
            <w:pPr>
              <w:spacing w:after="0"/>
              <w:rPr>
                <w:sz w:val="11"/>
                <w:szCs w:val="11"/>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9"/>
              </w:rPr>
              <w:t>Rent</w:t>
            </w:r>
            <w:r>
              <w:rPr>
                <w:rFonts w:ascii="Arial" w:cs="Arial" w:eastAsia="Arial" w:hAnsi="Arial"/>
                <w:sz w:val="11"/>
                <w:szCs w:val="11"/>
                <w:b w:val="1"/>
                <w:bCs w:val="1"/>
                <w:color w:val="auto"/>
                <w:w w:val="89"/>
                <w:vertAlign w:val="superscript"/>
              </w:rPr>
              <w:t>(2)</w:t>
            </w:r>
          </w:p>
        </w:tc>
        <w:tc>
          <w:tcPr>
            <w:tcW w:w="72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7"/>
              </w:rPr>
              <w:t>Property</w:t>
            </w:r>
          </w:p>
        </w:tc>
        <w:tc>
          <w:tcPr>
            <w:tcW w:w="720" w:type="dxa"/>
            <w:vAlign w:val="bottom"/>
            <w:gridSpan w:val="2"/>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94"/>
              </w:rPr>
              <w:t>for Lease</w:t>
            </w:r>
          </w:p>
        </w:tc>
        <w:tc>
          <w:tcPr>
            <w:tcW w:w="6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Arial" w:cs="Arial" w:eastAsia="Arial" w:hAnsi="Arial"/>
                <w:sz w:val="9"/>
                <w:szCs w:val="9"/>
                <w:b w:val="1"/>
                <w:bCs w:val="1"/>
                <w:color w:val="auto"/>
                <w:w w:val="92"/>
              </w:rPr>
              <w:t>(in thousands)</w:t>
            </w:r>
            <w:r>
              <w:rPr>
                <w:rFonts w:ascii="Arial" w:cs="Arial" w:eastAsia="Arial" w:hAnsi="Arial"/>
                <w:sz w:val="11"/>
                <w:szCs w:val="11"/>
                <w:b w:val="1"/>
                <w:bCs w:val="1"/>
                <w:color w:val="auto"/>
                <w:w w:val="92"/>
                <w:vertAlign w:val="superscript"/>
              </w:rPr>
              <w:t>(3)</w:t>
            </w:r>
          </w:p>
        </w:tc>
        <w:tc>
          <w:tcPr>
            <w:tcW w:w="18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9"/>
                <w:szCs w:val="9"/>
                <w:b w:val="1"/>
                <w:bCs w:val="1"/>
                <w:color w:val="auto"/>
              </w:rPr>
              <w:t>OTHER:</w:t>
            </w:r>
          </w:p>
        </w:tc>
        <w:tc>
          <w:tcPr>
            <w:tcW w:w="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Arial" w:cs="Arial" w:eastAsia="Arial" w:hAnsi="Arial"/>
                <w:sz w:val="9"/>
                <w:szCs w:val="9"/>
                <w:b w:val="1"/>
                <w:bCs w:val="1"/>
                <w:color w:val="auto"/>
              </w:rPr>
              <w:t>Virginia:</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Rosslyn Plaza</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540" w:type="dxa"/>
            <w:vAlign w:val="bottom"/>
            <w:tcBorders>
              <w:lef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-Office - 4 buildings</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46.2 %</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29.4 %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56.07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736,000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274,000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462,000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9"/>
                <w:szCs w:val="9"/>
                <w:color w:val="auto"/>
              </w:rPr>
              <w:t>Nathan Associates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tcBorders>
              <w:left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-Residential - 2 buildings (197 units)</w:t>
            </w: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43.7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98.5 %</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253,000</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253,000</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80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54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4,600</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989,000</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527,000</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462,000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10,000</w:t>
            </w:r>
          </w:p>
        </w:tc>
        <w:tc>
          <w:tcPr>
            <w:tcW w:w="18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40" w:type="dxa"/>
            <w:vAlign w:val="bottom"/>
            <w:tcBorders>
              <w:lef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540" w:type="dxa"/>
            <w:vAlign w:val="bottom"/>
          </w:tcPr>
          <w:p>
            <w:pPr>
              <w:ind w:left="20"/>
              <w:spacing w:after="0"/>
              <w:rPr>
                <w:sz w:val="20"/>
                <w:szCs w:val="20"/>
                <w:color w:val="auto"/>
              </w:rPr>
            </w:pPr>
            <w:r>
              <w:rPr>
                <w:rFonts w:ascii="Arial" w:cs="Arial" w:eastAsia="Arial" w:hAnsi="Arial"/>
                <w:sz w:val="9"/>
                <w:szCs w:val="9"/>
                <w:color w:val="auto"/>
              </w:rPr>
              <w:t>Fashion Centre Mall / Washington Tower</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540" w:type="dxa"/>
            <w:vAlign w:val="bottom"/>
          </w:tcPr>
          <w:p>
            <w:pPr>
              <w:ind w:left="280"/>
              <w:spacing w:after="0"/>
              <w:rPr>
                <w:sz w:val="20"/>
                <w:szCs w:val="20"/>
                <w:color w:val="auto"/>
              </w:rPr>
            </w:pPr>
            <w:r>
              <w:rPr>
                <w:rFonts w:ascii="Arial" w:cs="Arial" w:eastAsia="Arial" w:hAnsi="Arial"/>
                <w:sz w:val="9"/>
                <w:szCs w:val="9"/>
                <w:color w:val="auto"/>
              </w:rPr>
              <w:t>-Office</w:t>
            </w:r>
          </w:p>
        </w:tc>
        <w:tc>
          <w:tcPr>
            <w:tcW w:w="680" w:type="dxa"/>
            <w:vAlign w:val="bottom"/>
            <w:gridSpan w:val="3"/>
          </w:tcPr>
          <w:p>
            <w:pPr>
              <w:jc w:val="right"/>
              <w:spacing w:after="0"/>
              <w:rPr>
                <w:sz w:val="20"/>
                <w:szCs w:val="20"/>
                <w:color w:val="auto"/>
              </w:rPr>
            </w:pPr>
            <w:r>
              <w:rPr>
                <w:rFonts w:ascii="Arial" w:cs="Arial" w:eastAsia="Arial" w:hAnsi="Arial"/>
                <w:sz w:val="9"/>
                <w:szCs w:val="9"/>
                <w:color w:val="auto"/>
              </w:rPr>
              <w:t>7.5 %</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75.0 %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170,000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170,000</w:t>
            </w:r>
          </w:p>
        </w:tc>
        <w:tc>
          <w:tcPr>
            <w:tcW w:w="8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43,000</w:t>
            </w:r>
          </w:p>
        </w:tc>
        <w:tc>
          <w:tcPr>
            <w:tcW w:w="180" w:type="dxa"/>
            <w:vAlign w:val="bottom"/>
          </w:tcPr>
          <w:p>
            <w:pPr>
              <w:spacing w:after="0"/>
              <w:rPr>
                <w:sz w:val="11"/>
                <w:szCs w:val="11"/>
                <w:color w:val="auto"/>
              </w:rPr>
            </w:pPr>
          </w:p>
        </w:tc>
        <w:tc>
          <w:tcPr>
            <w:tcW w:w="2800" w:type="dxa"/>
            <w:vAlign w:val="bottom"/>
          </w:tcPr>
          <w:p>
            <w:pPr>
              <w:ind w:left="20"/>
              <w:spacing w:after="0"/>
              <w:rPr>
                <w:sz w:val="20"/>
                <w:szCs w:val="20"/>
                <w:color w:val="auto"/>
              </w:rPr>
            </w:pPr>
            <w:r>
              <w:rPr>
                <w:rFonts w:ascii="Arial" w:cs="Arial" w:eastAsia="Arial" w:hAnsi="Arial"/>
                <w:sz w:val="9"/>
                <w:szCs w:val="9"/>
                <w:color w:val="auto"/>
              </w:rPr>
              <w:t>The Rand Corporation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tcPr>
          <w:p>
            <w:pPr>
              <w:ind w:left="280"/>
              <w:spacing w:after="0"/>
              <w:rPr>
                <w:sz w:val="20"/>
                <w:szCs w:val="20"/>
                <w:color w:val="auto"/>
              </w:rPr>
            </w:pPr>
            <w:r>
              <w:rPr>
                <w:rFonts w:ascii="Arial" w:cs="Arial" w:eastAsia="Arial" w:hAnsi="Arial"/>
                <w:sz w:val="9"/>
                <w:szCs w:val="9"/>
                <w:color w:val="auto"/>
              </w:rPr>
              <w:t>-Retail</w:t>
            </w:r>
          </w:p>
        </w:tc>
        <w:tc>
          <w:tcPr>
            <w:tcW w:w="680" w:type="dxa"/>
            <w:vAlign w:val="bottom"/>
            <w:gridSpan w:val="3"/>
          </w:tcPr>
          <w:p>
            <w:pPr>
              <w:jc w:val="right"/>
              <w:spacing w:after="0"/>
              <w:rPr>
                <w:sz w:val="20"/>
                <w:szCs w:val="20"/>
                <w:color w:val="auto"/>
              </w:rPr>
            </w:pPr>
            <w:r>
              <w:rPr>
                <w:rFonts w:ascii="Arial" w:cs="Arial" w:eastAsia="Arial" w:hAnsi="Arial"/>
                <w:sz w:val="9"/>
                <w:szCs w:val="9"/>
                <w:color w:val="auto"/>
              </w:rPr>
              <w:t>7.5 %</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98.6 %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38.77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868,000</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868,000</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422,000</w:t>
            </w:r>
          </w:p>
        </w:tc>
        <w:tc>
          <w:tcPr>
            <w:tcW w:w="180" w:type="dxa"/>
            <w:vAlign w:val="bottom"/>
          </w:tcPr>
          <w:p>
            <w:pPr>
              <w:spacing w:after="0"/>
              <w:rPr>
                <w:sz w:val="11"/>
                <w:szCs w:val="11"/>
                <w:color w:val="auto"/>
              </w:rPr>
            </w:pPr>
          </w:p>
        </w:tc>
        <w:tc>
          <w:tcPr>
            <w:tcW w:w="2800" w:type="dxa"/>
            <w:vAlign w:val="bottom"/>
          </w:tcPr>
          <w:p>
            <w:pPr>
              <w:ind w:left="20"/>
              <w:spacing w:after="0"/>
              <w:rPr>
                <w:sz w:val="20"/>
                <w:szCs w:val="20"/>
                <w:color w:val="auto"/>
              </w:rPr>
            </w:pPr>
            <w:r>
              <w:rPr>
                <w:rFonts w:ascii="Arial" w:cs="Arial" w:eastAsia="Arial" w:hAnsi="Arial"/>
                <w:sz w:val="9"/>
                <w:szCs w:val="9"/>
                <w:color w:val="auto"/>
              </w:rPr>
              <w:t>Macy's, Nordstrom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540" w:type="dxa"/>
            <w:vAlign w:val="bottom"/>
          </w:tcPr>
          <w:p>
            <w:pPr>
              <w:spacing w:after="0"/>
              <w:rPr>
                <w:sz w:val="9"/>
                <w:szCs w:val="9"/>
                <w:color w:val="auto"/>
              </w:rPr>
            </w:pPr>
          </w:p>
        </w:tc>
        <w:tc>
          <w:tcPr>
            <w:tcW w:w="680" w:type="dxa"/>
            <w:vAlign w:val="bottom"/>
            <w:gridSpan w:val="3"/>
          </w:tcPr>
          <w:p>
            <w:pPr>
              <w:jc w:val="right"/>
              <w:spacing w:after="0"/>
              <w:rPr>
                <w:sz w:val="20"/>
                <w:szCs w:val="20"/>
                <w:color w:val="auto"/>
              </w:rPr>
            </w:pPr>
            <w:r>
              <w:rPr>
                <w:rFonts w:ascii="Arial" w:cs="Arial" w:eastAsia="Arial" w:hAnsi="Arial"/>
                <w:sz w:val="9"/>
                <w:szCs w:val="9"/>
                <w:color w:val="auto"/>
              </w:rPr>
              <w:t>7.5 %</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94.7 %</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39.97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50,500</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1,038,000</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1,038,000</w:t>
            </w:r>
          </w:p>
        </w:tc>
        <w:tc>
          <w:tcPr>
            <w:tcW w:w="80" w:type="dxa"/>
            <w:vAlign w:val="bottom"/>
          </w:tcPr>
          <w:p>
            <w:pPr>
              <w:spacing w:after="0"/>
              <w:rPr>
                <w:sz w:val="9"/>
                <w:szCs w:val="9"/>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465,000</w:t>
            </w:r>
          </w:p>
        </w:tc>
        <w:tc>
          <w:tcPr>
            <w:tcW w:w="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5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rPr>
              <w:t>New Jersey:</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540" w:type="dxa"/>
            <w:vAlign w:val="bottom"/>
          </w:tcPr>
          <w:p>
            <w:pPr>
              <w:ind w:left="20"/>
              <w:spacing w:after="0" w:line="87" w:lineRule="exact"/>
              <w:rPr>
                <w:sz w:val="20"/>
                <w:szCs w:val="20"/>
                <w:color w:val="auto"/>
              </w:rPr>
            </w:pPr>
            <w:r>
              <w:rPr>
                <w:rFonts w:ascii="Arial" w:cs="Arial" w:eastAsia="Arial" w:hAnsi="Arial"/>
                <w:sz w:val="9"/>
                <w:szCs w:val="9"/>
                <w:color w:val="auto"/>
              </w:rPr>
              <w:t>Wayne Town Center, Wayne</w:t>
            </w:r>
          </w:p>
        </w:tc>
        <w:tc>
          <w:tcPr>
            <w:tcW w:w="680" w:type="dxa"/>
            <w:vAlign w:val="bottom"/>
            <w:gridSpan w:val="3"/>
            <w:vMerge w:val="restart"/>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100.0 %</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31.19</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13,900</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690,000</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690,000</w:t>
            </w:r>
          </w:p>
        </w:tc>
        <w:tc>
          <w:tcPr>
            <w:tcW w:w="80" w:type="dxa"/>
            <w:vAlign w:val="bottom"/>
          </w:tcPr>
          <w:p>
            <w:pPr>
              <w:spacing w:after="0"/>
              <w:rPr>
                <w:sz w:val="7"/>
                <w:szCs w:val="7"/>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2800" w:type="dxa"/>
            <w:vAlign w:val="bottom"/>
            <w:vMerge w:val="restart"/>
          </w:tcPr>
          <w:p>
            <w:pPr>
              <w:ind w:left="20"/>
              <w:spacing w:after="0"/>
              <w:rPr>
                <w:sz w:val="20"/>
                <w:szCs w:val="20"/>
                <w:color w:val="auto"/>
              </w:rPr>
            </w:pPr>
            <w:r>
              <w:rPr>
                <w:rFonts w:ascii="Arial" w:cs="Arial" w:eastAsia="Arial" w:hAnsi="Arial"/>
                <w:sz w:val="9"/>
                <w:szCs w:val="9"/>
                <w:color w:val="auto"/>
              </w:rPr>
              <w:t>Costco, Dick's Sporting Goods, Nordstrom Rack, UFC FIT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540" w:type="dxa"/>
            <w:vAlign w:val="bottom"/>
          </w:tcPr>
          <w:p>
            <w:pPr>
              <w:ind w:left="120"/>
              <w:spacing w:after="0"/>
              <w:rPr>
                <w:sz w:val="20"/>
                <w:szCs w:val="20"/>
                <w:color w:val="auto"/>
              </w:rPr>
            </w:pPr>
            <w:r>
              <w:rPr>
                <w:rFonts w:ascii="Arial" w:cs="Arial" w:eastAsia="Arial" w:hAnsi="Arial"/>
                <w:sz w:val="9"/>
                <w:szCs w:val="9"/>
                <w:color w:val="auto"/>
              </w:rPr>
              <w:t>(ground leased through 2064)**</w:t>
            </w:r>
          </w:p>
        </w:tc>
        <w:tc>
          <w:tcPr>
            <w:tcW w:w="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540" w:type="dxa"/>
            <w:vAlign w:val="bottom"/>
            <w:tcBorders>
              <w:left w:val="single" w:sz="8" w:color="CCEEFF"/>
            </w:tcBorders>
            <w:shd w:val="clear" w:color="auto" w:fill="CCEEFF"/>
          </w:tcPr>
          <w:p>
            <w:pPr>
              <w:ind w:left="20"/>
              <w:spacing w:after="0" w:line="87" w:lineRule="exact"/>
              <w:rPr>
                <w:sz w:val="20"/>
                <w:szCs w:val="20"/>
                <w:color w:val="auto"/>
              </w:rPr>
            </w:pPr>
            <w:r>
              <w:rPr>
                <w:rFonts w:ascii="Arial" w:cs="Arial" w:eastAsia="Arial" w:hAnsi="Arial"/>
                <w:sz w:val="9"/>
                <w:szCs w:val="9"/>
                <w:color w:val="auto"/>
              </w:rPr>
              <w:t>Atlantic City</w:t>
            </w: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540" w:type="dxa"/>
            <w:vAlign w:val="bottom"/>
            <w:tcBorders>
              <w:left w:val="single" w:sz="8" w:color="CCEEFF"/>
            </w:tcBorders>
            <w:shd w:val="clear" w:color="auto" w:fill="CCEEFF"/>
          </w:tcPr>
          <w:p>
            <w:pPr>
              <w:ind w:left="120"/>
              <w:spacing w:after="0" w:line="86" w:lineRule="exact"/>
              <w:rPr>
                <w:sz w:val="20"/>
                <w:szCs w:val="20"/>
                <w:color w:val="auto"/>
              </w:rPr>
            </w:pPr>
            <w:r>
              <w:rPr>
                <w:rFonts w:ascii="Arial" w:cs="Arial" w:eastAsia="Arial" w:hAnsi="Arial"/>
                <w:sz w:val="9"/>
                <w:szCs w:val="9"/>
                <w:color w:val="auto"/>
                <w:w w:val="97"/>
              </w:rPr>
              <w:t>(11.3 acres ground leased through 2070 to VICI Properties for</w:t>
            </w: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540" w:type="dxa"/>
            <w:vAlign w:val="bottom"/>
            <w:tcBorders>
              <w:left w:val="single" w:sz="8" w:color="CCEEFF"/>
            </w:tcBorders>
            <w:shd w:val="clear" w:color="auto" w:fill="CCEEFF"/>
          </w:tcPr>
          <w:p>
            <w:pPr>
              <w:ind w:left="20"/>
              <w:spacing w:after="0" w:line="86" w:lineRule="exact"/>
              <w:rPr>
                <w:sz w:val="20"/>
                <w:szCs w:val="20"/>
                <w:color w:val="auto"/>
              </w:rPr>
            </w:pPr>
            <w:r>
              <w:rPr>
                <w:rFonts w:ascii="Arial" w:cs="Arial" w:eastAsia="Arial" w:hAnsi="Arial"/>
                <w:sz w:val="9"/>
                <w:szCs w:val="9"/>
                <w:color w:val="auto"/>
              </w:rPr>
              <w:t>a</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100.0 %</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8,100</w:t>
            </w:r>
          </w:p>
        </w:tc>
        <w:tc>
          <w:tcPr>
            <w:tcW w:w="8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7"/>
                <w:szCs w:val="7"/>
                <w:color w:val="auto"/>
              </w:rPr>
            </w:pPr>
          </w:p>
        </w:tc>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9"/>
                <w:szCs w:val="9"/>
                <w:color w:val="auto"/>
              </w:rPr>
              <w:t>VICI Properties (ground lessee)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54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9"/>
                <w:szCs w:val="9"/>
                <w:color w:val="auto"/>
              </w:rPr>
              <w:t>portion of the Borgata Hotel and Casino complex)</w:t>
            </w:r>
          </w:p>
        </w:tc>
        <w:tc>
          <w:tcPr>
            <w:tcW w:w="68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40" w:type="dxa"/>
            <w:vAlign w:val="bottom"/>
            <w:tcBorders>
              <w:lef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540" w:type="dxa"/>
            <w:vAlign w:val="bottom"/>
          </w:tcPr>
          <w:p>
            <w:pPr>
              <w:ind w:left="20"/>
              <w:spacing w:after="0"/>
              <w:rPr>
                <w:sz w:val="20"/>
                <w:szCs w:val="20"/>
                <w:color w:val="auto"/>
              </w:rPr>
            </w:pPr>
            <w:r>
              <w:rPr>
                <w:rFonts w:ascii="Arial" w:cs="Arial" w:eastAsia="Arial" w:hAnsi="Arial"/>
                <w:sz w:val="9"/>
                <w:szCs w:val="9"/>
                <w:color w:val="auto"/>
              </w:rPr>
              <w:t>Paramus</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540" w:type="dxa"/>
            <w:vAlign w:val="bottom"/>
          </w:tcPr>
          <w:p>
            <w:pPr>
              <w:ind w:left="280"/>
              <w:spacing w:after="0"/>
              <w:rPr>
                <w:sz w:val="20"/>
                <w:szCs w:val="20"/>
                <w:color w:val="auto"/>
              </w:rPr>
            </w:pPr>
            <w:r>
              <w:rPr>
                <w:rFonts w:ascii="Arial" w:cs="Arial" w:eastAsia="Arial" w:hAnsi="Arial"/>
                <w:sz w:val="9"/>
                <w:szCs w:val="9"/>
                <w:color w:val="auto"/>
              </w:rPr>
              <w:t>-Office</w:t>
            </w:r>
          </w:p>
        </w:tc>
        <w:tc>
          <w:tcPr>
            <w:tcW w:w="68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69.8 %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26.88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2,300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129,000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129,000</w:t>
            </w:r>
          </w:p>
        </w:tc>
        <w:tc>
          <w:tcPr>
            <w:tcW w:w="8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2800" w:type="dxa"/>
            <w:vAlign w:val="bottom"/>
          </w:tcPr>
          <w:p>
            <w:pPr>
              <w:ind w:left="20"/>
              <w:spacing w:after="0"/>
              <w:rPr>
                <w:sz w:val="20"/>
                <w:szCs w:val="20"/>
                <w:color w:val="auto"/>
              </w:rPr>
            </w:pPr>
            <w:r>
              <w:rPr>
                <w:rFonts w:ascii="Arial" w:cs="Arial" w:eastAsia="Arial" w:hAnsi="Arial"/>
                <w:sz w:val="9"/>
                <w:szCs w:val="9"/>
                <w:color w:val="auto"/>
              </w:rPr>
              <w:t>Vornado's Administrative Headquarters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5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rPr>
              <w:t>Maryland:</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540" w:type="dxa"/>
            <w:vAlign w:val="bottom"/>
          </w:tcPr>
          <w:p>
            <w:pPr>
              <w:ind w:left="20"/>
              <w:spacing w:after="0" w:line="87" w:lineRule="exact"/>
              <w:rPr>
                <w:sz w:val="20"/>
                <w:szCs w:val="20"/>
                <w:color w:val="auto"/>
              </w:rPr>
            </w:pPr>
            <w:r>
              <w:rPr>
                <w:rFonts w:ascii="Arial" w:cs="Arial" w:eastAsia="Arial" w:hAnsi="Arial"/>
                <w:sz w:val="9"/>
                <w:szCs w:val="9"/>
                <w:color w:val="auto"/>
              </w:rPr>
              <w:t>Annapolis</w:t>
            </w:r>
          </w:p>
        </w:tc>
        <w:tc>
          <w:tcPr>
            <w:tcW w:w="680" w:type="dxa"/>
            <w:vAlign w:val="bottom"/>
            <w:gridSpan w:val="3"/>
            <w:vMerge w:val="restart"/>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100.0 %</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11.70</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1,500</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128,000</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128,000</w:t>
            </w:r>
          </w:p>
        </w:tc>
        <w:tc>
          <w:tcPr>
            <w:tcW w:w="80" w:type="dxa"/>
            <w:vAlign w:val="bottom"/>
          </w:tcPr>
          <w:p>
            <w:pPr>
              <w:spacing w:after="0"/>
              <w:rPr>
                <w:sz w:val="7"/>
                <w:szCs w:val="7"/>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2800" w:type="dxa"/>
            <w:vAlign w:val="bottom"/>
            <w:vMerge w:val="restart"/>
          </w:tcPr>
          <w:p>
            <w:pPr>
              <w:ind w:left="20"/>
              <w:spacing w:after="0"/>
              <w:rPr>
                <w:sz w:val="20"/>
                <w:szCs w:val="20"/>
                <w:color w:val="auto"/>
              </w:rPr>
            </w:pPr>
            <w:r>
              <w:rPr>
                <w:rFonts w:ascii="Arial" w:cs="Arial" w:eastAsia="Arial" w:hAnsi="Arial"/>
                <w:sz w:val="9"/>
                <w:szCs w:val="9"/>
                <w:color w:val="auto"/>
              </w:rPr>
              <w:t>The Home Depot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540" w:type="dxa"/>
            <w:vAlign w:val="bottom"/>
          </w:tcPr>
          <w:p>
            <w:pPr>
              <w:ind w:left="120"/>
              <w:spacing w:after="0"/>
              <w:rPr>
                <w:sz w:val="20"/>
                <w:szCs w:val="20"/>
                <w:color w:val="auto"/>
              </w:rPr>
            </w:pPr>
            <w:r>
              <w:rPr>
                <w:rFonts w:ascii="Arial" w:cs="Arial" w:eastAsia="Arial" w:hAnsi="Arial"/>
                <w:sz w:val="9"/>
                <w:szCs w:val="9"/>
                <w:color w:val="auto"/>
              </w:rPr>
              <w:t>(ground and building leased through 2042)**</w:t>
            </w:r>
          </w:p>
        </w:tc>
        <w:tc>
          <w:tcPr>
            <w:tcW w:w="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5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rPr>
              <w:t>New York:</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540" w:type="dxa"/>
            <w:vAlign w:val="bottom"/>
          </w:tcPr>
          <w:p>
            <w:pPr>
              <w:ind w:left="20"/>
              <w:spacing w:after="0"/>
              <w:rPr>
                <w:sz w:val="20"/>
                <w:szCs w:val="20"/>
                <w:color w:val="auto"/>
              </w:rPr>
            </w:pPr>
            <w:r>
              <w:rPr>
                <w:rFonts w:ascii="Arial" w:cs="Arial" w:eastAsia="Arial" w:hAnsi="Arial"/>
                <w:sz w:val="9"/>
                <w:szCs w:val="9"/>
                <w:color w:val="auto"/>
              </w:rPr>
              <w:t>650 Madison Avenue</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0" w:type="dxa"/>
            <w:vAlign w:val="bottom"/>
          </w:tcPr>
          <w:p>
            <w:pPr>
              <w:ind w:left="20"/>
              <w:spacing w:after="0"/>
              <w:rPr>
                <w:sz w:val="20"/>
                <w:szCs w:val="20"/>
                <w:color w:val="auto"/>
              </w:rPr>
            </w:pPr>
            <w:r>
              <w:rPr>
                <w:rFonts w:ascii="Arial" w:cs="Arial" w:eastAsia="Arial" w:hAnsi="Arial"/>
                <w:sz w:val="9"/>
                <w:szCs w:val="9"/>
                <w:color w:val="auto"/>
              </w:rPr>
              <w:t>Sotheby's International Realty, Inc., BC Partners Inc.,</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540" w:type="dxa"/>
            <w:vAlign w:val="bottom"/>
          </w:tcPr>
          <w:p>
            <w:pPr>
              <w:ind w:left="280"/>
              <w:spacing w:after="0"/>
              <w:rPr>
                <w:sz w:val="20"/>
                <w:szCs w:val="20"/>
                <w:color w:val="auto"/>
              </w:rPr>
            </w:pPr>
            <w:r>
              <w:rPr>
                <w:rFonts w:ascii="Arial" w:cs="Arial" w:eastAsia="Arial" w:hAnsi="Arial"/>
                <w:sz w:val="9"/>
                <w:szCs w:val="9"/>
                <w:color w:val="auto"/>
              </w:rPr>
              <w:t>-Office</w:t>
            </w:r>
          </w:p>
        </w:tc>
        <w:tc>
          <w:tcPr>
            <w:tcW w:w="680" w:type="dxa"/>
            <w:vAlign w:val="bottom"/>
            <w:gridSpan w:val="3"/>
          </w:tcPr>
          <w:p>
            <w:pPr>
              <w:jc w:val="right"/>
              <w:spacing w:after="0"/>
              <w:rPr>
                <w:sz w:val="20"/>
                <w:szCs w:val="20"/>
                <w:color w:val="auto"/>
              </w:rPr>
            </w:pPr>
            <w:r>
              <w:rPr>
                <w:rFonts w:ascii="Arial" w:cs="Arial" w:eastAsia="Arial" w:hAnsi="Arial"/>
                <w:sz w:val="9"/>
                <w:szCs w:val="9"/>
                <w:color w:val="auto"/>
              </w:rPr>
              <w:t>22.2 %</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60.3 %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116.77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563,000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563,000</w:t>
            </w:r>
          </w:p>
        </w:tc>
        <w:tc>
          <w:tcPr>
            <w:tcW w:w="8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0" w:type="dxa"/>
            <w:vAlign w:val="bottom"/>
          </w:tcPr>
          <w:p>
            <w:pPr>
              <w:ind w:left="20"/>
              <w:spacing w:after="0"/>
              <w:rPr>
                <w:sz w:val="20"/>
                <w:szCs w:val="20"/>
                <w:color w:val="auto"/>
              </w:rPr>
            </w:pPr>
            <w:r>
              <w:rPr>
                <w:rFonts w:ascii="Arial" w:cs="Arial" w:eastAsia="Arial" w:hAnsi="Arial"/>
                <w:sz w:val="9"/>
                <w:szCs w:val="9"/>
                <w:color w:val="auto"/>
              </w:rPr>
              <w:t>Polo Ralph Lauren, Willett Advisors LLC (Bloomberg Philanthropies)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540" w:type="dxa"/>
            <w:vAlign w:val="bottom"/>
          </w:tcPr>
          <w:p>
            <w:pPr>
              <w:ind w:left="280"/>
              <w:spacing w:after="0"/>
              <w:rPr>
                <w:sz w:val="20"/>
                <w:szCs w:val="20"/>
                <w:color w:val="auto"/>
              </w:rPr>
            </w:pPr>
            <w:r>
              <w:rPr>
                <w:rFonts w:ascii="Arial" w:cs="Arial" w:eastAsia="Arial" w:hAnsi="Arial"/>
                <w:sz w:val="9"/>
                <w:szCs w:val="9"/>
                <w:color w:val="auto"/>
              </w:rPr>
              <w:t>-Retail</w:t>
            </w:r>
          </w:p>
        </w:tc>
        <w:tc>
          <w:tcPr>
            <w:tcW w:w="680" w:type="dxa"/>
            <w:vAlign w:val="bottom"/>
            <w:gridSpan w:val="3"/>
          </w:tcPr>
          <w:p>
            <w:pPr>
              <w:jc w:val="right"/>
              <w:spacing w:after="0"/>
              <w:rPr>
                <w:sz w:val="20"/>
                <w:szCs w:val="20"/>
                <w:color w:val="auto"/>
              </w:rPr>
            </w:pPr>
            <w:r>
              <w:rPr>
                <w:rFonts w:ascii="Arial" w:cs="Arial" w:eastAsia="Arial" w:hAnsi="Arial"/>
                <w:sz w:val="9"/>
                <w:szCs w:val="9"/>
                <w:color w:val="auto"/>
              </w:rPr>
              <w:t>22.2 %</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95.7 %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1,096.36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38,000</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38,000</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0" w:type="dxa"/>
            <w:vAlign w:val="bottom"/>
          </w:tcPr>
          <w:p>
            <w:pPr>
              <w:ind w:left="20"/>
              <w:spacing w:after="0"/>
              <w:rPr>
                <w:sz w:val="20"/>
                <w:szCs w:val="20"/>
                <w:color w:val="auto"/>
              </w:rPr>
            </w:pPr>
            <w:r>
              <w:rPr>
                <w:rFonts w:ascii="Arial" w:cs="Arial" w:eastAsia="Arial" w:hAnsi="Arial"/>
                <w:sz w:val="9"/>
                <w:szCs w:val="9"/>
                <w:color w:val="auto"/>
              </w:rPr>
              <w:t>Moncler USA Inc., Tod's, Celine, Balmain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540" w:type="dxa"/>
            <w:vAlign w:val="bottom"/>
          </w:tcPr>
          <w:p>
            <w:pPr>
              <w:spacing w:after="0"/>
              <w:rPr>
                <w:sz w:val="9"/>
                <w:szCs w:val="9"/>
                <w:color w:val="auto"/>
              </w:rPr>
            </w:pPr>
          </w:p>
        </w:tc>
        <w:tc>
          <w:tcPr>
            <w:tcW w:w="680" w:type="dxa"/>
            <w:vAlign w:val="bottom"/>
            <w:gridSpan w:val="3"/>
          </w:tcPr>
          <w:p>
            <w:pPr>
              <w:jc w:val="right"/>
              <w:spacing w:after="0"/>
              <w:rPr>
                <w:sz w:val="20"/>
                <w:szCs w:val="20"/>
                <w:color w:val="auto"/>
              </w:rPr>
            </w:pPr>
            <w:r>
              <w:rPr>
                <w:rFonts w:ascii="Arial" w:cs="Arial" w:eastAsia="Arial" w:hAnsi="Arial"/>
                <w:sz w:val="9"/>
                <w:szCs w:val="9"/>
                <w:color w:val="auto"/>
              </w:rPr>
              <w:t>22.2 %</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61.8 %</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180.29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64,300</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601,000</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601,000</w:t>
            </w:r>
          </w:p>
        </w:tc>
        <w:tc>
          <w:tcPr>
            <w:tcW w:w="80" w:type="dxa"/>
            <w:vAlign w:val="bottom"/>
          </w:tcPr>
          <w:p>
            <w:pPr>
              <w:spacing w:after="0"/>
              <w:rPr>
                <w:sz w:val="9"/>
                <w:szCs w:val="9"/>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jc w:val="right"/>
              <w:ind w:right="72"/>
              <w:spacing w:after="0"/>
              <w:rPr>
                <w:sz w:val="20"/>
                <w:szCs w:val="20"/>
                <w:color w:val="auto"/>
              </w:rPr>
            </w:pPr>
            <w:r>
              <w:rPr>
                <w:rFonts w:ascii="Arial" w:cs="Arial" w:eastAsia="Arial" w:hAnsi="Arial"/>
                <w:sz w:val="6"/>
                <w:szCs w:val="6"/>
                <w:b w:val="1"/>
                <w:bCs w:val="1"/>
                <w:color w:val="auto"/>
                <w:w w:val="81"/>
              </w:rPr>
              <w:t>(4)</w:t>
            </w:r>
          </w:p>
        </w:tc>
        <w:tc>
          <w:tcPr>
            <w:tcW w:w="2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540" w:type="dxa"/>
            <w:vAlign w:val="bottom"/>
            <w:tcBorders>
              <w:left w:val="single" w:sz="8" w:color="CCEEFF"/>
            </w:tcBorders>
            <w:shd w:val="clear" w:color="auto" w:fill="CCEEFF"/>
          </w:tcPr>
          <w:p>
            <w:pPr>
              <w:ind w:left="20"/>
              <w:spacing w:after="0" w:line="87" w:lineRule="exact"/>
              <w:rPr>
                <w:sz w:val="20"/>
                <w:szCs w:val="20"/>
                <w:color w:val="auto"/>
              </w:rPr>
            </w:pPr>
            <w:r>
              <w:rPr>
                <w:rFonts w:ascii="Arial" w:cs="Arial" w:eastAsia="Arial" w:hAnsi="Arial"/>
                <w:sz w:val="9"/>
                <w:szCs w:val="9"/>
                <w:color w:val="auto"/>
              </w:rPr>
              <w:t>Sunset Pier 94 Studios</w:t>
            </w: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54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9"/>
                <w:szCs w:val="9"/>
                <w:color w:val="auto"/>
              </w:rPr>
              <w:t>(ground and building leased through 2110)**</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540" w:type="dxa"/>
            <w:vAlign w:val="bottom"/>
            <w:tcBorders>
              <w:left w:val="single" w:sz="8" w:color="CCEEFF"/>
            </w:tcBorders>
            <w:shd w:val="clear" w:color="auto" w:fill="CCEEFF"/>
          </w:tcPr>
          <w:p>
            <w:pPr>
              <w:ind w:left="280"/>
              <w:spacing w:after="0"/>
              <w:rPr>
                <w:sz w:val="20"/>
                <w:szCs w:val="20"/>
                <w:color w:val="auto"/>
              </w:rPr>
            </w:pPr>
            <w:r>
              <w:rPr>
                <w:rFonts w:ascii="Arial" w:cs="Arial" w:eastAsia="Arial" w:hAnsi="Arial"/>
                <w:sz w:val="9"/>
                <w:szCs w:val="9"/>
                <w:color w:val="CCEEFF"/>
              </w:rPr>
              <w:t>‘</w:t>
            </w:r>
            <w:r>
              <w:rPr>
                <w:rFonts w:ascii="Arial" w:cs="Arial" w:eastAsia="Arial" w:hAnsi="Arial"/>
                <w:sz w:val="9"/>
                <w:szCs w:val="9"/>
                <w:color w:val="000000"/>
              </w:rPr>
              <w:t>-Studio</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49.9 %</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92.0 %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266,000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266,000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169,771</w:t>
            </w:r>
          </w:p>
        </w:tc>
        <w:tc>
          <w:tcPr>
            <w:tcW w:w="180" w:type="dxa"/>
            <w:vAlign w:val="bottom"/>
            <w:shd w:val="clear" w:color="auto" w:fill="CCEEFF"/>
          </w:tcPr>
          <w:p>
            <w:pPr>
              <w:spacing w:after="0"/>
              <w:rPr>
                <w:sz w:val="11"/>
                <w:szCs w:val="11"/>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9"/>
                <w:szCs w:val="9"/>
                <w:color w:val="auto"/>
              </w:rPr>
              <w:t>Various tenants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540" w:type="dxa"/>
            <w:vAlign w:val="bottom"/>
            <w:tcBorders>
              <w:lef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540" w:type="dxa"/>
            <w:vAlign w:val="bottom"/>
          </w:tcPr>
          <w:p>
            <w:pPr>
              <w:ind w:left="20"/>
              <w:spacing w:after="0"/>
              <w:rPr>
                <w:sz w:val="20"/>
                <w:szCs w:val="20"/>
                <w:color w:val="auto"/>
              </w:rPr>
            </w:pPr>
            <w:r>
              <w:rPr>
                <w:rFonts w:ascii="Arial" w:cs="Arial" w:eastAsia="Arial" w:hAnsi="Arial"/>
                <w:sz w:val="9"/>
                <w:szCs w:val="9"/>
                <w:color w:val="auto"/>
              </w:rPr>
              <w:t>40 East 66th Street</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540" w:type="dxa"/>
            <w:vAlign w:val="bottom"/>
          </w:tcPr>
          <w:p>
            <w:pPr>
              <w:ind w:left="280"/>
              <w:spacing w:after="0"/>
              <w:rPr>
                <w:sz w:val="20"/>
                <w:szCs w:val="20"/>
                <w:color w:val="auto"/>
              </w:rPr>
            </w:pPr>
            <w:r>
              <w:rPr>
                <w:rFonts w:ascii="Arial" w:cs="Arial" w:eastAsia="Arial" w:hAnsi="Arial"/>
                <w:sz w:val="9"/>
                <w:szCs w:val="9"/>
                <w:color w:val="FFFFFF"/>
              </w:rPr>
              <w:t>‘</w:t>
            </w:r>
            <w:r>
              <w:rPr>
                <w:rFonts w:ascii="Arial" w:cs="Arial" w:eastAsia="Arial" w:hAnsi="Arial"/>
                <w:sz w:val="9"/>
                <w:szCs w:val="9"/>
                <w:color w:val="000000"/>
              </w:rPr>
              <w:t>-Residential</w:t>
            </w:r>
          </w:p>
        </w:tc>
        <w:tc>
          <w:tcPr>
            <w:tcW w:w="680" w:type="dxa"/>
            <w:vAlign w:val="bottom"/>
            <w:gridSpan w:val="3"/>
          </w:tcPr>
          <w:p>
            <w:pPr>
              <w:jc w:val="right"/>
              <w:spacing w:after="0"/>
              <w:rPr>
                <w:sz w:val="20"/>
                <w:szCs w:val="20"/>
                <w:color w:val="auto"/>
              </w:rPr>
            </w:pPr>
            <w:r>
              <w:rPr>
                <w:rFonts w:ascii="Arial" w:cs="Arial" w:eastAsia="Arial" w:hAnsi="Arial"/>
                <w:sz w:val="9"/>
                <w:szCs w:val="9"/>
                <w:color w:val="auto"/>
              </w:rPr>
              <w:t>100.0 %</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100.0 %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10,000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10,000</w:t>
            </w:r>
          </w:p>
        </w:tc>
        <w:tc>
          <w:tcPr>
            <w:tcW w:w="80" w:type="dxa"/>
            <w:vAlign w:val="bottom"/>
          </w:tcPr>
          <w:p>
            <w:pPr>
              <w:spacing w:after="0"/>
              <w:rPr>
                <w:sz w:val="11"/>
                <w:szCs w:val="11"/>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5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54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Total Other</w:t>
            </w:r>
          </w:p>
        </w:tc>
        <w:tc>
          <w:tcPr>
            <w:tcW w:w="60" w:type="dxa"/>
            <w:vAlign w:val="bottom"/>
            <w:tcBorders>
              <w:bottom w:val="single" w:sz="8" w:color="auto"/>
            </w:tcBorders>
            <w:shd w:val="clear" w:color="auto" w:fill="FFFF99"/>
          </w:tcPr>
          <w:p>
            <w:pPr>
              <w:spacing w:after="0"/>
              <w:rPr>
                <w:sz w:val="9"/>
                <w:szCs w:val="9"/>
                <w:color w:val="auto"/>
              </w:rPr>
            </w:pPr>
          </w:p>
        </w:tc>
        <w:tc>
          <w:tcPr>
            <w:tcW w:w="520" w:type="dxa"/>
            <w:vAlign w:val="bottom"/>
            <w:tcBorders>
              <w:bottom w:val="single" w:sz="8" w:color="auto"/>
            </w:tcBorders>
            <w:shd w:val="clear" w:color="auto" w:fill="FFFF99"/>
          </w:tcPr>
          <w:p>
            <w:pPr>
              <w:spacing w:after="0"/>
              <w:rPr>
                <w:sz w:val="9"/>
                <w:szCs w:val="9"/>
                <w:color w:val="auto"/>
              </w:rPr>
            </w:pPr>
          </w:p>
        </w:tc>
        <w:tc>
          <w:tcPr>
            <w:tcW w:w="10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84.2 %</w:t>
            </w:r>
          </w:p>
        </w:tc>
        <w:tc>
          <w:tcPr>
            <w:tcW w:w="6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56.04</w:t>
            </w:r>
          </w:p>
        </w:tc>
        <w:tc>
          <w:tcPr>
            <w:tcW w:w="8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54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145,200</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3,851,000</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3,389,000</w:t>
            </w:r>
          </w:p>
        </w:tc>
        <w:tc>
          <w:tcPr>
            <w:tcW w:w="80" w:type="dxa"/>
            <w:vAlign w:val="bottom"/>
            <w:tcBorders>
              <w:bottom w:val="single" w:sz="8" w:color="auto"/>
            </w:tcBorders>
            <w:shd w:val="clear" w:color="auto" w:fill="FFFF99"/>
          </w:tcPr>
          <w:p>
            <w:pPr>
              <w:spacing w:after="0"/>
              <w:rPr>
                <w:sz w:val="9"/>
                <w:szCs w:val="9"/>
                <w:color w:val="auto"/>
              </w:rPr>
            </w:pPr>
          </w:p>
        </w:tc>
        <w:tc>
          <w:tcPr>
            <w:tcW w:w="66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462,000</w:t>
            </w:r>
          </w:p>
        </w:tc>
        <w:tc>
          <w:tcPr>
            <w:tcW w:w="140" w:type="dxa"/>
            <w:vAlign w:val="bottom"/>
            <w:tcBorders>
              <w:bottom w:val="single" w:sz="8" w:color="auto"/>
            </w:tcBorders>
            <w:gridSpan w:val="2"/>
            <w:shd w:val="clear" w:color="auto" w:fill="FFFF99"/>
          </w:tcPr>
          <w:p>
            <w:pPr>
              <w:jc w:val="right"/>
              <w:spacing w:after="0"/>
              <w:rPr>
                <w:sz w:val="20"/>
                <w:szCs w:val="20"/>
                <w:color w:val="auto"/>
              </w:rPr>
            </w:pPr>
            <w:r>
              <w:rPr>
                <w:rFonts w:ascii="Arial" w:cs="Arial" w:eastAsia="Arial" w:hAnsi="Arial"/>
                <w:sz w:val="9"/>
                <w:szCs w:val="9"/>
                <w:b w:val="1"/>
                <w:bCs w:val="1"/>
                <w:color w:val="auto"/>
              </w:rPr>
              <w:t>$</w:t>
            </w: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644,771</w:t>
            </w:r>
          </w:p>
        </w:tc>
        <w:tc>
          <w:tcPr>
            <w:tcW w:w="180" w:type="dxa"/>
            <w:vAlign w:val="bottom"/>
            <w:tcBorders>
              <w:bottom w:val="single" w:sz="8" w:color="auto"/>
            </w:tcBorders>
            <w:shd w:val="clear" w:color="auto" w:fill="FFFF99"/>
          </w:tcPr>
          <w:p>
            <w:pPr>
              <w:spacing w:after="0"/>
              <w:rPr>
                <w:sz w:val="9"/>
                <w:szCs w:val="9"/>
                <w:color w:val="auto"/>
              </w:rPr>
            </w:pPr>
          </w:p>
        </w:tc>
        <w:tc>
          <w:tcPr>
            <w:tcW w:w="280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540" w:type="dxa"/>
            <w:vAlign w:val="bottom"/>
            <w:tcBorders>
              <w:left w:val="single" w:sz="8" w:color="auto"/>
              <w:bottom w:val="single" w:sz="8" w:color="auto"/>
            </w:tcBorders>
            <w:shd w:val="clear" w:color="auto" w:fill="FFFF99"/>
          </w:tcPr>
          <w:p>
            <w:pPr>
              <w:ind w:left="40"/>
              <w:spacing w:after="0"/>
              <w:rPr>
                <w:sz w:val="20"/>
                <w:szCs w:val="20"/>
                <w:color w:val="auto"/>
              </w:rPr>
            </w:pPr>
            <w:r>
              <w:rPr>
                <w:rFonts w:ascii="Arial" w:cs="Arial" w:eastAsia="Arial" w:hAnsi="Arial"/>
                <w:sz w:val="9"/>
                <w:szCs w:val="9"/>
                <w:b w:val="1"/>
                <w:bCs w:val="1"/>
                <w:color w:val="auto"/>
              </w:rPr>
              <w:t>Vornado's Ownership Interest</w:t>
            </w:r>
          </w:p>
        </w:tc>
        <w:tc>
          <w:tcPr>
            <w:tcW w:w="60" w:type="dxa"/>
            <w:vAlign w:val="bottom"/>
            <w:tcBorders>
              <w:bottom w:val="single" w:sz="8" w:color="auto"/>
            </w:tcBorders>
            <w:shd w:val="clear" w:color="auto" w:fill="FFFF99"/>
          </w:tcPr>
          <w:p>
            <w:pPr>
              <w:spacing w:after="0"/>
              <w:rPr>
                <w:sz w:val="9"/>
                <w:szCs w:val="9"/>
                <w:color w:val="auto"/>
              </w:rPr>
            </w:pPr>
          </w:p>
        </w:tc>
        <w:tc>
          <w:tcPr>
            <w:tcW w:w="520" w:type="dxa"/>
            <w:vAlign w:val="bottom"/>
            <w:tcBorders>
              <w:bottom w:val="single" w:sz="8" w:color="auto"/>
            </w:tcBorders>
            <w:shd w:val="clear" w:color="auto" w:fill="FFFF99"/>
          </w:tcPr>
          <w:p>
            <w:pPr>
              <w:spacing w:after="0"/>
              <w:rPr>
                <w:sz w:val="9"/>
                <w:szCs w:val="9"/>
                <w:color w:val="auto"/>
              </w:rPr>
            </w:pPr>
          </w:p>
        </w:tc>
        <w:tc>
          <w:tcPr>
            <w:tcW w:w="10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86.4 %</w:t>
            </w:r>
          </w:p>
        </w:tc>
        <w:tc>
          <w:tcPr>
            <w:tcW w:w="60" w:type="dxa"/>
            <w:vAlign w:val="bottom"/>
            <w:tcBorders>
              <w:bottom w:val="single" w:sz="8" w:color="auto"/>
            </w:tcBorders>
            <w:shd w:val="clear" w:color="auto" w:fill="FFFF99"/>
          </w:tcPr>
          <w:p>
            <w:pPr>
              <w:spacing w:after="0"/>
              <w:rPr>
                <w:sz w:val="9"/>
                <w:szCs w:val="9"/>
                <w:color w:val="auto"/>
              </w:rPr>
            </w:pPr>
          </w:p>
        </w:tc>
        <w:tc>
          <w:tcPr>
            <w:tcW w:w="8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59.14</w:t>
            </w:r>
          </w:p>
        </w:tc>
        <w:tc>
          <w:tcPr>
            <w:tcW w:w="80" w:type="dxa"/>
            <w:vAlign w:val="bottom"/>
            <w:tcBorders>
              <w:bottom w:val="single" w:sz="8" w:color="auto"/>
            </w:tcBorders>
            <w:shd w:val="clear" w:color="auto" w:fill="FFFF99"/>
          </w:tcPr>
          <w:p>
            <w:pPr>
              <w:spacing w:after="0"/>
              <w:rPr>
                <w:sz w:val="9"/>
                <w:szCs w:val="9"/>
                <w:color w:val="auto"/>
              </w:rPr>
            </w:pPr>
          </w:p>
        </w:tc>
        <w:tc>
          <w:tcPr>
            <w:tcW w:w="6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w w:val="78"/>
              </w:rPr>
              <w:t>$</w:t>
            </w:r>
          </w:p>
        </w:tc>
        <w:tc>
          <w:tcPr>
            <w:tcW w:w="54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46,000</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1,751,000</w:t>
            </w:r>
          </w:p>
        </w:tc>
        <w:tc>
          <w:tcPr>
            <w:tcW w:w="80" w:type="dxa"/>
            <w:vAlign w:val="bottom"/>
            <w:tcBorders>
              <w:bottom w:val="single" w:sz="8" w:color="auto"/>
            </w:tcBorders>
            <w:shd w:val="clear" w:color="auto" w:fill="FFFF99"/>
          </w:tcPr>
          <w:p>
            <w:pPr>
              <w:spacing w:after="0"/>
              <w:rPr>
                <w:sz w:val="9"/>
                <w:szCs w:val="9"/>
                <w:color w:val="auto"/>
              </w:rPr>
            </w:pPr>
          </w:p>
        </w:tc>
        <w:tc>
          <w:tcPr>
            <w:tcW w:w="64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1,542,000</w:t>
            </w:r>
          </w:p>
        </w:tc>
        <w:tc>
          <w:tcPr>
            <w:tcW w:w="80" w:type="dxa"/>
            <w:vAlign w:val="bottom"/>
            <w:tcBorders>
              <w:bottom w:val="single" w:sz="8" w:color="auto"/>
            </w:tcBorders>
            <w:shd w:val="clear" w:color="auto" w:fill="FFFF99"/>
          </w:tcPr>
          <w:p>
            <w:pPr>
              <w:spacing w:after="0"/>
              <w:rPr>
                <w:sz w:val="9"/>
                <w:szCs w:val="9"/>
                <w:color w:val="auto"/>
              </w:rPr>
            </w:pPr>
          </w:p>
        </w:tc>
        <w:tc>
          <w:tcPr>
            <w:tcW w:w="660" w:type="dxa"/>
            <w:vAlign w:val="bottom"/>
            <w:tcBorders>
              <w:bottom w:val="single" w:sz="8" w:color="auto"/>
            </w:tcBorders>
            <w:shd w:val="clear" w:color="auto" w:fill="FFFF99"/>
          </w:tcPr>
          <w:p>
            <w:pPr>
              <w:jc w:val="right"/>
              <w:ind w:right="17"/>
              <w:spacing w:after="0"/>
              <w:rPr>
                <w:sz w:val="20"/>
                <w:szCs w:val="20"/>
                <w:color w:val="auto"/>
              </w:rPr>
            </w:pPr>
            <w:r>
              <w:rPr>
                <w:rFonts w:ascii="Arial" w:cs="Arial" w:eastAsia="Arial" w:hAnsi="Arial"/>
                <w:sz w:val="9"/>
                <w:szCs w:val="9"/>
                <w:b w:val="1"/>
                <w:bCs w:val="1"/>
                <w:color w:val="auto"/>
              </w:rPr>
              <w:t>209,000</w:t>
            </w:r>
          </w:p>
        </w:tc>
        <w:tc>
          <w:tcPr>
            <w:tcW w:w="140" w:type="dxa"/>
            <w:vAlign w:val="bottom"/>
            <w:tcBorders>
              <w:bottom w:val="single" w:sz="8" w:color="auto"/>
            </w:tcBorders>
            <w:gridSpan w:val="2"/>
            <w:shd w:val="clear" w:color="auto" w:fill="FFFF99"/>
          </w:tcPr>
          <w:p>
            <w:pPr>
              <w:jc w:val="right"/>
              <w:spacing w:after="0"/>
              <w:rPr>
                <w:sz w:val="20"/>
                <w:szCs w:val="20"/>
                <w:color w:val="auto"/>
              </w:rPr>
            </w:pPr>
            <w:r>
              <w:rPr>
                <w:rFonts w:ascii="Arial" w:cs="Arial" w:eastAsia="Arial" w:hAnsi="Arial"/>
                <w:sz w:val="9"/>
                <w:szCs w:val="9"/>
                <w:b w:val="1"/>
                <w:bCs w:val="1"/>
                <w:color w:val="auto"/>
              </w:rPr>
              <w:t>$</w:t>
            </w:r>
          </w:p>
        </w:tc>
        <w:tc>
          <w:tcPr>
            <w:tcW w:w="700" w:type="dxa"/>
            <w:vAlign w:val="bottom"/>
            <w:tcBorders>
              <w:bottom w:val="single" w:sz="8" w:color="auto"/>
            </w:tcBorders>
            <w:shd w:val="clear" w:color="auto" w:fill="FFFF99"/>
          </w:tcPr>
          <w:p>
            <w:pPr>
              <w:jc w:val="right"/>
              <w:spacing w:after="0"/>
              <w:rPr>
                <w:sz w:val="20"/>
                <w:szCs w:val="20"/>
                <w:color w:val="auto"/>
              </w:rPr>
            </w:pPr>
            <w:r>
              <w:rPr>
                <w:rFonts w:ascii="Arial" w:cs="Arial" w:eastAsia="Arial" w:hAnsi="Arial"/>
                <w:sz w:val="9"/>
                <w:szCs w:val="9"/>
                <w:b w:val="1"/>
                <w:bCs w:val="1"/>
                <w:color w:val="auto"/>
              </w:rPr>
              <w:t>124,632</w:t>
            </w:r>
          </w:p>
        </w:tc>
        <w:tc>
          <w:tcPr>
            <w:tcW w:w="180" w:type="dxa"/>
            <w:vAlign w:val="bottom"/>
            <w:tcBorders>
              <w:bottom w:val="single" w:sz="8" w:color="auto"/>
            </w:tcBorders>
            <w:shd w:val="clear" w:color="auto" w:fill="FFFF99"/>
          </w:tcPr>
          <w:p>
            <w:pPr>
              <w:spacing w:after="0"/>
              <w:rPr>
                <w:sz w:val="9"/>
                <w:szCs w:val="9"/>
                <w:color w:val="auto"/>
              </w:rPr>
            </w:pPr>
          </w:p>
        </w:tc>
        <w:tc>
          <w:tcPr>
            <w:tcW w:w="2800" w:type="dxa"/>
            <w:vAlign w:val="bottom"/>
            <w:tcBorders>
              <w:bottom w:val="single" w:sz="8" w:color="auto"/>
            </w:tcBorders>
            <w:shd w:val="clear" w:color="auto" w:fill="FFFF99"/>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3"/>
          <w:szCs w:val="3"/>
          <w:color w:val="auto"/>
        </w:rPr>
        <w:t>____________________________________________________________________________________</w:t>
      </w:r>
    </w:p>
    <w:p>
      <w:pPr>
        <w:spacing w:after="0" w:line="1" w:lineRule="exact"/>
        <w:rPr>
          <w:sz w:val="20"/>
          <w:szCs w:val="20"/>
          <w:color w:val="auto"/>
        </w:rPr>
      </w:pPr>
    </w:p>
    <w:p>
      <w:pPr>
        <w:ind w:left="200" w:hanging="194"/>
        <w:spacing w:after="0"/>
        <w:tabs>
          <w:tab w:leader="none" w:pos="200" w:val="left"/>
        </w:tabs>
        <w:numPr>
          <w:ilvl w:val="0"/>
          <w:numId w:val="42"/>
        </w:numPr>
        <w:rPr>
          <w:rFonts w:ascii="Arial" w:cs="Arial" w:eastAsia="Arial" w:hAnsi="Arial"/>
          <w:sz w:val="10"/>
          <w:szCs w:val="10"/>
          <w:color w:val="auto"/>
        </w:rPr>
      </w:pPr>
      <w:r>
        <w:rPr>
          <w:rFonts w:ascii="Arial" w:cs="Arial" w:eastAsia="Arial" w:hAnsi="Arial"/>
          <w:sz w:val="10"/>
          <w:szCs w:val="10"/>
          <w:color w:val="auto"/>
        </w:rPr>
        <w:t>Term assumes all renewal options exercised, if applicable.</w:t>
      </w:r>
    </w:p>
    <w:p>
      <w:pPr>
        <w:spacing w:after="0" w:line="12" w:lineRule="exact"/>
        <w:rPr>
          <w:rFonts w:ascii="Arial" w:cs="Arial" w:eastAsia="Arial" w:hAnsi="Arial"/>
          <w:sz w:val="10"/>
          <w:szCs w:val="10"/>
          <w:color w:val="auto"/>
        </w:rPr>
      </w:pPr>
    </w:p>
    <w:p>
      <w:pPr>
        <w:ind w:left="320" w:hanging="249"/>
        <w:spacing w:after="0"/>
        <w:tabs>
          <w:tab w:leader="none" w:pos="320" w:val="left"/>
        </w:tabs>
        <w:numPr>
          <w:ilvl w:val="1"/>
          <w:numId w:val="42"/>
        </w:numPr>
        <w:rPr>
          <w:rFonts w:ascii="Arial" w:cs="Arial" w:eastAsia="Arial" w:hAnsi="Arial"/>
          <w:sz w:val="10"/>
          <w:szCs w:val="10"/>
          <w:b w:val="1"/>
          <w:bCs w:val="1"/>
          <w:color w:val="auto"/>
        </w:rPr>
      </w:pPr>
      <w:r>
        <w:rPr>
          <w:rFonts w:ascii="Arial" w:cs="Arial" w:eastAsia="Arial" w:hAnsi="Arial"/>
          <w:sz w:val="10"/>
          <w:szCs w:val="10"/>
          <w:color w:val="auto"/>
        </w:rPr>
        <w:t>Weighted average escalated annual rent per square foot excludes ground rent, storage rent, garages and residential.</w:t>
      </w:r>
    </w:p>
    <w:p>
      <w:pPr>
        <w:spacing w:after="0" w:line="11" w:lineRule="exact"/>
        <w:rPr>
          <w:rFonts w:ascii="Arial" w:cs="Arial" w:eastAsia="Arial" w:hAnsi="Arial"/>
          <w:sz w:val="10"/>
          <w:szCs w:val="10"/>
          <w:b w:val="1"/>
          <w:bCs w:val="1"/>
          <w:color w:val="auto"/>
        </w:rPr>
      </w:pPr>
    </w:p>
    <w:p>
      <w:pPr>
        <w:ind w:left="320" w:right="20" w:hanging="249"/>
        <w:spacing w:after="0" w:line="249" w:lineRule="auto"/>
        <w:tabs>
          <w:tab w:leader="none" w:pos="314" w:val="left"/>
        </w:tabs>
        <w:numPr>
          <w:ilvl w:val="1"/>
          <w:numId w:val="42"/>
        </w:numPr>
        <w:rPr>
          <w:rFonts w:ascii="Arial" w:cs="Arial" w:eastAsia="Arial" w:hAnsi="Arial"/>
          <w:sz w:val="10"/>
          <w:szCs w:val="10"/>
          <w:b w:val="1"/>
          <w:bCs w:val="1"/>
          <w:color w:val="auto"/>
        </w:rPr>
      </w:pPr>
      <w:r>
        <w:rPr>
          <w:rFonts w:ascii="Arial" w:cs="Arial" w:eastAsia="Arial" w:hAnsi="Arial"/>
          <w:sz w:val="10"/>
          <w:szCs w:val="10"/>
          <w:color w:val="auto"/>
        </w:rPr>
        <w:t>Represents monthly contractual base rent before free rent plus tenant reimbursements multiplied by 12. Annualized escalated rent at share includes leases signed but not yet commenced in place of current tenants or vacancy in the same space. Includes rent from storage and other non-selling space and excludes rent from residential units.</w:t>
      </w:r>
    </w:p>
    <w:p>
      <w:pPr>
        <w:ind w:left="320" w:hanging="249"/>
        <w:spacing w:after="0"/>
        <w:tabs>
          <w:tab w:leader="none" w:pos="320" w:val="left"/>
        </w:tabs>
        <w:numPr>
          <w:ilvl w:val="1"/>
          <w:numId w:val="42"/>
        </w:numPr>
        <w:rPr>
          <w:rFonts w:ascii="Arial" w:cs="Arial" w:eastAsia="Arial" w:hAnsi="Arial"/>
          <w:sz w:val="10"/>
          <w:szCs w:val="10"/>
          <w:b w:val="1"/>
          <w:bCs w:val="1"/>
          <w:color w:val="auto"/>
        </w:rPr>
      </w:pPr>
      <w:r>
        <w:rPr>
          <w:rFonts w:ascii="Arial" w:cs="Arial" w:eastAsia="Arial" w:hAnsi="Arial"/>
          <w:sz w:val="10"/>
          <w:szCs w:val="10"/>
          <w:color w:val="auto"/>
        </w:rPr>
        <w:t>Represents the contractual debt obligations.</w:t>
      </w:r>
    </w:p>
    <w:p>
      <w:pPr>
        <w:spacing w:after="0" w:line="3" w:lineRule="exact"/>
        <w:rPr>
          <w:rFonts w:ascii="Arial" w:cs="Arial" w:eastAsia="Arial" w:hAnsi="Arial"/>
          <w:sz w:val="10"/>
          <w:szCs w:val="10"/>
          <w:b w:val="1"/>
          <w:bCs w:val="1"/>
          <w:color w:val="auto"/>
        </w:rPr>
      </w:pPr>
    </w:p>
    <w:p>
      <w:pPr>
        <w:ind w:left="320" w:hanging="249"/>
        <w:spacing w:after="0"/>
        <w:tabs>
          <w:tab w:leader="none" w:pos="320" w:val="left"/>
        </w:tabs>
        <w:numPr>
          <w:ilvl w:val="1"/>
          <w:numId w:val="42"/>
        </w:numPr>
        <w:rPr>
          <w:rFonts w:ascii="Arial" w:cs="Arial" w:eastAsia="Arial" w:hAnsi="Arial"/>
          <w:sz w:val="10"/>
          <w:szCs w:val="10"/>
          <w:b w:val="1"/>
          <w:bCs w:val="1"/>
          <w:color w:val="auto"/>
        </w:rPr>
      </w:pPr>
      <w:r>
        <w:rPr>
          <w:rFonts w:ascii="Arial" w:cs="Arial" w:eastAsia="Arial" w:hAnsi="Arial"/>
          <w:sz w:val="10"/>
          <w:szCs w:val="10"/>
          <w:color w:val="auto"/>
        </w:rPr>
        <w:t>Excludes our 22.2% pro rata share of the $800,000 650 Madison non-recourse mortgage loan. Our investment was written down to zero and we no longer record our share of net income (loss) from this investment.</w:t>
      </w:r>
    </w:p>
    <w:p>
      <w:pPr>
        <w:spacing w:after="0" w:line="200" w:lineRule="exact"/>
        <w:rPr>
          <w:rFonts w:ascii="Arial" w:cs="Arial" w:eastAsia="Arial" w:hAnsi="Arial"/>
          <w:sz w:val="10"/>
          <w:szCs w:val="10"/>
          <w:b w:val="1"/>
          <w:bCs w:val="1"/>
          <w:color w:val="auto"/>
        </w:rPr>
      </w:pPr>
    </w:p>
    <w:p>
      <w:pPr>
        <w:spacing w:after="0" w:line="335" w:lineRule="exact"/>
        <w:rPr>
          <w:rFonts w:ascii="Arial" w:cs="Arial" w:eastAsia="Arial" w:hAnsi="Arial"/>
          <w:sz w:val="10"/>
          <w:szCs w:val="10"/>
          <w:b w:val="1"/>
          <w:bCs w:val="1"/>
          <w:color w:val="auto"/>
        </w:rPr>
      </w:pPr>
    </w:p>
    <w:p>
      <w:pPr>
        <w:ind w:left="5580" w:hanging="87"/>
        <w:spacing w:after="0"/>
        <w:tabs>
          <w:tab w:leader="none" w:pos="5580" w:val="left"/>
        </w:tabs>
        <w:numPr>
          <w:ilvl w:val="2"/>
          <w:numId w:val="42"/>
        </w:numPr>
        <w:rPr>
          <w:rFonts w:ascii="Arial" w:cs="Arial" w:eastAsia="Arial" w:hAnsi="Arial"/>
          <w:sz w:val="13"/>
          <w:szCs w:val="13"/>
          <w:color w:val="auto"/>
        </w:rPr>
      </w:pPr>
      <w:r>
        <w:rPr>
          <w:rFonts w:ascii="Arial" w:cs="Arial" w:eastAsia="Arial" w:hAnsi="Arial"/>
          <w:sz w:val="13"/>
          <w:szCs w:val="13"/>
          <w:color w:val="auto"/>
        </w:rPr>
        <w:t>43 -</w:t>
      </w:r>
    </w:p>
    <w:p>
      <w:pPr>
        <w:sectPr>
          <w:pgSz w:w="11900" w:h="16838" w:orient="portrait"/>
          <w:cols w:equalWidth="0" w:num="1">
            <w:col w:w="11300"/>
          </w:cols>
          <w:pgMar w:left="300" w:top="988" w:right="299" w:bottom="1440" w:gutter="0" w:footer="0" w:header="0"/>
        </w:sectPr>
      </w:pPr>
    </w:p>
    <w:bookmarkStart w:id="64" w:name="page65"/>
    <w:bookmarkEnd w:id="64"/>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INVESTOR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3"/>
                <w:szCs w:val="13"/>
                <w:b w:val="1"/>
                <w:bCs w:val="1"/>
                <w:color w:val="auto"/>
              </w:rPr>
              <w:t>Corporate Officers:</w:t>
            </w: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Steven Roth</w:t>
            </w:r>
          </w:p>
        </w:tc>
        <w:tc>
          <w:tcPr>
            <w:tcW w:w="5680" w:type="dxa"/>
            <w:vAlign w:val="bottom"/>
            <w:gridSpan w:val="7"/>
          </w:tcPr>
          <w:p>
            <w:pPr>
              <w:ind w:left="1640"/>
              <w:spacing w:after="0"/>
              <w:rPr>
                <w:sz w:val="20"/>
                <w:szCs w:val="20"/>
                <w:color w:val="auto"/>
              </w:rPr>
            </w:pPr>
            <w:r>
              <w:rPr>
                <w:rFonts w:ascii="Arial" w:cs="Arial" w:eastAsia="Arial" w:hAnsi="Arial"/>
                <w:sz w:val="13"/>
                <w:szCs w:val="13"/>
                <w:color w:val="auto"/>
              </w:rPr>
              <w:t>Chairman of the Board and Chief Executive Officer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Michael J. Franco</w:t>
            </w:r>
          </w:p>
        </w:tc>
        <w:tc>
          <w:tcPr>
            <w:tcW w:w="5680" w:type="dxa"/>
            <w:vAlign w:val="bottom"/>
            <w:gridSpan w:val="7"/>
          </w:tcPr>
          <w:p>
            <w:pPr>
              <w:ind w:left="1640"/>
              <w:spacing w:after="0"/>
              <w:rPr>
                <w:sz w:val="20"/>
                <w:szCs w:val="20"/>
                <w:color w:val="auto"/>
              </w:rPr>
            </w:pPr>
            <w:r>
              <w:rPr>
                <w:rFonts w:ascii="Arial" w:cs="Arial" w:eastAsia="Arial" w:hAnsi="Arial"/>
                <w:sz w:val="13"/>
                <w:szCs w:val="13"/>
                <w:color w:val="auto"/>
              </w:rPr>
              <w:t>President and Chief Financial Officer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Glen J. Weiss</w:t>
            </w:r>
          </w:p>
        </w:tc>
        <w:tc>
          <w:tcPr>
            <w:tcW w:w="5680" w:type="dxa"/>
            <w:vAlign w:val="bottom"/>
            <w:gridSpan w:val="7"/>
          </w:tcPr>
          <w:p>
            <w:pPr>
              <w:ind w:left="1640"/>
              <w:spacing w:after="0"/>
              <w:rPr>
                <w:sz w:val="20"/>
                <w:szCs w:val="20"/>
                <w:color w:val="auto"/>
              </w:rPr>
            </w:pPr>
            <w:r>
              <w:rPr>
                <w:rFonts w:ascii="Arial" w:cs="Arial" w:eastAsia="Arial" w:hAnsi="Arial"/>
                <w:sz w:val="13"/>
                <w:szCs w:val="13"/>
                <w:color w:val="auto"/>
              </w:rPr>
              <w:t>Executive Vice President - Office Leasing - Co-Head of Real Estate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Barry S. Langer</w:t>
            </w:r>
          </w:p>
        </w:tc>
        <w:tc>
          <w:tcPr>
            <w:tcW w:w="5680" w:type="dxa"/>
            <w:vAlign w:val="bottom"/>
            <w:gridSpan w:val="7"/>
          </w:tcPr>
          <w:p>
            <w:pPr>
              <w:ind w:left="1640"/>
              <w:spacing w:after="0"/>
              <w:rPr>
                <w:sz w:val="20"/>
                <w:szCs w:val="20"/>
                <w:color w:val="auto"/>
              </w:rPr>
            </w:pPr>
            <w:r>
              <w:rPr>
                <w:rFonts w:ascii="Arial" w:cs="Arial" w:eastAsia="Arial" w:hAnsi="Arial"/>
                <w:sz w:val="13"/>
                <w:szCs w:val="13"/>
                <w:color w:val="auto"/>
              </w:rPr>
              <w:t>Executive Vice President - Development - Co-Head of Real Estate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Haim Chera</w:t>
            </w:r>
          </w:p>
        </w:tc>
        <w:tc>
          <w:tcPr>
            <w:tcW w:w="5680" w:type="dxa"/>
            <w:vAlign w:val="bottom"/>
            <w:gridSpan w:val="7"/>
          </w:tcPr>
          <w:p>
            <w:pPr>
              <w:ind w:left="1640"/>
              <w:spacing w:after="0"/>
              <w:rPr>
                <w:sz w:val="20"/>
                <w:szCs w:val="20"/>
                <w:color w:val="auto"/>
              </w:rPr>
            </w:pPr>
            <w:r>
              <w:rPr>
                <w:rFonts w:ascii="Arial" w:cs="Arial" w:eastAsia="Arial" w:hAnsi="Arial"/>
                <w:sz w:val="13"/>
                <w:szCs w:val="13"/>
                <w:color w:val="auto"/>
              </w:rPr>
              <w:t>Executive Vice President - Head of Retail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Thomas J. Sanelli</w:t>
            </w:r>
          </w:p>
        </w:tc>
        <w:tc>
          <w:tcPr>
            <w:tcW w:w="5680" w:type="dxa"/>
            <w:vAlign w:val="bottom"/>
            <w:gridSpan w:val="7"/>
          </w:tcPr>
          <w:p>
            <w:pPr>
              <w:ind w:left="1640"/>
              <w:spacing w:after="0"/>
              <w:rPr>
                <w:sz w:val="20"/>
                <w:szCs w:val="20"/>
                <w:color w:val="auto"/>
              </w:rPr>
            </w:pPr>
            <w:r>
              <w:rPr>
                <w:rFonts w:ascii="Arial" w:cs="Arial" w:eastAsia="Arial" w:hAnsi="Arial"/>
                <w:sz w:val="13"/>
                <w:szCs w:val="13"/>
                <w:color w:val="auto"/>
              </w:rPr>
              <w:t>Executive Vice President - Finance and Chief Administrative Officer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421"/>
        </w:trPr>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RESEARCH COVERAGE</w:t>
            </w:r>
          </w:p>
        </w:tc>
        <w:tc>
          <w:tcPr>
            <w:tcW w:w="2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Jeff Spector/Jana Galan</w:t>
            </w:r>
          </w:p>
        </w:tc>
        <w:tc>
          <w:tcPr>
            <w:tcW w:w="5680" w:type="dxa"/>
            <w:vAlign w:val="bottom"/>
            <w:gridSpan w:val="7"/>
          </w:tcPr>
          <w:p>
            <w:pPr>
              <w:ind w:left="2000"/>
              <w:spacing w:after="0"/>
              <w:rPr>
                <w:sz w:val="20"/>
                <w:szCs w:val="20"/>
                <w:color w:val="auto"/>
              </w:rPr>
            </w:pPr>
            <w:r>
              <w:rPr>
                <w:rFonts w:ascii="Arial" w:cs="Arial" w:eastAsia="Arial" w:hAnsi="Arial"/>
                <w:sz w:val="13"/>
                <w:szCs w:val="13"/>
                <w:color w:val="auto"/>
              </w:rPr>
              <w:t>Steve Sakwa</w:t>
            </w:r>
          </w:p>
        </w:tc>
        <w:tc>
          <w:tcPr>
            <w:tcW w:w="3720" w:type="dxa"/>
            <w:vAlign w:val="bottom"/>
            <w:gridSpan w:val="6"/>
          </w:tcPr>
          <w:p>
            <w:pPr>
              <w:ind w:left="180"/>
              <w:spacing w:after="0"/>
              <w:rPr>
                <w:sz w:val="20"/>
                <w:szCs w:val="20"/>
                <w:color w:val="auto"/>
              </w:rPr>
            </w:pPr>
            <w:r>
              <w:rPr>
                <w:rFonts w:ascii="Arial" w:cs="Arial" w:eastAsia="Arial" w:hAnsi="Arial"/>
                <w:sz w:val="13"/>
                <w:szCs w:val="13"/>
                <w:color w:val="auto"/>
              </w:rPr>
              <w:t>Vikram Malhotra</w:t>
            </w:r>
          </w:p>
        </w:tc>
      </w:tr>
      <w:tr>
        <w:trPr>
          <w:trHeight w:val="143"/>
        </w:trPr>
        <w:tc>
          <w:tcPr>
            <w:tcW w:w="20" w:type="dxa"/>
            <w:vAlign w:val="bottom"/>
          </w:tcPr>
          <w:p>
            <w:pPr>
              <w:spacing w:after="0"/>
              <w:rPr>
                <w:sz w:val="12"/>
                <w:szCs w:val="12"/>
                <w:color w:val="auto"/>
              </w:rPr>
            </w:pPr>
          </w:p>
        </w:tc>
        <w:tc>
          <w:tcPr>
            <w:tcW w:w="1860" w:type="dxa"/>
            <w:vAlign w:val="bottom"/>
            <w:gridSpan w:val="4"/>
          </w:tcPr>
          <w:p>
            <w:pPr>
              <w:spacing w:after="0" w:line="143" w:lineRule="exact"/>
              <w:rPr>
                <w:sz w:val="20"/>
                <w:szCs w:val="20"/>
                <w:color w:val="auto"/>
              </w:rPr>
            </w:pPr>
            <w:r>
              <w:rPr>
                <w:rFonts w:ascii="Arial" w:cs="Arial" w:eastAsia="Arial" w:hAnsi="Arial"/>
                <w:sz w:val="13"/>
                <w:szCs w:val="13"/>
                <w:color w:val="auto"/>
                <w:w w:val="97"/>
              </w:rPr>
              <w:t>Bank of America/BofA Securities</w:t>
            </w:r>
          </w:p>
        </w:tc>
        <w:tc>
          <w:tcPr>
            <w:tcW w:w="5680" w:type="dxa"/>
            <w:vAlign w:val="bottom"/>
            <w:gridSpan w:val="7"/>
          </w:tcPr>
          <w:p>
            <w:pPr>
              <w:ind w:left="2000"/>
              <w:spacing w:after="0" w:line="143" w:lineRule="exact"/>
              <w:rPr>
                <w:sz w:val="20"/>
                <w:szCs w:val="20"/>
                <w:color w:val="auto"/>
              </w:rPr>
            </w:pPr>
            <w:r>
              <w:rPr>
                <w:rFonts w:ascii="Arial" w:cs="Arial" w:eastAsia="Arial" w:hAnsi="Arial"/>
                <w:sz w:val="13"/>
                <w:szCs w:val="13"/>
                <w:color w:val="auto"/>
              </w:rPr>
              <w:t>Evercore ISI</w:t>
            </w:r>
          </w:p>
        </w:tc>
        <w:tc>
          <w:tcPr>
            <w:tcW w:w="3720" w:type="dxa"/>
            <w:vAlign w:val="bottom"/>
            <w:gridSpan w:val="6"/>
          </w:tcPr>
          <w:p>
            <w:pPr>
              <w:ind w:left="180"/>
              <w:spacing w:after="0" w:line="143" w:lineRule="exact"/>
              <w:rPr>
                <w:sz w:val="20"/>
                <w:szCs w:val="20"/>
                <w:color w:val="auto"/>
              </w:rPr>
            </w:pPr>
            <w:r>
              <w:rPr>
                <w:rFonts w:ascii="Arial" w:cs="Arial" w:eastAsia="Arial" w:hAnsi="Arial"/>
                <w:sz w:val="13"/>
                <w:szCs w:val="13"/>
                <w:color w:val="auto"/>
              </w:rPr>
              <w:t>Mizuho Securities (USA) Inc.</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646-855-1363/646-855-3081</w:t>
            </w:r>
          </w:p>
        </w:tc>
        <w:tc>
          <w:tcPr>
            <w:tcW w:w="2920" w:type="dxa"/>
            <w:vAlign w:val="bottom"/>
            <w:gridSpan w:val="4"/>
          </w:tcPr>
          <w:p>
            <w:pPr>
              <w:ind w:left="2000"/>
              <w:spacing w:after="0"/>
              <w:rPr>
                <w:sz w:val="20"/>
                <w:szCs w:val="20"/>
                <w:color w:val="auto"/>
              </w:rPr>
            </w:pPr>
            <w:r>
              <w:rPr>
                <w:rFonts w:ascii="Arial" w:cs="Arial" w:eastAsia="Arial" w:hAnsi="Arial"/>
                <w:sz w:val="13"/>
                <w:szCs w:val="13"/>
                <w:color w:val="auto"/>
              </w:rPr>
              <w:t>212-446-9462</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212-282-3827</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77"/>
        </w:trPr>
        <w:tc>
          <w:tcPr>
            <w:tcW w:w="20" w:type="dxa"/>
            <w:vAlign w:val="bottom"/>
          </w:tcPr>
          <w:p>
            <w:pPr>
              <w:spacing w:after="0"/>
              <w:rPr>
                <w:sz w:val="24"/>
                <w:szCs w:val="2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Brendan Lynch</w:t>
            </w:r>
          </w:p>
        </w:tc>
        <w:tc>
          <w:tcPr>
            <w:tcW w:w="5680" w:type="dxa"/>
            <w:vAlign w:val="bottom"/>
            <w:gridSpan w:val="7"/>
          </w:tcPr>
          <w:p>
            <w:pPr>
              <w:ind w:left="2000"/>
              <w:spacing w:after="0"/>
              <w:rPr>
                <w:sz w:val="20"/>
                <w:szCs w:val="20"/>
                <w:color w:val="auto"/>
              </w:rPr>
            </w:pPr>
            <w:r>
              <w:rPr>
                <w:rFonts w:ascii="Arial" w:cs="Arial" w:eastAsia="Arial" w:hAnsi="Arial"/>
                <w:sz w:val="13"/>
                <w:szCs w:val="13"/>
                <w:color w:val="auto"/>
              </w:rPr>
              <w:t>Caitlin Burrows</w:t>
            </w:r>
          </w:p>
        </w:tc>
        <w:tc>
          <w:tcPr>
            <w:tcW w:w="3720" w:type="dxa"/>
            <w:vAlign w:val="bottom"/>
            <w:gridSpan w:val="6"/>
          </w:tcPr>
          <w:p>
            <w:pPr>
              <w:ind w:left="180"/>
              <w:spacing w:after="0"/>
              <w:rPr>
                <w:sz w:val="20"/>
                <w:szCs w:val="20"/>
                <w:color w:val="auto"/>
              </w:rPr>
            </w:pPr>
            <w:r>
              <w:rPr>
                <w:rFonts w:ascii="Arial" w:cs="Arial" w:eastAsia="Arial" w:hAnsi="Arial"/>
                <w:sz w:val="13"/>
                <w:szCs w:val="13"/>
                <w:color w:val="auto"/>
              </w:rPr>
              <w:t>Ronald Kamdem</w:t>
            </w:r>
          </w:p>
        </w:tc>
      </w:tr>
      <w:tr>
        <w:trPr>
          <w:trHeight w:val="143"/>
        </w:trPr>
        <w:tc>
          <w:tcPr>
            <w:tcW w:w="20" w:type="dxa"/>
            <w:vAlign w:val="bottom"/>
          </w:tcPr>
          <w:p>
            <w:pPr>
              <w:spacing w:after="0"/>
              <w:rPr>
                <w:sz w:val="12"/>
                <w:szCs w:val="12"/>
                <w:color w:val="auto"/>
              </w:rPr>
            </w:pPr>
          </w:p>
        </w:tc>
        <w:tc>
          <w:tcPr>
            <w:tcW w:w="940" w:type="dxa"/>
            <w:vAlign w:val="bottom"/>
            <w:gridSpan w:val="2"/>
          </w:tcPr>
          <w:p>
            <w:pPr>
              <w:spacing w:after="0" w:line="143" w:lineRule="exact"/>
              <w:rPr>
                <w:sz w:val="20"/>
                <w:szCs w:val="20"/>
                <w:color w:val="auto"/>
              </w:rPr>
            </w:pPr>
            <w:r>
              <w:rPr>
                <w:rFonts w:ascii="Arial" w:cs="Arial" w:eastAsia="Arial" w:hAnsi="Arial"/>
                <w:sz w:val="13"/>
                <w:szCs w:val="13"/>
                <w:color w:val="auto"/>
                <w:w w:val="97"/>
              </w:rPr>
              <w:t>Barclays Capital</w:t>
            </w:r>
          </w:p>
        </w:tc>
        <w:tc>
          <w:tcPr>
            <w:tcW w:w="920" w:type="dxa"/>
            <w:vAlign w:val="bottom"/>
            <w:gridSpan w:val="2"/>
          </w:tcPr>
          <w:p>
            <w:pPr>
              <w:spacing w:after="0"/>
              <w:rPr>
                <w:sz w:val="12"/>
                <w:szCs w:val="12"/>
                <w:color w:val="auto"/>
              </w:rPr>
            </w:pPr>
          </w:p>
        </w:tc>
        <w:tc>
          <w:tcPr>
            <w:tcW w:w="5680" w:type="dxa"/>
            <w:vAlign w:val="bottom"/>
            <w:gridSpan w:val="7"/>
          </w:tcPr>
          <w:p>
            <w:pPr>
              <w:ind w:left="2000"/>
              <w:spacing w:after="0" w:line="143" w:lineRule="exact"/>
              <w:rPr>
                <w:sz w:val="20"/>
                <w:szCs w:val="20"/>
                <w:color w:val="auto"/>
              </w:rPr>
            </w:pPr>
            <w:r>
              <w:rPr>
                <w:rFonts w:ascii="Arial" w:cs="Arial" w:eastAsia="Arial" w:hAnsi="Arial"/>
                <w:sz w:val="13"/>
                <w:szCs w:val="13"/>
                <w:color w:val="auto"/>
              </w:rPr>
              <w:t>Goldman Sachs</w:t>
            </w:r>
          </w:p>
        </w:tc>
        <w:tc>
          <w:tcPr>
            <w:tcW w:w="3720" w:type="dxa"/>
            <w:vAlign w:val="bottom"/>
            <w:gridSpan w:val="6"/>
          </w:tcPr>
          <w:p>
            <w:pPr>
              <w:ind w:left="180"/>
              <w:spacing w:after="0" w:line="143" w:lineRule="exact"/>
              <w:rPr>
                <w:sz w:val="20"/>
                <w:szCs w:val="20"/>
                <w:color w:val="auto"/>
              </w:rPr>
            </w:pPr>
            <w:r>
              <w:rPr>
                <w:rFonts w:ascii="Arial" w:cs="Arial" w:eastAsia="Arial" w:hAnsi="Arial"/>
                <w:sz w:val="13"/>
                <w:szCs w:val="13"/>
                <w:color w:val="auto"/>
              </w:rPr>
              <w:t>Morgan Stanley</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3"/>
                <w:szCs w:val="13"/>
                <w:color w:val="auto"/>
              </w:rPr>
              <w:t>212-526-9428</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20" w:type="dxa"/>
            <w:vAlign w:val="bottom"/>
            <w:gridSpan w:val="4"/>
          </w:tcPr>
          <w:p>
            <w:pPr>
              <w:ind w:left="2000"/>
              <w:spacing w:after="0"/>
              <w:rPr>
                <w:sz w:val="20"/>
                <w:szCs w:val="20"/>
                <w:color w:val="auto"/>
              </w:rPr>
            </w:pPr>
            <w:r>
              <w:rPr>
                <w:rFonts w:ascii="Arial" w:cs="Arial" w:eastAsia="Arial" w:hAnsi="Arial"/>
                <w:sz w:val="13"/>
                <w:szCs w:val="13"/>
                <w:color w:val="auto"/>
              </w:rPr>
              <w:t>212-902-4736</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212-296-8319</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77"/>
        </w:trPr>
        <w:tc>
          <w:tcPr>
            <w:tcW w:w="20" w:type="dxa"/>
            <w:vAlign w:val="bottom"/>
          </w:tcPr>
          <w:p>
            <w:pPr>
              <w:spacing w:after="0"/>
              <w:rPr>
                <w:sz w:val="24"/>
                <w:szCs w:val="2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John P. Kim</w:t>
            </w:r>
          </w:p>
        </w:tc>
        <w:tc>
          <w:tcPr>
            <w:tcW w:w="5680" w:type="dxa"/>
            <w:vAlign w:val="bottom"/>
            <w:gridSpan w:val="7"/>
          </w:tcPr>
          <w:p>
            <w:pPr>
              <w:ind w:left="2000"/>
              <w:spacing w:after="0"/>
              <w:rPr>
                <w:sz w:val="20"/>
                <w:szCs w:val="20"/>
                <w:color w:val="auto"/>
              </w:rPr>
            </w:pPr>
            <w:r>
              <w:rPr>
                <w:rFonts w:ascii="Arial" w:cs="Arial" w:eastAsia="Arial" w:hAnsi="Arial"/>
                <w:sz w:val="13"/>
                <w:szCs w:val="13"/>
                <w:color w:val="auto"/>
              </w:rPr>
              <w:t>Dylan Burzinski</w:t>
            </w:r>
          </w:p>
        </w:tc>
        <w:tc>
          <w:tcPr>
            <w:tcW w:w="3720" w:type="dxa"/>
            <w:vAlign w:val="bottom"/>
            <w:gridSpan w:val="6"/>
          </w:tcPr>
          <w:p>
            <w:pPr>
              <w:ind w:left="180"/>
              <w:spacing w:after="0"/>
              <w:rPr>
                <w:sz w:val="20"/>
                <w:szCs w:val="20"/>
                <w:color w:val="auto"/>
              </w:rPr>
            </w:pPr>
            <w:r>
              <w:rPr>
                <w:rFonts w:ascii="Arial" w:cs="Arial" w:eastAsia="Arial" w:hAnsi="Arial"/>
                <w:sz w:val="13"/>
                <w:szCs w:val="13"/>
                <w:color w:val="auto"/>
              </w:rPr>
              <w:t>Alexander Goldfarb</w:t>
            </w:r>
          </w:p>
        </w:tc>
      </w:tr>
      <w:tr>
        <w:trPr>
          <w:trHeight w:val="143"/>
        </w:trPr>
        <w:tc>
          <w:tcPr>
            <w:tcW w:w="20" w:type="dxa"/>
            <w:vAlign w:val="bottom"/>
          </w:tcPr>
          <w:p>
            <w:pPr>
              <w:spacing w:after="0"/>
              <w:rPr>
                <w:sz w:val="12"/>
                <w:szCs w:val="12"/>
                <w:color w:val="auto"/>
              </w:rPr>
            </w:pPr>
          </w:p>
        </w:tc>
        <w:tc>
          <w:tcPr>
            <w:tcW w:w="1860" w:type="dxa"/>
            <w:vAlign w:val="bottom"/>
            <w:gridSpan w:val="4"/>
          </w:tcPr>
          <w:p>
            <w:pPr>
              <w:spacing w:after="0" w:line="143" w:lineRule="exact"/>
              <w:rPr>
                <w:sz w:val="20"/>
                <w:szCs w:val="20"/>
                <w:color w:val="auto"/>
              </w:rPr>
            </w:pPr>
            <w:r>
              <w:rPr>
                <w:rFonts w:ascii="Arial" w:cs="Arial" w:eastAsia="Arial" w:hAnsi="Arial"/>
                <w:sz w:val="13"/>
                <w:szCs w:val="13"/>
                <w:color w:val="auto"/>
              </w:rPr>
              <w:t>BMO Capital Markets</w:t>
            </w:r>
          </w:p>
        </w:tc>
        <w:tc>
          <w:tcPr>
            <w:tcW w:w="5680" w:type="dxa"/>
            <w:vAlign w:val="bottom"/>
            <w:gridSpan w:val="7"/>
          </w:tcPr>
          <w:p>
            <w:pPr>
              <w:ind w:left="2000"/>
              <w:spacing w:after="0" w:line="143" w:lineRule="exact"/>
              <w:rPr>
                <w:sz w:val="20"/>
                <w:szCs w:val="20"/>
                <w:color w:val="auto"/>
              </w:rPr>
            </w:pPr>
            <w:r>
              <w:rPr>
                <w:rFonts w:ascii="Arial" w:cs="Arial" w:eastAsia="Arial" w:hAnsi="Arial"/>
                <w:sz w:val="13"/>
                <w:szCs w:val="13"/>
                <w:color w:val="auto"/>
              </w:rPr>
              <w:t>Green Street Advisors</w:t>
            </w:r>
          </w:p>
        </w:tc>
        <w:tc>
          <w:tcPr>
            <w:tcW w:w="3720" w:type="dxa"/>
            <w:vAlign w:val="bottom"/>
            <w:gridSpan w:val="6"/>
          </w:tcPr>
          <w:p>
            <w:pPr>
              <w:ind w:left="180"/>
              <w:spacing w:after="0" w:line="143" w:lineRule="exact"/>
              <w:rPr>
                <w:sz w:val="20"/>
                <w:szCs w:val="20"/>
                <w:color w:val="auto"/>
              </w:rPr>
            </w:pPr>
            <w:r>
              <w:rPr>
                <w:rFonts w:ascii="Arial" w:cs="Arial" w:eastAsia="Arial" w:hAnsi="Arial"/>
                <w:sz w:val="13"/>
                <w:szCs w:val="13"/>
                <w:color w:val="auto"/>
              </w:rPr>
              <w:t>Piper Sandler</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3"/>
                <w:szCs w:val="13"/>
                <w:color w:val="auto"/>
              </w:rPr>
              <w:t>212-885-4115</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20" w:type="dxa"/>
            <w:vAlign w:val="bottom"/>
            <w:gridSpan w:val="4"/>
          </w:tcPr>
          <w:p>
            <w:pPr>
              <w:ind w:left="2000"/>
              <w:spacing w:after="0"/>
              <w:rPr>
                <w:sz w:val="20"/>
                <w:szCs w:val="20"/>
                <w:color w:val="auto"/>
              </w:rPr>
            </w:pPr>
            <w:r>
              <w:rPr>
                <w:rFonts w:ascii="Arial" w:cs="Arial" w:eastAsia="Arial" w:hAnsi="Arial"/>
                <w:sz w:val="13"/>
                <w:szCs w:val="13"/>
                <w:color w:val="auto"/>
              </w:rPr>
              <w:t>949-640-8780</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212-466-7937</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77"/>
        </w:trPr>
        <w:tc>
          <w:tcPr>
            <w:tcW w:w="20" w:type="dxa"/>
            <w:vAlign w:val="bottom"/>
          </w:tcPr>
          <w:p>
            <w:pPr>
              <w:spacing w:after="0"/>
              <w:rPr>
                <w:sz w:val="24"/>
                <w:szCs w:val="2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Nicholas Joseph/Seth Bergey</w:t>
            </w:r>
          </w:p>
        </w:tc>
        <w:tc>
          <w:tcPr>
            <w:tcW w:w="5680" w:type="dxa"/>
            <w:vAlign w:val="bottom"/>
            <w:gridSpan w:val="7"/>
          </w:tcPr>
          <w:p>
            <w:pPr>
              <w:ind w:left="2000"/>
              <w:spacing w:after="0"/>
              <w:rPr>
                <w:sz w:val="20"/>
                <w:szCs w:val="20"/>
                <w:color w:val="auto"/>
              </w:rPr>
            </w:pPr>
            <w:r>
              <w:rPr>
                <w:rFonts w:ascii="Arial" w:cs="Arial" w:eastAsia="Arial" w:hAnsi="Arial"/>
                <w:sz w:val="13"/>
                <w:szCs w:val="13"/>
                <w:color w:val="auto"/>
              </w:rPr>
              <w:t>Anthony Paolone</w:t>
            </w:r>
          </w:p>
        </w:tc>
        <w:tc>
          <w:tcPr>
            <w:tcW w:w="3720" w:type="dxa"/>
            <w:vAlign w:val="bottom"/>
            <w:gridSpan w:val="6"/>
          </w:tcPr>
          <w:p>
            <w:pPr>
              <w:ind w:left="180"/>
              <w:spacing w:after="0"/>
              <w:rPr>
                <w:sz w:val="20"/>
                <w:szCs w:val="20"/>
                <w:color w:val="auto"/>
              </w:rPr>
            </w:pPr>
            <w:r>
              <w:rPr>
                <w:rFonts w:ascii="Arial" w:cs="Arial" w:eastAsia="Arial" w:hAnsi="Arial"/>
                <w:sz w:val="13"/>
                <w:szCs w:val="13"/>
                <w:color w:val="auto"/>
              </w:rPr>
              <w:t>Nicholas Yulico</w:t>
            </w:r>
          </w:p>
        </w:tc>
      </w:tr>
      <w:tr>
        <w:trPr>
          <w:trHeight w:val="143"/>
        </w:trPr>
        <w:tc>
          <w:tcPr>
            <w:tcW w:w="20" w:type="dxa"/>
            <w:vAlign w:val="bottom"/>
          </w:tcPr>
          <w:p>
            <w:pPr>
              <w:spacing w:after="0"/>
              <w:rPr>
                <w:sz w:val="12"/>
                <w:szCs w:val="12"/>
                <w:color w:val="auto"/>
              </w:rPr>
            </w:pPr>
          </w:p>
        </w:tc>
        <w:tc>
          <w:tcPr>
            <w:tcW w:w="1860" w:type="dxa"/>
            <w:vAlign w:val="bottom"/>
            <w:gridSpan w:val="4"/>
          </w:tcPr>
          <w:p>
            <w:pPr>
              <w:spacing w:after="0" w:line="143" w:lineRule="exact"/>
              <w:rPr>
                <w:sz w:val="20"/>
                <w:szCs w:val="20"/>
                <w:color w:val="auto"/>
              </w:rPr>
            </w:pPr>
            <w:r>
              <w:rPr>
                <w:rFonts w:ascii="Arial" w:cs="Arial" w:eastAsia="Arial" w:hAnsi="Arial"/>
                <w:sz w:val="13"/>
                <w:szCs w:val="13"/>
                <w:color w:val="auto"/>
              </w:rPr>
              <w:t>Citi</w:t>
            </w:r>
          </w:p>
        </w:tc>
        <w:tc>
          <w:tcPr>
            <w:tcW w:w="5680" w:type="dxa"/>
            <w:vAlign w:val="bottom"/>
            <w:gridSpan w:val="7"/>
          </w:tcPr>
          <w:p>
            <w:pPr>
              <w:ind w:left="2000"/>
              <w:spacing w:after="0" w:line="143" w:lineRule="exact"/>
              <w:rPr>
                <w:sz w:val="20"/>
                <w:szCs w:val="20"/>
                <w:color w:val="auto"/>
              </w:rPr>
            </w:pPr>
            <w:r>
              <w:rPr>
                <w:rFonts w:ascii="Arial" w:cs="Arial" w:eastAsia="Arial" w:hAnsi="Arial"/>
                <w:sz w:val="13"/>
                <w:szCs w:val="13"/>
                <w:color w:val="auto"/>
              </w:rPr>
              <w:t>JP Morgan</w:t>
            </w:r>
          </w:p>
        </w:tc>
        <w:tc>
          <w:tcPr>
            <w:tcW w:w="3720" w:type="dxa"/>
            <w:vAlign w:val="bottom"/>
            <w:gridSpan w:val="6"/>
          </w:tcPr>
          <w:p>
            <w:pPr>
              <w:ind w:left="180"/>
              <w:spacing w:after="0" w:line="143" w:lineRule="exact"/>
              <w:rPr>
                <w:sz w:val="20"/>
                <w:szCs w:val="20"/>
                <w:color w:val="auto"/>
              </w:rPr>
            </w:pPr>
            <w:r>
              <w:rPr>
                <w:rFonts w:ascii="Arial" w:cs="Arial" w:eastAsia="Arial" w:hAnsi="Arial"/>
                <w:sz w:val="13"/>
                <w:szCs w:val="13"/>
                <w:color w:val="auto"/>
              </w:rPr>
              <w:t>Scotia Capital (USA) Inc</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212-816-1909/212-816-2066</w:t>
            </w:r>
          </w:p>
        </w:tc>
        <w:tc>
          <w:tcPr>
            <w:tcW w:w="2920" w:type="dxa"/>
            <w:vAlign w:val="bottom"/>
            <w:gridSpan w:val="4"/>
          </w:tcPr>
          <w:p>
            <w:pPr>
              <w:ind w:left="2000"/>
              <w:spacing w:after="0"/>
              <w:rPr>
                <w:sz w:val="20"/>
                <w:szCs w:val="20"/>
                <w:color w:val="auto"/>
              </w:rPr>
            </w:pPr>
            <w:r>
              <w:rPr>
                <w:rFonts w:ascii="Arial" w:cs="Arial" w:eastAsia="Arial" w:hAnsi="Arial"/>
                <w:sz w:val="13"/>
                <w:szCs w:val="13"/>
                <w:color w:val="auto"/>
              </w:rPr>
              <w:t>212-622-6682</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212-225-6904</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77"/>
        </w:trPr>
        <w:tc>
          <w:tcPr>
            <w:tcW w:w="20" w:type="dxa"/>
            <w:vAlign w:val="bottom"/>
          </w:tcPr>
          <w:p>
            <w:pPr>
              <w:spacing w:after="0"/>
              <w:rPr>
                <w:sz w:val="24"/>
                <w:szCs w:val="24"/>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Floris van Dijkum</w:t>
            </w:r>
          </w:p>
        </w:tc>
        <w:tc>
          <w:tcPr>
            <w:tcW w:w="5680" w:type="dxa"/>
            <w:vAlign w:val="bottom"/>
            <w:gridSpan w:val="7"/>
          </w:tcPr>
          <w:p>
            <w:pPr>
              <w:ind w:left="2000"/>
              <w:spacing w:after="0"/>
              <w:rPr>
                <w:sz w:val="20"/>
                <w:szCs w:val="20"/>
                <w:color w:val="auto"/>
              </w:rPr>
            </w:pPr>
            <w:r>
              <w:rPr>
                <w:rFonts w:ascii="Arial" w:cs="Arial" w:eastAsia="Arial" w:hAnsi="Arial"/>
                <w:sz w:val="13"/>
                <w:szCs w:val="13"/>
                <w:color w:val="auto"/>
              </w:rPr>
              <w:t>Mark Streeter/Ian Snyder</w:t>
            </w:r>
          </w:p>
        </w:tc>
        <w:tc>
          <w:tcPr>
            <w:tcW w:w="3720" w:type="dxa"/>
            <w:vAlign w:val="bottom"/>
            <w:gridSpan w:val="6"/>
          </w:tcPr>
          <w:p>
            <w:pPr>
              <w:ind w:left="180"/>
              <w:spacing w:after="0"/>
              <w:rPr>
                <w:sz w:val="20"/>
                <w:szCs w:val="20"/>
                <w:color w:val="auto"/>
              </w:rPr>
            </w:pPr>
            <w:r>
              <w:rPr>
                <w:rFonts w:ascii="Arial" w:cs="Arial" w:eastAsia="Arial" w:hAnsi="Arial"/>
                <w:sz w:val="13"/>
                <w:szCs w:val="13"/>
                <w:color w:val="auto"/>
              </w:rPr>
              <w:t>Michael Lewis</w:t>
            </w:r>
          </w:p>
        </w:tc>
      </w:tr>
      <w:tr>
        <w:trPr>
          <w:trHeight w:val="143"/>
        </w:trPr>
        <w:tc>
          <w:tcPr>
            <w:tcW w:w="20" w:type="dxa"/>
            <w:vAlign w:val="bottom"/>
          </w:tcPr>
          <w:p>
            <w:pPr>
              <w:spacing w:after="0"/>
              <w:rPr>
                <w:sz w:val="12"/>
                <w:szCs w:val="12"/>
                <w:color w:val="auto"/>
              </w:rPr>
            </w:pPr>
          </w:p>
        </w:tc>
        <w:tc>
          <w:tcPr>
            <w:tcW w:w="1860" w:type="dxa"/>
            <w:vAlign w:val="bottom"/>
            <w:gridSpan w:val="4"/>
          </w:tcPr>
          <w:p>
            <w:pPr>
              <w:spacing w:after="0" w:line="143" w:lineRule="exact"/>
              <w:rPr>
                <w:sz w:val="20"/>
                <w:szCs w:val="20"/>
                <w:color w:val="auto"/>
              </w:rPr>
            </w:pPr>
            <w:r>
              <w:rPr>
                <w:rFonts w:ascii="Arial" w:cs="Arial" w:eastAsia="Arial" w:hAnsi="Arial"/>
                <w:sz w:val="13"/>
                <w:szCs w:val="13"/>
                <w:color w:val="auto"/>
              </w:rPr>
              <w:t>Ladenburg Thalmann</w:t>
            </w:r>
          </w:p>
        </w:tc>
        <w:tc>
          <w:tcPr>
            <w:tcW w:w="5680" w:type="dxa"/>
            <w:vAlign w:val="bottom"/>
            <w:gridSpan w:val="7"/>
          </w:tcPr>
          <w:p>
            <w:pPr>
              <w:ind w:left="2000"/>
              <w:spacing w:after="0" w:line="143" w:lineRule="exact"/>
              <w:rPr>
                <w:sz w:val="20"/>
                <w:szCs w:val="20"/>
                <w:color w:val="auto"/>
              </w:rPr>
            </w:pPr>
            <w:r>
              <w:rPr>
                <w:rFonts w:ascii="Arial" w:cs="Arial" w:eastAsia="Arial" w:hAnsi="Arial"/>
                <w:sz w:val="13"/>
                <w:szCs w:val="13"/>
                <w:color w:val="auto"/>
              </w:rPr>
              <w:t>JP Morgan Fixed Income</w:t>
            </w:r>
          </w:p>
        </w:tc>
        <w:tc>
          <w:tcPr>
            <w:tcW w:w="3720" w:type="dxa"/>
            <w:vAlign w:val="bottom"/>
            <w:gridSpan w:val="6"/>
          </w:tcPr>
          <w:p>
            <w:pPr>
              <w:ind w:left="180"/>
              <w:spacing w:after="0" w:line="143" w:lineRule="exact"/>
              <w:rPr>
                <w:sz w:val="20"/>
                <w:szCs w:val="20"/>
                <w:color w:val="auto"/>
              </w:rPr>
            </w:pPr>
            <w:r>
              <w:rPr>
                <w:rFonts w:ascii="Arial" w:cs="Arial" w:eastAsia="Arial" w:hAnsi="Arial"/>
                <w:sz w:val="13"/>
                <w:szCs w:val="13"/>
                <w:color w:val="auto"/>
              </w:rPr>
              <w:t>Truist Securities</w:t>
            </w:r>
          </w:p>
        </w:tc>
      </w:tr>
      <w:tr>
        <w:trPr>
          <w:trHeight w:val="20"/>
        </w:trPr>
        <w:tc>
          <w:tcPr>
            <w:tcW w:w="2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20" w:type="dxa"/>
            <w:vAlign w:val="bottom"/>
            <w:gridSpan w:val="5"/>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3"/>
                <w:szCs w:val="13"/>
                <w:color w:val="auto"/>
              </w:rPr>
              <w:t>212-409-2075</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80" w:type="dxa"/>
            <w:vAlign w:val="bottom"/>
            <w:gridSpan w:val="7"/>
          </w:tcPr>
          <w:p>
            <w:pPr>
              <w:ind w:left="2000"/>
              <w:spacing w:after="0"/>
              <w:rPr>
                <w:sz w:val="20"/>
                <w:szCs w:val="20"/>
                <w:color w:val="auto"/>
              </w:rPr>
            </w:pPr>
            <w:r>
              <w:rPr>
                <w:rFonts w:ascii="Arial" w:cs="Arial" w:eastAsia="Arial" w:hAnsi="Arial"/>
                <w:sz w:val="13"/>
                <w:szCs w:val="13"/>
                <w:color w:val="auto"/>
              </w:rPr>
              <w:t>212-834-5086/212-834-3798</w:t>
            </w:r>
          </w:p>
        </w:tc>
        <w:tc>
          <w:tcPr>
            <w:tcW w:w="1080" w:type="dxa"/>
            <w:vAlign w:val="bottom"/>
            <w:gridSpan w:val="3"/>
          </w:tcPr>
          <w:p>
            <w:pPr>
              <w:ind w:left="180"/>
              <w:spacing w:after="0"/>
              <w:rPr>
                <w:sz w:val="20"/>
                <w:szCs w:val="20"/>
                <w:color w:val="auto"/>
              </w:rPr>
            </w:pPr>
            <w:r>
              <w:rPr>
                <w:rFonts w:ascii="Arial" w:cs="Arial" w:eastAsia="Arial" w:hAnsi="Arial"/>
                <w:sz w:val="13"/>
                <w:szCs w:val="13"/>
                <w:color w:val="auto"/>
              </w:rPr>
              <w:t>212-319-5659</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20" w:right="20"/>
        <w:spacing w:after="0" w:line="239" w:lineRule="auto"/>
        <w:rPr>
          <w:sz w:val="20"/>
          <w:szCs w:val="20"/>
          <w:color w:val="auto"/>
        </w:rPr>
      </w:pPr>
      <w:r>
        <w:rPr>
          <w:rFonts w:ascii="Arial" w:cs="Arial" w:eastAsia="Arial" w:hAnsi="Arial"/>
          <w:sz w:val="13"/>
          <w:szCs w:val="13"/>
          <w:color w:val="auto"/>
        </w:rPr>
        <w:t>Research Coverage - is provided as a service to interested parties and not as an endorsement of any report, or representation as to the accuracy of any information contained therein. Opinions, forecasts and other forward-looking statements expressed in analysts' reports are subject to change without notice.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- 44 -</w:t>
      </w:r>
    </w:p>
    <w:p>
      <w:pPr>
        <w:sectPr>
          <w:pgSz w:w="11900" w:h="16838" w:orient="portrait"/>
          <w:cols w:equalWidth="0" w:num="1">
            <w:col w:w="11280"/>
          </w:cols>
          <w:pgMar w:left="300" w:top="981" w:right="319" w:bottom="1440" w:gutter="0" w:footer="0" w:header="0"/>
        </w:sectPr>
      </w:pPr>
    </w:p>
    <w:bookmarkStart w:id="65" w:name="page66"/>
    <w:bookmarkEnd w:id="65"/>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57"/>
          <w:szCs w:val="57"/>
          <w:color w:val="auto"/>
        </w:rPr>
        <w:t>APPENDIX</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34"/>
          <w:szCs w:val="34"/>
          <w:color w:val="auto"/>
        </w:rPr>
        <w:t>DEFINITIONS AND NON-GAAP RECONCILIATIONS</w:t>
      </w:r>
    </w:p>
    <w:p>
      <w:pPr>
        <w:sectPr>
          <w:pgSz w:w="11900" w:h="16838" w:orient="portrait"/>
          <w:cols w:equalWidth="0" w:num="1">
            <w:col w:w="9019"/>
          </w:cols>
          <w:pgMar w:left="1440" w:top="1440" w:right="1440" w:bottom="1440" w:gutter="0" w:footer="0" w:header="0"/>
        </w:sectPr>
      </w:pPr>
    </w:p>
    <w:bookmarkStart w:id="66" w:name="page67"/>
    <w:bookmarkEnd w:id="66"/>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FINANCIAL SUPPLEMENT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The financial supplement includes various non-GAAP financial measures. Descriptions of these non-GAAP measures are provided below. Reconciliations of these non-GAAP measures to the most directly comparable GAAP measures are provided on the following pages.</w:t>
      </w:r>
    </w:p>
    <w:p>
      <w:pPr>
        <w:jc w:val="both"/>
        <w:spacing w:after="0" w:line="262" w:lineRule="auto"/>
        <w:rPr>
          <w:sz w:val="20"/>
          <w:szCs w:val="20"/>
          <w:color w:val="auto"/>
        </w:rPr>
      </w:pPr>
      <w:r>
        <w:rPr>
          <w:rFonts w:ascii="Arial" w:cs="Arial" w:eastAsia="Arial" w:hAnsi="Arial"/>
          <w:sz w:val="12"/>
          <w:szCs w:val="12"/>
          <w:b w:val="1"/>
          <w:bCs w:val="1"/>
          <w:color w:val="auto"/>
        </w:rPr>
        <w:t xml:space="preserve">Net Operating Income ("NOI") at Share and NOI at Share - Cash Basis </w:t>
      </w:r>
      <w:r>
        <w:rPr>
          <w:rFonts w:ascii="Arial" w:cs="Arial" w:eastAsia="Arial" w:hAnsi="Arial"/>
          <w:sz w:val="12"/>
          <w:szCs w:val="12"/>
          <w:color w:val="auto"/>
        </w:rPr>
        <w:t>- NOI at share represents total revenues less operating expenses including our share of partially owned entities. NOI at share - cash</w:t>
      </w:r>
      <w:r>
        <w:rPr>
          <w:rFonts w:ascii="Arial" w:cs="Arial" w:eastAsia="Arial" w:hAnsi="Arial"/>
          <w:sz w:val="12"/>
          <w:szCs w:val="12"/>
          <w:b w:val="1"/>
          <w:bCs w:val="1"/>
          <w:color w:val="auto"/>
        </w:rPr>
        <w:t xml:space="preserve"> </w:t>
      </w:r>
      <w:r>
        <w:rPr>
          <w:rFonts w:ascii="Arial" w:cs="Arial" w:eastAsia="Arial" w:hAnsi="Arial"/>
          <w:sz w:val="12"/>
          <w:szCs w:val="12"/>
          <w:color w:val="auto"/>
        </w:rPr>
        <w:t>basis represents NOI at share adjusted to exclude straight-line rental income and expense, amortization of acquired below and above market leases, accruals for ground rent resets yet to be determined, and other non-cash adjustments. We consider NOI at share to be the primary non-GAAP financial measure for making decisions and assessing the unlevered performance of our segments as it relates to the total return on assets as opposed to the levered return on equity. As properties are bought and sold based on NOI at share - cash basis, we utilize this measure to make investment decisions as well as to compare the performance of our assets to that of our peers. NOI at share and NOI at share - cash basis should not be considered alternatives to net income or cash flow from operations and may not be comparable to similarly titled measures employed by other companies.</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color w:val="auto"/>
        </w:rPr>
        <w:t xml:space="preserve">Same Store NOI at Share and Same Store NOI at Share - Cash Basis </w:t>
      </w:r>
      <w:r>
        <w:rPr>
          <w:rFonts w:ascii="Arial" w:cs="Arial" w:eastAsia="Arial" w:hAnsi="Arial"/>
          <w:sz w:val="12"/>
          <w:szCs w:val="12"/>
          <w:color w:val="auto"/>
        </w:rPr>
        <w:t>- Same store NOI at share represents NOI at share from operations which are in service in both the current and prior year reporting</w:t>
      </w:r>
      <w:r>
        <w:rPr>
          <w:rFonts w:ascii="Arial" w:cs="Arial" w:eastAsia="Arial" w:hAnsi="Arial"/>
          <w:sz w:val="12"/>
          <w:szCs w:val="12"/>
          <w:b w:val="1"/>
          <w:bCs w:val="1"/>
          <w:color w:val="auto"/>
        </w:rPr>
        <w:t xml:space="preserve"> </w:t>
      </w:r>
      <w:r>
        <w:rPr>
          <w:rFonts w:ascii="Arial" w:cs="Arial" w:eastAsia="Arial" w:hAnsi="Arial"/>
          <w:sz w:val="12"/>
          <w:szCs w:val="12"/>
          <w:color w:val="auto"/>
        </w:rPr>
        <w:t>periods. Same store NOI at share - cash basis is same store NOI at share adjusted to exclude straight-line rental income and expense, amortization of acquired below and above market leases, accruals for ground rent resets yet to be determined, and other non-cash adjustments. We use these non-GAAP measures to (i) facilitate meaningful comparisons of the operational performance of our properties and segments, (ii) make decisions on whether to buy, sell or refinance properties, and (iii) compare the performance of our properties and segments to those of our peers. Same store NOI at share and same store NOI at share - cash basis should not be considered alternatives to net income or cash flow from operations and may not be comparable to similarly titled measures employed by other companies.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color w:val="auto"/>
        </w:rPr>
        <w:t xml:space="preserve">Funds From Operations ("FFO") </w:t>
      </w:r>
      <w:r>
        <w:rPr>
          <w:rFonts w:ascii="Arial" w:cs="Arial" w:eastAsia="Arial" w:hAnsi="Arial"/>
          <w:sz w:val="12"/>
          <w:szCs w:val="12"/>
          <w:color w:val="auto"/>
        </w:rPr>
        <w:t>- FFO is computed in accordance with the definition adopted by the Board of Governors of the National Association of Real Estate Investment Trusts ("NAREIT"). NAREIT</w:t>
      </w:r>
      <w:r>
        <w:rPr>
          <w:rFonts w:ascii="Arial" w:cs="Arial" w:eastAsia="Arial" w:hAnsi="Arial"/>
          <w:sz w:val="12"/>
          <w:szCs w:val="12"/>
          <w:b w:val="1"/>
          <w:bCs w:val="1"/>
          <w:color w:val="auto"/>
        </w:rPr>
        <w:t xml:space="preserve"> </w:t>
      </w:r>
      <w:r>
        <w:rPr>
          <w:rFonts w:ascii="Arial" w:cs="Arial" w:eastAsia="Arial" w:hAnsi="Arial"/>
          <w:sz w:val="12"/>
          <w:szCs w:val="12"/>
          <w:color w:val="auto"/>
        </w:rPr>
        <w:t>defines FFO as GAAP net income or loss adjusted to exclude net gains from sales of certain real estate assets, impairment write-downs of certain real estate assets and investments in entities when the impairment is directly attributable to decreases in the value of depreciable real estate held by the entity,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they exclude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w:t>
      </w:r>
    </w:p>
    <w:p>
      <w:pPr>
        <w:spacing w:after="0" w:line="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color w:val="auto"/>
        </w:rPr>
        <w:t xml:space="preserve">Funds Available For Distribution ("FAD") </w:t>
      </w:r>
      <w:r>
        <w:rPr>
          <w:rFonts w:ascii="Arial" w:cs="Arial" w:eastAsia="Arial" w:hAnsi="Arial"/>
          <w:sz w:val="12"/>
          <w:szCs w:val="12"/>
          <w:color w:val="auto"/>
        </w:rPr>
        <w:t>- FAD is defined as FFO less (i) cash basis recurring tenant improvements, leasing commissions and capital expenditures, (ii) straight-line rents and amortization of</w:t>
      </w:r>
      <w:r>
        <w:rPr>
          <w:rFonts w:ascii="Arial" w:cs="Arial" w:eastAsia="Arial" w:hAnsi="Arial"/>
          <w:sz w:val="12"/>
          <w:szCs w:val="12"/>
          <w:b w:val="1"/>
          <w:bCs w:val="1"/>
          <w:color w:val="auto"/>
        </w:rPr>
        <w:t xml:space="preserve"> </w:t>
      </w:r>
      <w:r>
        <w:rPr>
          <w:rFonts w:ascii="Arial" w:cs="Arial" w:eastAsia="Arial" w:hAnsi="Arial"/>
          <w:sz w:val="12"/>
          <w:szCs w:val="12"/>
          <w:color w:val="auto"/>
        </w:rPr>
        <w:t>acquired below-market leases, net, and (iii) other non-cash income, plus (iv) other non-cash charges. FAD is a non-GAAP financial measure that is not intended to represent cash flow and is not indicative of cash flow provided by operating activities as determined in accordance with GAAP. FAD is presented solely as a supplemental disclosure that management believes provides useful information regarding the Company's ability to fund its dividends.</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color w:val="auto"/>
        </w:rPr>
        <w:t xml:space="preserve">Earnings Before Interest, Taxes, Depreciation and Amortization for Real Estate ("EBITDAre") </w:t>
      </w:r>
      <w:r>
        <w:rPr>
          <w:rFonts w:ascii="Arial" w:cs="Arial" w:eastAsia="Arial" w:hAnsi="Arial"/>
          <w:sz w:val="12"/>
          <w:szCs w:val="12"/>
          <w:color w:val="auto"/>
        </w:rPr>
        <w:t>- EBITDAre (i.e., EBITDA for real estate companies) is a non-GAAP financial measure established by</w:t>
      </w:r>
      <w:r>
        <w:rPr>
          <w:rFonts w:ascii="Arial" w:cs="Arial" w:eastAsia="Arial" w:hAnsi="Arial"/>
          <w:sz w:val="12"/>
          <w:szCs w:val="12"/>
          <w:b w:val="1"/>
          <w:bCs w:val="1"/>
          <w:color w:val="auto"/>
        </w:rPr>
        <w:t xml:space="preserve"> </w:t>
      </w:r>
      <w:r>
        <w:rPr>
          <w:rFonts w:ascii="Arial" w:cs="Arial" w:eastAsia="Arial" w:hAnsi="Arial"/>
          <w:sz w:val="12"/>
          <w:szCs w:val="12"/>
          <w:color w:val="auto"/>
        </w:rPr>
        <w:t>NAREIT, which may not be comparable to EBITDA reported by other REITs that do not compute EBITDAre in accordance with the NAREIT definition. NAREIT defines EBITDAre as GAAP net income or loss, plus interest expense, plus income tax expense, plus depreciation and amortization, plus (minus) losses and gains on the disposition of depreciated property including losses and gains on change of control, plus impairment write-downs of depreciated property and of investments in unconsolidated entities caused by a decrease in value of depreciated property in the joint venture, plus adjustments to reflect the entity's share of EBITDA of unconsolidated entities. The Company has included EBITDAre because it is a performance measure used by other REITs and therefore may provide useful information to investors in comparing Vornado's performance to that of other REITs.</w:t>
      </w:r>
    </w:p>
    <w:p>
      <w:pPr>
        <w:spacing w:after="0" w:line="1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color w:val="auto"/>
        </w:rPr>
        <w:t xml:space="preserve">Net Debt to EBITDAre, as adjusted - </w:t>
      </w:r>
      <w:r>
        <w:rPr>
          <w:rFonts w:ascii="Arial" w:cs="Arial" w:eastAsia="Arial" w:hAnsi="Arial"/>
          <w:sz w:val="12"/>
          <w:szCs w:val="12"/>
          <w:color w:val="auto"/>
        </w:rPr>
        <w:t>Net debt to EBITDAre, as adjusted represents the ratio of net debt to annualized EBITDAre, as adjusted. Net debt is calculated as (i) the Company’s consolidated debt</w:t>
      </w:r>
      <w:r>
        <w:rPr>
          <w:rFonts w:ascii="Arial" w:cs="Arial" w:eastAsia="Arial" w:hAnsi="Arial"/>
          <w:sz w:val="12"/>
          <w:szCs w:val="12"/>
          <w:b w:val="1"/>
          <w:bCs w:val="1"/>
          <w:color w:val="auto"/>
        </w:rPr>
        <w:t xml:space="preserve"> </w:t>
      </w:r>
      <w:r>
        <w:rPr>
          <w:rFonts w:ascii="Arial" w:cs="Arial" w:eastAsia="Arial" w:hAnsi="Arial"/>
          <w:sz w:val="12"/>
          <w:szCs w:val="12"/>
          <w:color w:val="auto"/>
        </w:rPr>
        <w:t>less noncontrolling interests’ share of consolidated debt plus the Company’s pro rata share of debt of unconsolidated entities less (ii) the Company’s consolidated cash and cash equivalents, cash held in escrow and investments in U.S. Treasury bills less noncontrolling interests’ share of these amounts, plus the Company’s pro rata share of these amounts for unconsolidated entities. Cash held in escrow represents cash escrowed under loan agreements including for debt service, real estate taxes, property insurance, and capital improvements, and the Company is not able to direct the use of this cash. The availability of cash and cash equivalents for use in debt reduction cannot be assumed, as the Company may use its cash and cash equivalents for other purposes. Further, the Company may not be able to direct the use of its pro rata share of cash and cash equivalents of unconsolidated entities. The Company discloses net debt to EBITDAre, as adjusted because management believes it is useful to investors as a supplemental measure in evaluating the Company’s balance sheet leverage. Net debt to EBITDAre, as adjusted may not be comparable to similarly titled measures employed by other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i -</w:t>
      </w:r>
    </w:p>
    <w:p>
      <w:pPr>
        <w:sectPr>
          <w:pgSz w:w="11900" w:h="16838" w:orient="portrait"/>
          <w:cols w:equalWidth="0" w:num="1">
            <w:col w:w="11280"/>
          </w:cols>
          <w:pgMar w:left="300" w:top="982" w:right="319" w:bottom="1440" w:gutter="0" w:footer="0" w:header="0"/>
        </w:sectPr>
      </w:pPr>
    </w:p>
    <w:bookmarkStart w:id="67" w:name="page68"/>
    <w:bookmarkEnd w:id="67"/>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 w:lineRule="exact"/>
        <w:rPr>
          <w:sz w:val="20"/>
          <w:szCs w:val="20"/>
          <w:color w:val="auto"/>
        </w:rPr>
      </w:pPr>
    </w:p>
    <w:p>
      <w:pPr>
        <w:ind w:left="20" w:right="20"/>
        <w:spacing w:after="0" w:line="233" w:lineRule="auto"/>
        <w:rPr>
          <w:sz w:val="20"/>
          <w:szCs w:val="20"/>
          <w:color w:val="auto"/>
        </w:rPr>
      </w:pPr>
      <w:r>
        <w:rPr>
          <w:rFonts w:ascii="Arial" w:cs="Arial" w:eastAsia="Arial" w:hAnsi="Arial"/>
          <w:sz w:val="14"/>
          <w:szCs w:val="14"/>
          <w:color w:val="auto"/>
        </w:rPr>
        <w:t>RECONCILIATION OF NET (LOSS) INCOME ATTRIBUTABLE TO COMMON SHAREHOLDERS TO FFO ATTRIBUTABLE TO COMMON SHAREHOLDERS PLUS ASSUMED CONVERSIONS (unaudited)</w:t>
      </w:r>
    </w:p>
    <w:tbl>
      <w:tblPr>
        <w:tblLayout w:type="fixed"/>
        <w:tblInd w:w="0" w:type="dxa"/>
        <w:tblCellMar>
          <w:top w:w="0" w:type="dxa"/>
          <w:left w:w="0" w:type="dxa"/>
          <w:bottom w:w="0" w:type="dxa"/>
          <w:right w:w="0" w:type="dxa"/>
        </w:tblCellMar>
      </w:tblPr>
      <w:tr>
        <w:trPr>
          <w:trHeight w:val="150"/>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 except per share amounts)</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For the Three Months Ended</w:t>
            </w: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September 30, 2026</w:t>
            </w: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June 30, 2026</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March 31, 2026</w:t>
            </w:r>
          </w:p>
        </w:tc>
        <w:tc>
          <w:tcPr>
            <w:tcW w:w="10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 2025</w:t>
            </w:r>
          </w:p>
        </w:tc>
        <w:tc>
          <w:tcPr>
            <w:tcW w:w="80" w:type="dxa"/>
            <w:vAlign w:val="bottom"/>
          </w:tcPr>
          <w:p>
            <w:pPr>
              <w:spacing w:after="0"/>
              <w:rPr>
                <w:sz w:val="13"/>
                <w:szCs w:val="13"/>
                <w:color w:val="auto"/>
              </w:rPr>
            </w:pPr>
          </w:p>
        </w:tc>
        <w:tc>
          <w:tcPr>
            <w:tcW w:w="1180" w:type="dxa"/>
            <w:vAlign w:val="bottom"/>
          </w:tcPr>
          <w:p>
            <w:pPr>
              <w:jc w:val="right"/>
              <w:ind w:right="43"/>
              <w:spacing w:after="0"/>
              <w:rPr>
                <w:sz w:val="20"/>
                <w:szCs w:val="20"/>
                <w:color w:val="auto"/>
              </w:rPr>
            </w:pPr>
            <w:r>
              <w:rPr>
                <w:rFonts w:ascii="Arial" w:cs="Arial" w:eastAsia="Arial" w:hAnsi="Arial"/>
                <w:sz w:val="11"/>
                <w:szCs w:val="11"/>
                <w:b w:val="1"/>
                <w:bCs w:val="1"/>
                <w:color w:val="auto"/>
              </w:rPr>
              <w:t>September 30, 2025</w:t>
            </w:r>
          </w:p>
        </w:tc>
        <w:tc>
          <w:tcPr>
            <w:tcW w:w="0" w:type="dxa"/>
            <w:vAlign w:val="bottom"/>
          </w:tcPr>
          <w:p>
            <w:pPr>
              <w:spacing w:after="0"/>
              <w:rPr>
                <w:sz w:val="1"/>
                <w:szCs w:val="1"/>
                <w:color w:val="auto"/>
              </w:rPr>
            </w:pPr>
          </w:p>
        </w:tc>
      </w:tr>
      <w:tr>
        <w:trPr>
          <w:trHeight w:val="104"/>
        </w:trPr>
        <w:tc>
          <w:tcPr>
            <w:tcW w:w="4640" w:type="dxa"/>
            <w:vAlign w:val="bottom"/>
          </w:tcPr>
          <w:p>
            <w:pPr>
              <w:ind w:left="20"/>
              <w:spacing w:after="0" w:line="104" w:lineRule="exact"/>
              <w:rPr>
                <w:sz w:val="20"/>
                <w:szCs w:val="20"/>
                <w:color w:val="auto"/>
              </w:rPr>
            </w:pPr>
            <w:r>
              <w:rPr>
                <w:rFonts w:ascii="Arial" w:cs="Arial" w:eastAsia="Arial" w:hAnsi="Arial"/>
                <w:sz w:val="11"/>
                <w:szCs w:val="11"/>
                <w:color w:val="auto"/>
              </w:rPr>
              <w:t>Reconciliation of net (loss) income attributable to common shareholders to FFO</w:t>
            </w: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640" w:type="dxa"/>
            <w:vAlign w:val="bottom"/>
          </w:tcPr>
          <w:p>
            <w:pPr>
              <w:ind w:left="140"/>
              <w:spacing w:after="0"/>
              <w:rPr>
                <w:sz w:val="20"/>
                <w:szCs w:val="20"/>
                <w:color w:val="auto"/>
              </w:rPr>
            </w:pPr>
            <w:r>
              <w:rPr>
                <w:rFonts w:ascii="Arial" w:cs="Arial" w:eastAsia="Arial" w:hAnsi="Arial"/>
                <w:sz w:val="11"/>
                <w:szCs w:val="11"/>
                <w:color w:val="auto"/>
              </w:rPr>
              <w:t>attributable to common shareholders plus assumed conversions (non-GAAP):</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 attributable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(47,138)</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16,434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(22,842)</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601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11,589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640" w:type="dxa"/>
            <w:vAlign w:val="bottom"/>
          </w:tcPr>
          <w:p>
            <w:pPr>
              <w:ind w:left="120"/>
              <w:spacing w:after="0" w:line="125" w:lineRule="exact"/>
              <w:rPr>
                <w:sz w:val="20"/>
                <w:szCs w:val="20"/>
                <w:color w:val="auto"/>
              </w:rPr>
            </w:pPr>
            <w:r>
              <w:rPr>
                <w:rFonts w:ascii="Arial" w:cs="Arial" w:eastAsia="Arial" w:hAnsi="Arial"/>
                <w:sz w:val="11"/>
                <w:szCs w:val="11"/>
                <w:color w:val="auto"/>
              </w:rPr>
              <w:t>Per diluted share</w:t>
            </w:r>
          </w:p>
        </w:tc>
        <w:tc>
          <w:tcPr>
            <w:tcW w:w="100" w:type="dxa"/>
            <w:vAlign w:val="bottom"/>
          </w:tcPr>
          <w:p>
            <w:pPr>
              <w:jc w:val="right"/>
              <w:spacing w:after="0" w:line="125" w:lineRule="exact"/>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line="125" w:lineRule="exact"/>
              <w:rPr>
                <w:sz w:val="20"/>
                <w:szCs w:val="20"/>
                <w:color w:val="auto"/>
              </w:rPr>
            </w:pPr>
            <w:r>
              <w:rPr>
                <w:rFonts w:ascii="Arial" w:cs="Arial" w:eastAsia="Arial" w:hAnsi="Arial"/>
                <w:sz w:val="11"/>
                <w:szCs w:val="11"/>
                <w:color w:val="auto"/>
              </w:rPr>
              <w:t>(0.25)</w:t>
            </w:r>
          </w:p>
        </w:tc>
        <w:tc>
          <w:tcPr>
            <w:tcW w:w="60" w:type="dxa"/>
            <w:vAlign w:val="bottom"/>
          </w:tcPr>
          <w:p>
            <w:pPr>
              <w:spacing w:after="0"/>
              <w:rPr>
                <w:sz w:val="10"/>
                <w:szCs w:val="10"/>
                <w:color w:val="auto"/>
              </w:rPr>
            </w:pPr>
          </w:p>
        </w:tc>
        <w:tc>
          <w:tcPr>
            <w:tcW w:w="180" w:type="dxa"/>
            <w:vAlign w:val="bottom"/>
          </w:tcPr>
          <w:p>
            <w:pPr>
              <w:jc w:val="right"/>
              <w:ind w:right="43"/>
              <w:spacing w:after="0" w:line="125" w:lineRule="exact"/>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0.08</w:t>
            </w:r>
          </w:p>
        </w:tc>
        <w:tc>
          <w:tcPr>
            <w:tcW w:w="80" w:type="dxa"/>
            <w:vAlign w:val="bottom"/>
          </w:tcPr>
          <w:p>
            <w:pPr>
              <w:spacing w:after="0"/>
              <w:rPr>
                <w:sz w:val="10"/>
                <w:szCs w:val="10"/>
                <w:color w:val="auto"/>
              </w:rPr>
            </w:pPr>
          </w:p>
        </w:tc>
        <w:tc>
          <w:tcPr>
            <w:tcW w:w="160" w:type="dxa"/>
            <w:vAlign w:val="bottom"/>
          </w:tcPr>
          <w:p>
            <w:pPr>
              <w:jc w:val="right"/>
              <w:ind w:right="23"/>
              <w:spacing w:after="0" w:line="125" w:lineRule="exact"/>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(0.12)</w:t>
            </w:r>
          </w:p>
        </w:tc>
        <w:tc>
          <w:tcPr>
            <w:tcW w:w="60" w:type="dxa"/>
            <w:vAlign w:val="bottom"/>
          </w:tcPr>
          <w:p>
            <w:pPr>
              <w:spacing w:after="0"/>
              <w:rPr>
                <w:sz w:val="10"/>
                <w:szCs w:val="10"/>
                <w:color w:val="auto"/>
              </w:rPr>
            </w:pPr>
          </w:p>
        </w:tc>
        <w:tc>
          <w:tcPr>
            <w:tcW w:w="100" w:type="dxa"/>
            <w:vAlign w:val="bottom"/>
          </w:tcPr>
          <w:p>
            <w:pPr>
              <w:jc w:val="right"/>
              <w:spacing w:after="0" w:line="125" w:lineRule="exact"/>
              <w:rPr>
                <w:sz w:val="20"/>
                <w:szCs w:val="20"/>
                <w:color w:val="auto"/>
              </w:rPr>
            </w:pPr>
            <w:r>
              <w:rPr>
                <w:rFonts w:ascii="Arial" w:cs="Arial" w:eastAsia="Arial" w:hAnsi="Arial"/>
                <w:sz w:val="11"/>
                <w:szCs w:val="11"/>
                <w:color w:val="auto"/>
                <w:w w:val="97"/>
              </w:rPr>
              <w:t>$</w:t>
            </w:r>
          </w:p>
        </w:tc>
        <w:tc>
          <w:tcPr>
            <w:tcW w:w="126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jc w:val="right"/>
              <w:spacing w:after="0" w:line="125" w:lineRule="exact"/>
              <w:rPr>
                <w:sz w:val="20"/>
                <w:szCs w:val="20"/>
                <w:color w:val="auto"/>
              </w:rPr>
            </w:pPr>
            <w:r>
              <w:rPr>
                <w:rFonts w:ascii="Arial" w:cs="Arial" w:eastAsia="Arial" w:hAnsi="Arial"/>
                <w:sz w:val="11"/>
                <w:szCs w:val="11"/>
                <w:color w:val="auto"/>
                <w:w w:val="97"/>
              </w:rPr>
              <w:t>$</w:t>
            </w:r>
          </w:p>
        </w:tc>
        <w:tc>
          <w:tcPr>
            <w:tcW w:w="1180" w:type="dxa"/>
            <w:vAlign w:val="bottom"/>
          </w:tcPr>
          <w:p>
            <w:pPr>
              <w:jc w:val="right"/>
              <w:ind w:right="3"/>
              <w:spacing w:after="0" w:line="125" w:lineRule="exact"/>
              <w:rPr>
                <w:sz w:val="20"/>
                <w:szCs w:val="20"/>
                <w:color w:val="auto"/>
              </w:rPr>
            </w:pPr>
            <w:r>
              <w:rPr>
                <w:rFonts w:ascii="Arial" w:cs="Arial" w:eastAsia="Arial" w:hAnsi="Arial"/>
                <w:sz w:val="11"/>
                <w:szCs w:val="11"/>
                <w:color w:val="auto"/>
              </w:rPr>
              <w:t>0.06</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0"/>
              <w:spacing w:after="0"/>
              <w:rPr>
                <w:sz w:val="20"/>
                <w:szCs w:val="20"/>
                <w:color w:val="auto"/>
              </w:rPr>
            </w:pPr>
            <w:r>
              <w:rPr>
                <w:rFonts w:ascii="Arial" w:cs="Arial" w:eastAsia="Arial" w:hAnsi="Arial"/>
                <w:sz w:val="11"/>
                <w:szCs w:val="11"/>
                <w:color w:val="auto"/>
              </w:rPr>
              <w:t>FFO adjustments: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640" w:type="dxa"/>
            <w:vAlign w:val="bottom"/>
            <w:shd w:val="clear" w:color="auto" w:fill="CCEEFF"/>
          </w:tcPr>
          <w:p>
            <w:pPr>
              <w:ind w:left="40"/>
              <w:spacing w:after="0"/>
              <w:rPr>
                <w:sz w:val="20"/>
                <w:szCs w:val="20"/>
                <w:color w:val="auto"/>
              </w:rPr>
            </w:pPr>
            <w:r>
              <w:rPr>
                <w:rFonts w:ascii="Arial" w:cs="Arial" w:eastAsia="Arial" w:hAnsi="Arial"/>
                <w:sz w:val="11"/>
                <w:szCs w:val="11"/>
                <w:color w:val="auto"/>
              </w:rPr>
              <w:t>Depreciation and amortization of real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155,709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157,776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105,386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100,098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103,617</w:t>
            </w:r>
          </w:p>
        </w:tc>
        <w:tc>
          <w:tcPr>
            <w:tcW w:w="0" w:type="dxa"/>
            <w:vAlign w:val="bottom"/>
          </w:tcPr>
          <w:p>
            <w:pPr>
              <w:spacing w:after="0"/>
              <w:rPr>
                <w:sz w:val="1"/>
                <w:szCs w:val="1"/>
                <w:color w:val="auto"/>
              </w:rPr>
            </w:pPr>
          </w:p>
        </w:tc>
      </w:tr>
      <w:tr>
        <w:trPr>
          <w:trHeight w:val="158"/>
        </w:trPr>
        <w:tc>
          <w:tcPr>
            <w:tcW w:w="4640" w:type="dxa"/>
            <w:vAlign w:val="bottom"/>
          </w:tcPr>
          <w:p>
            <w:pPr>
              <w:ind w:left="40"/>
              <w:spacing w:after="0"/>
              <w:rPr>
                <w:sz w:val="20"/>
                <w:szCs w:val="20"/>
                <w:color w:val="auto"/>
              </w:rPr>
            </w:pPr>
            <w:r>
              <w:rPr>
                <w:rFonts w:ascii="Arial" w:cs="Arial" w:eastAsia="Arial" w:hAnsi="Arial"/>
                <w:sz w:val="11"/>
                <w:szCs w:val="11"/>
                <w:color w:val="auto"/>
              </w:rPr>
              <w:t>Change in fair value of marketable securities</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(1,719)</w:t>
            </w:r>
          </w:p>
        </w:tc>
        <w:tc>
          <w:tcPr>
            <w:tcW w:w="0" w:type="dxa"/>
            <w:vAlign w:val="bottom"/>
          </w:tcPr>
          <w:p>
            <w:pPr>
              <w:spacing w:after="0"/>
              <w:rPr>
                <w:sz w:val="1"/>
                <w:szCs w:val="1"/>
                <w:color w:val="auto"/>
              </w:rPr>
            </w:pPr>
          </w:p>
        </w:tc>
      </w:tr>
      <w:tr>
        <w:trPr>
          <w:trHeight w:val="165"/>
        </w:trPr>
        <w:tc>
          <w:tcPr>
            <w:tcW w:w="464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gains on sale of real estate</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4640" w:type="dxa"/>
            <w:vAlign w:val="bottom"/>
          </w:tcPr>
          <w:p>
            <w:pPr>
              <w:ind w:left="40"/>
              <w:spacing w:after="0"/>
              <w:rPr>
                <w:sz w:val="20"/>
                <w:szCs w:val="20"/>
                <w:color w:val="auto"/>
              </w:rPr>
            </w:pPr>
            <w:r>
              <w:rPr>
                <w:rFonts w:ascii="Arial" w:cs="Arial" w:eastAsia="Arial" w:hAnsi="Arial"/>
                <w:sz w:val="11"/>
                <w:szCs w:val="11"/>
                <w:color w:val="auto"/>
              </w:rPr>
              <w:t>Our share of partially owned entities:</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Depreciation and amortization of real property</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31,900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25,274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23,788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22,933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23,302</w:t>
            </w:r>
          </w:p>
        </w:tc>
        <w:tc>
          <w:tcPr>
            <w:tcW w:w="0" w:type="dxa"/>
            <w:vAlign w:val="bottom"/>
          </w:tcPr>
          <w:p>
            <w:pPr>
              <w:spacing w:after="0"/>
              <w:rPr>
                <w:sz w:val="1"/>
                <w:szCs w:val="1"/>
                <w:color w:val="auto"/>
              </w:rPr>
            </w:pPr>
          </w:p>
        </w:tc>
      </w:tr>
      <w:tr>
        <w:trPr>
          <w:trHeight w:val="158"/>
        </w:trPr>
        <w:tc>
          <w:tcPr>
            <w:tcW w:w="4640" w:type="dxa"/>
            <w:vAlign w:val="bottom"/>
          </w:tcPr>
          <w:p>
            <w:pPr>
              <w:ind w:left="400"/>
              <w:spacing w:after="0"/>
              <w:rPr>
                <w:sz w:val="20"/>
                <w:szCs w:val="20"/>
                <w:color w:val="auto"/>
              </w:rPr>
            </w:pPr>
            <w:r>
              <w:rPr>
                <w:rFonts w:ascii="Arial" w:cs="Arial" w:eastAsia="Arial" w:hAnsi="Arial"/>
                <w:sz w:val="11"/>
                <w:szCs w:val="11"/>
                <w:color w:val="auto"/>
              </w:rPr>
              <w:t>Net gains on sale of real estate</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(3,500)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(44,930)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(11,002)</w:t>
            </w:r>
          </w:p>
        </w:tc>
        <w:tc>
          <w:tcPr>
            <w:tcW w:w="0" w:type="dxa"/>
            <w:vAlign w:val="bottom"/>
          </w:tcPr>
          <w:p>
            <w:pPr>
              <w:spacing w:after="0"/>
              <w:rPr>
                <w:sz w:val="1"/>
                <w:szCs w:val="1"/>
                <w:color w:val="auto"/>
              </w:rPr>
            </w:pPr>
          </w:p>
        </w:tc>
      </w:tr>
      <w:tr>
        <w:trPr>
          <w:trHeight w:val="156"/>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FFO adjustments, net</w:t>
            </w: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184,109</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138,120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129,174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122,308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114,198</w:t>
            </w:r>
          </w:p>
        </w:tc>
        <w:tc>
          <w:tcPr>
            <w:tcW w:w="0" w:type="dxa"/>
            <w:vAlign w:val="bottom"/>
          </w:tcPr>
          <w:p>
            <w:pPr>
              <w:spacing w:after="0"/>
              <w:rPr>
                <w:sz w:val="1"/>
                <w:szCs w:val="1"/>
                <w:color w:val="auto"/>
              </w:rPr>
            </w:pPr>
          </w:p>
        </w:tc>
      </w:tr>
      <w:tr>
        <w:trPr>
          <w:trHeight w:val="158"/>
        </w:trPr>
        <w:tc>
          <w:tcPr>
            <w:tcW w:w="4640" w:type="dxa"/>
            <w:vAlign w:val="bottom"/>
          </w:tcPr>
          <w:p>
            <w:pPr>
              <w:ind w:left="40"/>
              <w:spacing w:after="0"/>
              <w:rPr>
                <w:sz w:val="20"/>
                <w:szCs w:val="20"/>
                <w:color w:val="auto"/>
              </w:rPr>
            </w:pPr>
            <w:r>
              <w:rPr>
                <w:rFonts w:ascii="Arial" w:cs="Arial" w:eastAsia="Arial" w:hAnsi="Arial"/>
                <w:sz w:val="11"/>
                <w:szCs w:val="11"/>
                <w:color w:val="auto"/>
              </w:rPr>
              <w:t>Impact of assumed conversion of dilutive convertible securities</w:t>
            </w:r>
          </w:p>
        </w:tc>
        <w:tc>
          <w:tcPr>
            <w:tcW w:w="10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319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383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309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385</w:t>
            </w:r>
          </w:p>
        </w:tc>
        <w:tc>
          <w:tcPr>
            <w:tcW w:w="0" w:type="dxa"/>
            <w:vAlign w:val="bottom"/>
          </w:tcPr>
          <w:p>
            <w:pPr>
              <w:spacing w:after="0"/>
              <w:rPr>
                <w:sz w:val="1"/>
                <w:szCs w:val="1"/>
                <w:color w:val="auto"/>
              </w:rPr>
            </w:pPr>
          </w:p>
        </w:tc>
      </w:tr>
      <w:tr>
        <w:trPr>
          <w:trHeight w:val="165"/>
        </w:trPr>
        <w:tc>
          <w:tcPr>
            <w:tcW w:w="4640" w:type="dxa"/>
            <w:vAlign w:val="bottom"/>
            <w:shd w:val="clear" w:color="auto" w:fill="CCEEFF"/>
          </w:tcPr>
          <w:p>
            <w:pPr>
              <w:ind w:left="40"/>
              <w:spacing w:after="0"/>
              <w:rPr>
                <w:sz w:val="20"/>
                <w:szCs w:val="20"/>
                <w:color w:val="auto"/>
              </w:rPr>
            </w:pPr>
            <w:r>
              <w:rPr>
                <w:rFonts w:ascii="Arial" w:cs="Arial" w:eastAsia="Arial" w:hAnsi="Arial"/>
                <w:sz w:val="11"/>
                <w:szCs w:val="11"/>
                <w:color w:val="auto"/>
              </w:rPr>
              <w:t>Noncontrolling interests' share of above adjustments on a dilutive basis</w:t>
            </w: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(14,644)</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(10,859)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(10,378)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(10,201)</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(8,800)</w:t>
            </w:r>
          </w:p>
        </w:tc>
        <w:tc>
          <w:tcPr>
            <w:tcW w:w="0" w:type="dxa"/>
            <w:vAlign w:val="bottom"/>
          </w:tcPr>
          <w:p>
            <w:pPr>
              <w:spacing w:after="0"/>
              <w:rPr>
                <w:sz w:val="1"/>
                <w:szCs w:val="1"/>
                <w:color w:val="auto"/>
              </w:rPr>
            </w:pPr>
          </w:p>
        </w:tc>
      </w:tr>
      <w:tr>
        <w:trPr>
          <w:trHeight w:val="149"/>
        </w:trPr>
        <w:tc>
          <w:tcPr>
            <w:tcW w:w="4640" w:type="dxa"/>
            <w:vAlign w:val="bottom"/>
          </w:tcPr>
          <w:p>
            <w:pPr>
              <w:ind w:left="40"/>
              <w:spacing w:after="0"/>
              <w:rPr>
                <w:sz w:val="20"/>
                <w:szCs w:val="20"/>
                <w:color w:val="auto"/>
              </w:rPr>
            </w:pPr>
            <w:r>
              <w:rPr>
                <w:rFonts w:ascii="Arial" w:cs="Arial" w:eastAsia="Arial" w:hAnsi="Arial"/>
                <w:sz w:val="11"/>
                <w:szCs w:val="11"/>
                <w:color w:val="auto"/>
              </w:rPr>
              <w:t>FFO attributable to common shareholders plus assumed conversions (non-GAAP)</w:t>
            </w:r>
          </w:p>
        </w:tc>
        <w:tc>
          <w:tcPr>
            <w:tcW w:w="10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122,646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144,078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96,263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112,927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117,372</w:t>
            </w:r>
          </w:p>
        </w:tc>
        <w:tc>
          <w:tcPr>
            <w:tcW w:w="0" w:type="dxa"/>
            <w:vAlign w:val="bottom"/>
          </w:tcPr>
          <w:p>
            <w:pPr>
              <w:spacing w:after="0"/>
              <w:rPr>
                <w:sz w:val="1"/>
                <w:szCs w:val="1"/>
                <w:color w:val="auto"/>
              </w:rPr>
            </w:pPr>
          </w:p>
        </w:tc>
      </w:tr>
      <w:tr>
        <w:trPr>
          <w:trHeight w:val="161"/>
        </w:trPr>
        <w:tc>
          <w:tcPr>
            <w:tcW w:w="4640" w:type="dxa"/>
            <w:vAlign w:val="bottom"/>
            <w:shd w:val="clear" w:color="auto" w:fill="CCEEFF"/>
          </w:tcPr>
          <w:p>
            <w:pPr>
              <w:ind w:left="40"/>
              <w:spacing w:after="0"/>
              <w:rPr>
                <w:sz w:val="20"/>
                <w:szCs w:val="20"/>
                <w:color w:val="auto"/>
              </w:rPr>
            </w:pPr>
            <w:r>
              <w:rPr>
                <w:rFonts w:ascii="Arial" w:cs="Arial" w:eastAsia="Arial" w:hAnsi="Arial"/>
                <w:sz w:val="11"/>
                <w:szCs w:val="11"/>
                <w:color w:val="auto"/>
              </w:rPr>
              <w:t>Add back of FFO allocated to noncontrolling interests of the Operating Partnership</w:t>
            </w: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10,444</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12,320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8,330</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10,254</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9,807</w:t>
            </w:r>
          </w:p>
        </w:tc>
        <w:tc>
          <w:tcPr>
            <w:tcW w:w="0" w:type="dxa"/>
            <w:vAlign w:val="bottom"/>
          </w:tcPr>
          <w:p>
            <w:pPr>
              <w:spacing w:after="0"/>
              <w:rPr>
                <w:sz w:val="1"/>
                <w:szCs w:val="1"/>
                <w:color w:val="auto"/>
              </w:rPr>
            </w:pPr>
          </w:p>
        </w:tc>
      </w:tr>
      <w:tr>
        <w:trPr>
          <w:trHeight w:val="156"/>
        </w:trPr>
        <w:tc>
          <w:tcPr>
            <w:tcW w:w="4640" w:type="dxa"/>
            <w:vAlign w:val="bottom"/>
          </w:tcPr>
          <w:p>
            <w:pPr>
              <w:ind w:left="40"/>
              <w:spacing w:after="0"/>
              <w:rPr>
                <w:sz w:val="20"/>
                <w:szCs w:val="20"/>
                <w:color w:val="auto"/>
              </w:rPr>
            </w:pPr>
            <w:r>
              <w:rPr>
                <w:rFonts w:ascii="Arial" w:cs="Arial" w:eastAsia="Arial" w:hAnsi="Arial"/>
                <w:sz w:val="11"/>
                <w:szCs w:val="11"/>
                <w:color w:val="auto"/>
              </w:rPr>
              <w:t>FFO attributable to Class A unitholders (non-GAAP)</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133,090</w:t>
            </w:r>
          </w:p>
        </w:tc>
        <w:tc>
          <w:tcPr>
            <w:tcW w:w="6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156,398</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104,593</w:t>
            </w: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123,181</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127,179</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FFO per diluted share (non-GAAP)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0.62</w:t>
            </w: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0.74</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0.49</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0.56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0.58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ii -</w:t>
      </w:r>
    </w:p>
    <w:p>
      <w:pPr>
        <w:sectPr>
          <w:pgSz w:w="11900" w:h="16838" w:orient="portrait"/>
          <w:cols w:equalWidth="0" w:num="1">
            <w:col w:w="11280"/>
          </w:cols>
          <w:pgMar w:left="300" w:top="981" w:right="319" w:bottom="1440" w:gutter="0" w:footer="0" w:header="0"/>
        </w:sectPr>
      </w:pPr>
    </w:p>
    <w:bookmarkStart w:id="68" w:name="page69"/>
    <w:bookmarkEnd w:id="68"/>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 w:lineRule="exact"/>
        <w:rPr>
          <w:sz w:val="20"/>
          <w:szCs w:val="20"/>
          <w:color w:val="auto"/>
        </w:rPr>
      </w:pPr>
    </w:p>
    <w:p>
      <w:pPr>
        <w:ind w:left="20" w:right="20"/>
        <w:spacing w:after="0" w:line="233" w:lineRule="auto"/>
        <w:rPr>
          <w:sz w:val="20"/>
          <w:szCs w:val="20"/>
          <w:color w:val="auto"/>
        </w:rPr>
      </w:pPr>
      <w:r>
        <w:rPr>
          <w:rFonts w:ascii="Arial" w:cs="Arial" w:eastAsia="Arial" w:hAnsi="Arial"/>
          <w:sz w:val="14"/>
          <w:szCs w:val="14"/>
          <w:color w:val="auto"/>
        </w:rPr>
        <w:t>RECONCILIATION OF FFO ATTRIBUTABLE TO COMMON SHAREHOLDERS PLUS ASSUMED CONVERSIONS TO FFO ATTRIBUTABLE TO COMMON SHAREHOLDERS PLUS ASSUMED CONVERSIONS, AS ADJUSTED (unaudited)</w:t>
      </w:r>
    </w:p>
    <w:tbl>
      <w:tblPr>
        <w:tblLayout w:type="fixed"/>
        <w:tblInd w:w="0" w:type="dxa"/>
        <w:tblCellMar>
          <w:top w:w="0" w:type="dxa"/>
          <w:left w:w="0" w:type="dxa"/>
          <w:bottom w:w="0" w:type="dxa"/>
          <w:right w:w="0" w:type="dxa"/>
        </w:tblCellMar>
      </w:tblPr>
      <w:tr>
        <w:trPr>
          <w:trHeight w:val="150"/>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 except per share amounts)</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For the Three Months Ended</w:t>
            </w: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September 30, 2026</w:t>
            </w:r>
          </w:p>
        </w:tc>
        <w:tc>
          <w:tcPr>
            <w:tcW w:w="16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 2026</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March 31, 2026</w:t>
            </w:r>
          </w:p>
        </w:tc>
        <w:tc>
          <w:tcPr>
            <w:tcW w:w="10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 2025</w:t>
            </w:r>
          </w:p>
        </w:tc>
        <w:tc>
          <w:tcPr>
            <w:tcW w:w="80" w:type="dxa"/>
            <w:vAlign w:val="bottom"/>
          </w:tcPr>
          <w:p>
            <w:pPr>
              <w:spacing w:after="0"/>
              <w:rPr>
                <w:sz w:val="13"/>
                <w:szCs w:val="13"/>
                <w:color w:val="auto"/>
              </w:rPr>
            </w:pPr>
          </w:p>
        </w:tc>
        <w:tc>
          <w:tcPr>
            <w:tcW w:w="1180" w:type="dxa"/>
            <w:vAlign w:val="bottom"/>
          </w:tcPr>
          <w:p>
            <w:pPr>
              <w:jc w:val="right"/>
              <w:ind w:right="43"/>
              <w:spacing w:after="0"/>
              <w:rPr>
                <w:sz w:val="20"/>
                <w:szCs w:val="20"/>
                <w:color w:val="auto"/>
              </w:rPr>
            </w:pPr>
            <w:r>
              <w:rPr>
                <w:rFonts w:ascii="Arial" w:cs="Arial" w:eastAsia="Arial" w:hAnsi="Arial"/>
                <w:sz w:val="11"/>
                <w:szCs w:val="11"/>
                <w:b w:val="1"/>
                <w:bCs w:val="1"/>
                <w:color w:val="auto"/>
              </w:rPr>
              <w:t>September 30, 2025</w:t>
            </w:r>
          </w:p>
        </w:tc>
        <w:tc>
          <w:tcPr>
            <w:tcW w:w="0" w:type="dxa"/>
            <w:vAlign w:val="bottom"/>
          </w:tcPr>
          <w:p>
            <w:pPr>
              <w:spacing w:after="0"/>
              <w:rPr>
                <w:sz w:val="1"/>
                <w:szCs w:val="1"/>
                <w:color w:val="auto"/>
              </w:rPr>
            </w:pPr>
          </w:p>
        </w:tc>
      </w:tr>
      <w:tr>
        <w:trPr>
          <w:trHeight w:val="174"/>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FFO attributable to common shareholders plus assumed conversions (non-GAAP)</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122,646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144,078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96,263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112,927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117,372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1"/>
                <w:szCs w:val="11"/>
                <w:color w:val="auto"/>
              </w:rPr>
              <w:t>Per diluted share (non-GAAP)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680" w:type="dxa"/>
            <w:vAlign w:val="bottom"/>
            <w:vMerge w:val="continue"/>
          </w:tcPr>
          <w:p>
            <w:pPr>
              <w:spacing w:after="0"/>
              <w:rPr>
                <w:sz w:val="10"/>
                <w:szCs w:val="10"/>
                <w:color w:val="auto"/>
              </w:rPr>
            </w:pPr>
          </w:p>
        </w:tc>
        <w:tc>
          <w:tcPr>
            <w:tcW w:w="1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0.62</w:t>
            </w:r>
          </w:p>
        </w:tc>
        <w:tc>
          <w:tcPr>
            <w:tcW w:w="80" w:type="dxa"/>
            <w:vAlign w:val="bottom"/>
          </w:tcPr>
          <w:p>
            <w:pPr>
              <w:spacing w:after="0"/>
              <w:rPr>
                <w:sz w:val="10"/>
                <w:szCs w:val="10"/>
                <w:color w:val="auto"/>
              </w:rPr>
            </w:pPr>
          </w:p>
        </w:tc>
        <w:tc>
          <w:tcPr>
            <w:tcW w:w="160" w:type="dxa"/>
            <w:vAlign w:val="bottom"/>
            <w:tcBorders>
              <w:bottom w:val="single" w:sz="8" w:color="auto"/>
            </w:tcBorders>
          </w:tcPr>
          <w:p>
            <w:pPr>
              <w:jc w:val="right"/>
              <w:ind w:right="23"/>
              <w:spacing w:after="0" w:line="121" w:lineRule="exact"/>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3"/>
              <w:spacing w:after="0" w:line="121" w:lineRule="exact"/>
              <w:rPr>
                <w:sz w:val="20"/>
                <w:szCs w:val="20"/>
                <w:color w:val="auto"/>
              </w:rPr>
            </w:pPr>
            <w:r>
              <w:rPr>
                <w:rFonts w:ascii="Arial" w:cs="Arial" w:eastAsia="Arial" w:hAnsi="Arial"/>
                <w:sz w:val="11"/>
                <w:szCs w:val="11"/>
                <w:color w:val="auto"/>
              </w:rPr>
              <w:t>0.74</w:t>
            </w:r>
          </w:p>
        </w:tc>
        <w:tc>
          <w:tcPr>
            <w:tcW w:w="80" w:type="dxa"/>
            <w:vAlign w:val="bottom"/>
          </w:tcPr>
          <w:p>
            <w:pPr>
              <w:spacing w:after="0"/>
              <w:rPr>
                <w:sz w:val="10"/>
                <w:szCs w:val="10"/>
                <w:color w:val="auto"/>
              </w:rPr>
            </w:pPr>
          </w:p>
        </w:tc>
        <w:tc>
          <w:tcPr>
            <w:tcW w:w="140" w:type="dxa"/>
            <w:vAlign w:val="bottom"/>
            <w:tcBorders>
              <w:bottom w:val="single" w:sz="8" w:color="auto"/>
            </w:tcBorders>
          </w:tcPr>
          <w:p>
            <w:pPr>
              <w:jc w:val="right"/>
              <w:ind w:right="3"/>
              <w:spacing w:after="0" w:line="121" w:lineRule="exact"/>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3"/>
              <w:spacing w:after="0" w:line="121" w:lineRule="exact"/>
              <w:rPr>
                <w:sz w:val="20"/>
                <w:szCs w:val="20"/>
                <w:color w:val="auto"/>
              </w:rPr>
            </w:pPr>
            <w:r>
              <w:rPr>
                <w:rFonts w:ascii="Arial" w:cs="Arial" w:eastAsia="Arial" w:hAnsi="Arial"/>
                <w:sz w:val="11"/>
                <w:szCs w:val="11"/>
                <w:color w:val="auto"/>
              </w:rPr>
              <w:t>0.49</w:t>
            </w:r>
          </w:p>
        </w:tc>
        <w:tc>
          <w:tcPr>
            <w:tcW w:w="6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0.56</w:t>
            </w: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3"/>
              <w:spacing w:after="0" w:line="121" w:lineRule="exact"/>
              <w:rPr>
                <w:sz w:val="20"/>
                <w:szCs w:val="20"/>
                <w:color w:val="auto"/>
              </w:rPr>
            </w:pPr>
            <w:r>
              <w:rPr>
                <w:rFonts w:ascii="Arial" w:cs="Arial" w:eastAsia="Arial" w:hAnsi="Arial"/>
                <w:sz w:val="11"/>
                <w:szCs w:val="11"/>
                <w:color w:val="auto"/>
              </w:rPr>
              <w:t>0.58</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Arial" w:cs="Arial" w:eastAsia="Arial" w:hAnsi="Arial"/>
                <w:sz w:val="11"/>
                <w:szCs w:val="11"/>
                <w:color w:val="auto"/>
              </w:rPr>
              <w:t>Certain expense (income) items that impact FFO attributable to common shareholders plus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680" w:type="dxa"/>
            <w:vAlign w:val="bottom"/>
          </w:tcPr>
          <w:p>
            <w:pPr>
              <w:ind w:left="140"/>
              <w:spacing w:after="0"/>
              <w:rPr>
                <w:sz w:val="20"/>
                <w:szCs w:val="20"/>
                <w:color w:val="auto"/>
              </w:rPr>
            </w:pPr>
            <w:r>
              <w:rPr>
                <w:rFonts w:ascii="Arial" w:cs="Arial" w:eastAsia="Arial" w:hAnsi="Arial"/>
                <w:sz w:val="11"/>
                <w:szCs w:val="11"/>
                <w:color w:val="auto"/>
              </w:rPr>
              <w:t>assumed conversions:</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680" w:type="dxa"/>
            <w:vAlign w:val="bottom"/>
            <w:shd w:val="clear" w:color="auto" w:fill="CCEEFF"/>
          </w:tcPr>
          <w:p>
            <w:pPr>
              <w:ind w:left="140"/>
              <w:spacing w:after="0" w:line="123" w:lineRule="exact"/>
              <w:rPr>
                <w:sz w:val="20"/>
                <w:szCs w:val="20"/>
                <w:color w:val="auto"/>
              </w:rPr>
            </w:pPr>
            <w:r>
              <w:rPr>
                <w:rFonts w:ascii="Arial" w:cs="Arial" w:eastAsia="Arial" w:hAnsi="Arial"/>
                <w:sz w:val="11"/>
                <w:szCs w:val="11"/>
                <w:color w:val="auto"/>
              </w:rPr>
              <w:t>Deferred tax liability on our investment in the Farley Building (held through a taxable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2,066</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2,679</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2,984</w:t>
            </w:r>
          </w:p>
        </w:tc>
        <w:tc>
          <w:tcPr>
            <w:tcW w:w="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3,048</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3,586</w:t>
            </w:r>
          </w:p>
        </w:tc>
        <w:tc>
          <w:tcPr>
            <w:tcW w:w="0" w:type="dxa"/>
            <w:vAlign w:val="bottom"/>
          </w:tcPr>
          <w:p>
            <w:pPr>
              <w:spacing w:after="0"/>
              <w:rPr>
                <w:sz w:val="1"/>
                <w:szCs w:val="1"/>
                <w:color w:val="auto"/>
              </w:rPr>
            </w:pPr>
          </w:p>
        </w:tc>
      </w:tr>
      <w:tr>
        <w:trPr>
          <w:trHeight w:val="146"/>
        </w:trPr>
        <w:tc>
          <w:tcPr>
            <w:tcW w:w="46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REIT subsidiary)</w:t>
            </w:r>
          </w:p>
        </w:tc>
        <w:tc>
          <w:tcPr>
            <w:tcW w:w="10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680" w:type="dxa"/>
            <w:vAlign w:val="bottom"/>
          </w:tcPr>
          <w:p>
            <w:pPr>
              <w:ind w:left="140"/>
              <w:spacing w:after="0"/>
              <w:rPr>
                <w:sz w:val="20"/>
                <w:szCs w:val="20"/>
                <w:color w:val="auto"/>
              </w:rPr>
            </w:pPr>
            <w:r>
              <w:rPr>
                <w:rFonts w:ascii="Arial" w:cs="Arial" w:eastAsia="Arial" w:hAnsi="Arial"/>
                <w:sz w:val="11"/>
                <w:szCs w:val="11"/>
                <w:color w:val="auto"/>
              </w:rPr>
              <w:t>606 Broadway debt extinguishment gain, net of noncontrolling interests</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(16,141)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46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After-tax net gain on sale of 220 Central Park South ("220 CPS") condominium units and</w:t>
            </w:r>
          </w:p>
        </w:tc>
        <w:tc>
          <w:tcPr>
            <w:tcW w:w="10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(5,910)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6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ancillary amenities</w:t>
            </w:r>
          </w:p>
        </w:tc>
        <w:tc>
          <w:tcPr>
            <w:tcW w:w="10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680" w:type="dxa"/>
            <w:vAlign w:val="bottom"/>
          </w:tcPr>
          <w:p>
            <w:pPr>
              <w:ind w:left="140"/>
              <w:spacing w:after="0"/>
              <w:rPr>
                <w:sz w:val="20"/>
                <w:szCs w:val="20"/>
                <w:color w:val="auto"/>
              </w:rPr>
            </w:pPr>
            <w:r>
              <w:rPr>
                <w:rFonts w:ascii="Arial" w:cs="Arial" w:eastAsia="Arial" w:hAnsi="Arial"/>
                <w:sz w:val="11"/>
                <w:szCs w:val="11"/>
                <w:color w:val="auto"/>
              </w:rPr>
              <w:t>Gain on sale of Canal Street residential condominium units</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(3,574)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46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4,453</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4,241</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(6,661)</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4,351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(14,118)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7,437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(2,195)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(3,075)</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Noncontrolling interests' share of above adjustments on a dilutive basis</w:t>
            </w: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(591)</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238</w:t>
            </w:r>
          </w:p>
        </w:tc>
        <w:tc>
          <w:tcPr>
            <w:tcW w:w="0" w:type="dxa"/>
            <w:vAlign w:val="bottom"/>
          </w:tcPr>
          <w:p>
            <w:pPr>
              <w:spacing w:after="0"/>
              <w:rPr>
                <w:sz w:val="1"/>
                <w:szCs w:val="1"/>
                <w:color w:val="auto"/>
              </w:rPr>
            </w:pPr>
          </w:p>
        </w:tc>
      </w:tr>
      <w:tr>
        <w:trPr>
          <w:trHeight w:val="103"/>
        </w:trPr>
        <w:tc>
          <w:tcPr>
            <w:tcW w:w="4680" w:type="dxa"/>
            <w:vAlign w:val="bottom"/>
          </w:tcPr>
          <w:p>
            <w:pPr>
              <w:ind w:left="20"/>
              <w:spacing w:after="0" w:line="103" w:lineRule="exact"/>
              <w:rPr>
                <w:sz w:val="20"/>
                <w:szCs w:val="20"/>
                <w:color w:val="auto"/>
              </w:rPr>
            </w:pPr>
            <w:r>
              <w:rPr>
                <w:rFonts w:ascii="Arial" w:cs="Arial" w:eastAsia="Arial" w:hAnsi="Arial"/>
                <w:sz w:val="11"/>
                <w:szCs w:val="11"/>
                <w:color w:val="auto"/>
              </w:rPr>
              <w:t>Total of certain expense (income) items that impact FFO attributable to common</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4,010</w:t>
            </w:r>
          </w:p>
        </w:tc>
        <w:tc>
          <w:tcPr>
            <w:tcW w:w="80" w:type="dxa"/>
            <w:vAlign w:val="bottom"/>
          </w:tcPr>
          <w:p>
            <w:pPr>
              <w:spacing w:after="0"/>
              <w:rPr>
                <w:sz w:val="8"/>
                <w:szCs w:val="8"/>
                <w:color w:val="auto"/>
              </w:rPr>
            </w:pPr>
          </w:p>
        </w:tc>
        <w:tc>
          <w:tcPr>
            <w:tcW w:w="160" w:type="dxa"/>
            <w:vAlign w:val="bottom"/>
            <w:vMerge w:val="restart"/>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vMerge w:val="restart"/>
          </w:tcPr>
          <w:p>
            <w:pPr>
              <w:jc w:val="right"/>
              <w:spacing w:after="0"/>
              <w:rPr>
                <w:sz w:val="20"/>
                <w:szCs w:val="20"/>
                <w:color w:val="auto"/>
              </w:rPr>
            </w:pPr>
            <w:r>
              <w:rPr>
                <w:rFonts w:ascii="Arial" w:cs="Arial" w:eastAsia="Arial" w:hAnsi="Arial"/>
                <w:sz w:val="11"/>
                <w:szCs w:val="11"/>
                <w:color w:val="auto"/>
              </w:rPr>
              <w:t>(13,005)</w:t>
            </w:r>
          </w:p>
        </w:tc>
        <w:tc>
          <w:tcPr>
            <w:tcW w:w="80" w:type="dxa"/>
            <w:vAlign w:val="bottom"/>
          </w:tcPr>
          <w:p>
            <w:pPr>
              <w:spacing w:after="0"/>
              <w:rPr>
                <w:sz w:val="8"/>
                <w:szCs w:val="8"/>
                <w:color w:val="auto"/>
              </w:rPr>
            </w:pPr>
          </w:p>
        </w:tc>
        <w:tc>
          <w:tcPr>
            <w:tcW w:w="140" w:type="dxa"/>
            <w:vAlign w:val="bottom"/>
            <w:vMerge w:val="restart"/>
          </w:tcPr>
          <w:p>
            <w:pPr>
              <w:jc w:val="right"/>
              <w:ind w:right="3"/>
              <w:spacing w:after="0"/>
              <w:rPr>
                <w:sz w:val="20"/>
                <w:szCs w:val="20"/>
                <w:color w:val="auto"/>
              </w:rPr>
            </w:pPr>
            <w:r>
              <w:rPr>
                <w:rFonts w:ascii="Arial" w:cs="Arial" w:eastAsia="Arial" w:hAnsi="Arial"/>
                <w:sz w:val="11"/>
                <w:szCs w:val="11"/>
                <w:color w:val="auto"/>
                <w:w w:val="97"/>
              </w:rPr>
              <w:t>$</w:t>
            </w:r>
          </w:p>
        </w:tc>
        <w:tc>
          <w:tcPr>
            <w:tcW w:w="1120" w:type="dxa"/>
            <w:vAlign w:val="bottom"/>
            <w:vMerge w:val="restart"/>
          </w:tcPr>
          <w:p>
            <w:pPr>
              <w:jc w:val="right"/>
              <w:ind w:right="3"/>
              <w:spacing w:after="0"/>
              <w:rPr>
                <w:sz w:val="20"/>
                <w:szCs w:val="20"/>
                <w:color w:val="auto"/>
              </w:rPr>
            </w:pPr>
            <w:r>
              <w:rPr>
                <w:rFonts w:ascii="Arial" w:cs="Arial" w:eastAsia="Arial" w:hAnsi="Arial"/>
                <w:sz w:val="11"/>
                <w:szCs w:val="11"/>
                <w:color w:val="auto"/>
              </w:rPr>
              <w:t>6,846</w:t>
            </w:r>
          </w:p>
        </w:tc>
        <w:tc>
          <w:tcPr>
            <w:tcW w:w="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(2,054)</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vMerge w:val="restart"/>
          </w:tcPr>
          <w:p>
            <w:pPr>
              <w:jc w:val="right"/>
              <w:spacing w:after="0"/>
              <w:rPr>
                <w:sz w:val="20"/>
                <w:szCs w:val="20"/>
                <w:color w:val="auto"/>
              </w:rPr>
            </w:pPr>
            <w:r>
              <w:rPr>
                <w:rFonts w:ascii="Arial" w:cs="Arial" w:eastAsia="Arial" w:hAnsi="Arial"/>
                <w:sz w:val="11"/>
                <w:szCs w:val="11"/>
                <w:color w:val="auto"/>
              </w:rPr>
              <w:t>(2,837)</w:t>
            </w:r>
          </w:p>
        </w:tc>
        <w:tc>
          <w:tcPr>
            <w:tcW w:w="0" w:type="dxa"/>
            <w:vAlign w:val="bottom"/>
          </w:tcPr>
          <w:p>
            <w:pPr>
              <w:spacing w:after="0"/>
              <w:rPr>
                <w:sz w:val="1"/>
                <w:szCs w:val="1"/>
                <w:color w:val="auto"/>
              </w:rPr>
            </w:pPr>
          </w:p>
        </w:tc>
      </w:tr>
      <w:tr>
        <w:trPr>
          <w:trHeight w:val="130"/>
        </w:trPr>
        <w:tc>
          <w:tcPr>
            <w:tcW w:w="4680" w:type="dxa"/>
            <w:vAlign w:val="bottom"/>
          </w:tcPr>
          <w:p>
            <w:pPr>
              <w:ind w:left="140"/>
              <w:spacing w:after="0" w:line="125" w:lineRule="exact"/>
              <w:rPr>
                <w:sz w:val="20"/>
                <w:szCs w:val="20"/>
                <w:color w:val="auto"/>
              </w:rPr>
            </w:pPr>
            <w:r>
              <w:rPr>
                <w:rFonts w:ascii="Arial" w:cs="Arial" w:eastAsia="Arial" w:hAnsi="Arial"/>
                <w:sz w:val="11"/>
                <w:szCs w:val="11"/>
                <w:color w:val="auto"/>
              </w:rPr>
              <w:t>shareholders plus assumed conversions, net</w:t>
            </w:r>
          </w:p>
        </w:tc>
        <w:tc>
          <w:tcPr>
            <w:tcW w:w="10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68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FFO attributable to common shareholders plus assumed conversions, as adjusted (non-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126,656</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131,073</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103,109</w:t>
            </w:r>
          </w:p>
        </w:tc>
        <w:tc>
          <w:tcPr>
            <w:tcW w:w="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110,873</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114,535</w:t>
            </w:r>
          </w:p>
        </w:tc>
        <w:tc>
          <w:tcPr>
            <w:tcW w:w="0" w:type="dxa"/>
            <w:vAlign w:val="bottom"/>
          </w:tcPr>
          <w:p>
            <w:pPr>
              <w:spacing w:after="0"/>
              <w:rPr>
                <w:sz w:val="1"/>
                <w:szCs w:val="1"/>
                <w:color w:val="auto"/>
              </w:rPr>
            </w:pPr>
          </w:p>
        </w:tc>
      </w:tr>
      <w:tr>
        <w:trPr>
          <w:trHeight w:val="145"/>
        </w:trPr>
        <w:tc>
          <w:tcPr>
            <w:tcW w:w="4680" w:type="dxa"/>
            <w:vAlign w:val="bottom"/>
            <w:tcBorders>
              <w:bottom w:val="single" w:sz="8" w:color="CCEEFF"/>
            </w:tcBorders>
            <w:shd w:val="clear" w:color="auto" w:fill="CCEEFF"/>
          </w:tcPr>
          <w:p>
            <w:pPr>
              <w:ind w:left="140"/>
              <w:spacing w:after="0" w:line="125" w:lineRule="exact"/>
              <w:rPr>
                <w:sz w:val="20"/>
                <w:szCs w:val="20"/>
                <w:color w:val="auto"/>
              </w:rPr>
            </w:pPr>
            <w:r>
              <w:rPr>
                <w:rFonts w:ascii="Arial" w:cs="Arial" w:eastAsia="Arial" w:hAnsi="Arial"/>
                <w:sz w:val="11"/>
                <w:szCs w:val="11"/>
                <w:color w:val="auto"/>
              </w:rPr>
              <w:t>GAAP)</w:t>
            </w: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11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11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11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11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11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1"/>
                <w:szCs w:val="11"/>
                <w:color w:val="auto"/>
              </w:rPr>
              <w:t>Per diluted share (non-GAAP)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680" w:type="dxa"/>
            <w:vAlign w:val="bottom"/>
            <w:vMerge w:val="continue"/>
          </w:tcPr>
          <w:p>
            <w:pPr>
              <w:spacing w:after="0"/>
              <w:rPr>
                <w:sz w:val="10"/>
                <w:szCs w:val="10"/>
                <w:color w:val="auto"/>
              </w:rPr>
            </w:pPr>
          </w:p>
        </w:tc>
        <w:tc>
          <w:tcPr>
            <w:tcW w:w="1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0.65</w:t>
            </w:r>
          </w:p>
        </w:tc>
        <w:tc>
          <w:tcPr>
            <w:tcW w:w="80" w:type="dxa"/>
            <w:vAlign w:val="bottom"/>
          </w:tcPr>
          <w:p>
            <w:pPr>
              <w:spacing w:after="0"/>
              <w:rPr>
                <w:sz w:val="10"/>
                <w:szCs w:val="10"/>
                <w:color w:val="auto"/>
              </w:rPr>
            </w:pPr>
          </w:p>
        </w:tc>
        <w:tc>
          <w:tcPr>
            <w:tcW w:w="160" w:type="dxa"/>
            <w:vAlign w:val="bottom"/>
            <w:tcBorders>
              <w:bottom w:val="single" w:sz="8" w:color="auto"/>
            </w:tcBorders>
          </w:tcPr>
          <w:p>
            <w:pPr>
              <w:jc w:val="right"/>
              <w:ind w:right="23"/>
              <w:spacing w:after="0" w:line="121" w:lineRule="exact"/>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3"/>
              <w:spacing w:after="0" w:line="121" w:lineRule="exact"/>
              <w:rPr>
                <w:sz w:val="20"/>
                <w:szCs w:val="20"/>
                <w:color w:val="auto"/>
              </w:rPr>
            </w:pPr>
            <w:r>
              <w:rPr>
                <w:rFonts w:ascii="Arial" w:cs="Arial" w:eastAsia="Arial" w:hAnsi="Arial"/>
                <w:sz w:val="11"/>
                <w:szCs w:val="11"/>
                <w:color w:val="auto"/>
              </w:rPr>
              <w:t>0.67</w:t>
            </w:r>
          </w:p>
        </w:tc>
        <w:tc>
          <w:tcPr>
            <w:tcW w:w="80" w:type="dxa"/>
            <w:vAlign w:val="bottom"/>
          </w:tcPr>
          <w:p>
            <w:pPr>
              <w:spacing w:after="0"/>
              <w:rPr>
                <w:sz w:val="10"/>
                <w:szCs w:val="10"/>
                <w:color w:val="auto"/>
              </w:rPr>
            </w:pPr>
          </w:p>
        </w:tc>
        <w:tc>
          <w:tcPr>
            <w:tcW w:w="140" w:type="dxa"/>
            <w:vAlign w:val="bottom"/>
            <w:tcBorders>
              <w:bottom w:val="single" w:sz="8" w:color="auto"/>
            </w:tcBorders>
          </w:tcPr>
          <w:p>
            <w:pPr>
              <w:jc w:val="right"/>
              <w:ind w:right="3"/>
              <w:spacing w:after="0" w:line="121" w:lineRule="exact"/>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3"/>
              <w:spacing w:after="0" w:line="121" w:lineRule="exact"/>
              <w:rPr>
                <w:sz w:val="20"/>
                <w:szCs w:val="20"/>
                <w:color w:val="auto"/>
              </w:rPr>
            </w:pPr>
            <w:r>
              <w:rPr>
                <w:rFonts w:ascii="Arial" w:cs="Arial" w:eastAsia="Arial" w:hAnsi="Arial"/>
                <w:sz w:val="11"/>
                <w:szCs w:val="11"/>
                <w:color w:val="auto"/>
              </w:rPr>
              <w:t>0.52</w:t>
            </w:r>
          </w:p>
        </w:tc>
        <w:tc>
          <w:tcPr>
            <w:tcW w:w="6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0.55</w:t>
            </w: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3"/>
              <w:spacing w:after="0" w:line="121" w:lineRule="exact"/>
              <w:rPr>
                <w:sz w:val="20"/>
                <w:szCs w:val="20"/>
                <w:color w:val="auto"/>
              </w:rPr>
            </w:pPr>
            <w:r>
              <w:rPr>
                <w:rFonts w:ascii="Arial" w:cs="Arial" w:eastAsia="Arial" w:hAnsi="Arial"/>
                <w:sz w:val="11"/>
                <w:szCs w:val="11"/>
                <w:color w:val="auto"/>
              </w:rPr>
              <w:t>0.57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iii -</w:t>
      </w:r>
    </w:p>
    <w:p>
      <w:pPr>
        <w:sectPr>
          <w:pgSz w:w="11900" w:h="16838" w:orient="portrait"/>
          <w:cols w:equalWidth="0" w:num="1">
            <w:col w:w="11280"/>
          </w:cols>
          <w:pgMar w:left="300" w:top="981" w:right="319" w:bottom="1440" w:gutter="0" w:footer="0" w:header="0"/>
        </w:sectPr>
      </w:pPr>
    </w:p>
    <w:bookmarkStart w:id="69" w:name="page70"/>
    <w:bookmarkEnd w:id="69"/>
    <w:p>
      <w:pPr>
        <w:ind w:left="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RECONCILIATION OF FFO ATTRIBUTABLE TO COMMON SHAREHOLDERS PLUS ASSUMED CONVERSIONS TO FAD (unaudited)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w:t>
            </w:r>
          </w:p>
        </w:tc>
        <w:tc>
          <w:tcPr>
            <w:tcW w:w="4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For the Three Months Ended</w:t>
            </w:r>
          </w:p>
        </w:tc>
        <w:tc>
          <w:tcPr>
            <w:tcW w:w="1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September 30, 2026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June 30, 2026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March 31, 2026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December 31, 2025</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September 30, 2025</w:t>
            </w:r>
          </w:p>
        </w:tc>
        <w:tc>
          <w:tcPr>
            <w:tcW w:w="0" w:type="dxa"/>
            <w:vAlign w:val="bottom"/>
          </w:tcPr>
          <w:p>
            <w:pPr>
              <w:spacing w:after="0"/>
              <w:rPr>
                <w:sz w:val="1"/>
                <w:szCs w:val="1"/>
                <w:color w:val="auto"/>
              </w:rPr>
            </w:pPr>
          </w:p>
        </w:tc>
      </w:tr>
      <w:tr>
        <w:trPr>
          <w:trHeight w:val="153"/>
        </w:trPr>
        <w:tc>
          <w:tcPr>
            <w:tcW w:w="40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FFO attributable to common shareholders, plus assumed conversions</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 xml:space="preserve">(A) </w:t>
            </w:r>
            <w:r>
              <w:rPr>
                <w:rFonts w:ascii="Arial" w:cs="Arial" w:eastAsia="Arial" w:hAnsi="Arial"/>
                <w:sz w:val="11"/>
                <w:szCs w:val="1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122,646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144,078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96,263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112,927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117,372</w:t>
            </w:r>
          </w:p>
        </w:tc>
        <w:tc>
          <w:tcPr>
            <w:tcW w:w="0" w:type="dxa"/>
            <w:vAlign w:val="bottom"/>
          </w:tcPr>
          <w:p>
            <w:pPr>
              <w:spacing w:after="0"/>
              <w:rPr>
                <w:sz w:val="1"/>
                <w:szCs w:val="1"/>
                <w:color w:val="auto"/>
              </w:rPr>
            </w:pPr>
          </w:p>
        </w:tc>
      </w:tr>
      <w:tr>
        <w:trPr>
          <w:trHeight w:val="310"/>
        </w:trPr>
        <w:tc>
          <w:tcPr>
            <w:tcW w:w="4020" w:type="dxa"/>
            <w:vAlign w:val="bottom"/>
          </w:tcPr>
          <w:p>
            <w:pPr>
              <w:ind w:left="140"/>
              <w:spacing w:after="0"/>
              <w:rPr>
                <w:sz w:val="20"/>
                <w:szCs w:val="20"/>
                <w:color w:val="auto"/>
              </w:rPr>
            </w:pPr>
            <w:r>
              <w:rPr>
                <w:rFonts w:ascii="Arial" w:cs="Arial" w:eastAsia="Arial" w:hAnsi="Arial"/>
                <w:sz w:val="11"/>
                <w:szCs w:val="11"/>
                <w:color w:val="auto"/>
              </w:rPr>
              <w:t>Adjustments to arrive at FAD (at Vornado's share):</w:t>
            </w: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Certain items that impact FAD</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(3,325)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(3,320)</w:t>
            </w:r>
          </w:p>
        </w:tc>
        <w:tc>
          <w:tcPr>
            <w:tcW w:w="0" w:type="dxa"/>
            <w:vAlign w:val="bottom"/>
          </w:tcPr>
          <w:p>
            <w:pPr>
              <w:spacing w:after="0"/>
              <w:rPr>
                <w:sz w:val="1"/>
                <w:szCs w:val="1"/>
                <w:color w:val="auto"/>
              </w:rPr>
            </w:pPr>
          </w:p>
        </w:tc>
      </w:tr>
      <w:tr>
        <w:trPr>
          <w:trHeight w:val="123"/>
        </w:trPr>
        <w:tc>
          <w:tcPr>
            <w:tcW w:w="4020" w:type="dxa"/>
            <w:vAlign w:val="bottom"/>
          </w:tcPr>
          <w:p>
            <w:pPr>
              <w:ind w:left="220"/>
              <w:spacing w:after="0" w:line="123" w:lineRule="exact"/>
              <w:rPr>
                <w:sz w:val="20"/>
                <w:szCs w:val="20"/>
                <w:color w:val="auto"/>
              </w:rPr>
            </w:pPr>
            <w:r>
              <w:rPr>
                <w:rFonts w:ascii="Arial" w:cs="Arial" w:eastAsia="Arial" w:hAnsi="Arial"/>
                <w:sz w:val="11"/>
                <w:szCs w:val="11"/>
                <w:color w:val="auto"/>
              </w:rPr>
              <w:t>Recurring tenant improvements, leasing commissions and other capital</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(47,145)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(33,109)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1"/>
                <w:szCs w:val="11"/>
                <w:color w:val="auto"/>
              </w:rPr>
              <w:t>(45,225)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right"/>
              <w:ind w:right="63"/>
              <w:spacing w:after="0"/>
              <w:rPr>
                <w:sz w:val="20"/>
                <w:szCs w:val="20"/>
                <w:color w:val="auto"/>
              </w:rPr>
            </w:pPr>
            <w:r>
              <w:rPr>
                <w:rFonts w:ascii="Arial" w:cs="Arial" w:eastAsia="Arial" w:hAnsi="Arial"/>
                <w:sz w:val="11"/>
                <w:szCs w:val="11"/>
                <w:color w:val="auto"/>
              </w:rPr>
              <w:t>(61,186)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(52,376)</w:t>
            </w:r>
          </w:p>
        </w:tc>
        <w:tc>
          <w:tcPr>
            <w:tcW w:w="0" w:type="dxa"/>
            <w:vAlign w:val="bottom"/>
          </w:tcPr>
          <w:p>
            <w:pPr>
              <w:spacing w:after="0"/>
              <w:rPr>
                <w:sz w:val="1"/>
                <w:szCs w:val="1"/>
                <w:color w:val="auto"/>
              </w:rPr>
            </w:pPr>
          </w:p>
        </w:tc>
      </w:tr>
      <w:tr>
        <w:trPr>
          <w:trHeight w:val="146"/>
        </w:trPr>
        <w:tc>
          <w:tcPr>
            <w:tcW w:w="4020" w:type="dxa"/>
            <w:vAlign w:val="bottom"/>
          </w:tcPr>
          <w:p>
            <w:pPr>
              <w:ind w:left="340"/>
              <w:spacing w:after="0"/>
              <w:rPr>
                <w:sz w:val="20"/>
                <w:szCs w:val="20"/>
                <w:color w:val="auto"/>
              </w:rPr>
            </w:pPr>
            <w:r>
              <w:rPr>
                <w:rFonts w:ascii="Arial" w:cs="Arial" w:eastAsia="Arial" w:hAnsi="Arial"/>
                <w:sz w:val="11"/>
                <w:szCs w:val="11"/>
                <w:color w:val="auto"/>
              </w:rPr>
              <w:t>expenditures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Stock-based compensation expense</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6,365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5,573</w:t>
            </w:r>
          </w:p>
        </w:tc>
        <w:tc>
          <w:tcPr>
            <w:tcW w:w="0" w:type="dxa"/>
            <w:vAlign w:val="bottom"/>
          </w:tcPr>
          <w:p>
            <w:pPr>
              <w:spacing w:after="0"/>
              <w:rPr>
                <w:sz w:val="1"/>
                <w:szCs w:val="1"/>
                <w:color w:val="auto"/>
              </w:rPr>
            </w:pPr>
          </w:p>
        </w:tc>
      </w:tr>
      <w:tr>
        <w:trPr>
          <w:trHeight w:val="158"/>
        </w:trPr>
        <w:tc>
          <w:tcPr>
            <w:tcW w:w="4020" w:type="dxa"/>
            <w:vAlign w:val="bottom"/>
          </w:tcPr>
          <w:p>
            <w:pPr>
              <w:ind w:left="220"/>
              <w:spacing w:after="0"/>
              <w:rPr>
                <w:sz w:val="20"/>
                <w:szCs w:val="20"/>
                <w:color w:val="auto"/>
              </w:rPr>
            </w:pPr>
            <w:r>
              <w:rPr>
                <w:rFonts w:ascii="Arial" w:cs="Arial" w:eastAsia="Arial" w:hAnsi="Arial"/>
                <w:sz w:val="11"/>
                <w:szCs w:val="11"/>
                <w:color w:val="auto"/>
              </w:rPr>
              <w:t>Amortization of debt issuance costs and other non-cash interest expense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6,525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6,642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6,681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8,145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10,242</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Gain on debt extinguishment</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4020" w:type="dxa"/>
            <w:vAlign w:val="bottom"/>
          </w:tcPr>
          <w:p>
            <w:pPr>
              <w:ind w:left="220"/>
              <w:spacing w:after="0"/>
              <w:rPr>
                <w:sz w:val="20"/>
                <w:szCs w:val="20"/>
                <w:color w:val="auto"/>
              </w:rPr>
            </w:pPr>
            <w:r>
              <w:rPr>
                <w:rFonts w:ascii="Arial" w:cs="Arial" w:eastAsia="Arial" w:hAnsi="Arial"/>
                <w:sz w:val="11"/>
                <w:szCs w:val="11"/>
                <w:color w:val="auto"/>
              </w:rPr>
              <w:t>Personal property depreciation</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2,341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2,347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2,050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2,349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2,239</w:t>
            </w:r>
          </w:p>
        </w:tc>
        <w:tc>
          <w:tcPr>
            <w:tcW w:w="0" w:type="dxa"/>
            <w:vAlign w:val="bottom"/>
          </w:tcPr>
          <w:p>
            <w:pPr>
              <w:spacing w:after="0"/>
              <w:rPr>
                <w:sz w:val="1"/>
                <w:szCs w:val="1"/>
                <w:color w:val="auto"/>
              </w:rPr>
            </w:pPr>
          </w:p>
        </w:tc>
      </w:tr>
      <w:tr>
        <w:trPr>
          <w:trHeight w:val="126"/>
        </w:trPr>
        <w:tc>
          <w:tcPr>
            <w:tcW w:w="40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Non-cash adjustments for straight-line rents, amortization of acquired</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(44,395)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(40,881)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(31,066)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(30,858)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(30,746)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below-market leases, net and other</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020" w:type="dxa"/>
            <w:vAlign w:val="bottom"/>
          </w:tcPr>
          <w:p>
            <w:pPr>
              <w:ind w:left="220"/>
              <w:spacing w:after="0" w:line="123" w:lineRule="exact"/>
              <w:rPr>
                <w:sz w:val="20"/>
                <w:szCs w:val="20"/>
                <w:color w:val="auto"/>
              </w:rPr>
            </w:pPr>
            <w:r>
              <w:rPr>
                <w:rFonts w:ascii="Arial" w:cs="Arial" w:eastAsia="Arial" w:hAnsi="Arial"/>
                <w:sz w:val="11"/>
                <w:szCs w:val="11"/>
                <w:color w:val="auto"/>
              </w:rPr>
              <w:t>Noncontrolling interests in the Operating Partnership's share of above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6,097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3"/>
              <w:spacing w:after="0"/>
              <w:rPr>
                <w:sz w:val="20"/>
                <w:szCs w:val="20"/>
                <w:color w:val="auto"/>
              </w:rPr>
            </w:pPr>
            <w:r>
              <w:rPr>
                <w:rFonts w:ascii="Arial" w:cs="Arial" w:eastAsia="Arial" w:hAnsi="Arial"/>
                <w:sz w:val="11"/>
                <w:szCs w:val="11"/>
                <w:color w:val="auto"/>
              </w:rPr>
              <w:t>5,886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1"/>
                <w:szCs w:val="11"/>
                <w:color w:val="auto"/>
              </w:rPr>
              <w:t>4,543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right"/>
              <w:ind w:right="83"/>
              <w:spacing w:after="0"/>
              <w:rPr>
                <w:sz w:val="20"/>
                <w:szCs w:val="20"/>
                <w:color w:val="auto"/>
              </w:rPr>
            </w:pPr>
            <w:r>
              <w:rPr>
                <w:rFonts w:ascii="Arial" w:cs="Arial" w:eastAsia="Arial" w:hAnsi="Arial"/>
                <w:sz w:val="11"/>
                <w:szCs w:val="11"/>
                <w:color w:val="auto"/>
              </w:rPr>
              <w:t>6,273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1"/>
                <w:szCs w:val="11"/>
                <w:color w:val="auto"/>
              </w:rPr>
              <w:t>5,634</w:t>
            </w:r>
          </w:p>
        </w:tc>
        <w:tc>
          <w:tcPr>
            <w:tcW w:w="0" w:type="dxa"/>
            <w:vAlign w:val="bottom"/>
          </w:tcPr>
          <w:p>
            <w:pPr>
              <w:spacing w:after="0"/>
              <w:rPr>
                <w:sz w:val="1"/>
                <w:szCs w:val="1"/>
                <w:color w:val="auto"/>
              </w:rPr>
            </w:pPr>
          </w:p>
        </w:tc>
      </w:tr>
      <w:tr>
        <w:trPr>
          <w:trHeight w:val="146"/>
        </w:trPr>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adjustments</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FAD adjustments, net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(B)</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(68,437)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(66,164)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(50,660)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(72,237)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(62,754)</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FAD (non-GAAP)</w:t>
            </w:r>
          </w:p>
        </w:tc>
        <w:tc>
          <w:tcPr>
            <w:tcW w:w="5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0"/>
                <w:szCs w:val="10"/>
                <w:b w:val="1"/>
                <w:bCs w:val="1"/>
                <w:color w:val="auto"/>
              </w:rPr>
              <w:t xml:space="preserve">(A+B) </w:t>
            </w:r>
            <w:r>
              <w:rPr>
                <w:rFonts w:ascii="Arial" w:cs="Arial" w:eastAsia="Arial" w:hAnsi="Arial"/>
                <w:sz w:val="18"/>
                <w:szCs w:val="18"/>
                <w:color w:val="auto"/>
                <w:vertAlign w:val="superscript"/>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54,209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77,914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45,603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40,690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54,618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FAD payout ratio</w:t>
            </w:r>
            <w:r>
              <w:rPr>
                <w:rFonts w:ascii="Arial" w:cs="Arial" w:eastAsia="Arial" w:hAnsi="Arial"/>
                <w:sz w:val="14"/>
                <w:szCs w:val="14"/>
                <w:b w:val="1"/>
                <w:bCs w:val="1"/>
                <w:color w:val="auto"/>
                <w:vertAlign w:val="superscript"/>
              </w:rPr>
              <w:t>(1)</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N/A</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1"/>
                <w:szCs w:val="11"/>
                <w:color w:val="auto"/>
              </w:rPr>
              <w:t>N/A</w:t>
            </w: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1"/>
                <w:szCs w:val="11"/>
                <w:color w:val="auto"/>
              </w:rPr>
              <w:t xml:space="preserve">97.4 % </w:t>
            </w:r>
            <w:r>
              <w:rPr>
                <w:rFonts w:ascii="Arial" w:cs="Arial" w:eastAsia="Arial" w:hAnsi="Arial"/>
                <w:sz w:val="17"/>
                <w:szCs w:val="17"/>
                <w:b w:val="1"/>
                <w:bCs w:val="1"/>
                <w:color w:val="auto"/>
                <w:vertAlign w:val="superscript"/>
              </w:rPr>
              <w:t>(2)</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7"/>
                <w:szCs w:val="7"/>
                <w:color w:val="auto"/>
              </w:rPr>
              <w:t>________________________________</w:t>
            </w: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60" w:hanging="254"/>
        <w:spacing w:after="0"/>
        <w:tabs>
          <w:tab w:leader="none" w:pos="260" w:val="left"/>
        </w:tabs>
        <w:numPr>
          <w:ilvl w:val="0"/>
          <w:numId w:val="43"/>
        </w:numPr>
        <w:rPr>
          <w:rFonts w:ascii="Arial" w:cs="Arial" w:eastAsia="Arial" w:hAnsi="Arial"/>
          <w:sz w:val="11"/>
          <w:szCs w:val="11"/>
          <w:b w:val="1"/>
          <w:bCs w:val="1"/>
          <w:color w:val="auto"/>
        </w:rPr>
      </w:pPr>
      <w:r>
        <w:rPr>
          <w:rFonts w:ascii="Arial" w:cs="Arial" w:eastAsia="Arial" w:hAnsi="Arial"/>
          <w:sz w:val="11"/>
          <w:szCs w:val="11"/>
          <w:color w:val="auto"/>
        </w:rPr>
        <w:t>For 2026, we anticipate continuing our common share dividend policy of paying one common share dividend in December, subject to approval by our Board of Trustees.</w:t>
      </w:r>
    </w:p>
    <w:p>
      <w:pPr>
        <w:spacing w:after="0" w:line="29" w:lineRule="exact"/>
        <w:rPr>
          <w:rFonts w:ascii="Arial" w:cs="Arial" w:eastAsia="Arial" w:hAnsi="Arial"/>
          <w:sz w:val="11"/>
          <w:szCs w:val="11"/>
          <w:b w:val="1"/>
          <w:bCs w:val="1"/>
          <w:color w:val="auto"/>
        </w:rPr>
      </w:pPr>
    </w:p>
    <w:p>
      <w:pPr>
        <w:ind w:left="260" w:hanging="254"/>
        <w:spacing w:after="0"/>
        <w:tabs>
          <w:tab w:leader="none" w:pos="260" w:val="left"/>
        </w:tabs>
        <w:numPr>
          <w:ilvl w:val="0"/>
          <w:numId w:val="43"/>
        </w:numPr>
        <w:rPr>
          <w:rFonts w:ascii="Arial" w:cs="Arial" w:eastAsia="Arial" w:hAnsi="Arial"/>
          <w:sz w:val="11"/>
          <w:szCs w:val="11"/>
          <w:b w:val="1"/>
          <w:bCs w:val="1"/>
          <w:color w:val="auto"/>
        </w:rPr>
      </w:pPr>
      <w:r>
        <w:rPr>
          <w:rFonts w:ascii="Arial" w:cs="Arial" w:eastAsia="Arial" w:hAnsi="Arial"/>
          <w:sz w:val="11"/>
          <w:szCs w:val="11"/>
          <w:color w:val="auto"/>
        </w:rPr>
        <w:t>FAD payout ratios are calculated based on full year results.</w:t>
      </w: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10" w:lineRule="exact"/>
        <w:rPr>
          <w:rFonts w:ascii="Arial" w:cs="Arial" w:eastAsia="Arial" w:hAnsi="Arial"/>
          <w:sz w:val="11"/>
          <w:szCs w:val="11"/>
          <w:b w:val="1"/>
          <w:bCs w:val="1"/>
          <w:color w:val="auto"/>
        </w:rPr>
      </w:pPr>
    </w:p>
    <w:p>
      <w:pPr>
        <w:ind w:left="5600" w:hanging="81"/>
        <w:spacing w:after="0"/>
        <w:tabs>
          <w:tab w:leader="none" w:pos="5600" w:val="left"/>
        </w:tabs>
        <w:numPr>
          <w:ilvl w:val="1"/>
          <w:numId w:val="43"/>
        </w:numPr>
        <w:rPr>
          <w:rFonts w:ascii="Arial" w:cs="Arial" w:eastAsia="Arial" w:hAnsi="Arial"/>
          <w:sz w:val="13"/>
          <w:szCs w:val="13"/>
          <w:color w:val="auto"/>
        </w:rPr>
      </w:pPr>
      <w:r>
        <w:rPr>
          <w:rFonts w:ascii="Arial" w:cs="Arial" w:eastAsia="Arial" w:hAnsi="Arial"/>
          <w:sz w:val="13"/>
          <w:szCs w:val="13"/>
          <w:color w:val="auto"/>
        </w:rPr>
        <w:t>iv -</w:t>
      </w:r>
    </w:p>
    <w:p>
      <w:pPr>
        <w:sectPr>
          <w:pgSz w:w="11900" w:h="16838" w:orient="portrait"/>
          <w:cols w:equalWidth="0" w:num="1">
            <w:col w:w="11280"/>
          </w:cols>
          <w:pgMar w:left="300" w:top="982" w:right="319" w:bottom="1440" w:gutter="0" w:footer="0" w:header="0"/>
        </w:sectPr>
      </w:pPr>
    </w:p>
    <w:bookmarkStart w:id="70" w:name="page71"/>
    <w:bookmarkEnd w:id="70"/>
    <w:p>
      <w:pPr>
        <w:ind w:left="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RECONCILIATION OF NET (LOSS) INCOME TO EBITDAre (unaudited) TO EBITDAre, AS ADJUSTED (unaudited)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w:t>
            </w: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47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74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1"/>
                <w:szCs w:val="11"/>
                <w:b w:val="1"/>
                <w:bCs w:val="1"/>
                <w:color w:val="auto"/>
              </w:rPr>
              <w:t>For the Three Months Ended</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September 30, 2026</w:t>
            </w:r>
          </w:p>
        </w:tc>
        <w:tc>
          <w:tcPr>
            <w:tcW w:w="18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Arial" w:cs="Arial" w:eastAsia="Arial" w:hAnsi="Arial"/>
                <w:sz w:val="11"/>
                <w:szCs w:val="11"/>
                <w:b w:val="1"/>
                <w:bCs w:val="1"/>
                <w:color w:val="auto"/>
              </w:rPr>
              <w:t>June 30, 2026</w:t>
            </w:r>
          </w:p>
        </w:tc>
        <w:tc>
          <w:tcPr>
            <w:tcW w:w="14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March 31, 2026</w:t>
            </w:r>
          </w:p>
        </w:tc>
        <w:tc>
          <w:tcPr>
            <w:tcW w:w="10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 2025</w:t>
            </w:r>
          </w:p>
        </w:tc>
        <w:tc>
          <w:tcPr>
            <w:tcW w:w="100" w:type="dxa"/>
            <w:vAlign w:val="bottom"/>
          </w:tcPr>
          <w:p>
            <w:pPr>
              <w:spacing w:after="0"/>
              <w:rPr>
                <w:sz w:val="13"/>
                <w:szCs w:val="13"/>
                <w:color w:val="auto"/>
              </w:rPr>
            </w:pPr>
          </w:p>
        </w:tc>
        <w:tc>
          <w:tcPr>
            <w:tcW w:w="1180" w:type="dxa"/>
            <w:vAlign w:val="bottom"/>
          </w:tcPr>
          <w:p>
            <w:pPr>
              <w:jc w:val="right"/>
              <w:ind w:right="43"/>
              <w:spacing w:after="0"/>
              <w:rPr>
                <w:sz w:val="20"/>
                <w:szCs w:val="20"/>
                <w:color w:val="auto"/>
              </w:rPr>
            </w:pPr>
            <w:r>
              <w:rPr>
                <w:rFonts w:ascii="Arial" w:cs="Arial" w:eastAsia="Arial" w:hAnsi="Arial"/>
                <w:sz w:val="11"/>
                <w:szCs w:val="11"/>
                <w:b w:val="1"/>
                <w:bCs w:val="1"/>
                <w:color w:val="auto"/>
              </w:rPr>
              <w:t>September 30, 2025</w:t>
            </w:r>
          </w:p>
        </w:tc>
        <w:tc>
          <w:tcPr>
            <w:tcW w:w="0" w:type="dxa"/>
            <w:vAlign w:val="bottom"/>
          </w:tcPr>
          <w:p>
            <w:pPr>
              <w:spacing w:after="0"/>
              <w:rPr>
                <w:sz w:val="1"/>
                <w:szCs w:val="1"/>
                <w:color w:val="auto"/>
              </w:rPr>
            </w:pPr>
          </w:p>
        </w:tc>
      </w:tr>
      <w:tr>
        <w:trPr>
          <w:trHeight w:val="139"/>
        </w:trPr>
        <w:tc>
          <w:tcPr>
            <w:tcW w:w="4760" w:type="dxa"/>
            <w:vAlign w:val="bottom"/>
          </w:tcPr>
          <w:p>
            <w:pPr>
              <w:ind w:left="20"/>
              <w:spacing w:after="0"/>
              <w:rPr>
                <w:sz w:val="20"/>
                <w:szCs w:val="20"/>
                <w:color w:val="auto"/>
              </w:rPr>
            </w:pPr>
            <w:r>
              <w:rPr>
                <w:rFonts w:ascii="Arial" w:cs="Arial" w:eastAsia="Arial" w:hAnsi="Arial"/>
                <w:sz w:val="11"/>
                <w:szCs w:val="11"/>
                <w:color w:val="auto"/>
              </w:rPr>
              <w:t>Reconciliation of net (loss) income to EBITDAre (non-GAAP):</w:t>
            </w: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(45,964)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39,196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(22,026)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4,914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19,239</w:t>
            </w:r>
          </w:p>
        </w:tc>
        <w:tc>
          <w:tcPr>
            <w:tcW w:w="0" w:type="dxa"/>
            <w:vAlign w:val="bottom"/>
          </w:tcPr>
          <w:p>
            <w:pPr>
              <w:spacing w:after="0"/>
              <w:rPr>
                <w:sz w:val="1"/>
                <w:szCs w:val="1"/>
                <w:color w:val="auto"/>
              </w:rPr>
            </w:pPr>
          </w:p>
        </w:tc>
      </w:tr>
      <w:tr>
        <w:trPr>
          <w:trHeight w:val="118"/>
        </w:trPr>
        <w:tc>
          <w:tcPr>
            <w:tcW w:w="4760" w:type="dxa"/>
            <w:vAlign w:val="bottom"/>
          </w:tcPr>
          <w:p>
            <w:pPr>
              <w:ind w:left="240"/>
              <w:spacing w:after="0" w:line="119" w:lineRule="exact"/>
              <w:rPr>
                <w:sz w:val="20"/>
                <w:szCs w:val="20"/>
                <w:color w:val="auto"/>
              </w:rPr>
            </w:pPr>
            <w:r>
              <w:rPr>
                <w:rFonts w:ascii="Arial" w:cs="Arial" w:eastAsia="Arial" w:hAnsi="Arial"/>
                <w:sz w:val="11"/>
                <w:szCs w:val="11"/>
                <w:color w:val="auto"/>
              </w:rPr>
              <w:t>Less net loss (income) attributable to noncontrolling interests in consolidated</w:t>
            </w:r>
          </w:p>
        </w:tc>
        <w:tc>
          <w:tcPr>
            <w:tcW w:w="80" w:type="dxa"/>
            <w:vAlign w:val="bottom"/>
          </w:tcPr>
          <w:p>
            <w:pPr>
              <w:spacing w:after="0"/>
              <w:rPr>
                <w:sz w:val="10"/>
                <w:szCs w:val="10"/>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1"/>
                <w:szCs w:val="11"/>
                <w:color w:val="auto"/>
              </w:rPr>
              <w:t>10,180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(5,748)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3"/>
              <w:spacing w:after="0"/>
              <w:rPr>
                <w:sz w:val="20"/>
                <w:szCs w:val="20"/>
                <w:color w:val="auto"/>
              </w:rPr>
            </w:pPr>
            <w:r>
              <w:rPr>
                <w:rFonts w:ascii="Arial" w:cs="Arial" w:eastAsia="Arial" w:hAnsi="Arial"/>
                <w:sz w:val="11"/>
                <w:szCs w:val="11"/>
                <w:color w:val="auto"/>
              </w:rPr>
              <w:t>12,690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1"/>
                <w:szCs w:val="11"/>
                <w:color w:val="auto"/>
              </w:rPr>
              <w:t>11,296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1"/>
                <w:szCs w:val="11"/>
                <w:color w:val="auto"/>
              </w:rPr>
              <w:t>8,912</w:t>
            </w:r>
          </w:p>
        </w:tc>
        <w:tc>
          <w:tcPr>
            <w:tcW w:w="0" w:type="dxa"/>
            <w:vAlign w:val="bottom"/>
          </w:tcPr>
          <w:p>
            <w:pPr>
              <w:spacing w:after="0"/>
              <w:rPr>
                <w:sz w:val="1"/>
                <w:szCs w:val="1"/>
                <w:color w:val="auto"/>
              </w:rPr>
            </w:pPr>
          </w:p>
        </w:tc>
      </w:tr>
      <w:tr>
        <w:trPr>
          <w:trHeight w:val="150"/>
        </w:trPr>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subsidiaries</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Net (loss) income attributable to the Operating Partnership</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(35,784)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33,448</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(9,336)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16,210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28,151</w:t>
            </w:r>
          </w:p>
        </w:tc>
        <w:tc>
          <w:tcPr>
            <w:tcW w:w="0" w:type="dxa"/>
            <w:vAlign w:val="bottom"/>
          </w:tcPr>
          <w:p>
            <w:pPr>
              <w:spacing w:after="0"/>
              <w:rPr>
                <w:sz w:val="1"/>
                <w:szCs w:val="1"/>
                <w:color w:val="auto"/>
              </w:rPr>
            </w:pPr>
          </w:p>
        </w:tc>
      </w:tr>
      <w:tr>
        <w:trPr>
          <w:trHeight w:val="158"/>
        </w:trPr>
        <w:tc>
          <w:tcPr>
            <w:tcW w:w="4760" w:type="dxa"/>
            <w:vAlign w:val="bottom"/>
          </w:tcPr>
          <w:p>
            <w:pPr>
              <w:ind w:left="240"/>
              <w:spacing w:after="0"/>
              <w:rPr>
                <w:sz w:val="20"/>
                <w:szCs w:val="20"/>
                <w:color w:val="auto"/>
              </w:rPr>
            </w:pPr>
            <w:r>
              <w:rPr>
                <w:rFonts w:ascii="Arial" w:cs="Arial" w:eastAsia="Arial" w:hAnsi="Arial"/>
                <w:sz w:val="11"/>
                <w:szCs w:val="11"/>
                <w:color w:val="auto"/>
              </w:rPr>
              <w:t>EBITDAre adjustments at share:</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Depreciation and amortization expense</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189,950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185,397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131,224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125,379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129,158</w:t>
            </w:r>
          </w:p>
        </w:tc>
        <w:tc>
          <w:tcPr>
            <w:tcW w:w="0" w:type="dxa"/>
            <w:vAlign w:val="bottom"/>
          </w:tcPr>
          <w:p>
            <w:pPr>
              <w:spacing w:after="0"/>
              <w:rPr>
                <w:sz w:val="1"/>
                <w:szCs w:val="1"/>
                <w:color w:val="auto"/>
              </w:rPr>
            </w:pPr>
          </w:p>
        </w:tc>
      </w:tr>
      <w:tr>
        <w:trPr>
          <w:trHeight w:val="158"/>
        </w:trPr>
        <w:tc>
          <w:tcPr>
            <w:tcW w:w="4760" w:type="dxa"/>
            <w:vAlign w:val="bottom"/>
          </w:tcPr>
          <w:p>
            <w:pPr>
              <w:ind w:left="320"/>
              <w:spacing w:after="0"/>
              <w:rPr>
                <w:sz w:val="20"/>
                <w:szCs w:val="20"/>
                <w:color w:val="auto"/>
              </w:rPr>
            </w:pPr>
            <w:r>
              <w:rPr>
                <w:rFonts w:ascii="Arial" w:cs="Arial" w:eastAsia="Arial" w:hAnsi="Arial"/>
                <w:sz w:val="11"/>
                <w:szCs w:val="11"/>
                <w:color w:val="auto"/>
              </w:rPr>
              <w:t>Interest and debt expense</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123,661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118,706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116,219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113,183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112,624</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Income tax expense (benefit)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4,517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8,837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(5,233)</w:t>
            </w:r>
          </w:p>
        </w:tc>
        <w:tc>
          <w:tcPr>
            <w:tcW w:w="0" w:type="dxa"/>
            <w:vAlign w:val="bottom"/>
          </w:tcPr>
          <w:p>
            <w:pPr>
              <w:spacing w:after="0"/>
              <w:rPr>
                <w:sz w:val="1"/>
                <w:szCs w:val="1"/>
                <w:color w:val="auto"/>
              </w:rPr>
            </w:pPr>
          </w:p>
        </w:tc>
      </w:tr>
      <w:tr>
        <w:trPr>
          <w:trHeight w:val="158"/>
        </w:trPr>
        <w:tc>
          <w:tcPr>
            <w:tcW w:w="4760" w:type="dxa"/>
            <w:vAlign w:val="bottom"/>
          </w:tcPr>
          <w:p>
            <w:pPr>
              <w:ind w:left="320"/>
              <w:spacing w:after="0"/>
              <w:rPr>
                <w:sz w:val="20"/>
                <w:szCs w:val="20"/>
                <w:color w:val="auto"/>
              </w:rPr>
            </w:pPr>
            <w:r>
              <w:rPr>
                <w:rFonts w:ascii="Arial" w:cs="Arial" w:eastAsia="Arial" w:hAnsi="Arial"/>
                <w:sz w:val="11"/>
                <w:szCs w:val="11"/>
                <w:color w:val="auto"/>
              </w:rPr>
              <w:t>Gain on debt extinguishment</w:t>
            </w:r>
          </w:p>
        </w:tc>
        <w:tc>
          <w:tcPr>
            <w:tcW w:w="8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(16,141)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gains on sale of real estate</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(44,930)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(11,002)</w:t>
            </w:r>
          </w:p>
        </w:tc>
        <w:tc>
          <w:tcPr>
            <w:tcW w:w="0" w:type="dxa"/>
            <w:vAlign w:val="bottom"/>
          </w:tcPr>
          <w:p>
            <w:pPr>
              <w:spacing w:after="0"/>
              <w:rPr>
                <w:sz w:val="1"/>
                <w:szCs w:val="1"/>
                <w:color w:val="auto"/>
              </w:rPr>
            </w:pPr>
          </w:p>
        </w:tc>
      </w:tr>
      <w:tr>
        <w:trPr>
          <w:trHeight w:val="149"/>
        </w:trPr>
        <w:tc>
          <w:tcPr>
            <w:tcW w:w="4760" w:type="dxa"/>
            <w:vAlign w:val="bottom"/>
          </w:tcPr>
          <w:p>
            <w:pPr>
              <w:ind w:left="240"/>
              <w:spacing w:after="0"/>
              <w:rPr>
                <w:sz w:val="20"/>
                <w:szCs w:val="20"/>
                <w:color w:val="auto"/>
              </w:rPr>
            </w:pPr>
            <w:r>
              <w:rPr>
                <w:rFonts w:ascii="Arial" w:cs="Arial" w:eastAsia="Arial" w:hAnsi="Arial"/>
                <w:sz w:val="11"/>
                <w:szCs w:val="11"/>
                <w:color w:val="auto"/>
              </w:rPr>
              <w:t>EBITDAre at share</w:t>
            </w: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278,844</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279,919</w:t>
            </w: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245,369</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263,084</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253,698</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EBITDAre attributable to noncontrolling interests in consolidated subsidiaries</w:t>
            </w: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10,575</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12,330</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9,115</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11,192</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14,046</w:t>
            </w:r>
          </w:p>
        </w:tc>
        <w:tc>
          <w:tcPr>
            <w:tcW w:w="0" w:type="dxa"/>
            <w:vAlign w:val="bottom"/>
          </w:tcPr>
          <w:p>
            <w:pPr>
              <w:spacing w:after="0"/>
              <w:rPr>
                <w:sz w:val="1"/>
                <w:szCs w:val="1"/>
                <w:color w:val="auto"/>
              </w:rPr>
            </w:pPr>
          </w:p>
        </w:tc>
      </w:tr>
      <w:tr>
        <w:trPr>
          <w:trHeight w:val="149"/>
        </w:trPr>
        <w:tc>
          <w:tcPr>
            <w:tcW w:w="4760" w:type="dxa"/>
            <w:vAlign w:val="bottom"/>
          </w:tcPr>
          <w:p>
            <w:pPr>
              <w:ind w:left="240"/>
              <w:spacing w:after="0"/>
              <w:rPr>
                <w:sz w:val="20"/>
                <w:szCs w:val="20"/>
                <w:color w:val="auto"/>
              </w:rPr>
            </w:pPr>
            <w:r>
              <w:rPr>
                <w:rFonts w:ascii="Arial" w:cs="Arial" w:eastAsia="Arial" w:hAnsi="Arial"/>
                <w:sz w:val="11"/>
                <w:szCs w:val="11"/>
                <w:color w:val="auto"/>
              </w:rPr>
              <w:t>EBITDAre (non-GAAP)</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289,419</w:t>
            </w: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292,249</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254,484</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274,276</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267,744</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EBITDAre attributable to noncontrolling interests in consolidated subsidiaries</w:t>
            </w: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(10,575)</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(12,330)</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(9,115)</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(11,192)</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(14,046)</w:t>
            </w:r>
          </w:p>
        </w:tc>
        <w:tc>
          <w:tcPr>
            <w:tcW w:w="0" w:type="dxa"/>
            <w:vAlign w:val="bottom"/>
          </w:tcPr>
          <w:p>
            <w:pPr>
              <w:spacing w:after="0"/>
              <w:rPr>
                <w:sz w:val="1"/>
                <w:szCs w:val="1"/>
                <w:color w:val="auto"/>
              </w:rPr>
            </w:pPr>
          </w:p>
        </w:tc>
      </w:tr>
      <w:tr>
        <w:trPr>
          <w:trHeight w:val="310"/>
        </w:trPr>
        <w:tc>
          <w:tcPr>
            <w:tcW w:w="4760" w:type="dxa"/>
            <w:vAlign w:val="bottom"/>
          </w:tcPr>
          <w:p>
            <w:pPr>
              <w:ind w:left="20"/>
              <w:spacing w:after="0"/>
              <w:rPr>
                <w:sz w:val="20"/>
                <w:szCs w:val="20"/>
                <w:color w:val="auto"/>
              </w:rPr>
            </w:pPr>
            <w:r>
              <w:rPr>
                <w:rFonts w:ascii="Arial" w:cs="Arial" w:eastAsia="Arial" w:hAnsi="Arial"/>
                <w:sz w:val="11"/>
                <w:szCs w:val="11"/>
                <w:color w:val="auto"/>
              </w:rPr>
              <w:t>Certain expense (income) items that impact EBITDAre:</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Gain on sale of 220 CPS condominium units and ancillary amenities</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4760" w:type="dxa"/>
            <w:vAlign w:val="bottom"/>
          </w:tcPr>
          <w:p>
            <w:pPr>
              <w:ind w:left="220"/>
              <w:spacing w:after="0"/>
              <w:rPr>
                <w:sz w:val="20"/>
                <w:szCs w:val="20"/>
                <w:color w:val="auto"/>
              </w:rPr>
            </w:pPr>
            <w:r>
              <w:rPr>
                <w:rFonts w:ascii="Arial" w:cs="Arial" w:eastAsia="Arial" w:hAnsi="Arial"/>
                <w:sz w:val="11"/>
                <w:szCs w:val="11"/>
                <w:color w:val="auto"/>
              </w:rPr>
              <w:t>Gain on sale of Canal Street residential condominium units</w:t>
            </w:r>
          </w:p>
        </w:tc>
        <w:tc>
          <w:tcPr>
            <w:tcW w:w="8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(3,574)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678</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2,429</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2,672</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49"/>
        </w:trPr>
        <w:tc>
          <w:tcPr>
            <w:tcW w:w="4760" w:type="dxa"/>
            <w:vAlign w:val="bottom"/>
          </w:tcPr>
          <w:p>
            <w:pPr>
              <w:ind w:left="220"/>
              <w:spacing w:after="0"/>
              <w:rPr>
                <w:sz w:val="20"/>
                <w:szCs w:val="20"/>
                <w:color w:val="auto"/>
              </w:rPr>
            </w:pPr>
            <w:r>
              <w:rPr>
                <w:rFonts w:ascii="Arial" w:cs="Arial" w:eastAsia="Arial" w:hAnsi="Arial"/>
                <w:sz w:val="11"/>
                <w:szCs w:val="11"/>
                <w:color w:val="auto"/>
              </w:rPr>
              <w:t>Total of certain expense (income) items that impact EBITDAre</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678</w:t>
            </w: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(468)</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2,429</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(8,279)</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EBITDAre, as adjusted (non-GAAP)</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279,522</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279,451</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247,798</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254,805</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253,758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v -</w:t>
      </w:r>
    </w:p>
    <w:p>
      <w:pPr>
        <w:sectPr>
          <w:pgSz w:w="11900" w:h="16838" w:orient="portrait"/>
          <w:cols w:equalWidth="0" w:num="1">
            <w:col w:w="11280"/>
          </w:cols>
          <w:pgMar w:left="300" w:top="981" w:right="319" w:bottom="1440" w:gutter="0" w:footer="0" w:header="0"/>
        </w:sectPr>
      </w:pPr>
    </w:p>
    <w:bookmarkStart w:id="71" w:name="page72"/>
    <w:bookmarkEnd w:id="71"/>
    <w:p>
      <w:pPr>
        <w:ind w:left="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RECONCILIATION OF NET (LOSS) INCOME TO EBITDAre (unaudited) TO EBITDAre, AS ADJUSTED (unaudited)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2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(Amounts in thousands)</w:t>
            </w: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For the Trailing</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rPr>
              <w:t>Twelve Months</w:t>
            </w:r>
          </w:p>
        </w:tc>
        <w:tc>
          <w:tcPr>
            <w:tcW w:w="280" w:type="dxa"/>
            <w:vAlign w:val="bottom"/>
          </w:tcPr>
          <w:p>
            <w:pPr>
              <w:spacing w:after="0"/>
              <w:rPr>
                <w:sz w:val="9"/>
                <w:szCs w:val="9"/>
                <w:color w:val="auto"/>
              </w:rPr>
            </w:pPr>
          </w:p>
        </w:tc>
        <w:tc>
          <w:tcPr>
            <w:tcW w:w="2620" w:type="dxa"/>
            <w:vAlign w:val="bottom"/>
            <w:gridSpan w:val="6"/>
            <w:vMerge w:val="restart"/>
          </w:tcPr>
          <w:p>
            <w:pPr>
              <w:jc w:val="right"/>
              <w:ind w:right="63"/>
              <w:spacing w:after="0"/>
              <w:rPr>
                <w:sz w:val="20"/>
                <w:szCs w:val="20"/>
                <w:color w:val="auto"/>
              </w:rPr>
            </w:pPr>
            <w:r>
              <w:rPr>
                <w:rFonts w:ascii="Arial" w:cs="Arial" w:eastAsia="Arial" w:hAnsi="Arial"/>
                <w:sz w:val="11"/>
                <w:szCs w:val="11"/>
                <w:b w:val="1"/>
                <w:bCs w:val="1"/>
                <w:color w:val="auto"/>
              </w:rPr>
              <w:t>For the Year Ended December 31,</w:t>
            </w: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Ended</w:t>
            </w: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6"/>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20" w:type="dxa"/>
            <w:vAlign w:val="bottom"/>
          </w:tcPr>
          <w:p>
            <w:pPr>
              <w:spacing w:after="0"/>
              <w:rPr>
                <w:sz w:val="13"/>
                <w:szCs w:val="13"/>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September 30, 2026</w:t>
            </w:r>
          </w:p>
        </w:tc>
        <w:tc>
          <w:tcPr>
            <w:tcW w:w="28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0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423"/>
              <w:spacing w:after="0"/>
              <w:rPr>
                <w:sz w:val="20"/>
                <w:szCs w:val="20"/>
                <w:color w:val="auto"/>
              </w:rPr>
            </w:pPr>
            <w:r>
              <w:rPr>
                <w:rFonts w:ascii="Arial" w:cs="Arial" w:eastAsia="Arial" w:hAnsi="Arial"/>
                <w:sz w:val="11"/>
                <w:szCs w:val="11"/>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220" w:type="dxa"/>
            <w:vAlign w:val="bottom"/>
          </w:tcPr>
          <w:p>
            <w:pPr>
              <w:ind w:left="20"/>
              <w:spacing w:after="0"/>
              <w:rPr>
                <w:sz w:val="20"/>
                <w:szCs w:val="20"/>
                <w:color w:val="auto"/>
              </w:rPr>
            </w:pPr>
            <w:r>
              <w:rPr>
                <w:rFonts w:ascii="Arial" w:cs="Arial" w:eastAsia="Arial" w:hAnsi="Arial"/>
                <w:sz w:val="11"/>
                <w:szCs w:val="11"/>
                <w:color w:val="auto"/>
              </w:rPr>
              <w:t>Reconciliation of net (loss) income to EBITDAre (non-GAAP):</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2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Net (loss) income</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(23,880)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937,204</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32,888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2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Less net loss attributable to noncontrolling interests in consolidated subsidiaries</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28,418</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41,622</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51,131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75,967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Net income attributable to the Operating Partnership</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4,538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978,826</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71,247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108,855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20" w:type="dxa"/>
            <w:vAlign w:val="bottom"/>
          </w:tcPr>
          <w:p>
            <w:pPr>
              <w:ind w:left="240"/>
              <w:spacing w:after="0"/>
              <w:rPr>
                <w:sz w:val="20"/>
                <w:szCs w:val="20"/>
                <w:color w:val="auto"/>
              </w:rPr>
            </w:pPr>
            <w:r>
              <w:rPr>
                <w:rFonts w:ascii="Arial" w:cs="Arial" w:eastAsia="Arial" w:hAnsi="Arial"/>
                <w:sz w:val="11"/>
                <w:szCs w:val="11"/>
                <w:color w:val="auto"/>
              </w:rPr>
              <w:t>EBITDAre adjustments at share:</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2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Depreciation and amortization expense</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631,950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513,658</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507,210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499,357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20" w:type="dxa"/>
            <w:vAlign w:val="bottom"/>
          </w:tcPr>
          <w:p>
            <w:pPr>
              <w:ind w:left="320"/>
              <w:spacing w:after="0"/>
              <w:rPr>
                <w:sz w:val="20"/>
                <w:szCs w:val="20"/>
                <w:color w:val="auto"/>
              </w:rPr>
            </w:pPr>
            <w:r>
              <w:rPr>
                <w:rFonts w:ascii="Arial" w:cs="Arial" w:eastAsia="Arial" w:hAnsi="Arial"/>
                <w:sz w:val="11"/>
                <w:szCs w:val="11"/>
                <w:color w:val="auto"/>
              </w:rPr>
              <w:t>Interest and debt expense</w:t>
            </w:r>
          </w:p>
        </w:tc>
        <w:tc>
          <w:tcPr>
            <w:tcW w:w="1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471,769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458,869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458,100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458,400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2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Income tax expense</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24,055</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15,313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23,445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30,465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20" w:type="dxa"/>
            <w:vAlign w:val="bottom"/>
          </w:tcPr>
          <w:p>
            <w:pPr>
              <w:ind w:left="320"/>
              <w:spacing w:after="0"/>
              <w:rPr>
                <w:sz w:val="20"/>
                <w:szCs w:val="20"/>
                <w:color w:val="auto"/>
              </w:rPr>
            </w:pPr>
            <w:r>
              <w:rPr>
                <w:rFonts w:ascii="Arial" w:cs="Arial" w:eastAsia="Arial" w:hAnsi="Arial"/>
                <w:sz w:val="11"/>
                <w:szCs w:val="11"/>
                <w:color w:val="auto"/>
              </w:rPr>
              <w:t>Real estate impairment losses</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542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73,289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2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Gain on debt extinguishment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(16,141)</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20" w:type="dxa"/>
            <w:vAlign w:val="bottom"/>
          </w:tcPr>
          <w:p>
            <w:pPr>
              <w:ind w:left="320"/>
              <w:spacing w:after="0"/>
              <w:rPr>
                <w:sz w:val="20"/>
                <w:szCs w:val="20"/>
                <w:color w:val="auto"/>
              </w:rPr>
            </w:pPr>
            <w:r>
              <w:rPr>
                <w:rFonts w:ascii="Arial" w:cs="Arial" w:eastAsia="Arial" w:hAnsi="Arial"/>
                <w:sz w:val="11"/>
                <w:szCs w:val="11"/>
                <w:color w:val="auto"/>
              </w:rPr>
              <w:t>Gain on sales-type lease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(803,248)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62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gains on sale of real estate</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(48,955)</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(91,062)</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(72,955)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40"/>
              <w:spacing w:after="0"/>
              <w:rPr>
                <w:sz w:val="20"/>
                <w:szCs w:val="20"/>
                <w:color w:val="auto"/>
              </w:rPr>
            </w:pPr>
            <w:r>
              <w:rPr>
                <w:rFonts w:ascii="Arial" w:cs="Arial" w:eastAsia="Arial" w:hAnsi="Arial"/>
                <w:sz w:val="11"/>
                <w:szCs w:val="11"/>
                <w:color w:val="auto"/>
              </w:rPr>
              <w:t>EBITDAre at share</w:t>
            </w:r>
          </w:p>
        </w:tc>
        <w:tc>
          <w:tcPr>
            <w:tcW w:w="14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1,067,216</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1,072,898</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1,059,129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1,097,411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2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EBITDAre attributable to noncontrolling interests in consolidated subsidiaries</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43,212</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47,853</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42,125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39,405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40"/>
              <w:spacing w:after="0"/>
              <w:rPr>
                <w:sz w:val="20"/>
                <w:szCs w:val="20"/>
                <w:color w:val="auto"/>
              </w:rPr>
            </w:pPr>
            <w:r>
              <w:rPr>
                <w:rFonts w:ascii="Arial" w:cs="Arial" w:eastAsia="Arial" w:hAnsi="Arial"/>
                <w:sz w:val="11"/>
                <w:szCs w:val="11"/>
                <w:color w:val="auto"/>
              </w:rPr>
              <w:t>EBITDAre (non-GAAP)</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1,110,428</w:t>
            </w: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1,120,751</w:t>
            </w: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1,101,254</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1,136,816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EBITDAre attributable to noncontrolling interests in consolidated subsidiaries</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(43,212)</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(47,853)</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(42,125)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(39,405)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6220" w:type="dxa"/>
            <w:vAlign w:val="bottom"/>
          </w:tcPr>
          <w:p>
            <w:pPr>
              <w:ind w:left="20"/>
              <w:spacing w:after="0"/>
              <w:rPr>
                <w:sz w:val="20"/>
                <w:szCs w:val="20"/>
                <w:color w:val="auto"/>
              </w:rPr>
            </w:pPr>
            <w:r>
              <w:rPr>
                <w:rFonts w:ascii="Arial" w:cs="Arial" w:eastAsia="Arial" w:hAnsi="Arial"/>
                <w:sz w:val="11"/>
                <w:szCs w:val="11"/>
                <w:color w:val="auto"/>
              </w:rPr>
              <w:t>Certain (income) expense items that impact EBITDAre: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2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Gain on sale of 220 CPS condominium units and ancillary amenities</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(20,953)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(15,175)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20" w:type="dxa"/>
            <w:vAlign w:val="bottom"/>
          </w:tcPr>
          <w:p>
            <w:pPr>
              <w:ind w:left="220"/>
              <w:spacing w:after="0"/>
              <w:rPr>
                <w:sz w:val="20"/>
                <w:szCs w:val="20"/>
                <w:color w:val="auto"/>
              </w:rPr>
            </w:pPr>
            <w:r>
              <w:rPr>
                <w:rFonts w:ascii="Arial" w:cs="Arial" w:eastAsia="Arial" w:hAnsi="Arial"/>
                <w:sz w:val="11"/>
                <w:szCs w:val="11"/>
                <w:color w:val="auto"/>
              </w:rPr>
              <w:t>Gain on sale of Canal Street residential condominium units</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(3,574)</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(13,911)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62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5,311</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1,809</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5,366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20"/>
              <w:spacing w:after="0"/>
              <w:rPr>
                <w:sz w:val="20"/>
                <w:szCs w:val="20"/>
                <w:color w:val="auto"/>
              </w:rPr>
            </w:pPr>
            <w:r>
              <w:rPr>
                <w:rFonts w:ascii="Arial" w:cs="Arial" w:eastAsia="Arial" w:hAnsi="Arial"/>
                <w:sz w:val="11"/>
                <w:szCs w:val="11"/>
                <w:color w:val="auto"/>
              </w:rPr>
              <w:t>Total of certain (income) expense items that impact EBITDAre</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(5,640)</w:t>
            </w: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(33,055)</w:t>
            </w: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(9,809)</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EBITDAre, as adjusted (non-GAAP)</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1,061,576</w:t>
            </w: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1,039,843</w:t>
            </w: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1,049,320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1,081,332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vi -</w:t>
      </w:r>
    </w:p>
    <w:p>
      <w:pPr>
        <w:sectPr>
          <w:pgSz w:w="11900" w:h="16838" w:orient="portrait"/>
          <w:cols w:equalWidth="0" w:num="1">
            <w:col w:w="11280"/>
          </w:cols>
          <w:pgMar w:left="300" w:top="981" w:right="319" w:bottom="1440" w:gutter="0" w:footer="0" w:header="0"/>
        </w:sectPr>
      </w:pPr>
    </w:p>
    <w:bookmarkStart w:id="72" w:name="page73"/>
    <w:bookmarkEnd w:id="72"/>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RECONCILIATION OF NET (LOSS) INCOME TO NET OPERATING INCOME AT SHARE AND NET OPERATING INCOME AT SHARE - CASH BASIS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602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color w:val="auto"/>
        </w:rPr>
        <w:t>(Amounts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gridSpan w:val="8"/>
          </w:tcPr>
          <w:p>
            <w:pPr>
              <w:ind w:left="580"/>
              <w:spacing w:after="0"/>
              <w:rPr>
                <w:sz w:val="20"/>
                <w:szCs w:val="20"/>
                <w:color w:val="auto"/>
              </w:rPr>
            </w:pPr>
            <w:r>
              <w:rPr>
                <w:rFonts w:ascii="Arial" w:cs="Arial" w:eastAsia="Arial" w:hAnsi="Arial"/>
                <w:sz w:val="11"/>
                <w:szCs w:val="11"/>
                <w:b w:val="1"/>
                <w:bCs w:val="1"/>
                <w:color w:val="auto"/>
              </w:rPr>
              <w:t>For the Three Months Ended</w:t>
            </w:r>
          </w:p>
        </w:tc>
        <w:tc>
          <w:tcPr>
            <w:tcW w:w="200" w:type="dxa"/>
            <w:vAlign w:val="bottom"/>
          </w:tcPr>
          <w:p>
            <w:pPr>
              <w:spacing w:after="0"/>
              <w:rPr>
                <w:sz w:val="13"/>
                <w:szCs w:val="13"/>
                <w:color w:val="auto"/>
              </w:rPr>
            </w:pPr>
          </w:p>
        </w:tc>
        <w:tc>
          <w:tcPr>
            <w:tcW w:w="1900" w:type="dxa"/>
            <w:vAlign w:val="bottom"/>
            <w:gridSpan w:val="4"/>
          </w:tcPr>
          <w:p>
            <w:pPr>
              <w:jc w:val="right"/>
              <w:ind w:right="243"/>
              <w:spacing w:after="0"/>
              <w:rPr>
                <w:sz w:val="20"/>
                <w:szCs w:val="20"/>
                <w:color w:val="auto"/>
              </w:rPr>
            </w:pPr>
            <w:r>
              <w:rPr>
                <w:rFonts w:ascii="Arial" w:cs="Arial" w:eastAsia="Arial" w:hAnsi="Arial"/>
                <w:sz w:val="11"/>
                <w:szCs w:val="11"/>
                <w:b w:val="1"/>
                <w:bCs w:val="1"/>
                <w:color w:val="auto"/>
              </w:rPr>
              <w:t>For the Nine Months Ended</w:t>
            </w:r>
          </w:p>
        </w:tc>
      </w:tr>
      <w:tr>
        <w:trPr>
          <w:trHeight w:val="153"/>
        </w:trPr>
        <w:tc>
          <w:tcPr>
            <w:tcW w:w="59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640" w:type="dxa"/>
            <w:vAlign w:val="bottom"/>
            <w:tcBorders>
              <w:bottom w:val="single" w:sz="8" w:color="auto"/>
            </w:tcBorders>
          </w:tcPr>
          <w:p>
            <w:pPr>
              <w:spacing w:after="0"/>
              <w:rPr>
                <w:sz w:val="13"/>
                <w:szCs w:val="13"/>
                <w:color w:val="auto"/>
              </w:rPr>
            </w:pPr>
          </w:p>
        </w:tc>
      </w:tr>
      <w:tr>
        <w:trPr>
          <w:trHeight w:val="152"/>
        </w:trPr>
        <w:tc>
          <w:tcPr>
            <w:tcW w:w="5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03"/>
              <w:spacing w:after="0"/>
              <w:rPr>
                <w:sz w:val="20"/>
                <w:szCs w:val="20"/>
                <w:color w:val="auto"/>
              </w:rPr>
            </w:pPr>
            <w:r>
              <w:rPr>
                <w:rFonts w:ascii="Arial" w:cs="Arial" w:eastAsia="Arial" w:hAnsi="Arial"/>
                <w:sz w:val="11"/>
                <w:szCs w:val="11"/>
                <w:b w:val="1"/>
                <w:bCs w:val="1"/>
                <w:color w:val="auto"/>
              </w:rPr>
              <w:t>2026</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43"/>
              <w:spacing w:after="0"/>
              <w:rPr>
                <w:sz w:val="20"/>
                <w:szCs w:val="20"/>
                <w:color w:val="auto"/>
              </w:rPr>
            </w:pPr>
            <w:r>
              <w:rPr>
                <w:rFonts w:ascii="Arial" w:cs="Arial" w:eastAsia="Arial" w:hAnsi="Arial"/>
                <w:sz w:val="11"/>
                <w:szCs w:val="11"/>
                <w:b w:val="1"/>
                <w:bCs w:val="1"/>
                <w:color w:val="auto"/>
                <w:w w:val="97"/>
              </w:rPr>
              <w:t>2025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June 30, 2026</w:t>
            </w:r>
          </w:p>
        </w:tc>
        <w:tc>
          <w:tcPr>
            <w:tcW w:w="200" w:type="dxa"/>
            <w:vAlign w:val="bottom"/>
          </w:tcPr>
          <w:p>
            <w:pPr>
              <w:spacing w:after="0"/>
              <w:rPr>
                <w:sz w:val="13"/>
                <w:szCs w:val="13"/>
                <w:color w:val="auto"/>
              </w:rPr>
            </w:pPr>
          </w:p>
        </w:tc>
        <w:tc>
          <w:tcPr>
            <w:tcW w:w="820" w:type="dxa"/>
            <w:vAlign w:val="bottom"/>
          </w:tcPr>
          <w:p>
            <w:pPr>
              <w:jc w:val="right"/>
              <w:ind w:right="323"/>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ind w:right="323"/>
              <w:spacing w:after="0"/>
              <w:rPr>
                <w:sz w:val="20"/>
                <w:szCs w:val="20"/>
                <w:color w:val="auto"/>
              </w:rPr>
            </w:pPr>
            <w:r>
              <w:rPr>
                <w:rFonts w:ascii="Arial" w:cs="Arial" w:eastAsia="Arial" w:hAnsi="Arial"/>
                <w:sz w:val="11"/>
                <w:szCs w:val="11"/>
                <w:b w:val="1"/>
                <w:bCs w:val="1"/>
                <w:color w:val="auto"/>
                <w:w w:val="97"/>
              </w:rPr>
              <w:t>2025</w:t>
            </w:r>
          </w:p>
        </w:tc>
      </w:tr>
      <w:tr>
        <w:trPr>
          <w:trHeight w:val="15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income</w:t>
            </w: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(45,964)</w:t>
            </w:r>
          </w:p>
        </w:tc>
        <w:tc>
          <w:tcPr>
            <w:tcW w:w="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19,239</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39,196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(28,794)</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932,290</w:t>
            </w:r>
          </w:p>
        </w:tc>
      </w:tr>
      <w:tr>
        <w:trPr>
          <w:trHeight w:val="158"/>
        </w:trPr>
        <w:tc>
          <w:tcPr>
            <w:tcW w:w="5940" w:type="dxa"/>
            <w:vAlign w:val="bottom"/>
          </w:tcPr>
          <w:p>
            <w:pPr>
              <w:ind w:left="20"/>
              <w:spacing w:after="0"/>
              <w:rPr>
                <w:sz w:val="20"/>
                <w:szCs w:val="20"/>
                <w:color w:val="auto"/>
              </w:rPr>
            </w:pPr>
            <w:r>
              <w:rPr>
                <w:rFonts w:ascii="Arial" w:cs="Arial" w:eastAsia="Arial" w:hAnsi="Arial"/>
                <w:sz w:val="11"/>
                <w:szCs w:val="11"/>
                <w:color w:val="auto"/>
              </w:rPr>
              <w:t>Depreciation and amortization expense</w:t>
            </w: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169,045</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117,122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171,228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458,801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348,851</w:t>
            </w:r>
          </w:p>
        </w:tc>
      </w:tr>
      <w:tr>
        <w:trPr>
          <w:trHeight w:val="165"/>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 expense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34,705</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37,490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116,050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116,065</w:t>
            </w:r>
          </w:p>
        </w:tc>
      </w:tr>
      <w:tr>
        <w:trPr>
          <w:trHeight w:val="158"/>
        </w:trPr>
        <w:tc>
          <w:tcPr>
            <w:tcW w:w="5940" w:type="dxa"/>
            <w:vAlign w:val="bottom"/>
          </w:tcPr>
          <w:p>
            <w:pPr>
              <w:ind w:left="20"/>
              <w:spacing w:after="0"/>
              <w:rPr>
                <w:sz w:val="20"/>
                <w:szCs w:val="20"/>
                <w:color w:val="auto"/>
              </w:rPr>
            </w:pPr>
            <w:r>
              <w:rPr>
                <w:rFonts w:ascii="Arial" w:cs="Arial" w:eastAsia="Arial" w:hAnsi="Arial"/>
                <w:sz w:val="11"/>
                <w:szCs w:val="11"/>
                <w:color w:val="auto"/>
              </w:rPr>
              <w:t>Transaction related costs and other</w:t>
            </w: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393</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3,563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1,328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4,327</w:t>
            </w:r>
          </w:p>
        </w:tc>
      </w:tr>
      <w:tr>
        <w:trPr>
          <w:trHeight w:val="165"/>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from partially owned entities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(23,318)</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(21,940)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(63,195)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(99,335)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(135,588)</w:t>
            </w:r>
          </w:p>
        </w:tc>
      </w:tr>
      <w:tr>
        <w:trPr>
          <w:trHeight w:val="158"/>
        </w:trPr>
        <w:tc>
          <w:tcPr>
            <w:tcW w:w="5940" w:type="dxa"/>
            <w:vAlign w:val="bottom"/>
          </w:tcPr>
          <w:p>
            <w:pPr>
              <w:ind w:left="20"/>
              <w:spacing w:after="0"/>
              <w:rPr>
                <w:sz w:val="20"/>
                <w:szCs w:val="20"/>
                <w:color w:val="auto"/>
              </w:rPr>
            </w:pPr>
            <w:r>
              <w:rPr>
                <w:rFonts w:ascii="Arial" w:cs="Arial" w:eastAsia="Arial" w:hAnsi="Arial"/>
                <w:sz w:val="11"/>
                <w:szCs w:val="11"/>
                <w:color w:val="auto"/>
              </w:rPr>
              <w:t>Interest and other investment income, net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(5,107)</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(22,413)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(8,989)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(23,423)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(41,730)</w:t>
            </w:r>
          </w:p>
        </w:tc>
      </w:tr>
      <w:tr>
        <w:trPr>
          <w:trHeight w:val="165"/>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and debt expense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88,714</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84,459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267,502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268,204</w:t>
            </w:r>
          </w:p>
        </w:tc>
      </w:tr>
      <w:tr>
        <w:trPr>
          <w:trHeight w:val="158"/>
        </w:trPr>
        <w:tc>
          <w:tcPr>
            <w:tcW w:w="5940" w:type="dxa"/>
            <w:vAlign w:val="bottom"/>
          </w:tcPr>
          <w:p>
            <w:pPr>
              <w:ind w:left="20"/>
              <w:spacing w:after="0"/>
              <w:rPr>
                <w:sz w:val="20"/>
                <w:szCs w:val="20"/>
                <w:color w:val="auto"/>
              </w:rPr>
            </w:pPr>
            <w:r>
              <w:rPr>
                <w:rFonts w:ascii="Arial" w:cs="Arial" w:eastAsia="Arial" w:hAnsi="Arial"/>
                <w:sz w:val="11"/>
                <w:szCs w:val="11"/>
                <w:color w:val="auto"/>
              </w:rPr>
              <w:t>Gain on debt extinguishment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(32,073)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(32,073)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5"/>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sales-type lease</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(803,248)</w:t>
            </w:r>
          </w:p>
        </w:tc>
      </w:tr>
      <w:tr>
        <w:trPr>
          <w:trHeight w:val="158"/>
        </w:trPr>
        <w:tc>
          <w:tcPr>
            <w:tcW w:w="5940" w:type="dxa"/>
            <w:vAlign w:val="bottom"/>
          </w:tcPr>
          <w:p>
            <w:pPr>
              <w:ind w:left="20"/>
              <w:spacing w:after="0"/>
              <w:rPr>
                <w:sz w:val="20"/>
                <w:szCs w:val="20"/>
                <w:color w:val="auto"/>
              </w:rPr>
            </w:pPr>
            <w:r>
              <w:rPr>
                <w:rFonts w:ascii="Arial" w:cs="Arial" w:eastAsia="Arial" w:hAnsi="Arial"/>
                <w:sz w:val="11"/>
                <w:szCs w:val="11"/>
                <w:color w:val="auto"/>
              </w:rPr>
              <w:t>Net gains on disposition of wholly owned and partially owned assets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(24,039)</w:t>
            </w:r>
          </w:p>
        </w:tc>
      </w:tr>
      <w:tr>
        <w:trPr>
          <w:trHeight w:val="165"/>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3,668</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13,147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5,727</w:t>
            </w:r>
          </w:p>
        </w:tc>
      </w:tr>
      <w:tr>
        <w:trPr>
          <w:trHeight w:val="158"/>
        </w:trPr>
        <w:tc>
          <w:tcPr>
            <w:tcW w:w="5940" w:type="dxa"/>
            <w:vAlign w:val="bottom"/>
          </w:tcPr>
          <w:p>
            <w:pPr>
              <w:ind w:left="20"/>
              <w:spacing w:after="0"/>
              <w:rPr>
                <w:sz w:val="20"/>
                <w:szCs w:val="20"/>
                <w:color w:val="auto"/>
              </w:rPr>
            </w:pPr>
            <w:r>
              <w:rPr>
                <w:rFonts w:ascii="Arial" w:cs="Arial" w:eastAsia="Arial" w:hAnsi="Arial"/>
                <w:sz w:val="11"/>
                <w:szCs w:val="11"/>
                <w:color w:val="auto"/>
              </w:rPr>
              <w:t>NOI from partially owned entities</w:t>
            </w: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88,808</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64,884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76,638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233,754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198,222</w:t>
            </w:r>
          </w:p>
        </w:tc>
      </w:tr>
      <w:tr>
        <w:trPr>
          <w:trHeight w:val="165"/>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NOI attributable to noncontrolling interests in consolidated subsidiaries</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(10,890)</w:t>
            </w: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(10,139)</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(11,167)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(30,716)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(31,442)</w:t>
            </w:r>
          </w:p>
        </w:tc>
      </w:tr>
      <w:tr>
        <w:trPr>
          <w:trHeight w:val="149"/>
        </w:trPr>
        <w:tc>
          <w:tcPr>
            <w:tcW w:w="5940" w:type="dxa"/>
            <w:vAlign w:val="bottom"/>
          </w:tcPr>
          <w:p>
            <w:pPr>
              <w:ind w:left="20"/>
              <w:spacing w:after="0"/>
              <w:rPr>
                <w:sz w:val="20"/>
                <w:szCs w:val="20"/>
                <w:color w:val="auto"/>
              </w:rPr>
            </w:pPr>
            <w:r>
              <w:rPr>
                <w:rFonts w:ascii="Arial" w:cs="Arial" w:eastAsia="Arial" w:hAnsi="Arial"/>
                <w:sz w:val="11"/>
                <w:szCs w:val="11"/>
                <w:color w:val="auto"/>
              </w:rPr>
              <w:t>NOI at share</w:t>
            </w:r>
          </w:p>
        </w:tc>
        <w:tc>
          <w:tcPr>
            <w:tcW w:w="22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300,054</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266,676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304,064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876,241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837,639</w:t>
            </w:r>
          </w:p>
        </w:tc>
      </w:tr>
      <w:tr>
        <w:trPr>
          <w:trHeight w:val="161"/>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Non-cash adjustments for straight-line rents, amortization of acquired below-market leases, net, and other</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(44,395)</w:t>
            </w: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(30,746)</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(40,881)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(116,342)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(100,619)</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NOI at share - cash basis</w:t>
            </w: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255,659</w:t>
            </w:r>
          </w:p>
        </w:tc>
        <w:tc>
          <w:tcPr>
            <w:tcW w:w="6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235,930</w:t>
            </w: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263,183</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759,899</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737,020</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vii -</w:t>
      </w:r>
    </w:p>
    <w:p>
      <w:pPr>
        <w:sectPr>
          <w:pgSz w:w="11900" w:h="16838" w:orient="portrait"/>
          <w:cols w:equalWidth="0" w:num="1">
            <w:col w:w="11280"/>
          </w:cols>
          <w:pgMar w:left="300" w:top="981" w:right="319" w:bottom="1440" w:gutter="0" w:footer="0" w:header="0"/>
        </w:sectPr>
      </w:pPr>
    </w:p>
    <w:bookmarkStart w:id="73" w:name="page74"/>
    <w:bookmarkEnd w:id="73"/>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COMPONENTS OF NET OPERATING INCOME AT SHARE AND NET OPERATING INCOME AT SHARE - CASH BASIS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6026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color w:val="auto"/>
        </w:rPr>
        <w:t>(Amounts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16"/>
          </w:tcPr>
          <w:p>
            <w:pPr>
              <w:ind w:left="340"/>
              <w:spacing w:after="0"/>
              <w:rPr>
                <w:sz w:val="20"/>
                <w:szCs w:val="20"/>
                <w:color w:val="auto"/>
              </w:rPr>
            </w:pPr>
            <w:r>
              <w:rPr>
                <w:rFonts w:ascii="Arial" w:cs="Arial" w:eastAsia="Arial" w:hAnsi="Arial"/>
                <w:sz w:val="11"/>
                <w:szCs w:val="11"/>
                <w:b w:val="1"/>
                <w:bCs w:val="1"/>
                <w:color w:val="auto"/>
              </w:rPr>
              <w:t>For the Three Months Ended September 30,</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1"/>
                <w:szCs w:val="11"/>
                <w:b w:val="1"/>
                <w:bCs w:val="1"/>
                <w:color w:val="auto"/>
              </w:rPr>
              <w:t>Total Revenues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6"/>
          </w:tcPr>
          <w:p>
            <w:pPr>
              <w:ind w:left="60"/>
              <w:spacing w:after="0"/>
              <w:rPr>
                <w:sz w:val="20"/>
                <w:szCs w:val="20"/>
                <w:color w:val="auto"/>
              </w:rPr>
            </w:pPr>
            <w:r>
              <w:rPr>
                <w:rFonts w:ascii="Arial" w:cs="Arial" w:eastAsia="Arial" w:hAnsi="Arial"/>
                <w:sz w:val="11"/>
                <w:szCs w:val="11"/>
                <w:b w:val="1"/>
                <w:bCs w:val="1"/>
                <w:color w:val="auto"/>
              </w:rPr>
              <w:t>Operating Expenses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4"/>
          </w:tcPr>
          <w:p>
            <w:pPr>
              <w:jc w:val="right"/>
              <w:ind w:right="63"/>
              <w:spacing w:after="0"/>
              <w:rPr>
                <w:sz w:val="20"/>
                <w:szCs w:val="20"/>
                <w:color w:val="auto"/>
              </w:rPr>
            </w:pPr>
            <w:r>
              <w:rPr>
                <w:rFonts w:ascii="Arial" w:cs="Arial" w:eastAsia="Arial" w:hAnsi="Arial"/>
                <w:sz w:val="11"/>
                <w:szCs w:val="11"/>
                <w:b w:val="1"/>
                <w:bCs w:val="1"/>
                <w:color w:val="auto"/>
              </w:rPr>
              <w:t>NOI</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ind w:left="20"/>
              <w:spacing w:after="0" w:line="153" w:lineRule="exact"/>
              <w:rPr>
                <w:sz w:val="20"/>
                <w:szCs w:val="20"/>
                <w:color w:val="auto"/>
              </w:rPr>
            </w:pPr>
            <w:r>
              <w:rPr>
                <w:rFonts w:ascii="Arial" w:cs="Arial" w:eastAsia="Arial" w:hAnsi="Arial"/>
                <w:sz w:val="11"/>
                <w:szCs w:val="11"/>
                <w:b w:val="1"/>
                <w:bCs w:val="1"/>
                <w:color w:val="auto"/>
              </w:rPr>
              <w:t>Non-cash Adjustments</w:t>
            </w:r>
            <w:r>
              <w:rPr>
                <w:rFonts w:ascii="Arial" w:cs="Arial" w:eastAsia="Arial" w:hAnsi="Arial"/>
                <w:sz w:val="14"/>
                <w:szCs w:val="14"/>
                <w:b w:val="1"/>
                <w:bCs w:val="1"/>
                <w:color w:val="auto"/>
                <w:vertAlign w:val="superscript"/>
              </w:rPr>
              <w:t>(1)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right"/>
              <w:ind w:right="323"/>
              <w:spacing w:after="0"/>
              <w:rPr>
                <w:sz w:val="20"/>
                <w:szCs w:val="20"/>
                <w:color w:val="auto"/>
              </w:rPr>
            </w:pPr>
            <w:r>
              <w:rPr>
                <w:rFonts w:ascii="Arial" w:cs="Arial" w:eastAsia="Arial" w:hAnsi="Arial"/>
                <w:sz w:val="11"/>
                <w:szCs w:val="11"/>
                <w:b w:val="1"/>
                <w:bCs w:val="1"/>
                <w:color w:val="auto"/>
              </w:rPr>
              <w:t>NOI - cash basis</w:t>
            </w:r>
          </w:p>
        </w:tc>
        <w:tc>
          <w:tcPr>
            <w:tcW w:w="0" w:type="dxa"/>
            <w:vAlign w:val="bottom"/>
          </w:tcPr>
          <w:p>
            <w:pPr>
              <w:spacing w:after="0"/>
              <w:rPr>
                <w:sz w:val="1"/>
                <w:szCs w:val="1"/>
                <w:color w:val="auto"/>
              </w:rPr>
            </w:pPr>
          </w:p>
        </w:tc>
      </w:tr>
      <w:tr>
        <w:trPr>
          <w:trHeight w:val="152"/>
        </w:trPr>
        <w:tc>
          <w:tcPr>
            <w:tcW w:w="27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2026</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53"/>
        </w:trPr>
        <w:tc>
          <w:tcPr>
            <w:tcW w:w="27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New York</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380,212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365,654</w:t>
            </w:r>
          </w:p>
        </w:tc>
        <w:tc>
          <w:tcPr>
            <w:tcW w:w="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(200,057)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(197,119)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180,155</w:t>
            </w:r>
          </w:p>
        </w:tc>
        <w:tc>
          <w:tcPr>
            <w:tcW w:w="28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168,535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(19,078)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(21,774)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161,077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146,761</w:t>
            </w:r>
          </w:p>
        </w:tc>
        <w:tc>
          <w:tcPr>
            <w:tcW w:w="0" w:type="dxa"/>
            <w:vAlign w:val="bottom"/>
          </w:tcPr>
          <w:p>
            <w:pPr>
              <w:spacing w:after="0"/>
              <w:rPr>
                <w:sz w:val="1"/>
                <w:szCs w:val="1"/>
                <w:color w:val="auto"/>
              </w:rPr>
            </w:pPr>
          </w:p>
        </w:tc>
      </w:tr>
      <w:tr>
        <w:trPr>
          <w:trHeight w:val="158"/>
        </w:trPr>
        <w:tc>
          <w:tcPr>
            <w:tcW w:w="2780" w:type="dxa"/>
            <w:vAlign w:val="bottom"/>
          </w:tcPr>
          <w:p>
            <w:pPr>
              <w:ind w:left="140"/>
              <w:spacing w:after="0"/>
              <w:rPr>
                <w:sz w:val="20"/>
                <w:szCs w:val="20"/>
                <w:color w:val="auto"/>
              </w:rPr>
            </w:pPr>
            <w:r>
              <w:rPr>
                <w:rFonts w:ascii="Arial" w:cs="Arial" w:eastAsia="Arial" w:hAnsi="Arial"/>
                <w:sz w:val="11"/>
                <w:szCs w:val="11"/>
                <w:color w:val="auto"/>
              </w:rPr>
              <w:t>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87,445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88,046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(45,464)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(44,650)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41,981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43,396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(3,772)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38,209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42,132</w:t>
            </w: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Noncontrolling interests' share in consolidated</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(54,263)</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(52,553)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43,373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42,414</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(10,890)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(10,139)</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(958)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(2,483)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(11,848)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(12,622)</w:t>
            </w:r>
          </w:p>
        </w:tc>
        <w:tc>
          <w:tcPr>
            <w:tcW w:w="0" w:type="dxa"/>
            <w:vAlign w:val="bottom"/>
          </w:tcPr>
          <w:p>
            <w:pPr>
              <w:spacing w:after="0"/>
              <w:rPr>
                <w:sz w:val="1"/>
                <w:szCs w:val="1"/>
                <w:color w:val="auto"/>
              </w:rPr>
            </w:pPr>
          </w:p>
        </w:tc>
      </w:tr>
      <w:tr>
        <w:trPr>
          <w:trHeight w:val="146"/>
        </w:trPr>
        <w:tc>
          <w:tcPr>
            <w:tcW w:w="2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subsidiaries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Our share of partially owned entities</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148,082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113,541</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(59,274)</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(48,657)</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88,808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64,884</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(20,587)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(5,225)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68,221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59,659</w:t>
            </w:r>
          </w:p>
        </w:tc>
        <w:tc>
          <w:tcPr>
            <w:tcW w:w="0" w:type="dxa"/>
            <w:vAlign w:val="bottom"/>
          </w:tcPr>
          <w:p>
            <w:pPr>
              <w:spacing w:after="0"/>
              <w:rPr>
                <w:sz w:val="1"/>
                <w:szCs w:val="1"/>
                <w:color w:val="auto"/>
              </w:rPr>
            </w:pPr>
          </w:p>
        </w:tc>
      </w:tr>
      <w:tr>
        <w:trPr>
          <w:trHeight w:val="176"/>
        </w:trPr>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Vornado's share</w:t>
            </w:r>
          </w:p>
        </w:tc>
        <w:tc>
          <w:tcPr>
            <w:tcW w:w="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561,476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514,688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(261,422)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(248,012)</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300,054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266,676</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(44,395)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(30,746)</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255,659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235,930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6"/>
          </w:tcPr>
          <w:p>
            <w:pPr>
              <w:ind w:left="400"/>
              <w:spacing w:after="0"/>
              <w:rPr>
                <w:sz w:val="20"/>
                <w:szCs w:val="20"/>
                <w:color w:val="auto"/>
              </w:rPr>
            </w:pPr>
            <w:r>
              <w:rPr>
                <w:rFonts w:ascii="Arial" w:cs="Arial" w:eastAsia="Arial" w:hAnsi="Arial"/>
                <w:sz w:val="11"/>
                <w:szCs w:val="11"/>
                <w:b w:val="1"/>
                <w:bCs w:val="1"/>
                <w:color w:val="auto"/>
              </w:rPr>
              <w:t>For the Three Months Ended June 30, 2026</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7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1"/>
                <w:szCs w:val="11"/>
                <w:b w:val="1"/>
                <w:bCs w:val="1"/>
                <w:color w:val="auto"/>
              </w:rPr>
              <w:t>Total Revenues</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1"/>
                <w:szCs w:val="11"/>
                <w:b w:val="1"/>
                <w:bCs w:val="1"/>
                <w:color w:val="auto"/>
              </w:rPr>
              <w:t>Operating Expenses</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b w:val="1"/>
                <w:bCs w:val="1"/>
                <w:color w:val="auto"/>
                <w:w w:val="91"/>
              </w:rPr>
              <w:t>NOI</w:t>
            </w: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140"/>
              <w:spacing w:after="0" w:line="153" w:lineRule="exact"/>
              <w:rPr>
                <w:sz w:val="20"/>
                <w:szCs w:val="20"/>
                <w:color w:val="auto"/>
              </w:rPr>
            </w:pPr>
            <w:r>
              <w:rPr>
                <w:rFonts w:ascii="Arial" w:cs="Arial" w:eastAsia="Arial" w:hAnsi="Arial"/>
                <w:sz w:val="11"/>
                <w:szCs w:val="11"/>
                <w:b w:val="1"/>
                <w:bCs w:val="1"/>
                <w:color w:val="auto"/>
              </w:rPr>
              <w:t>Non-cash Adjustments</w:t>
            </w:r>
            <w:r>
              <w:rPr>
                <w:rFonts w:ascii="Arial" w:cs="Arial" w:eastAsia="Arial" w:hAnsi="Arial"/>
                <w:sz w:val="14"/>
                <w:szCs w:val="14"/>
                <w:b w:val="1"/>
                <w:bCs w:val="1"/>
                <w:color w:val="auto"/>
                <w:vertAlign w:val="superscript"/>
              </w:rPr>
              <w:t>(1)</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1"/>
                <w:szCs w:val="11"/>
                <w:b w:val="1"/>
                <w:bCs w:val="1"/>
                <w:color w:val="auto"/>
              </w:rPr>
              <w:t>NOI - cash basis</w:t>
            </w:r>
          </w:p>
        </w:tc>
        <w:tc>
          <w:tcPr>
            <w:tcW w:w="0" w:type="dxa"/>
            <w:vAlign w:val="bottom"/>
          </w:tcPr>
          <w:p>
            <w:pPr>
              <w:spacing w:after="0"/>
              <w:rPr>
                <w:sz w:val="1"/>
                <w:szCs w:val="1"/>
                <w:color w:val="auto"/>
              </w:rPr>
            </w:pPr>
          </w:p>
        </w:tc>
      </w:tr>
      <w:tr>
        <w:trPr>
          <w:trHeight w:val="152"/>
        </w:trPr>
        <w:tc>
          <w:tcPr>
            <w:tcW w:w="27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New York</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380,316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(194,620)</w:t>
            </w: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185,696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(17,659)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168,037</w:t>
            </w:r>
          </w:p>
        </w:tc>
        <w:tc>
          <w:tcPr>
            <w:tcW w:w="0" w:type="dxa"/>
            <w:vAlign w:val="bottom"/>
          </w:tcPr>
          <w:p>
            <w:pPr>
              <w:spacing w:after="0"/>
              <w:rPr>
                <w:sz w:val="1"/>
                <w:szCs w:val="1"/>
                <w:color w:val="auto"/>
              </w:rPr>
            </w:pPr>
          </w:p>
        </w:tc>
      </w:tr>
      <w:tr>
        <w:trPr>
          <w:trHeight w:val="158"/>
        </w:trPr>
        <w:tc>
          <w:tcPr>
            <w:tcW w:w="2780" w:type="dxa"/>
            <w:vAlign w:val="bottom"/>
          </w:tcPr>
          <w:p>
            <w:pPr>
              <w:ind w:left="140"/>
              <w:spacing w:after="0"/>
              <w:rPr>
                <w:sz w:val="20"/>
                <w:szCs w:val="20"/>
                <w:color w:val="auto"/>
              </w:rPr>
            </w:pPr>
            <w:r>
              <w:rPr>
                <w:rFonts w:ascii="Arial" w:cs="Arial" w:eastAsia="Arial" w:hAnsi="Arial"/>
                <w:sz w:val="11"/>
                <w:szCs w:val="11"/>
                <w:color w:val="auto"/>
              </w:rPr>
              <w:t>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81,926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(29,029)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52,897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(6,921)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45,976</w:t>
            </w: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Noncontrolling interests' share in consolidated</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(53,771)</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42,604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(11,167)</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(41)</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(11,208)</w:t>
            </w:r>
          </w:p>
        </w:tc>
        <w:tc>
          <w:tcPr>
            <w:tcW w:w="0" w:type="dxa"/>
            <w:vAlign w:val="bottom"/>
          </w:tcPr>
          <w:p>
            <w:pPr>
              <w:spacing w:after="0"/>
              <w:rPr>
                <w:sz w:val="1"/>
                <w:szCs w:val="1"/>
                <w:color w:val="auto"/>
              </w:rPr>
            </w:pPr>
          </w:p>
        </w:tc>
      </w:tr>
      <w:tr>
        <w:trPr>
          <w:trHeight w:val="146"/>
        </w:trPr>
        <w:tc>
          <w:tcPr>
            <w:tcW w:w="27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subsidiaries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Our share of partially owned entities</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129,275</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(52,637)</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76,638</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(16,260)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60,378</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Vornado's share</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537,746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(233,682)</w:t>
            </w:r>
          </w:p>
        </w:tc>
        <w:tc>
          <w:tcPr>
            <w:tcW w:w="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304,064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(40,881)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263,183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ectPr>
          <w:pgSz w:w="11900" w:h="16838" w:orient="portrait"/>
          <w:cols w:equalWidth="0" w:num="1">
            <w:col w:w="11280"/>
          </w:cols>
          <w:pgMar w:left="300" w:top="981" w:right="31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New York</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w:t>
      </w:r>
    </w:p>
    <w:p>
      <w:pPr>
        <w:spacing w:after="0" w:line="35" w:lineRule="exact"/>
        <w:rPr>
          <w:sz w:val="20"/>
          <w:szCs w:val="20"/>
          <w:color w:val="auto"/>
        </w:rPr>
      </w:pPr>
    </w:p>
    <w:p>
      <w:pPr>
        <w:ind w:left="220" w:hanging="64"/>
        <w:spacing w:after="0" w:line="255" w:lineRule="auto"/>
        <w:rPr>
          <w:sz w:val="20"/>
          <w:szCs w:val="20"/>
          <w:color w:val="auto"/>
        </w:rPr>
      </w:pPr>
      <w:r>
        <w:rPr>
          <w:rFonts w:ascii="Arial" w:cs="Arial" w:eastAsia="Arial" w:hAnsi="Arial"/>
          <w:sz w:val="11"/>
          <w:szCs w:val="11"/>
          <w:color w:val="auto"/>
        </w:rPr>
        <w:t>Noncontrolling interests' share in consolidated subsidiaries</w:t>
      </w:r>
    </w:p>
    <w:p>
      <w:pPr>
        <w:ind w:left="140" w:right="500"/>
        <w:spacing w:after="0" w:line="411" w:lineRule="auto"/>
        <w:rPr>
          <w:sz w:val="20"/>
          <w:szCs w:val="20"/>
          <w:color w:val="auto"/>
        </w:rPr>
      </w:pPr>
      <w:r>
        <w:rPr>
          <w:rFonts w:ascii="Arial" w:cs="Arial" w:eastAsia="Arial" w:hAnsi="Arial"/>
          <w:sz w:val="11"/>
          <w:szCs w:val="11"/>
          <w:color w:val="auto"/>
        </w:rPr>
        <w:t>Our share of partially owned entities Vornado's share</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1"/>
          <w:szCs w:val="11"/>
          <w:b w:val="1"/>
          <w:bCs w:val="1"/>
          <w:color w:val="auto"/>
        </w:rPr>
        <w:t>For the 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5"/>
          </w:tcPr>
          <w:p>
            <w:pPr>
              <w:ind w:left="260"/>
              <w:spacing w:after="0"/>
              <w:rPr>
                <w:sz w:val="20"/>
                <w:szCs w:val="20"/>
                <w:color w:val="auto"/>
              </w:rPr>
            </w:pPr>
            <w:r>
              <w:rPr>
                <w:rFonts w:ascii="Arial" w:cs="Arial" w:eastAsia="Arial" w:hAnsi="Arial"/>
                <w:sz w:val="11"/>
                <w:szCs w:val="11"/>
                <w:b w:val="1"/>
                <w:bCs w:val="1"/>
                <w:color w:val="auto"/>
              </w:rPr>
              <w:t>Total Revenues</w:t>
            </w:r>
          </w:p>
        </w:tc>
        <w:tc>
          <w:tcPr>
            <w:tcW w:w="1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Operating Expenses</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right"/>
              <w:ind w:right="43"/>
              <w:spacing w:after="0"/>
              <w:rPr>
                <w:sz w:val="20"/>
                <w:szCs w:val="20"/>
                <w:color w:val="auto"/>
              </w:rPr>
            </w:pPr>
            <w:r>
              <w:rPr>
                <w:rFonts w:ascii="Arial" w:cs="Arial" w:eastAsia="Arial" w:hAnsi="Arial"/>
                <w:sz w:val="11"/>
                <w:szCs w:val="11"/>
                <w:b w:val="1"/>
                <w:bCs w:val="1"/>
                <w:color w:val="auto"/>
              </w:rPr>
              <w:t>NOI</w:t>
            </w: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5"/>
          </w:tcPr>
          <w:p>
            <w:pPr>
              <w:ind w:left="40"/>
              <w:spacing w:after="0" w:line="153" w:lineRule="exact"/>
              <w:rPr>
                <w:sz w:val="20"/>
                <w:szCs w:val="20"/>
                <w:color w:val="auto"/>
              </w:rPr>
            </w:pPr>
            <w:r>
              <w:rPr>
                <w:rFonts w:ascii="Arial" w:cs="Arial" w:eastAsia="Arial" w:hAnsi="Arial"/>
                <w:sz w:val="11"/>
                <w:szCs w:val="11"/>
                <w:b w:val="1"/>
                <w:bCs w:val="1"/>
                <w:color w:val="auto"/>
              </w:rPr>
              <w:t>Non-cash Adjustments</w:t>
            </w:r>
            <w:r>
              <w:rPr>
                <w:rFonts w:ascii="Arial" w:cs="Arial" w:eastAsia="Arial" w:hAnsi="Arial"/>
                <w:sz w:val="14"/>
                <w:szCs w:val="14"/>
                <w:b w:val="1"/>
                <w:bCs w:val="1"/>
                <w:color w:val="auto"/>
                <w:vertAlign w:val="superscript"/>
              </w:rPr>
              <w:t>(1)</w:t>
            </w: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4"/>
          </w:tcPr>
          <w:p>
            <w:pPr>
              <w:jc w:val="right"/>
              <w:ind w:right="323"/>
              <w:spacing w:after="0"/>
              <w:rPr>
                <w:sz w:val="20"/>
                <w:szCs w:val="20"/>
                <w:color w:val="auto"/>
              </w:rPr>
            </w:pPr>
            <w:r>
              <w:rPr>
                <w:rFonts w:ascii="Arial" w:cs="Arial" w:eastAsia="Arial" w:hAnsi="Arial"/>
                <w:sz w:val="11"/>
                <w:szCs w:val="11"/>
                <w:b w:val="1"/>
                <w:bCs w:val="1"/>
                <w:color w:val="auto"/>
              </w:rPr>
              <w:t>NOI - cash basis</w:t>
            </w:r>
          </w:p>
        </w:tc>
      </w:tr>
      <w:tr>
        <w:trPr>
          <w:trHeight w:val="152"/>
        </w:trPr>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2025</w:t>
            </w:r>
          </w:p>
        </w:tc>
      </w:tr>
      <w:tr>
        <w:trPr>
          <w:trHeight w:val="146"/>
        </w:trPr>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1,138,014</w:t>
            </w:r>
          </w:p>
        </w:tc>
        <w:tc>
          <w:tcPr>
            <w:tcW w:w="8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1,096,722</w:t>
            </w:r>
          </w:p>
        </w:tc>
        <w:tc>
          <w:tcPr>
            <w:tcW w:w="8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(598,105)</w:t>
            </w:r>
          </w:p>
        </w:tc>
        <w:tc>
          <w:tcPr>
            <w:tcW w:w="8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(566,649)</w:t>
            </w:r>
          </w:p>
        </w:tc>
        <w:tc>
          <w:tcPr>
            <w:tcW w:w="8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539,909</w:t>
            </w:r>
          </w:p>
        </w:tc>
        <w:tc>
          <w:tcPr>
            <w:tcW w:w="8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530,073</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(55,903)</w:t>
            </w:r>
          </w:p>
        </w:tc>
        <w:tc>
          <w:tcPr>
            <w:tcW w:w="8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(79,690)</w:t>
            </w:r>
          </w:p>
        </w:tc>
        <w:tc>
          <w:tcPr>
            <w:tcW w:w="8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484,006</w:t>
            </w:r>
          </w:p>
        </w:tc>
        <w:tc>
          <w:tcPr>
            <w:tcW w:w="8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450,383</w:t>
            </w:r>
          </w:p>
        </w:tc>
      </w:tr>
      <w:tr>
        <w:trPr>
          <w:trHeight w:val="161"/>
        </w:trPr>
        <w:tc>
          <w:tcPr>
            <w:tcW w:w="160" w:type="dxa"/>
            <w:vAlign w:val="bottom"/>
          </w:tcPr>
          <w:p>
            <w:pPr>
              <w:spacing w:after="0"/>
              <w:rPr>
                <w:sz w:val="14"/>
                <w:szCs w:val="14"/>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250,990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259,994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(117,696)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(119,208)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133,294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140,786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(15,975)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3,233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117,319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144,019</w:t>
            </w:r>
          </w:p>
        </w:tc>
      </w:tr>
      <w:tr>
        <w:trPr>
          <w:trHeight w:val="269"/>
        </w:trPr>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(160,462)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(157,403)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129,746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125,961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(30,716)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(31,442)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(2,091)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(11,083)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(32,807)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(42,525)</w:t>
            </w:r>
          </w:p>
        </w:tc>
      </w:tr>
      <w:tr>
        <w:trPr>
          <w:trHeight w:val="165"/>
        </w:trPr>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394,956</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344,725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(161,202)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(146,503)</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233,754</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198,222</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(42,373)</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(13,079)</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191,381</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185,143</w:t>
            </w:r>
          </w:p>
        </w:tc>
      </w:tr>
      <w:tr>
        <w:trPr>
          <w:trHeight w:val="152"/>
        </w:trPr>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1,623,498</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1,544,038</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(747,257)</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(706,399)</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876,241</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837,639</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(116,342)</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(100,619)</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759,899</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737,020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-621030</wp:posOffset>
            </wp:positionV>
            <wp:extent cx="7160260" cy="1092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-409575</wp:posOffset>
            </wp:positionV>
            <wp:extent cx="7160260" cy="1708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17081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-135890</wp:posOffset>
            </wp:positionV>
            <wp:extent cx="7160260" cy="1231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12319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480" w:space="260"/>
            <w:col w:w="8540"/>
          </w:cols>
          <w:pgMar w:left="300" w:top="981" w:right="319" w:bottom="1440" w:gutter="0" w:footer="0" w:header="0"/>
          <w:type w:val="continuous"/>
        </w:sectPr>
      </w:pPr>
    </w:p>
    <w:p>
      <w:pPr>
        <w:spacing w:after="0"/>
        <w:rPr>
          <w:sz w:val="20"/>
          <w:szCs w:val="20"/>
          <w:color w:val="auto"/>
        </w:rPr>
      </w:pPr>
      <w:r>
        <w:rPr>
          <w:rFonts w:ascii="Arial" w:cs="Arial" w:eastAsia="Arial" w:hAnsi="Arial"/>
          <w:sz w:val="7"/>
          <w:szCs w:val="7"/>
          <w:color w:val="auto"/>
        </w:rPr>
        <w:t>________________________________</w:t>
      </w:r>
    </w:p>
    <w:p>
      <w:pPr>
        <w:spacing w:after="0" w:line="38" w:lineRule="exact"/>
        <w:rPr>
          <w:sz w:val="20"/>
          <w:szCs w:val="20"/>
          <w:color w:val="auto"/>
        </w:rPr>
      </w:pPr>
    </w:p>
    <w:p>
      <w:pPr>
        <w:ind w:left="260" w:hanging="254"/>
        <w:spacing w:after="0"/>
        <w:tabs>
          <w:tab w:leader="none" w:pos="260" w:val="left"/>
        </w:tabs>
        <w:numPr>
          <w:ilvl w:val="0"/>
          <w:numId w:val="44"/>
        </w:numPr>
        <w:rPr>
          <w:rFonts w:ascii="Arial" w:cs="Arial" w:eastAsia="Arial" w:hAnsi="Arial"/>
          <w:sz w:val="11"/>
          <w:szCs w:val="11"/>
          <w:b w:val="1"/>
          <w:bCs w:val="1"/>
          <w:color w:val="auto"/>
        </w:rPr>
      </w:pPr>
      <w:r>
        <w:rPr>
          <w:rFonts w:ascii="Arial" w:cs="Arial" w:eastAsia="Arial" w:hAnsi="Arial"/>
          <w:sz w:val="11"/>
          <w:szCs w:val="11"/>
          <w:color w:val="auto"/>
        </w:rPr>
        <w:t>Includes adjustments for straight-line rents, amortization of acquired below-market leases, net and other.</w:t>
      </w:r>
    </w:p>
    <w:p>
      <w:pPr>
        <w:spacing w:after="0" w:line="364" w:lineRule="exact"/>
        <w:rPr>
          <w:rFonts w:ascii="Arial" w:cs="Arial" w:eastAsia="Arial" w:hAnsi="Arial"/>
          <w:sz w:val="11"/>
          <w:szCs w:val="11"/>
          <w:b w:val="1"/>
          <w:bCs w:val="1"/>
          <w:color w:val="auto"/>
        </w:rPr>
      </w:pPr>
    </w:p>
    <w:p>
      <w:pPr>
        <w:ind w:left="5560" w:hanging="70"/>
        <w:spacing w:after="0"/>
        <w:tabs>
          <w:tab w:leader="none" w:pos="55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viii -</w:t>
      </w:r>
    </w:p>
    <w:p>
      <w:pPr>
        <w:sectPr>
          <w:pgSz w:w="11900" w:h="16838" w:orient="portrait"/>
          <w:cols w:equalWidth="0" w:num="1">
            <w:col w:w="11280"/>
          </w:cols>
          <w:pgMar w:left="300" w:top="981" w:right="319" w:bottom="1440" w:gutter="0" w:footer="0" w:header="0"/>
          <w:type w:val="continuous"/>
        </w:sectPr>
      </w:pPr>
    </w:p>
    <w:bookmarkStart w:id="74" w:name="page75"/>
    <w:bookmarkEnd w:id="74"/>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6" w:lineRule="exact"/>
        <w:rPr>
          <w:sz w:val="20"/>
          <w:szCs w:val="20"/>
          <w:color w:val="auto"/>
        </w:rPr>
      </w:pPr>
    </w:p>
    <w:p>
      <w:pPr>
        <w:ind w:left="20" w:right="340"/>
        <w:spacing w:after="0" w:line="246" w:lineRule="auto"/>
        <w:rPr>
          <w:sz w:val="20"/>
          <w:szCs w:val="20"/>
          <w:color w:val="auto"/>
        </w:rPr>
      </w:pPr>
      <w:r>
        <w:rPr>
          <w:rFonts w:ascii="Arial" w:cs="Arial" w:eastAsia="Arial" w:hAnsi="Arial"/>
          <w:sz w:val="14"/>
          <w:szCs w:val="14"/>
          <w:color w:val="auto"/>
        </w:rPr>
        <w:t>RECONCILIATION OF NOI AT SHARE TO SAME STORE NOI AT SHARE FOR THE THREE MONTHS ENDED SEPTEMBER 30, 2026 COMPARED TO SEPTEMBER 30,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6026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New York</w:t>
            </w:r>
          </w:p>
        </w:tc>
        <w:tc>
          <w:tcPr>
            <w:tcW w:w="22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THE MART</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555 California Street</w:t>
            </w:r>
          </w:p>
        </w:tc>
        <w:tc>
          <w:tcPr>
            <w:tcW w:w="28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Arial" w:cs="Arial" w:eastAsia="Arial" w:hAnsi="Arial"/>
                <w:sz w:val="11"/>
                <w:szCs w:val="11"/>
                <w:b w:val="1"/>
                <w:bCs w:val="1"/>
                <w:color w:val="auto"/>
              </w:rPr>
              <w:t>Other</w:t>
            </w:r>
          </w:p>
        </w:tc>
      </w:tr>
      <w:tr>
        <w:trPr>
          <w:trHeight w:val="15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NOI at share for the three months ended September 30, 2026</w:t>
            </w: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300,054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260,620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13,948</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15,831</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9,655</w:t>
            </w:r>
          </w:p>
        </w:tc>
      </w:tr>
      <w:tr>
        <w:trPr>
          <w:trHeight w:val="158"/>
        </w:trPr>
        <w:tc>
          <w:tcPr>
            <w:tcW w:w="4360" w:type="dxa"/>
            <w:vAlign w:val="bottom"/>
          </w:tcPr>
          <w:p>
            <w:pPr>
              <w:ind w:left="20"/>
              <w:spacing w:after="0"/>
              <w:rPr>
                <w:sz w:val="20"/>
                <w:szCs w:val="20"/>
                <w:color w:val="auto"/>
              </w:rPr>
            </w:pPr>
            <w:r>
              <w:rPr>
                <w:rFonts w:ascii="Arial" w:cs="Arial" w:eastAsia="Arial" w:hAnsi="Arial"/>
                <w:sz w:val="11"/>
                <w:szCs w:val="11"/>
                <w:color w:val="auto"/>
              </w:rPr>
              <w:t>Less NOI at share from:</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(12,011)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(12,011)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Dispositions</w:t>
            </w:r>
          </w:p>
        </w:tc>
        <w:tc>
          <w:tcPr>
            <w:tcW w:w="300" w:type="dxa"/>
            <w:vAlign w:val="bottom"/>
          </w:tcPr>
          <w:p>
            <w:pPr>
              <w:spacing w:after="0"/>
              <w:rPr>
                <w:sz w:val="13"/>
                <w:szCs w:val="13"/>
                <w:color w:val="auto"/>
              </w:rPr>
            </w:pPr>
          </w:p>
        </w:tc>
        <w:tc>
          <w:tcPr>
            <w:tcW w:w="1020" w:type="dxa"/>
            <w:vAlign w:val="bottom"/>
          </w:tcPr>
          <w:p>
            <w:pPr>
              <w:jc w:val="right"/>
              <w:ind w:right="103"/>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Development properties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Other non-same store income, net</w:t>
            </w:r>
          </w:p>
        </w:tc>
        <w:tc>
          <w:tcPr>
            <w:tcW w:w="3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(18,121)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(8,356)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(9,655)</w:t>
            </w:r>
          </w:p>
        </w:tc>
      </w:tr>
      <w:tr>
        <w:trPr>
          <w:trHeight w:val="181"/>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Same store NOI at share for the three months ended September 30, 2026</w:t>
            </w: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266,871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237,235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13,805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15,831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61"/>
        </w:trPr>
        <w:tc>
          <w:tcPr>
            <w:tcW w:w="4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NOI at share for the three months ended September 30, 2025</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266,676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228,142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13,275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17,293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7,966</w:t>
            </w:r>
          </w:p>
        </w:tc>
      </w:tr>
      <w:tr>
        <w:trPr>
          <w:trHeight w:val="158"/>
        </w:trPr>
        <w:tc>
          <w:tcPr>
            <w:tcW w:w="4360" w:type="dxa"/>
            <w:vAlign w:val="bottom"/>
          </w:tcPr>
          <w:p>
            <w:pPr>
              <w:ind w:left="20"/>
              <w:spacing w:after="0"/>
              <w:rPr>
                <w:sz w:val="20"/>
                <w:szCs w:val="20"/>
                <w:color w:val="auto"/>
              </w:rPr>
            </w:pPr>
            <w:r>
              <w:rPr>
                <w:rFonts w:ascii="Arial" w:cs="Arial" w:eastAsia="Arial" w:hAnsi="Arial"/>
                <w:sz w:val="11"/>
                <w:szCs w:val="11"/>
                <w:color w:val="auto"/>
              </w:rPr>
              <w:t>Less NOI at share from:</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Dispositions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Development properties</w:t>
            </w:r>
          </w:p>
        </w:tc>
        <w:tc>
          <w:tcPr>
            <w:tcW w:w="3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(12,595)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(12,595)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1"/>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non-same store income, net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(9,245)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(368)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(7,966)</w:t>
            </w:r>
          </w:p>
        </w:tc>
      </w:tr>
      <w:tr>
        <w:trPr>
          <w:trHeight w:val="156"/>
        </w:trPr>
        <w:tc>
          <w:tcPr>
            <w:tcW w:w="4360" w:type="dxa"/>
            <w:vAlign w:val="bottom"/>
          </w:tcPr>
          <w:p>
            <w:pPr>
              <w:ind w:left="20"/>
              <w:spacing w:after="0"/>
              <w:rPr>
                <w:sz w:val="20"/>
                <w:szCs w:val="20"/>
                <w:color w:val="auto"/>
              </w:rPr>
            </w:pPr>
            <w:r>
              <w:rPr>
                <w:rFonts w:ascii="Arial" w:cs="Arial" w:eastAsia="Arial" w:hAnsi="Arial"/>
                <w:sz w:val="11"/>
                <w:szCs w:val="11"/>
                <w:color w:val="auto"/>
              </w:rPr>
              <w:t>Same store NOI at share for the three months ended September 30, 2025</w:t>
            </w: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244,893</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215,235</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13,276</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16,382</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1"/>
        </w:trPr>
        <w:tc>
          <w:tcPr>
            <w:tcW w:w="4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8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Increase (decrease) in same store NOI at share</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21,978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22,000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529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(551)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8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 increase (decrease) in same store NOI at share</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4.0 %</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ix -</w:t>
      </w:r>
    </w:p>
    <w:p>
      <w:pPr>
        <w:sectPr>
          <w:pgSz w:w="11900" w:h="16838" w:orient="portrait"/>
          <w:cols w:equalWidth="0" w:num="1">
            <w:col w:w="11280"/>
          </w:cols>
          <w:pgMar w:left="300" w:top="981" w:right="319" w:bottom="1440" w:gutter="0" w:footer="0" w:header="0"/>
        </w:sectPr>
      </w:pPr>
    </w:p>
    <w:bookmarkStart w:id="75" w:name="page76"/>
    <w:bookmarkEnd w:id="75"/>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6" w:lineRule="exact"/>
        <w:rPr>
          <w:sz w:val="20"/>
          <w:szCs w:val="20"/>
          <w:color w:val="auto"/>
        </w:rPr>
      </w:pPr>
    </w:p>
    <w:p>
      <w:pPr>
        <w:ind w:left="20" w:right="620"/>
        <w:spacing w:after="0" w:line="246" w:lineRule="auto"/>
        <w:rPr>
          <w:sz w:val="20"/>
          <w:szCs w:val="20"/>
          <w:color w:val="auto"/>
        </w:rPr>
      </w:pPr>
      <w:r>
        <w:rPr>
          <w:rFonts w:ascii="Arial" w:cs="Arial" w:eastAsia="Arial" w:hAnsi="Arial"/>
          <w:sz w:val="14"/>
          <w:szCs w:val="14"/>
          <w:color w:val="auto"/>
        </w:rPr>
        <w:t>RECONCILIATION OF NOI AT SHARE - CASH BASIS TO SAME STORE NOI AT SHARE - CASH BASIS FOR THE THREE MONTHS ENDED SEPTEMBER 30, 2026 COMPARED TO SEPTEMBER 30,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6026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1"/>
                <w:szCs w:val="11"/>
                <w:b w:val="1"/>
                <w:bCs w:val="1"/>
                <w:color w:val="auto"/>
              </w:rPr>
              <w:t>New York</w:t>
            </w:r>
          </w:p>
        </w:tc>
        <w:tc>
          <w:tcPr>
            <w:tcW w:w="20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THE MART</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555 California Street</w:t>
            </w:r>
          </w:p>
        </w:tc>
        <w:tc>
          <w:tcPr>
            <w:tcW w:w="280" w:type="dxa"/>
            <w:vAlign w:val="bottom"/>
          </w:tcPr>
          <w:p>
            <w:pPr>
              <w:spacing w:after="0"/>
              <w:rPr>
                <w:sz w:val="13"/>
                <w:szCs w:val="13"/>
                <w:color w:val="auto"/>
              </w:rPr>
            </w:pPr>
          </w:p>
        </w:tc>
        <w:tc>
          <w:tcPr>
            <w:tcW w:w="980" w:type="dxa"/>
            <w:vAlign w:val="bottom"/>
          </w:tcPr>
          <w:p>
            <w:pPr>
              <w:jc w:val="right"/>
              <w:ind w:right="423"/>
              <w:spacing w:after="0"/>
              <w:rPr>
                <w:sz w:val="20"/>
                <w:szCs w:val="20"/>
                <w:color w:val="auto"/>
              </w:rPr>
            </w:pPr>
            <w:r>
              <w:rPr>
                <w:rFonts w:ascii="Arial" w:cs="Arial" w:eastAsia="Arial" w:hAnsi="Arial"/>
                <w:sz w:val="11"/>
                <w:szCs w:val="11"/>
                <w:b w:val="1"/>
                <w:bCs w:val="1"/>
                <w:color w:val="auto"/>
              </w:rPr>
              <w:t>Other</w:t>
            </w:r>
          </w:p>
        </w:tc>
      </w:tr>
      <w:tr>
        <w:trPr>
          <w:trHeight w:val="15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NOI at share - cash basis for the three months ended September 30, 2026</w:t>
            </w: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255,659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217,998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15,571</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12,112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9,978</w:t>
            </w: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Less NOI at share - cash basis from:</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(6,780)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(6,780)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Dispositions</w:t>
            </w:r>
          </w:p>
        </w:tc>
        <w:tc>
          <w:tcPr>
            <w:tcW w:w="280" w:type="dxa"/>
            <w:vAlign w:val="bottom"/>
          </w:tcPr>
          <w:p>
            <w:pPr>
              <w:spacing w:after="0"/>
              <w:rPr>
                <w:sz w:val="13"/>
                <w:szCs w:val="13"/>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Development properties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(3,895)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(3,895)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Other non-same store income, net</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(24,656)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(14,568)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(9,978)</w:t>
            </w:r>
          </w:p>
        </w:tc>
      </w:tr>
      <w:tr>
        <w:trPr>
          <w:trHeight w:val="18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Same store NOI at share - cash basis for the three months ended September 30, 2026</w:t>
            </w: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220,397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192,857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15,428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12,112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61"/>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NOI at share - cash basis for the three months ended September 30, 2025</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235,930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198,418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13,267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16,455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7,790</w:t>
            </w: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Less NOI at share - cash basis from:</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Dispositions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Development properties</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(12,244)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(12,244)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1"/>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non-same store income, net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(9,926)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(2,136)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(7,790)</w:t>
            </w:r>
          </w:p>
        </w:tc>
      </w:tr>
      <w:tr>
        <w:trPr>
          <w:trHeight w:val="156"/>
        </w:trPr>
        <w:tc>
          <w:tcPr>
            <w:tcW w:w="4600" w:type="dxa"/>
            <w:vAlign w:val="bottom"/>
          </w:tcPr>
          <w:p>
            <w:pPr>
              <w:ind w:left="20"/>
              <w:spacing w:after="0"/>
              <w:rPr>
                <w:sz w:val="20"/>
                <w:szCs w:val="20"/>
                <w:color w:val="auto"/>
              </w:rPr>
            </w:pPr>
            <w:r>
              <w:rPr>
                <w:rFonts w:ascii="Arial" w:cs="Arial" w:eastAsia="Arial" w:hAnsi="Arial"/>
                <w:sz w:val="11"/>
                <w:szCs w:val="11"/>
                <w:color w:val="auto"/>
              </w:rPr>
              <w:t>Same store NOI at share - cash basis for the three months ended September 30, 2025</w:t>
            </w: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213,546</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183,823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13,268</w:t>
            </w: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16,455</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91"/>
        </w:trPr>
        <w:tc>
          <w:tcPr>
            <w:tcW w:w="4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8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Increase (decrease) in same store NOI at share - cash basis</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6,851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9,034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2,160</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(4,343)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8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 increase (decrease) in same store NOI at share - cash basis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16.3 %</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 -</w:t>
      </w:r>
    </w:p>
    <w:p>
      <w:pPr>
        <w:sectPr>
          <w:pgSz w:w="11900" w:h="16838" w:orient="portrait"/>
          <w:cols w:equalWidth="0" w:num="1">
            <w:col w:w="11280"/>
          </w:cols>
          <w:pgMar w:left="300" w:top="982" w:right="319" w:bottom="1440" w:gutter="0" w:footer="0" w:header="0"/>
        </w:sectPr>
      </w:pPr>
    </w:p>
    <w:bookmarkStart w:id="76" w:name="page77"/>
    <w:bookmarkEnd w:id="76"/>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6" w:lineRule="exact"/>
        <w:rPr>
          <w:sz w:val="20"/>
          <w:szCs w:val="20"/>
          <w:color w:val="auto"/>
        </w:rPr>
      </w:pPr>
    </w:p>
    <w:p>
      <w:pPr>
        <w:ind w:left="20" w:right="120"/>
        <w:spacing w:after="0" w:line="246" w:lineRule="auto"/>
        <w:rPr>
          <w:sz w:val="20"/>
          <w:szCs w:val="20"/>
          <w:color w:val="auto"/>
        </w:rPr>
      </w:pPr>
      <w:r>
        <w:rPr>
          <w:rFonts w:ascii="Arial" w:cs="Arial" w:eastAsia="Arial" w:hAnsi="Arial"/>
          <w:sz w:val="14"/>
          <w:szCs w:val="14"/>
          <w:color w:val="auto"/>
        </w:rPr>
        <w:t>RECONCILIATION OF NOI AT SHARE TO SAME STORE NOI AT SHARE FOR THE NINE MONTHS ENDED SEPTEMBER 30, 2026 COMPARED TO SEPTEMBER 30,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6026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New York</w:t>
            </w:r>
          </w:p>
        </w:tc>
        <w:tc>
          <w:tcPr>
            <w:tcW w:w="22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THE MART</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555 California Street</w:t>
            </w:r>
          </w:p>
        </w:tc>
        <w:tc>
          <w:tcPr>
            <w:tcW w:w="28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Arial" w:cs="Arial" w:eastAsia="Arial" w:hAnsi="Arial"/>
                <w:sz w:val="11"/>
                <w:szCs w:val="11"/>
                <w:b w:val="1"/>
                <w:bCs w:val="1"/>
                <w:color w:val="auto"/>
              </w:rPr>
              <w:t>Other</w:t>
            </w:r>
          </w:p>
        </w:tc>
      </w:tr>
      <w:tr>
        <w:trPr>
          <w:trHeight w:val="15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NOI at share for the nine months ended September 30, 2026</w:t>
            </w: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876,241</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748,867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57,137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44,332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25,905</w:t>
            </w:r>
          </w:p>
        </w:tc>
      </w:tr>
      <w:tr>
        <w:trPr>
          <w:trHeight w:val="158"/>
        </w:trPr>
        <w:tc>
          <w:tcPr>
            <w:tcW w:w="4360" w:type="dxa"/>
            <w:vAlign w:val="bottom"/>
          </w:tcPr>
          <w:p>
            <w:pPr>
              <w:ind w:left="20"/>
              <w:spacing w:after="0"/>
              <w:rPr>
                <w:sz w:val="20"/>
                <w:szCs w:val="20"/>
                <w:color w:val="auto"/>
              </w:rPr>
            </w:pPr>
            <w:r>
              <w:rPr>
                <w:rFonts w:ascii="Arial" w:cs="Arial" w:eastAsia="Arial" w:hAnsi="Arial"/>
                <w:sz w:val="11"/>
                <w:szCs w:val="11"/>
                <w:color w:val="auto"/>
              </w:rPr>
              <w:t>Less NOI at share from:</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(14,543)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(14,543)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Dispositions</w:t>
            </w:r>
          </w:p>
        </w:tc>
        <w:tc>
          <w:tcPr>
            <w:tcW w:w="300" w:type="dxa"/>
            <w:vAlign w:val="bottom"/>
          </w:tcPr>
          <w:p>
            <w:pPr>
              <w:spacing w:after="0"/>
              <w:rPr>
                <w:sz w:val="13"/>
                <w:szCs w:val="13"/>
                <w:color w:val="auto"/>
              </w:rPr>
            </w:pPr>
          </w:p>
        </w:tc>
        <w:tc>
          <w:tcPr>
            <w:tcW w:w="1020" w:type="dxa"/>
            <w:vAlign w:val="bottom"/>
          </w:tcPr>
          <w:p>
            <w:pPr>
              <w:jc w:val="right"/>
              <w:ind w:right="103"/>
              <w:spacing w:after="0"/>
              <w:rPr>
                <w:sz w:val="20"/>
                <w:szCs w:val="20"/>
                <w:color w:val="auto"/>
              </w:rPr>
            </w:pPr>
            <w:r>
              <w:rPr>
                <w:rFonts w:ascii="Arial" w:cs="Arial" w:eastAsia="Arial" w:hAnsi="Arial"/>
                <w:sz w:val="11"/>
                <w:szCs w:val="11"/>
                <w:color w:val="auto"/>
              </w:rPr>
              <w:t>1,178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1,210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Development properties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(8,841)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(8,841)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Other non-same store income, net</w:t>
            </w:r>
          </w:p>
        </w:tc>
        <w:tc>
          <w:tcPr>
            <w:tcW w:w="3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(51,669)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(25,654)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(25,905)</w:t>
            </w:r>
          </w:p>
        </w:tc>
      </w:tr>
      <w:tr>
        <w:trPr>
          <w:trHeight w:val="181"/>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Same store NOI at share for the nine months ended September 30, 2026</w:t>
            </w: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802,366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701,039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56,995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44,332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61"/>
        </w:trPr>
        <w:tc>
          <w:tcPr>
            <w:tcW w:w="4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NOI at share for the nine months ended September 30, 2025</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837,639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711,067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54,388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53,822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18,362</w:t>
            </w:r>
          </w:p>
        </w:tc>
      </w:tr>
      <w:tr>
        <w:trPr>
          <w:trHeight w:val="158"/>
        </w:trPr>
        <w:tc>
          <w:tcPr>
            <w:tcW w:w="4360" w:type="dxa"/>
            <w:vAlign w:val="bottom"/>
          </w:tcPr>
          <w:p>
            <w:pPr>
              <w:ind w:left="20"/>
              <w:spacing w:after="0"/>
              <w:rPr>
                <w:sz w:val="20"/>
                <w:szCs w:val="20"/>
                <w:color w:val="auto"/>
              </w:rPr>
            </w:pPr>
            <w:r>
              <w:rPr>
                <w:rFonts w:ascii="Arial" w:cs="Arial" w:eastAsia="Arial" w:hAnsi="Arial"/>
                <w:sz w:val="11"/>
                <w:szCs w:val="11"/>
                <w:color w:val="auto"/>
              </w:rPr>
              <w:t>Less NOI at share from:</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Dispositions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(2,283)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Development properties</w:t>
            </w:r>
          </w:p>
        </w:tc>
        <w:tc>
          <w:tcPr>
            <w:tcW w:w="30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(36,219)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(36,219)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1"/>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non-same store income, net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(58,980)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(37,884)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(2,734)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(18,362)</w:t>
            </w:r>
          </w:p>
        </w:tc>
      </w:tr>
      <w:tr>
        <w:trPr>
          <w:trHeight w:val="156"/>
        </w:trPr>
        <w:tc>
          <w:tcPr>
            <w:tcW w:w="4360" w:type="dxa"/>
            <w:vAlign w:val="bottom"/>
          </w:tcPr>
          <w:p>
            <w:pPr>
              <w:ind w:left="20"/>
              <w:spacing w:after="0"/>
              <w:rPr>
                <w:sz w:val="20"/>
                <w:szCs w:val="20"/>
                <w:color w:val="auto"/>
              </w:rPr>
            </w:pPr>
            <w:r>
              <w:rPr>
                <w:rFonts w:ascii="Arial" w:cs="Arial" w:eastAsia="Arial" w:hAnsi="Arial"/>
                <w:sz w:val="11"/>
                <w:szCs w:val="11"/>
                <w:color w:val="auto"/>
              </w:rPr>
              <w:t>Same store NOI at share for the nine months ended September 30, 2025</w:t>
            </w: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740,157</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634,922</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54,147</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51,088</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1"/>
        </w:trPr>
        <w:tc>
          <w:tcPr>
            <w:tcW w:w="4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8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Increase (decrease) in same store NOI at share</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62,209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66,117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2,848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(6,756)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8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increase (decrease) in same store NOI at share</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5.3 %</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xi -</w:t>
      </w:r>
    </w:p>
    <w:p>
      <w:pPr>
        <w:sectPr>
          <w:pgSz w:w="11900" w:h="16838" w:orient="portrait"/>
          <w:cols w:equalWidth="0" w:num="1">
            <w:col w:w="11280"/>
          </w:cols>
          <w:pgMar w:left="300" w:top="981" w:right="319" w:bottom="1440" w:gutter="0" w:footer="0" w:header="0"/>
        </w:sectPr>
      </w:pPr>
    </w:p>
    <w:bookmarkStart w:id="77" w:name="page78"/>
    <w:bookmarkEnd w:id="77"/>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6" w:lineRule="exact"/>
        <w:rPr>
          <w:sz w:val="20"/>
          <w:szCs w:val="20"/>
          <w:color w:val="auto"/>
        </w:rPr>
      </w:pPr>
    </w:p>
    <w:p>
      <w:pPr>
        <w:ind w:left="20" w:right="760"/>
        <w:spacing w:after="0" w:line="246" w:lineRule="auto"/>
        <w:rPr>
          <w:sz w:val="20"/>
          <w:szCs w:val="20"/>
          <w:color w:val="auto"/>
        </w:rPr>
      </w:pPr>
      <w:r>
        <w:rPr>
          <w:rFonts w:ascii="Arial" w:cs="Arial" w:eastAsia="Arial" w:hAnsi="Arial"/>
          <w:sz w:val="14"/>
          <w:szCs w:val="14"/>
          <w:color w:val="auto"/>
        </w:rPr>
        <w:t>RECONCILIATION OF NOI AT SHARE - CASH BASIS TO SAME STORE NOI AT SHARE - CASH BASIS FOR THE NINE MONTHS ENDED SEPTEMBER 30, 2026 COMPARED TO SEPTEMBER 30,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6026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1"/>
                <w:szCs w:val="11"/>
                <w:b w:val="1"/>
                <w:bCs w:val="1"/>
                <w:color w:val="auto"/>
              </w:rPr>
              <w:t>New York</w:t>
            </w:r>
          </w:p>
        </w:tc>
        <w:tc>
          <w:tcPr>
            <w:tcW w:w="20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THE MART</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555 California Street</w:t>
            </w:r>
          </w:p>
        </w:tc>
        <w:tc>
          <w:tcPr>
            <w:tcW w:w="280" w:type="dxa"/>
            <w:vAlign w:val="bottom"/>
          </w:tcPr>
          <w:p>
            <w:pPr>
              <w:spacing w:after="0"/>
              <w:rPr>
                <w:sz w:val="13"/>
                <w:szCs w:val="13"/>
                <w:color w:val="auto"/>
              </w:rPr>
            </w:pPr>
          </w:p>
        </w:tc>
        <w:tc>
          <w:tcPr>
            <w:tcW w:w="980" w:type="dxa"/>
            <w:vAlign w:val="bottom"/>
          </w:tcPr>
          <w:p>
            <w:pPr>
              <w:jc w:val="right"/>
              <w:ind w:right="423"/>
              <w:spacing w:after="0"/>
              <w:rPr>
                <w:sz w:val="20"/>
                <w:szCs w:val="20"/>
                <w:color w:val="auto"/>
              </w:rPr>
            </w:pPr>
            <w:r>
              <w:rPr>
                <w:rFonts w:ascii="Arial" w:cs="Arial" w:eastAsia="Arial" w:hAnsi="Arial"/>
                <w:sz w:val="11"/>
                <w:szCs w:val="11"/>
                <w:b w:val="1"/>
                <w:bCs w:val="1"/>
                <w:color w:val="auto"/>
              </w:rPr>
              <w:t>Other</w:t>
            </w:r>
          </w:p>
        </w:tc>
      </w:tr>
      <w:tr>
        <w:trPr>
          <w:trHeight w:val="15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NOI at share - cash basis for the nine months ended September 30, 2026</w:t>
            </w: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759,899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641,484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62,069</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29,933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26,413</w:t>
            </w: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Less NOI at share - cash basis from:</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(8,145)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(8,145)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Dispositions</w:t>
            </w:r>
          </w:p>
        </w:tc>
        <w:tc>
          <w:tcPr>
            <w:tcW w:w="280" w:type="dxa"/>
            <w:vAlign w:val="bottom"/>
          </w:tcPr>
          <w:p>
            <w:pPr>
              <w:spacing w:after="0"/>
              <w:rPr>
                <w:sz w:val="13"/>
                <w:szCs w:val="13"/>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1,178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1,210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Development properties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(7,156)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(7,156)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Other non-same store income, net</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(70,900)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(44,377)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(26,413)</w:t>
            </w:r>
          </w:p>
        </w:tc>
      </w:tr>
      <w:tr>
        <w:trPr>
          <w:trHeight w:val="18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Same store NOI at share - cash basis for the nine months ended September 30, 2026</w:t>
            </w: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674,876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583,016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61,927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29,933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61"/>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NOI at share - cash basis for the nine months ended September 30, 2025</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737,020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608,105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56,042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55,276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17,597</w:t>
            </w: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Less NOI at share - cash basis from:</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Dispositions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(2,742)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Development properties</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(35,625)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(35,625)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1"/>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non-same store income, net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(34,294)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(13,437)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(3,260)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(17,597)</w:t>
            </w:r>
          </w:p>
        </w:tc>
      </w:tr>
      <w:tr>
        <w:trPr>
          <w:trHeight w:val="156"/>
        </w:trPr>
        <w:tc>
          <w:tcPr>
            <w:tcW w:w="4600" w:type="dxa"/>
            <w:vAlign w:val="bottom"/>
          </w:tcPr>
          <w:p>
            <w:pPr>
              <w:ind w:left="20"/>
              <w:spacing w:after="0"/>
              <w:rPr>
                <w:sz w:val="20"/>
                <w:szCs w:val="20"/>
                <w:color w:val="auto"/>
              </w:rPr>
            </w:pPr>
            <w:r>
              <w:rPr>
                <w:rFonts w:ascii="Arial" w:cs="Arial" w:eastAsia="Arial" w:hAnsi="Arial"/>
                <w:sz w:val="11"/>
                <w:szCs w:val="11"/>
                <w:color w:val="auto"/>
              </w:rPr>
              <w:t>Same store NOI at share - cash basis for the nine months ended September 30, 2025</w:t>
            </w: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664,359</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556,544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55,799</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52,016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91"/>
        </w:trPr>
        <w:tc>
          <w:tcPr>
            <w:tcW w:w="4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8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Increase (decrease) in same store NOI at share - cash basis</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10,517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26,472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6,128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(22,083)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8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increase (decrease) in same store NOI at share - cash basis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11.0 %</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xii -</w:t>
      </w:r>
    </w:p>
    <w:p>
      <w:pPr>
        <w:sectPr>
          <w:pgSz w:w="11900" w:h="16838" w:orient="portrait"/>
          <w:cols w:equalWidth="0" w:num="1">
            <w:col w:w="11280"/>
          </w:cols>
          <w:pgMar w:left="300" w:top="981" w:right="319" w:bottom="1440" w:gutter="0" w:footer="0" w:header="0"/>
        </w:sectPr>
      </w:pPr>
    </w:p>
    <w:bookmarkStart w:id="78" w:name="page79"/>
    <w:bookmarkEnd w:id="78"/>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6" w:lineRule="exact"/>
        <w:rPr>
          <w:sz w:val="20"/>
          <w:szCs w:val="20"/>
          <w:color w:val="auto"/>
        </w:rPr>
      </w:pPr>
    </w:p>
    <w:p>
      <w:pPr>
        <w:ind w:left="20" w:right="480"/>
        <w:spacing w:after="0" w:line="246" w:lineRule="auto"/>
        <w:rPr>
          <w:sz w:val="20"/>
          <w:szCs w:val="20"/>
          <w:color w:val="auto"/>
        </w:rPr>
      </w:pPr>
      <w:r>
        <w:rPr>
          <w:rFonts w:ascii="Arial" w:cs="Arial" w:eastAsia="Arial" w:hAnsi="Arial"/>
          <w:sz w:val="14"/>
          <w:szCs w:val="14"/>
          <w:color w:val="auto"/>
        </w:rPr>
        <w:t>RECONCILIATION OF NOI AT SHARE TO SAME STORE NOI AT SHARE FOR THE THREE MONTHS ENDED SEPTEMBER 30, 2026 COMPARED TO JUNE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6026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Arial" w:cs="Arial" w:eastAsia="Arial" w:hAnsi="Arial"/>
                <w:sz w:val="11"/>
                <w:szCs w:val="11"/>
                <w:b w:val="1"/>
                <w:bCs w:val="1"/>
                <w:color w:val="auto"/>
              </w:rPr>
              <w:t>New York</w:t>
            </w:r>
          </w:p>
        </w:tc>
        <w:tc>
          <w:tcPr>
            <w:tcW w:w="22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THE MART</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555 California Street</w:t>
            </w:r>
          </w:p>
        </w:tc>
        <w:tc>
          <w:tcPr>
            <w:tcW w:w="28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Arial" w:cs="Arial" w:eastAsia="Arial" w:hAnsi="Arial"/>
                <w:sz w:val="11"/>
                <w:szCs w:val="11"/>
                <w:b w:val="1"/>
                <w:bCs w:val="1"/>
                <w:color w:val="auto"/>
              </w:rPr>
              <w:t>Other</w:t>
            </w:r>
          </w:p>
        </w:tc>
      </w:tr>
      <w:tr>
        <w:trPr>
          <w:trHeight w:val="15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NOI at share for the three months ended September 30, 2026</w:t>
            </w: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300,054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260,620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13,948</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15,831</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9,655</w:t>
            </w:r>
          </w:p>
        </w:tc>
      </w:tr>
      <w:tr>
        <w:trPr>
          <w:trHeight w:val="158"/>
        </w:trPr>
        <w:tc>
          <w:tcPr>
            <w:tcW w:w="4360" w:type="dxa"/>
            <w:vAlign w:val="bottom"/>
          </w:tcPr>
          <w:p>
            <w:pPr>
              <w:ind w:left="20"/>
              <w:spacing w:after="0"/>
              <w:rPr>
                <w:sz w:val="20"/>
                <w:szCs w:val="20"/>
                <w:color w:val="auto"/>
              </w:rPr>
            </w:pPr>
            <w:r>
              <w:rPr>
                <w:rFonts w:ascii="Arial" w:cs="Arial" w:eastAsia="Arial" w:hAnsi="Arial"/>
                <w:sz w:val="11"/>
                <w:szCs w:val="11"/>
                <w:color w:val="auto"/>
              </w:rPr>
              <w:t>Less NOI at share from:</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(12,170)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(12,170)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Dispositions</w:t>
            </w: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103"/>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Development properties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Other non-same store income, net</w:t>
            </w:r>
          </w:p>
        </w:tc>
        <w:tc>
          <w:tcPr>
            <w:tcW w:w="30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(18,122)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(8,357)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(9,655)</w:t>
            </w:r>
          </w:p>
        </w:tc>
      </w:tr>
      <w:tr>
        <w:trPr>
          <w:trHeight w:val="181"/>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Same store NOI at share for the three months ended September 30, 2026</w:t>
            </w: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266,711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237,075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13,805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15,831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61"/>
        </w:trPr>
        <w:tc>
          <w:tcPr>
            <w:tcW w:w="4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NOI at share for the three months ended June 30, 2026</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304,064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251,698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27,299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14,850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10,217</w:t>
            </w:r>
          </w:p>
        </w:tc>
      </w:tr>
      <w:tr>
        <w:trPr>
          <w:trHeight w:val="158"/>
        </w:trPr>
        <w:tc>
          <w:tcPr>
            <w:tcW w:w="4360" w:type="dxa"/>
            <w:vAlign w:val="bottom"/>
          </w:tcPr>
          <w:p>
            <w:pPr>
              <w:ind w:left="20"/>
              <w:spacing w:after="0"/>
              <w:rPr>
                <w:sz w:val="20"/>
                <w:szCs w:val="20"/>
                <w:color w:val="auto"/>
              </w:rPr>
            </w:pPr>
            <w:r>
              <w:rPr>
                <w:rFonts w:ascii="Arial" w:cs="Arial" w:eastAsia="Arial" w:hAnsi="Arial"/>
                <w:sz w:val="11"/>
                <w:szCs w:val="11"/>
                <w:color w:val="auto"/>
              </w:rPr>
              <w:t>Less NOI at share from:</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(2,875)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(2,875)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Dispositions</w:t>
            </w: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428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103"/>
              <w:spacing w:after="0"/>
              <w:rPr>
                <w:sz w:val="20"/>
                <w:szCs w:val="20"/>
                <w:color w:val="auto"/>
              </w:rPr>
            </w:pPr>
            <w:r>
              <w:rPr>
                <w:rFonts w:ascii="Arial" w:cs="Arial" w:eastAsia="Arial" w:hAnsi="Arial"/>
                <w:sz w:val="11"/>
                <w:szCs w:val="11"/>
                <w:color w:val="auto"/>
              </w:rPr>
              <w:t>427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5"/>
        </w:trPr>
        <w:tc>
          <w:tcPr>
            <w:tcW w:w="4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Development properties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(4,603)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(4,603)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360" w:type="dxa"/>
            <w:vAlign w:val="bottom"/>
          </w:tcPr>
          <w:p>
            <w:pPr>
              <w:ind w:left="180"/>
              <w:spacing w:after="0"/>
              <w:rPr>
                <w:sz w:val="20"/>
                <w:szCs w:val="20"/>
                <w:color w:val="auto"/>
              </w:rPr>
            </w:pPr>
            <w:r>
              <w:rPr>
                <w:rFonts w:ascii="Arial" w:cs="Arial" w:eastAsia="Arial" w:hAnsi="Arial"/>
                <w:sz w:val="11"/>
                <w:szCs w:val="11"/>
                <w:color w:val="auto"/>
              </w:rPr>
              <w:t>Other non-same store income, net</w:t>
            </w:r>
          </w:p>
        </w:tc>
        <w:tc>
          <w:tcPr>
            <w:tcW w:w="30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(18,873)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Arial" w:cs="Arial" w:eastAsia="Arial" w:hAnsi="Arial"/>
                <w:sz w:val="11"/>
                <w:szCs w:val="11"/>
                <w:color w:val="auto"/>
              </w:rPr>
              <w:t>(8,656)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(10,217)</w:t>
            </w:r>
          </w:p>
        </w:tc>
      </w:tr>
      <w:tr>
        <w:trPr>
          <w:trHeight w:val="181"/>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Same store NOI at share for the three months ended June 30, 2026</w:t>
            </w: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278,141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235,991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27,300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14,850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8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(Decrease) increase in same store NOI at share</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(11,430)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1,084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(13,495)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981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8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(decrease) increase in same store NOI at share</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6.6 %</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xiii -</w:t>
      </w:r>
    </w:p>
    <w:p>
      <w:pPr>
        <w:sectPr>
          <w:pgSz w:w="11900" w:h="16838" w:orient="portrait"/>
          <w:cols w:equalWidth="0" w:num="1">
            <w:col w:w="11280"/>
          </w:cols>
          <w:pgMar w:left="300" w:top="981" w:right="319" w:bottom="1440" w:gutter="0" w:footer="0" w:header="0"/>
        </w:sectPr>
      </w:pPr>
    </w:p>
    <w:bookmarkStart w:id="79" w:name="page80"/>
    <w:bookmarkEnd w:id="79"/>
    <w:p>
      <w:pPr>
        <w:ind w:lef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6" w:lineRule="exact"/>
        <w:rPr>
          <w:sz w:val="20"/>
          <w:szCs w:val="20"/>
          <w:color w:val="auto"/>
        </w:rPr>
      </w:pPr>
    </w:p>
    <w:p>
      <w:pPr>
        <w:ind w:left="20" w:right="620"/>
        <w:spacing w:after="0" w:line="246" w:lineRule="auto"/>
        <w:rPr>
          <w:sz w:val="20"/>
          <w:szCs w:val="20"/>
          <w:color w:val="auto"/>
        </w:rPr>
      </w:pPr>
      <w:r>
        <w:rPr>
          <w:rFonts w:ascii="Arial" w:cs="Arial" w:eastAsia="Arial" w:hAnsi="Arial"/>
          <w:sz w:val="14"/>
          <w:szCs w:val="14"/>
          <w:color w:val="auto"/>
        </w:rPr>
        <w:t>RECONCILIATION OF NOI AT SHARE - CASH BASIS TO SAME STORE NOI AT SHARE - CASH BASIS FOR THE THREE MONTHS ENDED SEPTEMBER 30, 2026 COMPARED TO JUNE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6026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1"/>
                <w:szCs w:val="11"/>
                <w:b w:val="1"/>
                <w:bCs w:val="1"/>
                <w:color w:val="auto"/>
              </w:rPr>
              <w:t>New York</w:t>
            </w:r>
          </w:p>
        </w:tc>
        <w:tc>
          <w:tcPr>
            <w:tcW w:w="20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THE MART</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555 California Street</w:t>
            </w:r>
          </w:p>
        </w:tc>
        <w:tc>
          <w:tcPr>
            <w:tcW w:w="280" w:type="dxa"/>
            <w:vAlign w:val="bottom"/>
          </w:tcPr>
          <w:p>
            <w:pPr>
              <w:spacing w:after="0"/>
              <w:rPr>
                <w:sz w:val="13"/>
                <w:szCs w:val="13"/>
                <w:color w:val="auto"/>
              </w:rPr>
            </w:pPr>
          </w:p>
        </w:tc>
        <w:tc>
          <w:tcPr>
            <w:tcW w:w="980" w:type="dxa"/>
            <w:vAlign w:val="bottom"/>
          </w:tcPr>
          <w:p>
            <w:pPr>
              <w:jc w:val="right"/>
              <w:ind w:right="423"/>
              <w:spacing w:after="0"/>
              <w:rPr>
                <w:sz w:val="20"/>
                <w:szCs w:val="20"/>
                <w:color w:val="auto"/>
              </w:rPr>
            </w:pPr>
            <w:r>
              <w:rPr>
                <w:rFonts w:ascii="Arial" w:cs="Arial" w:eastAsia="Arial" w:hAnsi="Arial"/>
                <w:sz w:val="11"/>
                <w:szCs w:val="11"/>
                <w:b w:val="1"/>
                <w:bCs w:val="1"/>
                <w:color w:val="auto"/>
              </w:rPr>
              <w:t>Other</w:t>
            </w:r>
          </w:p>
        </w:tc>
      </w:tr>
      <w:tr>
        <w:trPr>
          <w:trHeight w:val="15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NOI at share - cash basis for the three months ended September 30, 2026</w:t>
            </w: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255,659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217,998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15,571</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12,112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9,978</w:t>
            </w: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Less NOI at share - cash basis from:</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(6,938)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(6,938)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Dispositions</w:t>
            </w:r>
          </w:p>
        </w:tc>
        <w:tc>
          <w:tcPr>
            <w:tcW w:w="280" w:type="dxa"/>
            <w:vAlign w:val="bottom"/>
          </w:tcPr>
          <w:p>
            <w:pPr>
              <w:spacing w:after="0"/>
              <w:rPr>
                <w:sz w:val="13"/>
                <w:szCs w:val="13"/>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Development properties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(3,895)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(3,895)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Other non-same store income, net</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(24,656)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(14,568)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(9,978)</w:t>
            </w:r>
          </w:p>
        </w:tc>
      </w:tr>
      <w:tr>
        <w:trPr>
          <w:trHeight w:val="18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Same store NOI at share - cash basis for the three months ended September 30, 2026</w:t>
            </w: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220,239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192,699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15,428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12,112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61"/>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NOI at share - cash basis for the three months ended June 30, 2026</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263,183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214,957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28,873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8,962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10,391</w:t>
            </w:r>
          </w:p>
        </w:tc>
      </w:tr>
      <w:tr>
        <w:trPr>
          <w:trHeight w:val="158"/>
        </w:trPr>
        <w:tc>
          <w:tcPr>
            <w:tcW w:w="4600" w:type="dxa"/>
            <w:vAlign w:val="bottom"/>
          </w:tcPr>
          <w:p>
            <w:pPr>
              <w:ind w:left="20"/>
              <w:spacing w:after="0"/>
              <w:rPr>
                <w:sz w:val="20"/>
                <w:szCs w:val="20"/>
                <w:color w:val="auto"/>
              </w:rPr>
            </w:pPr>
            <w:r>
              <w:rPr>
                <w:rFonts w:ascii="Arial" w:cs="Arial" w:eastAsia="Arial" w:hAnsi="Arial"/>
                <w:sz w:val="11"/>
                <w:szCs w:val="11"/>
                <w:color w:val="auto"/>
              </w:rPr>
              <w:t>Less NOI at share - cash basis from:</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(1,723)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Dispositions</w:t>
            </w:r>
          </w:p>
        </w:tc>
        <w:tc>
          <w:tcPr>
            <w:tcW w:w="280" w:type="dxa"/>
            <w:vAlign w:val="bottom"/>
          </w:tcPr>
          <w:p>
            <w:pPr>
              <w:spacing w:after="0"/>
              <w:rPr>
                <w:sz w:val="13"/>
                <w:szCs w:val="13"/>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428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427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5"/>
        </w:trPr>
        <w:tc>
          <w:tcPr>
            <w:tcW w:w="4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Development properties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(3,786)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(3,786)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8"/>
        </w:trPr>
        <w:tc>
          <w:tcPr>
            <w:tcW w:w="4600" w:type="dxa"/>
            <w:vAlign w:val="bottom"/>
          </w:tcPr>
          <w:p>
            <w:pPr>
              <w:ind w:left="180"/>
              <w:spacing w:after="0"/>
              <w:rPr>
                <w:sz w:val="20"/>
                <w:szCs w:val="20"/>
                <w:color w:val="auto"/>
              </w:rPr>
            </w:pPr>
            <w:r>
              <w:rPr>
                <w:rFonts w:ascii="Arial" w:cs="Arial" w:eastAsia="Arial" w:hAnsi="Arial"/>
                <w:sz w:val="11"/>
                <w:szCs w:val="11"/>
                <w:color w:val="auto"/>
              </w:rPr>
              <w:t>Other non-same store income, net</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(24,947)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(14,556)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(10,391)</w:t>
            </w:r>
          </w:p>
        </w:tc>
      </w:tr>
      <w:tr>
        <w:trPr>
          <w:trHeight w:val="18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Same store NOI at share - cash basis for the three months ended June 30, 2026</w:t>
            </w: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233,155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195,319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28,874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8,962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8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(Decrease) increase in same store NOI at share - cash basis</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(12,916)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(2,620)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(13,446)</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3,150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8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 (decrease) increase in same store NOI at share - cash basis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35.1 %</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xiv -</w:t>
      </w:r>
    </w:p>
    <w:p>
      <w:pPr>
        <w:sectPr>
          <w:pgSz w:w="11900" w:h="16838" w:orient="portrait"/>
          <w:cols w:equalWidth="0" w:num="1">
            <w:col w:w="11280"/>
          </w:cols>
          <w:pgMar w:left="300" w:top="981" w:right="319" w:bottom="1440" w:gutter="0" w:footer="0" w:header="0"/>
        </w:sectPr>
      </w:pPr>
    </w:p>
    <w:bookmarkStart w:id="80" w:name="page81"/>
    <w:bookmarkEnd w:id="80"/>
    <w:p>
      <w:pPr>
        <w:ind w:left="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235585</wp:posOffset>
            </wp:positionH>
            <wp:positionV relativeFrom="page">
              <wp:posOffset>88900</wp:posOffset>
            </wp:positionV>
            <wp:extent cx="1181735" cy="1981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181735" cy="198120"/>
                    </a:xfrm>
                    <a:prstGeom prst="rect">
                      <a:avLst/>
                    </a:prstGeom>
                    <a:noFill/>
                  </pic:spPr>
                </pic:pic>
              </a:graphicData>
            </a:graphic>
          </wp:anchor>
        </w:drawing>
        <w:t>NON-GAAP RECONCILIATIONS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RECONCILIATION OF CONSOLIDATED DEBT, NET TO CONSOLIDATED CONTRACTUAL DEBT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6026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1"/>
          <w:szCs w:val="11"/>
          <w:color w:val="auto"/>
        </w:rPr>
        <w:t>(Amounts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As of September 30, 2026</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60" w:type="dxa"/>
            <w:vAlign w:val="bottom"/>
          </w:tcPr>
          <w:p>
            <w:pPr>
              <w:spacing w:after="0"/>
              <w:rPr>
                <w:sz w:val="13"/>
                <w:szCs w:val="13"/>
                <w:color w:val="auto"/>
              </w:rPr>
            </w:pPr>
          </w:p>
        </w:tc>
        <w:tc>
          <w:tcPr>
            <w:tcW w:w="140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Consolidated Debt, Net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Deferred Financing</w:t>
            </w:r>
          </w:p>
        </w:tc>
        <w:tc>
          <w:tcPr>
            <w:tcW w:w="140" w:type="dxa"/>
            <w:vAlign w:val="bottom"/>
          </w:tcPr>
          <w:p>
            <w:pPr>
              <w:spacing w:after="0"/>
              <w:rPr>
                <w:sz w:val="13"/>
                <w:szCs w:val="13"/>
                <w:color w:val="auto"/>
              </w:rPr>
            </w:pPr>
          </w:p>
        </w:tc>
        <w:tc>
          <w:tcPr>
            <w:tcW w:w="1240" w:type="dxa"/>
            <w:vAlign w:val="bottom"/>
          </w:tcPr>
          <w:p>
            <w:pPr>
              <w:jc w:val="right"/>
              <w:ind w:right="263"/>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148"/>
        </w:trPr>
        <w:tc>
          <w:tcPr>
            <w:tcW w:w="696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Costs, Net and Other</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Contractual Debt</w:t>
            </w:r>
          </w:p>
        </w:tc>
        <w:tc>
          <w:tcPr>
            <w:tcW w:w="0" w:type="dxa"/>
            <w:vAlign w:val="bottom"/>
          </w:tcPr>
          <w:p>
            <w:pPr>
              <w:spacing w:after="0"/>
              <w:rPr>
                <w:sz w:val="1"/>
                <w:szCs w:val="1"/>
                <w:color w:val="auto"/>
              </w:rPr>
            </w:pPr>
          </w:p>
        </w:tc>
      </w:tr>
      <w:tr>
        <w:trPr>
          <w:trHeight w:val="152"/>
        </w:trPr>
        <w:tc>
          <w:tcPr>
            <w:tcW w:w="6960" w:type="dxa"/>
            <w:vAlign w:val="bottom"/>
            <w:shd w:val="clear" w:color="auto" w:fill="CCEEFF"/>
          </w:tcPr>
          <w:p>
            <w:pPr>
              <w:ind w:left="60"/>
              <w:spacing w:after="0"/>
              <w:rPr>
                <w:sz w:val="20"/>
                <w:szCs w:val="20"/>
                <w:color w:val="auto"/>
              </w:rPr>
            </w:pPr>
            <w:r>
              <w:rPr>
                <w:rFonts w:ascii="Arial" w:cs="Arial" w:eastAsia="Arial" w:hAnsi="Arial"/>
                <w:sz w:val="11"/>
                <w:szCs w:val="11"/>
                <w:color w:val="auto"/>
              </w:rPr>
              <w:t>Mortgages payable</w:t>
            </w: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4,847,467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22,076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4,869,543</w:t>
            </w:r>
          </w:p>
        </w:tc>
        <w:tc>
          <w:tcPr>
            <w:tcW w:w="0" w:type="dxa"/>
            <w:vAlign w:val="bottom"/>
          </w:tcPr>
          <w:p>
            <w:pPr>
              <w:spacing w:after="0"/>
              <w:rPr>
                <w:sz w:val="1"/>
                <w:szCs w:val="1"/>
                <w:color w:val="auto"/>
              </w:rPr>
            </w:pPr>
          </w:p>
        </w:tc>
      </w:tr>
      <w:tr>
        <w:trPr>
          <w:trHeight w:val="158"/>
        </w:trPr>
        <w:tc>
          <w:tcPr>
            <w:tcW w:w="6960" w:type="dxa"/>
            <w:vAlign w:val="bottom"/>
          </w:tcPr>
          <w:p>
            <w:pPr>
              <w:ind w:left="60"/>
              <w:spacing w:after="0"/>
              <w:rPr>
                <w:sz w:val="20"/>
                <w:szCs w:val="20"/>
                <w:color w:val="auto"/>
              </w:rPr>
            </w:pPr>
            <w:r>
              <w:rPr>
                <w:rFonts w:ascii="Arial" w:cs="Arial" w:eastAsia="Arial" w:hAnsi="Arial"/>
                <w:sz w:val="11"/>
                <w:szCs w:val="11"/>
                <w:color w:val="auto"/>
              </w:rPr>
              <w:t>Senior unsecured notes</w:t>
            </w:r>
          </w:p>
        </w:tc>
        <w:tc>
          <w:tcPr>
            <w:tcW w:w="4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842,276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7,724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850,000</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60"/>
              <w:spacing w:after="0"/>
              <w:rPr>
                <w:sz w:val="20"/>
                <w:szCs w:val="20"/>
                <w:color w:val="auto"/>
              </w:rPr>
            </w:pPr>
            <w:r>
              <w:rPr>
                <w:rFonts w:ascii="Arial" w:cs="Arial" w:eastAsia="Arial" w:hAnsi="Arial"/>
                <w:sz w:val="11"/>
                <w:szCs w:val="11"/>
                <w:color w:val="auto"/>
              </w:rPr>
              <w:t>$850 Million unsecured term loan</w:t>
            </w: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840,569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9,431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850,000</w:t>
            </w:r>
          </w:p>
        </w:tc>
        <w:tc>
          <w:tcPr>
            <w:tcW w:w="0" w:type="dxa"/>
            <w:vAlign w:val="bottom"/>
          </w:tcPr>
          <w:p>
            <w:pPr>
              <w:spacing w:after="0"/>
              <w:rPr>
                <w:sz w:val="1"/>
                <w:szCs w:val="1"/>
                <w:color w:val="auto"/>
              </w:rPr>
            </w:pPr>
          </w:p>
        </w:tc>
      </w:tr>
      <w:tr>
        <w:trPr>
          <w:trHeight w:val="158"/>
        </w:trPr>
        <w:tc>
          <w:tcPr>
            <w:tcW w:w="6960" w:type="dxa"/>
            <w:vAlign w:val="bottom"/>
            <w:tcBorders>
              <w:bottom w:val="single" w:sz="8" w:color="CCEEFF"/>
            </w:tcBorders>
          </w:tcPr>
          <w:p>
            <w:pPr>
              <w:ind w:left="60"/>
              <w:spacing w:after="0"/>
              <w:rPr>
                <w:sz w:val="20"/>
                <w:szCs w:val="20"/>
                <w:color w:val="auto"/>
              </w:rPr>
            </w:pPr>
            <w:r>
              <w:rPr>
                <w:rFonts w:ascii="Arial" w:cs="Arial" w:eastAsia="Arial" w:hAnsi="Arial"/>
                <w:sz w:val="11"/>
                <w:szCs w:val="11"/>
                <w:color w:val="auto"/>
              </w:rPr>
              <w:t>$2.1 Billion unsecured revolving credit facilities</w:t>
            </w: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918,000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918,000</w:t>
            </w:r>
          </w:p>
        </w:tc>
        <w:tc>
          <w:tcPr>
            <w:tcW w:w="0" w:type="dxa"/>
            <w:vAlign w:val="bottom"/>
          </w:tcPr>
          <w:p>
            <w:pPr>
              <w:spacing w:after="0"/>
              <w:rPr>
                <w:sz w:val="1"/>
                <w:szCs w:val="1"/>
                <w:color w:val="auto"/>
              </w:rPr>
            </w:pPr>
          </w:p>
        </w:tc>
      </w:tr>
      <w:tr>
        <w:trPr>
          <w:trHeight w:val="172"/>
        </w:trPr>
        <w:tc>
          <w:tcPr>
            <w:tcW w:w="69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7,448,312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7,487,543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xv -</w:t>
      </w:r>
    </w:p>
    <w:p>
      <w:pPr>
        <w:sectPr>
          <w:pgSz w:w="11900" w:h="16838" w:orient="portrait"/>
          <w:cols w:equalWidth="0" w:num="1">
            <w:col w:w="11280"/>
          </w:cols>
          <w:pgMar w:left="300" w:top="981" w:right="319" w:bottom="1440"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621665</wp:posOffset>
            </wp:positionV>
            <wp:extent cx="7209790" cy="39350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209790" cy="39350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Letter"/>
      <w:start w:val="4"/>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lvl w:ilvl="1">
      <w:lvlJc w:val="left"/>
      <w:lvlText w:val="-"/>
      <w:numFmt w:val="bullet"/>
      <w:start w:val="1"/>
    </w:lvl>
  </w:abstractNum>
  <w:abstractNum w:abstractNumId="12">
    <w:nsid w:val="836C40E"/>
    <w:multiLevelType w:val="hybridMultilevel"/>
    <w:lvl w:ilvl="0">
      <w:lvlJc w:val="left"/>
      <w:lvlText w:val="(%1)"/>
      <w:numFmt w:val="decimal"/>
      <w:start w:val="1"/>
    </w:lvl>
    <w:lvl w:ilvl="1">
      <w:lvlJc w:val="left"/>
      <w:lvlText w:val="-"/>
      <w:numFmt w:val="bullet"/>
      <w:start w:val="1"/>
    </w:lvl>
  </w:abstractNum>
  <w:abstractNum w:abstractNumId="13">
    <w:nsid w:val="2901D82"/>
    <w:multiLevelType w:val="hybridMultilevel"/>
    <w:lvl w:ilvl="0">
      <w:lvlJc w:val="left"/>
      <w:lvlText w:val="(%1)"/>
      <w:numFmt w:val="decimal"/>
      <w:start w:val="1"/>
    </w:lvl>
    <w:lvl w:ilvl="1">
      <w:lvlJc w:val="left"/>
      <w:lvlText w:val="-"/>
      <w:numFmt w:val="bullet"/>
      <w:start w:val="1"/>
    </w:lvl>
  </w:abstractNum>
  <w:abstractNum w:abstractNumId="14">
    <w:nsid w:val="3A95F874"/>
    <w:multiLevelType w:val="hybridMultilevel"/>
    <w:lvl w:ilvl="0">
      <w:lvlJc w:val="left"/>
      <w:lvlText w:val="(%1)"/>
      <w:numFmt w:val="decimal"/>
      <w:start w:val="1"/>
    </w:lvl>
    <w:lvl w:ilvl="1">
      <w:lvlJc w:val="left"/>
      <w:lvlText w:val="-"/>
      <w:numFmt w:val="bullet"/>
      <w:start w:val="1"/>
    </w:lvl>
  </w:abstractNum>
  <w:abstractNum w:abstractNumId="15">
    <w:nsid w:val="8138641"/>
    <w:multiLevelType w:val="hybridMultilevel"/>
    <w:lvl w:ilvl="0">
      <w:lvlJc w:val="left"/>
      <w:lvlText w:val="(%1)"/>
      <w:numFmt w:val="decimal"/>
      <w:start w:val="1"/>
    </w:lvl>
    <w:lvl w:ilvl="1">
      <w:lvlJc w:val="left"/>
      <w:lvlText w:val="-"/>
      <w:numFmt w:val="bullet"/>
      <w:start w:val="1"/>
    </w:lvl>
  </w:abstractNum>
  <w:abstractNum w:abstractNumId="16">
    <w:nsid w:val="1E7FF521"/>
    <w:multiLevelType w:val="hybridMultilevel"/>
    <w:lvl w:ilvl="0">
      <w:lvlJc w:val="left"/>
      <w:lvlText w:val="(%1)"/>
      <w:numFmt w:val="decimal"/>
      <w:start w:val="1"/>
    </w:lvl>
    <w:lvl w:ilvl="1">
      <w:lvlJc w:val="left"/>
      <w:lvlText w:val="-"/>
      <w:numFmt w:val="bullet"/>
      <w:start w:val="1"/>
    </w:lvl>
  </w:abstractNum>
  <w:abstractNum w:abstractNumId="17">
    <w:nsid w:val="7C3DBD3D"/>
    <w:multiLevelType w:val="hybridMultilevel"/>
    <w:lvl w:ilvl="0">
      <w:lvlJc w:val="left"/>
      <w:lvlText w:val="(%1)"/>
      <w:numFmt w:val="decimal"/>
      <w:start w:val="1"/>
    </w:lvl>
    <w:lvl w:ilvl="1">
      <w:lvlJc w:val="left"/>
      <w:lvlText w:val="-"/>
      <w:numFmt w:val="bullet"/>
      <w:start w:val="1"/>
    </w:lvl>
  </w:abstractNum>
  <w:abstractNum w:abstractNumId="18">
    <w:nsid w:val="737B8DDC"/>
    <w:multiLevelType w:val="hybridMultilevel"/>
    <w:lvl w:ilvl="0">
      <w:lvlJc w:val="left"/>
      <w:lvlText w:val="(%1)"/>
      <w:numFmt w:val="decimal"/>
      <w:start w:val="1"/>
    </w:lvl>
    <w:lvl w:ilvl="1">
      <w:lvlJc w:val="left"/>
      <w:lvlText w:val="-"/>
      <w:numFmt w:val="bullet"/>
      <w:start w:val="1"/>
    </w:lvl>
  </w:abstractNum>
  <w:abstractNum w:abstractNumId="19">
    <w:nsid w:val="6CEAF087"/>
    <w:multiLevelType w:val="hybridMultilevel"/>
    <w:lvl w:ilvl="0">
      <w:lvlJc w:val="left"/>
      <w:lvlText w:val="(%1)"/>
      <w:numFmt w:val="decimal"/>
      <w:start w:val="1"/>
    </w:lvl>
    <w:lvl w:ilvl="1">
      <w:lvlJc w:val="left"/>
      <w:lvlText w:val="-"/>
      <w:numFmt w:val="bullet"/>
      <w:start w:val="1"/>
    </w:lvl>
  </w:abstractNum>
  <w:abstractNum w:abstractNumId="20">
    <w:nsid w:val="22221A70"/>
    <w:multiLevelType w:val="hybridMultilevel"/>
    <w:lvl w:ilvl="0">
      <w:lvlJc w:val="left"/>
      <w:lvlText w:val="(%1)"/>
      <w:numFmt w:val="decimal"/>
      <w:start w:val="1"/>
    </w:lvl>
    <w:lvl w:ilvl="1">
      <w:lvlJc w:val="left"/>
      <w:lvlText w:val="-"/>
      <w:numFmt w:val="bullet"/>
      <w:start w:val="1"/>
    </w:lvl>
  </w:abstractNum>
  <w:abstractNum w:abstractNumId="21">
    <w:nsid w:val="4516DDE9"/>
    <w:multiLevelType w:val="hybridMultilevel"/>
    <w:lvl w:ilvl="0">
      <w:lvlJc w:val="left"/>
      <w:lvlText w:val="(%1)"/>
      <w:numFmt w:val="decimal"/>
      <w:start w:val="1"/>
    </w:lvl>
    <w:lvl w:ilvl="1">
      <w:lvlJc w:val="left"/>
      <w:lvlText w:val="-"/>
      <w:numFmt w:val="bullet"/>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lvl w:ilvl="1">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lvl w:ilvl="1">
      <w:lvlJc w:val="left"/>
      <w:lvlText w:val="-"/>
      <w:numFmt w:val="bullet"/>
      <w:start w:val="1"/>
    </w:lvl>
  </w:abstractNum>
  <w:abstractNum w:abstractNumId="28">
    <w:nsid w:val="3804823E"/>
    <w:multiLevelType w:val="hybridMultilevel"/>
    <w:lvl w:ilvl="0">
      <w:lvlJc w:val="left"/>
      <w:lvlText w:val="(%1)"/>
      <w:numFmt w:val="decimal"/>
      <w:start w:val="1"/>
    </w:lvl>
    <w:lvl w:ilvl="1">
      <w:lvlJc w:val="left"/>
      <w:lvlText w:val="-"/>
      <w:numFmt w:val="bullet"/>
      <w:start w:val="1"/>
    </w:lvl>
  </w:abstractNum>
  <w:abstractNum w:abstractNumId="29">
    <w:nsid w:val="77465F01"/>
    <w:multiLevelType w:val="hybridMultilevel"/>
    <w:lvl w:ilvl="0">
      <w:lvlJc w:val="left"/>
      <w:lvlText w:val="(%1)"/>
      <w:numFmt w:val="decimal"/>
      <w:start w:val="1"/>
    </w:lvl>
    <w:lvl w:ilvl="1">
      <w:lvlJc w:val="left"/>
      <w:lvlText w:val="-"/>
      <w:numFmt w:val="bullet"/>
      <w:start w:val="1"/>
    </w:lvl>
  </w:abstractNum>
  <w:abstractNum w:abstractNumId="30">
    <w:nsid w:val="7724C67E"/>
    <w:multiLevelType w:val="hybridMultilevel"/>
    <w:lvl w:ilvl="0">
      <w:lvlJc w:val="left"/>
      <w:lvlText w:val="(%1)"/>
      <w:numFmt w:val="decimal"/>
      <w:start w:val="1"/>
    </w:lvl>
    <w:lvl w:ilvl="1">
      <w:lvlJc w:val="left"/>
      <w:lvlText w:val="-"/>
      <w:numFmt w:val="bullet"/>
      <w:start w:val="1"/>
    </w:lvl>
  </w:abstractNum>
  <w:abstractNum w:abstractNumId="31">
    <w:nsid w:val="5C482A97"/>
    <w:multiLevelType w:val="hybridMultilevel"/>
    <w:lvl w:ilvl="0">
      <w:lvlJc w:val="left"/>
      <w:lvlText w:val="(%1)"/>
      <w:numFmt w:val="decimal"/>
      <w:start w:val="1"/>
    </w:lvl>
    <w:lvl w:ilvl="1">
      <w:lvlJc w:val="left"/>
      <w:lvlText w:val="-"/>
      <w:numFmt w:val="bullet"/>
      <w:start w:val="1"/>
    </w:lvl>
  </w:abstractNum>
  <w:abstractNum w:abstractNumId="32">
    <w:nsid w:val="2463B9EA"/>
    <w:multiLevelType w:val="hybridMultilevel"/>
    <w:lvl w:ilvl="0">
      <w:lvlJc w:val="left"/>
      <w:lvlText w:val="(%1)"/>
      <w:numFmt w:val="decimal"/>
      <w:start w:val="1"/>
    </w:lvl>
    <w:lvl w:ilvl="1">
      <w:lvlJc w:val="left"/>
      <w:lvlText w:val="-"/>
      <w:numFmt w:val="bullet"/>
      <w:start w:val="1"/>
    </w:lvl>
  </w:abstractNum>
  <w:abstractNum w:abstractNumId="33">
    <w:nsid w:val="5E884ADC"/>
    <w:multiLevelType w:val="hybridMultilevel"/>
    <w:lvl w:ilvl="0">
      <w:lvlJc w:val="left"/>
      <w:lvlText w:val="(%1)"/>
      <w:numFmt w:val="decimal"/>
      <w:start w:val="1"/>
    </w:lvl>
    <w:lvl w:ilvl="1">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lvl w:ilvl="1">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41">
    <w:nsid w:val="2A487CB0"/>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
      <w:numFmt w:val="bullet"/>
      <w:start w:val="1"/>
    </w:lvl>
  </w:abstractNum>
  <w:abstractNum w:abstractNumId="43">
    <w:nsid w:val="725A06F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2026-11-02T15:50:54Z</dcterms:created>
  <dcterms:modified xsi:type="dcterms:W3CDTF">2026-11-02T15:50:54Z</dcterms:modified>
</cp:coreProperties>
</file>