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405765</wp:posOffset>
            </wp:positionH>
            <wp:positionV relativeFrom="page">
              <wp:posOffset>671195</wp:posOffset>
            </wp:positionV>
            <wp:extent cx="69983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8335" cy="16510"/>
                    </a:xfrm>
                    <a:prstGeom prst="rect">
                      <a:avLst/>
                    </a:prstGeom>
                    <a:noFill/>
                  </pic:spPr>
                </pic:pic>
              </a:graphicData>
            </a:graphic>
          </wp:anchor>
        </w:drawing>
        <w:t>UNITED STATES</w:t>
      </w:r>
    </w:p>
    <w:p>
      <w:pPr>
        <w:spacing w:after="0" w:line="3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53" w:lineRule="exact"/>
        <w:rPr>
          <w:sz w:val="24"/>
          <w:szCs w:val="24"/>
          <w:color w:val="auto"/>
        </w:rPr>
      </w:pPr>
    </w:p>
    <w:p>
      <w:pPr>
        <w:ind w:left="1060" w:hanging="501"/>
        <w:spacing w:after="0"/>
        <w:tabs>
          <w:tab w:leader="none" w:pos="10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ANNUAL REPORT PURSUANT TO SECTION 13 OR 15(d) OF THE SECURITIES EXCHANGE ACT OF</w:t>
      </w:r>
    </w:p>
    <w:p>
      <w:pPr>
        <w:ind w:left="5720"/>
        <w:spacing w:after="0"/>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1934</w:t>
      </w:r>
    </w:p>
    <w:p>
      <w:pPr>
        <w:spacing w:after="0" w:line="231" w:lineRule="exact"/>
        <w:rPr>
          <w:sz w:val="24"/>
          <w:szCs w:val="24"/>
          <w:color w:val="auto"/>
        </w:rPr>
      </w:pPr>
    </w:p>
    <w:p>
      <w:pPr>
        <w:ind w:left="3960"/>
        <w:spacing w:after="0"/>
        <w:tabs>
          <w:tab w:leader="none" w:pos="6500" w:val="left"/>
        </w:tabs>
        <w:rPr>
          <w:sz w:val="20"/>
          <w:szCs w:val="20"/>
          <w:color w:val="auto"/>
        </w:rPr>
      </w:pPr>
      <w:r>
        <w:rPr>
          <w:rFonts w:ascii="Times New Roman" w:cs="Times New Roman" w:eastAsia="Times New Roman" w:hAnsi="Times New Roman"/>
          <w:sz w:val="16"/>
          <w:szCs w:val="16"/>
          <w:b w:val="1"/>
          <w:bCs w:val="1"/>
          <w:color w:val="auto"/>
        </w:rPr>
        <w:t>For the Fiscal Year Ended:</w:t>
      </w:r>
      <w:r>
        <w:rPr>
          <w:sz w:val="20"/>
          <w:szCs w:val="20"/>
          <w:color w:val="auto"/>
        </w:rPr>
        <w:tab/>
      </w:r>
      <w:r>
        <w:rPr>
          <w:rFonts w:ascii="Times New Roman" w:cs="Times New Roman" w:eastAsia="Times New Roman" w:hAnsi="Times New Roman"/>
          <w:sz w:val="15"/>
          <w:szCs w:val="15"/>
          <w:b w:val="1"/>
          <w:bCs w:val="1"/>
          <w:color w:val="auto"/>
        </w:rPr>
        <w:t>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3670935</wp:posOffset>
            </wp:positionH>
            <wp:positionV relativeFrom="paragraph">
              <wp:posOffset>17780</wp:posOffset>
            </wp:positionV>
            <wp:extent cx="17633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3395" cy="8255"/>
                    </a:xfrm>
                    <a:prstGeom prst="rect">
                      <a:avLst/>
                    </a:prstGeom>
                    <a:noFill/>
                  </pic:spPr>
                </pic:pic>
              </a:graphicData>
            </a:graphic>
          </wp:anchor>
        </w:drawing>
      </w:r>
    </w:p>
    <w:p>
      <w:pPr>
        <w:spacing w:after="0" w:line="19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43" w:lineRule="exact"/>
        <w:rPr>
          <w:sz w:val="24"/>
          <w:szCs w:val="24"/>
          <w:color w:val="auto"/>
        </w:rPr>
      </w:pPr>
    </w:p>
    <w:p>
      <w:pPr>
        <w:ind w:left="1020" w:hanging="461"/>
        <w:spacing w:after="0"/>
        <w:tabs>
          <w:tab w:leader="none" w:pos="10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ind w:left="5560"/>
        <w:spacing w:after="0"/>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OF 1934</w:t>
      </w:r>
    </w:p>
    <w:p>
      <w:pPr>
        <w:spacing w:after="0" w:line="322"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w:t>
            </w:r>
          </w:p>
        </w:tc>
        <w:tc>
          <w:tcPr>
            <w:tcW w:w="3800" w:type="dxa"/>
            <w:vAlign w:val="bottom"/>
            <w:tcBorders>
              <w:bottom w:val="single" w:sz="8" w:color="auto"/>
            </w:tcBorders>
          </w:tcPr>
          <w:p>
            <w:pPr>
              <w:spacing w:after="0"/>
              <w:rPr>
                <w:sz w:val="18"/>
                <w:szCs w:val="18"/>
                <w:color w:val="auto"/>
              </w:rPr>
            </w:pPr>
          </w:p>
        </w:tc>
      </w:tr>
      <w:tr>
        <w:trPr>
          <w:trHeight w:val="321"/>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3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001-11954</w:t>
            </w:r>
          </w:p>
        </w:tc>
        <w:tc>
          <w:tcPr>
            <w:tcW w:w="4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(Vornado Realty Trust)</w:t>
            </w:r>
          </w:p>
        </w:tc>
      </w:tr>
      <w:tr>
        <w:trPr>
          <w:trHeight w:val="204"/>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80" w:type="dxa"/>
            <w:vAlign w:val="bottom"/>
            <w:tcBorders>
              <w:top w:val="single" w:sz="8" w:color="auto"/>
              <w:bottom w:val="single" w:sz="8" w:color="auto"/>
            </w:tcBorders>
          </w:tcPr>
          <w:p>
            <w:pPr>
              <w:spacing w:after="0"/>
              <w:rPr>
                <w:sz w:val="17"/>
                <w:szCs w:val="17"/>
                <w:color w:val="auto"/>
              </w:rPr>
            </w:pPr>
          </w:p>
        </w:tc>
        <w:tc>
          <w:tcPr>
            <w:tcW w:w="3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001-34482</w:t>
            </w:r>
          </w:p>
        </w:tc>
        <w:tc>
          <w:tcPr>
            <w:tcW w:w="462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(Vornado Realty L.P.)</w:t>
            </w:r>
          </w:p>
        </w:tc>
      </w:tr>
    </w:tbl>
    <w:p>
      <w:pPr>
        <w:spacing w:after="0" w:line="274"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4"/>
          <w:szCs w:val="24"/>
          <w:b w:val="1"/>
          <w:bCs w:val="1"/>
          <w:color w:val="auto"/>
        </w:rPr>
        <w:t>Vornado Realty Trust</w:t>
      </w:r>
    </w:p>
    <w:p>
      <w:pPr>
        <w:spacing w:after="0" w:line="4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4"/>
          <w:szCs w:val="24"/>
          <w:b w:val="1"/>
          <w:bCs w:val="1"/>
          <w:color w:val="auto"/>
        </w:rPr>
        <w:t>Vornado Realty L.P.</w:t>
      </w:r>
    </w:p>
    <w:p>
      <w:pPr>
        <w:spacing w:after="0" w:line="33"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6"/>
          <w:szCs w:val="16"/>
          <w:color w:val="auto"/>
        </w:rPr>
        <w:t>(Exact name of registrants as specified in its charter)</w:t>
      </w:r>
    </w:p>
    <w:p>
      <w:pPr>
        <w:spacing w:after="0" w:line="351" w:lineRule="exact"/>
        <w:rPr>
          <w:sz w:val="24"/>
          <w:szCs w:val="24"/>
          <w:color w:val="auto"/>
        </w:rPr>
      </w:pPr>
    </w:p>
    <w:tbl>
      <w:tblPr>
        <w:tblLayout w:type="fixed"/>
        <w:tblInd w:w="240" w:type="dxa"/>
        <w:tblCellMar>
          <w:top w:w="0" w:type="dxa"/>
          <w:left w:w="0" w:type="dxa"/>
          <w:bottom w:w="0" w:type="dxa"/>
          <w:right w:w="0" w:type="dxa"/>
        </w:tblCellMar>
      </w:tblPr>
      <w:tr>
        <w:trPr>
          <w:trHeight w:val="210"/>
        </w:trPr>
        <w:tc>
          <w:tcPr>
            <w:tcW w:w="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Vornado Realty Trust</w:t>
            </w:r>
          </w:p>
        </w:tc>
        <w:tc>
          <w:tcPr>
            <w:tcW w:w="100" w:type="dxa"/>
            <w:vAlign w:val="bottom"/>
          </w:tcPr>
          <w:p>
            <w:pPr>
              <w:spacing w:after="0"/>
              <w:rPr>
                <w:sz w:val="18"/>
                <w:szCs w:val="18"/>
                <w:color w:val="auto"/>
              </w:rPr>
            </w:pPr>
          </w:p>
        </w:tc>
        <w:tc>
          <w:tcPr>
            <w:tcW w:w="448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center"/>
              <w:ind w:right="1124"/>
              <w:spacing w:after="0"/>
              <w:rPr>
                <w:sz w:val="20"/>
                <w:szCs w:val="20"/>
                <w:color w:val="auto"/>
              </w:rPr>
            </w:pPr>
            <w:r>
              <w:rPr>
                <w:rFonts w:ascii="Times New Roman" w:cs="Times New Roman" w:eastAsia="Times New Roman" w:hAnsi="Times New Roman"/>
                <w:sz w:val="16"/>
                <w:szCs w:val="16"/>
                <w:b w:val="1"/>
                <w:bCs w:val="1"/>
                <w:color w:val="auto"/>
                <w:w w:val="98"/>
              </w:rPr>
              <w:t>22-1657560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Pr>
          <w:p>
            <w:pPr>
              <w:jc w:val="center"/>
              <w:ind w:left="162"/>
              <w:spacing w:after="0"/>
              <w:rPr>
                <w:sz w:val="20"/>
                <w:szCs w:val="20"/>
                <w:color w:val="auto"/>
              </w:rPr>
            </w:pPr>
            <w:r>
              <w:rPr>
                <w:rFonts w:ascii="Times New Roman" w:cs="Times New Roman" w:eastAsia="Times New Roman" w:hAnsi="Times New Roman"/>
                <w:sz w:val="16"/>
                <w:szCs w:val="16"/>
                <w:color w:val="auto"/>
                <w:w w:val="98"/>
              </w:rPr>
              <w:t>(State or other jurisdiction of incorporation or organization)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w w:val="97"/>
              </w:rPr>
              <w:t>(I.R.S. Employer Identification Number)</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Vornado Realty L.P.</w:t>
            </w:r>
          </w:p>
        </w:tc>
        <w:tc>
          <w:tcPr>
            <w:tcW w:w="100" w:type="dxa"/>
            <w:vAlign w:val="bottom"/>
          </w:tcPr>
          <w:p>
            <w:pPr>
              <w:spacing w:after="0"/>
              <w:rPr>
                <w:sz w:val="22"/>
                <w:szCs w:val="22"/>
                <w:color w:val="auto"/>
              </w:rPr>
            </w:pPr>
          </w:p>
        </w:tc>
        <w:tc>
          <w:tcPr>
            <w:tcW w:w="448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jc w:val="center"/>
              <w:ind w:right="1124"/>
              <w:spacing w:after="0"/>
              <w:rPr>
                <w:sz w:val="20"/>
                <w:szCs w:val="20"/>
                <w:color w:val="auto"/>
              </w:rPr>
            </w:pPr>
            <w:r>
              <w:rPr>
                <w:rFonts w:ascii="Times New Roman" w:cs="Times New Roman" w:eastAsia="Times New Roman" w:hAnsi="Times New Roman"/>
                <w:sz w:val="16"/>
                <w:szCs w:val="16"/>
                <w:b w:val="1"/>
                <w:bCs w:val="1"/>
                <w:color w:val="auto"/>
                <w:w w:val="98"/>
              </w:rPr>
              <w:t>13-3925979</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Pr>
          <w:p>
            <w:pPr>
              <w:jc w:val="center"/>
              <w:ind w:left="162"/>
              <w:spacing w:after="0"/>
              <w:rPr>
                <w:sz w:val="20"/>
                <w:szCs w:val="20"/>
                <w:color w:val="auto"/>
              </w:rPr>
            </w:pPr>
            <w:r>
              <w:rPr>
                <w:rFonts w:ascii="Times New Roman" w:cs="Times New Roman" w:eastAsia="Times New Roman" w:hAnsi="Times New Roman"/>
                <w:sz w:val="16"/>
                <w:szCs w:val="16"/>
                <w:color w:val="auto"/>
                <w:w w:val="98"/>
              </w:rPr>
              <w:t>(State or other jurisdiction of incorporation or organization)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w w:val="97"/>
              </w:rPr>
              <w:t>(I.R.S. Employer Identification Number)</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8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888 Seventh Avenue,   New York,   New York</w:t>
            </w:r>
          </w:p>
        </w:tc>
        <w:tc>
          <w:tcPr>
            <w:tcW w:w="1540" w:type="dxa"/>
            <w:vAlign w:val="bottom"/>
            <w:tcBorders>
              <w:bottom w:val="single" w:sz="8" w:color="auto"/>
            </w:tcBorders>
            <w:gridSpan w:val="4"/>
          </w:tcPr>
          <w:p>
            <w:pPr>
              <w:jc w:val="right"/>
              <w:ind w:right="1041"/>
              <w:spacing w:after="0"/>
              <w:rPr>
                <w:sz w:val="20"/>
                <w:szCs w:val="20"/>
                <w:color w:val="auto"/>
              </w:rPr>
            </w:pPr>
            <w:r>
              <w:rPr>
                <w:rFonts w:ascii="Times New Roman" w:cs="Times New Roman" w:eastAsia="Times New Roman" w:hAnsi="Times New Roman"/>
                <w:sz w:val="16"/>
                <w:szCs w:val="16"/>
                <w:b w:val="1"/>
                <w:bCs w:val="1"/>
                <w:color w:val="auto"/>
                <w:w w:val="99"/>
              </w:rPr>
              <w:t>10019</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gridSpan w:val="5"/>
          </w:tcPr>
          <w:p>
            <w:pPr>
              <w:jc w:val="right"/>
              <w:ind w:right="1341"/>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8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2"/>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rPr>
              <w:t>(212) 894-7000</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gridSpan w:val="5"/>
          </w:tcPr>
          <w:p>
            <w:pPr>
              <w:jc w:val="right"/>
              <w:ind w:right="1261"/>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7"/>
        </w:trPr>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gridSpan w:val="5"/>
          </w:tcPr>
          <w:p>
            <w:pPr>
              <w:jc w:val="right"/>
              <w:ind w:right="1221"/>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46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Registrant</w:t>
            </w:r>
          </w:p>
        </w:tc>
        <w:tc>
          <w:tcPr>
            <w:tcW w:w="100" w:type="dxa"/>
            <w:vAlign w:val="bottom"/>
          </w:tcPr>
          <w:p>
            <w:pPr>
              <w:spacing w:after="0"/>
              <w:rPr>
                <w:sz w:val="14"/>
                <w:szCs w:val="14"/>
                <w:color w:val="auto"/>
              </w:rPr>
            </w:pPr>
          </w:p>
        </w:tc>
        <w:tc>
          <w:tcPr>
            <w:tcW w:w="4480" w:type="dxa"/>
            <w:vAlign w:val="bottom"/>
            <w:vMerge w:val="restart"/>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4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Vornado Realty Trust</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580" w:type="dxa"/>
            <w:vAlign w:val="bottom"/>
            <w:tcBorders>
              <w:top w:val="single" w:sz="8" w:color="auto"/>
            </w:tcBorders>
            <w:gridSpan w:val="2"/>
          </w:tcPr>
          <w:p>
            <w:pPr>
              <w:jc w:val="center"/>
              <w:ind w:right="382"/>
              <w:spacing w:after="0"/>
              <w:rPr>
                <w:sz w:val="20"/>
                <w:szCs w:val="20"/>
                <w:color w:val="auto"/>
              </w:rPr>
            </w:pPr>
            <w:r>
              <w:rPr>
                <w:rFonts w:ascii="Times New Roman" w:cs="Times New Roman" w:eastAsia="Times New Roman" w:hAnsi="Times New Roman"/>
                <w:sz w:val="16"/>
                <w:szCs w:val="16"/>
                <w:color w:val="auto"/>
                <w:w w:val="98"/>
              </w:rPr>
              <w:t>Common Shares of beneficial interest, $.04 par value per share</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color w:val="auto"/>
                <w:w w:val="97"/>
              </w:rPr>
              <w:t>VNO</w:t>
            </w:r>
          </w:p>
        </w:tc>
        <w:tc>
          <w:tcPr>
            <w:tcW w:w="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80" w:type="dxa"/>
            <w:vAlign w:val="bottom"/>
          </w:tcPr>
          <w:p>
            <w:pPr>
              <w:jc w:val="center"/>
              <w:ind w:right="502"/>
              <w:spacing w:after="0" w:line="161" w:lineRule="exact"/>
              <w:rPr>
                <w:sz w:val="20"/>
                <w:szCs w:val="20"/>
                <w:color w:val="auto"/>
              </w:rPr>
            </w:pPr>
            <w:r>
              <w:rPr>
                <w:rFonts w:ascii="Times New Roman" w:cs="Times New Roman" w:eastAsia="Times New Roman" w:hAnsi="Times New Roman"/>
                <w:sz w:val="16"/>
                <w:szCs w:val="16"/>
                <w:color w:val="auto"/>
                <w:w w:val="98"/>
              </w:rPr>
              <w:t>Cumulative Redeemable Preferred Shares of beneficial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Pr>
          <w:p>
            <w:pPr>
              <w:jc w:val="center"/>
              <w:ind w:right="482"/>
              <w:spacing w:after="0"/>
              <w:rPr>
                <w:sz w:val="20"/>
                <w:szCs w:val="20"/>
                <w:color w:val="auto"/>
              </w:rPr>
            </w:pPr>
            <w:r>
              <w:rPr>
                <w:rFonts w:ascii="Times New Roman" w:cs="Times New Roman" w:eastAsia="Times New Roman" w:hAnsi="Times New Roman"/>
                <w:sz w:val="16"/>
                <w:szCs w:val="16"/>
                <w:color w:val="auto"/>
                <w:w w:val="97"/>
              </w:rPr>
              <w:t>interest, liquidation preference $25.00 per share: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46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w w:val="95"/>
              </w:rPr>
              <w:t>Vornado Realty Trust</w:t>
            </w:r>
          </w:p>
        </w:tc>
        <w:tc>
          <w:tcPr>
            <w:tcW w:w="100" w:type="dxa"/>
            <w:vAlign w:val="bottom"/>
          </w:tcPr>
          <w:p>
            <w:pPr>
              <w:spacing w:after="0"/>
              <w:rPr>
                <w:sz w:val="18"/>
                <w:szCs w:val="18"/>
                <w:color w:val="auto"/>
              </w:rPr>
            </w:pPr>
          </w:p>
        </w:tc>
        <w:tc>
          <w:tcPr>
            <w:tcW w:w="4480" w:type="dxa"/>
            <w:vAlign w:val="bottom"/>
          </w:tcPr>
          <w:p>
            <w:pPr>
              <w:jc w:val="center"/>
              <w:ind w:right="482"/>
              <w:spacing w:after="0"/>
              <w:rPr>
                <w:sz w:val="20"/>
                <w:szCs w:val="20"/>
                <w:color w:val="auto"/>
              </w:rPr>
            </w:pPr>
            <w:r>
              <w:rPr>
                <w:rFonts w:ascii="Times New Roman" w:cs="Times New Roman" w:eastAsia="Times New Roman" w:hAnsi="Times New Roman"/>
                <w:sz w:val="16"/>
                <w:szCs w:val="16"/>
                <w:color w:val="auto"/>
                <w:w w:val="97"/>
              </w:rPr>
              <w:t>5.40% Series 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21"/>
              <w:spacing w:after="0"/>
              <w:rPr>
                <w:sz w:val="20"/>
                <w:szCs w:val="20"/>
                <w:color w:val="auto"/>
              </w:rPr>
            </w:pPr>
            <w:r>
              <w:rPr>
                <w:rFonts w:ascii="Times New Roman" w:cs="Times New Roman" w:eastAsia="Times New Roman" w:hAnsi="Times New Roman"/>
                <w:sz w:val="16"/>
                <w:szCs w:val="16"/>
                <w:color w:val="auto"/>
              </w:rPr>
              <w:t>VNO/PL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46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w w:val="95"/>
              </w:rPr>
              <w:t>Vornado Realty Trust</w:t>
            </w:r>
          </w:p>
        </w:tc>
        <w:tc>
          <w:tcPr>
            <w:tcW w:w="100" w:type="dxa"/>
            <w:vAlign w:val="bottom"/>
          </w:tcPr>
          <w:p>
            <w:pPr>
              <w:spacing w:after="0"/>
              <w:rPr>
                <w:sz w:val="18"/>
                <w:szCs w:val="18"/>
                <w:color w:val="auto"/>
              </w:rPr>
            </w:pPr>
          </w:p>
        </w:tc>
        <w:tc>
          <w:tcPr>
            <w:tcW w:w="4480" w:type="dxa"/>
            <w:vAlign w:val="bottom"/>
          </w:tcPr>
          <w:p>
            <w:pPr>
              <w:jc w:val="center"/>
              <w:ind w:right="482"/>
              <w:spacing w:after="0"/>
              <w:rPr>
                <w:sz w:val="20"/>
                <w:szCs w:val="20"/>
                <w:color w:val="auto"/>
              </w:rPr>
            </w:pPr>
            <w:r>
              <w:rPr>
                <w:rFonts w:ascii="Times New Roman" w:cs="Times New Roman" w:eastAsia="Times New Roman" w:hAnsi="Times New Roman"/>
                <w:sz w:val="16"/>
                <w:szCs w:val="16"/>
                <w:color w:val="auto"/>
                <w:w w:val="97"/>
              </w:rPr>
              <w:t>5.25% Series 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21"/>
              <w:spacing w:after="0"/>
              <w:rPr>
                <w:sz w:val="20"/>
                <w:szCs w:val="20"/>
                <w:color w:val="auto"/>
              </w:rPr>
            </w:pPr>
            <w:r>
              <w:rPr>
                <w:rFonts w:ascii="Times New Roman" w:cs="Times New Roman" w:eastAsia="Times New Roman" w:hAnsi="Times New Roman"/>
                <w:sz w:val="16"/>
                <w:szCs w:val="16"/>
                <w:color w:val="auto"/>
                <w:w w:val="99"/>
              </w:rPr>
              <w:t>VNO/PM</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46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w w:val="95"/>
              </w:rPr>
              <w:t>Vornado Realty Trust</w:t>
            </w:r>
          </w:p>
        </w:tc>
        <w:tc>
          <w:tcPr>
            <w:tcW w:w="100" w:type="dxa"/>
            <w:vAlign w:val="bottom"/>
          </w:tcPr>
          <w:p>
            <w:pPr>
              <w:spacing w:after="0"/>
              <w:rPr>
                <w:sz w:val="18"/>
                <w:szCs w:val="18"/>
                <w:color w:val="auto"/>
              </w:rPr>
            </w:pPr>
          </w:p>
        </w:tc>
        <w:tc>
          <w:tcPr>
            <w:tcW w:w="448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7"/>
              </w:rPr>
              <w:t>5.25% Series 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21"/>
              <w:spacing w:after="0"/>
              <w:rPr>
                <w:sz w:val="20"/>
                <w:szCs w:val="20"/>
                <w:color w:val="auto"/>
              </w:rPr>
            </w:pPr>
            <w:r>
              <w:rPr>
                <w:rFonts w:ascii="Times New Roman" w:cs="Times New Roman" w:eastAsia="Times New Roman" w:hAnsi="Times New Roman"/>
                <w:sz w:val="16"/>
                <w:szCs w:val="16"/>
                <w:color w:val="auto"/>
                <w:w w:val="97"/>
              </w:rPr>
              <w:t>VNO/PN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246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w w:val="95"/>
              </w:rPr>
              <w:t>Vornado Realty Trust</w:t>
            </w:r>
          </w:p>
        </w:tc>
        <w:tc>
          <w:tcPr>
            <w:tcW w:w="100" w:type="dxa"/>
            <w:vAlign w:val="bottom"/>
          </w:tcPr>
          <w:p>
            <w:pPr>
              <w:spacing w:after="0"/>
              <w:rPr>
                <w:sz w:val="18"/>
                <w:szCs w:val="18"/>
                <w:color w:val="auto"/>
              </w:rPr>
            </w:pPr>
          </w:p>
        </w:tc>
        <w:tc>
          <w:tcPr>
            <w:tcW w:w="448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7"/>
              </w:rPr>
              <w:t>4.45% Series 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21"/>
              <w:spacing w:after="0"/>
              <w:rPr>
                <w:sz w:val="20"/>
                <w:szCs w:val="20"/>
                <w:color w:val="auto"/>
              </w:rPr>
            </w:pPr>
            <w:r>
              <w:rPr>
                <w:rFonts w:ascii="Times New Roman" w:cs="Times New Roman" w:eastAsia="Times New Roman" w:hAnsi="Times New Roman"/>
                <w:sz w:val="16"/>
                <w:szCs w:val="16"/>
                <w:color w:val="auto"/>
                <w:w w:val="97"/>
              </w:rPr>
              <w:t>VNO/PO</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bl>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736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tc>
      </w:tr>
      <w:tr>
        <w:trPr>
          <w:trHeight w:val="204"/>
        </w:trPr>
        <w:tc>
          <w:tcPr>
            <w:tcW w:w="540" w:type="dxa"/>
            <w:vAlign w:val="bottom"/>
          </w:tcPr>
          <w:p>
            <w:pPr>
              <w:spacing w:after="0"/>
              <w:rPr>
                <w:sz w:val="17"/>
                <w:szCs w:val="17"/>
                <w:color w:val="auto"/>
              </w:rPr>
            </w:pPr>
          </w:p>
        </w:tc>
        <w:tc>
          <w:tcPr>
            <w:tcW w:w="334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r>
      <w:tr>
        <w:trPr>
          <w:trHeight w:val="23"/>
        </w:trPr>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60" w:type="dxa"/>
            <w:vAlign w:val="bottom"/>
            <w:gridSpan w:val="2"/>
          </w:tcPr>
          <w:p>
            <w:pPr>
              <w:spacing w:after="0"/>
              <w:rPr>
                <w:sz w:val="2"/>
                <w:szCs w:val="2"/>
                <w:color w:val="auto"/>
              </w:rPr>
            </w:pPr>
          </w:p>
        </w:tc>
      </w:tr>
      <w:tr>
        <w:trPr>
          <w:trHeight w:val="150"/>
        </w:trPr>
        <w:tc>
          <w:tcPr>
            <w:tcW w:w="540" w:type="dxa"/>
            <w:vAlign w:val="bottom"/>
          </w:tcPr>
          <w:p>
            <w:pPr>
              <w:spacing w:after="0"/>
              <w:rPr>
                <w:sz w:val="13"/>
                <w:szCs w:val="13"/>
                <w:color w:val="auto"/>
              </w:rPr>
            </w:pPr>
          </w:p>
        </w:tc>
        <w:tc>
          <w:tcPr>
            <w:tcW w:w="3340" w:type="dxa"/>
            <w:vAlign w:val="bottom"/>
            <w:tcBorders>
              <w:top w:val="single" w:sz="8" w:color="auto"/>
            </w:tcBorders>
          </w:tcPr>
          <w:p>
            <w:pPr>
              <w:jc w:val="center"/>
              <w:ind w:left="1724"/>
              <w:spacing w:after="0" w:line="151" w:lineRule="exact"/>
              <w:rPr>
                <w:sz w:val="20"/>
                <w:szCs w:val="20"/>
                <w:color w:val="auto"/>
              </w:rPr>
            </w:pPr>
            <w:r>
              <w:rPr>
                <w:rFonts w:ascii="Times New Roman" w:cs="Times New Roman" w:eastAsia="Times New Roman" w:hAnsi="Times New Roman"/>
                <w:sz w:val="16"/>
                <w:szCs w:val="16"/>
                <w:color w:val="auto"/>
                <w:w w:val="95"/>
              </w:rPr>
              <w:t>Vornado Realty Trust</w:t>
            </w:r>
          </w:p>
        </w:tc>
        <w:tc>
          <w:tcPr>
            <w:tcW w:w="1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1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6"/>
                <w:szCs w:val="16"/>
                <w:color w:val="auto"/>
                <w:w w:val="98"/>
              </w:rPr>
              <w:t>Series A Convertible Preferred Shares of beneficial interest, liquidation</w:t>
            </w:r>
          </w:p>
        </w:tc>
        <w:tc>
          <w:tcPr>
            <w:tcW w:w="220" w:type="dxa"/>
            <w:vAlign w:val="bottom"/>
          </w:tcPr>
          <w:p>
            <w:pPr>
              <w:spacing w:after="0"/>
              <w:rPr>
                <w:sz w:val="13"/>
                <w:szCs w:val="13"/>
                <w:color w:val="auto"/>
              </w:rPr>
            </w:pPr>
          </w:p>
        </w:tc>
      </w:tr>
      <w:tr>
        <w:trPr>
          <w:trHeight w:val="206"/>
        </w:trPr>
        <w:tc>
          <w:tcPr>
            <w:tcW w:w="5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preference $50.00 per share</w:t>
            </w:r>
          </w:p>
        </w:tc>
      </w:tr>
      <w:tr>
        <w:trPr>
          <w:trHeight w:val="209"/>
        </w:trPr>
        <w:tc>
          <w:tcPr>
            <w:tcW w:w="540" w:type="dxa"/>
            <w:vAlign w:val="bottom"/>
          </w:tcPr>
          <w:p>
            <w:pPr>
              <w:spacing w:after="0"/>
              <w:rPr>
                <w:sz w:val="18"/>
                <w:szCs w:val="18"/>
                <w:color w:val="auto"/>
              </w:rPr>
            </w:pPr>
          </w:p>
        </w:tc>
        <w:tc>
          <w:tcPr>
            <w:tcW w:w="3340" w:type="dxa"/>
            <w:vAlign w:val="bottom"/>
          </w:tcPr>
          <w:p>
            <w:pPr>
              <w:jc w:val="center"/>
              <w:ind w:left="1724"/>
              <w:spacing w:after="0"/>
              <w:rPr>
                <w:sz w:val="20"/>
                <w:szCs w:val="20"/>
                <w:color w:val="auto"/>
              </w:rPr>
            </w:pPr>
            <w:r>
              <w:rPr>
                <w:rFonts w:ascii="Times New Roman" w:cs="Times New Roman" w:eastAsia="Times New Roman" w:hAnsi="Times New Roman"/>
                <w:sz w:val="16"/>
                <w:szCs w:val="16"/>
                <w:color w:val="auto"/>
                <w:w w:val="95"/>
              </w:rPr>
              <w:t>Vornado Realty L.P.</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7"/>
              </w:rPr>
              <w:t>Class A Units of Limited Partnership Interest</w:t>
            </w:r>
          </w:p>
        </w:tc>
      </w:tr>
      <w:tr>
        <w:trPr>
          <w:trHeight w:val="1242"/>
        </w:trPr>
        <w:tc>
          <w:tcPr>
            <w:tcW w:w="5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56" w:right="239" w:bottom="1440" w:gutter="0" w:footer="0" w:header="0"/>
        </w:sectPr>
      </w:pPr>
    </w:p>
    <w:bookmarkStart w:id="1" w:name="page2"/>
    <w:bookmarkEnd w:id="1"/>
    <w:p>
      <w:pPr>
        <w:ind w:left="148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50" w:lineRule="exact"/>
        <w:rPr>
          <w:sz w:val="20"/>
          <w:szCs w:val="20"/>
          <w:color w:val="auto"/>
        </w:rPr>
      </w:pPr>
    </w:p>
    <w:p>
      <w:pPr>
        <w:ind w:left="2960"/>
        <w:spacing w:after="0" w:line="196" w:lineRule="exact"/>
        <w:tabs>
          <w:tab w:leader="none" w:pos="5280" w:val="left"/>
          <w:tab w:leader="none" w:pos="8100" w:val="left"/>
        </w:tabs>
        <w:rPr>
          <w:sz w:val="20"/>
          <w:szCs w:val="20"/>
          <w:color w:val="auto"/>
        </w:rPr>
      </w:pPr>
      <w:r>
        <w:rPr>
          <w:rFonts w:ascii="Times New Roman" w:cs="Times New Roman" w:eastAsia="Times New Roman" w:hAnsi="Times New Roman"/>
          <w:sz w:val="17"/>
          <w:szCs w:val="17"/>
          <w:color w:val="auto"/>
        </w:rPr>
        <w:t xml:space="preserve">Vornado Realty Trust: Yes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5"/>
          <w:szCs w:val="15"/>
          <w:color w:val="auto"/>
          <w:highlight w:val="black"/>
        </w:rPr>
        <w:t>☐</w:t>
      </w:r>
      <w:r>
        <w:rPr>
          <w:rFonts w:ascii="Times New Roman" w:cs="Times New Roman" w:eastAsia="Times New Roman" w:hAnsi="Times New Roman"/>
          <w:sz w:val="17"/>
          <w:szCs w:val="17"/>
          <w:color w:val="auto"/>
        </w:rPr>
        <w:t xml:space="preserve"> Vornado Realty L.P.: Yes </w:t>
      </w:r>
      <w:r>
        <w:rPr>
          <w:rFonts w:ascii="MS PGothic" w:cs="MS PGothic" w:eastAsia="MS PGothic" w:hAnsi="MS PGothic"/>
          <w:sz w:val="15"/>
          <w:szCs w:val="15"/>
          <w:color w:val="auto"/>
          <w:highlight w:val="black"/>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5"/>
          <w:szCs w:val="15"/>
          <w:color w:val="auto"/>
        </w:rPr>
        <w:t>☑</w:t>
      </w:r>
    </w:p>
    <w:p>
      <w:pPr>
        <w:spacing w:after="0" w:line="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p>
      <w:pPr>
        <w:spacing w:after="0" w:line="50" w:lineRule="exact"/>
        <w:rPr>
          <w:sz w:val="20"/>
          <w:szCs w:val="20"/>
          <w:color w:val="auto"/>
        </w:rPr>
      </w:pPr>
    </w:p>
    <w:p>
      <w:pPr>
        <w:ind w:left="2960"/>
        <w:spacing w:after="0" w:line="196" w:lineRule="exact"/>
        <w:tabs>
          <w:tab w:leader="none" w:pos="5280" w:val="left"/>
          <w:tab w:leader="none" w:pos="8100" w:val="left"/>
        </w:tabs>
        <w:rPr>
          <w:sz w:val="20"/>
          <w:szCs w:val="20"/>
          <w:color w:val="auto"/>
        </w:rPr>
      </w:pPr>
      <w:r>
        <w:rPr>
          <w:rFonts w:ascii="Times New Roman" w:cs="Times New Roman" w:eastAsia="Times New Roman" w:hAnsi="Times New Roman"/>
          <w:sz w:val="17"/>
          <w:szCs w:val="17"/>
          <w:color w:val="auto"/>
        </w:rPr>
        <w:t xml:space="preserve">Vornado Realty Trust: Yes </w:t>
      </w:r>
      <w:r>
        <w:rPr>
          <w:rFonts w:ascii="MS PGothic" w:cs="MS PGothic" w:eastAsia="MS PGothic" w:hAnsi="MS PGothic"/>
          <w:sz w:val="15"/>
          <w:szCs w:val="15"/>
          <w:color w:val="auto"/>
          <w:highlight w:val="black"/>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Vornado Realty L.P.: Yes </w:t>
      </w:r>
      <w:r>
        <w:rPr>
          <w:rFonts w:ascii="MS PGothic" w:cs="MS PGothic" w:eastAsia="MS PGothic" w:hAnsi="MS PGothic"/>
          <w:sz w:val="15"/>
          <w:szCs w:val="15"/>
          <w:color w:val="auto"/>
          <w:highlight w:val="black"/>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5"/>
          <w:szCs w:val="15"/>
          <w:color w:val="auto"/>
        </w:rPr>
        <w:t>☑</w:t>
      </w:r>
    </w:p>
    <w:p>
      <w:pPr>
        <w:spacing w:after="0" w:line="83" w:lineRule="exact"/>
        <w:rPr>
          <w:sz w:val="20"/>
          <w:szCs w:val="20"/>
          <w:color w:val="auto"/>
        </w:rPr>
      </w:pPr>
    </w:p>
    <w:p>
      <w:pPr>
        <w:jc w:val="center"/>
        <w:ind w:right="20"/>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259"/>
        <w:spacing w:after="0" w:line="196" w:lineRule="exact"/>
        <w:tabs>
          <w:tab w:leader="none" w:pos="240" w:val="left"/>
          <w:tab w:leader="none" w:pos="260" w:val="left"/>
        </w:tabs>
        <w:rPr>
          <w:sz w:val="20"/>
          <w:szCs w:val="20"/>
          <w:color w:val="auto"/>
        </w:rPr>
      </w:pPr>
      <w:r>
        <w:rPr>
          <w:rFonts w:ascii="Times New Roman" w:cs="Times New Roman" w:eastAsia="Times New Roman" w:hAnsi="Times New Roman"/>
          <w:sz w:val="17"/>
          <w:szCs w:val="17"/>
          <w:color w:val="auto"/>
        </w:rPr>
        <w:t xml:space="preserve">Vornado Realty Trust: Yes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5"/>
          <w:szCs w:val="15"/>
          <w:color w:val="auto"/>
          <w:highlight w:val="black"/>
        </w:rPr>
        <w:t>☐</w:t>
      </w:r>
      <w:r>
        <w:rPr>
          <w:rFonts w:ascii="Times New Roman" w:cs="Times New Roman" w:eastAsia="Times New Roman" w:hAnsi="Times New Roman"/>
          <w:sz w:val="17"/>
          <w:szCs w:val="17"/>
          <w:color w:val="auto"/>
        </w:rPr>
        <w:t xml:space="preserve"> Vornado Realty L.P.: 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5"/>
          <w:szCs w:val="15"/>
          <w:color w:val="auto"/>
          <w:highlight w:val="black"/>
        </w:rPr>
        <w:t>☐</w:t>
      </w:r>
    </w:p>
    <w:p>
      <w:pPr>
        <w:spacing w:after="0" w:line="83"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2940"/>
        <w:spacing w:after="0" w:line="196" w:lineRule="exact"/>
        <w:tabs>
          <w:tab w:leader="none" w:pos="5260" w:val="left"/>
          <w:tab w:leader="none" w:pos="8080" w:val="left"/>
        </w:tabs>
        <w:rPr>
          <w:sz w:val="20"/>
          <w:szCs w:val="20"/>
          <w:color w:val="auto"/>
        </w:rPr>
      </w:pPr>
      <w:r>
        <w:rPr>
          <w:rFonts w:ascii="Times New Roman" w:cs="Times New Roman" w:eastAsia="Times New Roman" w:hAnsi="Times New Roman"/>
          <w:sz w:val="17"/>
          <w:szCs w:val="17"/>
          <w:color w:val="auto"/>
        </w:rPr>
        <w:t xml:space="preserve">Vornado Realty Trust: Yes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5"/>
          <w:szCs w:val="15"/>
          <w:color w:val="auto"/>
          <w:highlight w:val="black"/>
        </w:rPr>
        <w:t>☐</w:t>
      </w:r>
      <w:r>
        <w:rPr>
          <w:rFonts w:ascii="Times New Roman" w:cs="Times New Roman" w:eastAsia="Times New Roman" w:hAnsi="Times New Roman"/>
          <w:sz w:val="17"/>
          <w:szCs w:val="17"/>
          <w:color w:val="auto"/>
        </w:rPr>
        <w:t xml:space="preserve"> Vornado Realty L.P.: Yes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5"/>
          <w:szCs w:val="15"/>
          <w:color w:val="auto"/>
          <w:highlight w:val="black"/>
        </w:rPr>
        <w:t>☐</w:t>
      </w:r>
    </w:p>
    <w:p>
      <w:pPr>
        <w:spacing w:after="0" w:line="83" w:lineRule="exact"/>
        <w:rPr>
          <w:sz w:val="20"/>
          <w:szCs w:val="20"/>
          <w:color w:val="auto"/>
        </w:rPr>
      </w:pPr>
    </w:p>
    <w:p>
      <w:pPr>
        <w:jc w:val="center"/>
        <w:ind w:right="2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Vornado Realty Trust:</w:t>
      </w:r>
    </w:p>
    <w:p>
      <w:pPr>
        <w:spacing w:after="0" w:line="67" w:lineRule="exact"/>
        <w:rPr>
          <w:sz w:val="20"/>
          <w:szCs w:val="20"/>
          <w:color w:val="auto"/>
        </w:rPr>
      </w:pPr>
    </w:p>
    <w:tbl>
      <w:tblPr>
        <w:tblLayout w:type="fixed"/>
        <w:tblInd w:w="1660" w:type="dxa"/>
        <w:tblCellMar>
          <w:top w:w="0" w:type="dxa"/>
          <w:left w:w="0" w:type="dxa"/>
          <w:bottom w:w="0" w:type="dxa"/>
          <w:right w:w="0" w:type="dxa"/>
        </w:tblCellMar>
      </w:tblPr>
      <w:tr>
        <w:trPr>
          <w:trHeight w:val="223"/>
        </w:trPr>
        <w:tc>
          <w:tcPr>
            <w:tcW w:w="26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Large Accelerated Filer</w:t>
            </w:r>
          </w:p>
        </w:tc>
        <w:tc>
          <w:tcPr>
            <w:tcW w:w="1600" w:type="dxa"/>
            <w:vAlign w:val="bottom"/>
          </w:tcPr>
          <w:p>
            <w:pPr>
              <w:ind w:left="1340"/>
              <w:spacing w:after="0" w:line="171" w:lineRule="exact"/>
              <w:rPr>
                <w:sz w:val="20"/>
                <w:szCs w:val="20"/>
                <w:color w:val="auto"/>
              </w:rPr>
            </w:pPr>
            <w:r>
              <w:rPr>
                <w:rFonts w:ascii="MS PGothic" w:cs="MS PGothic" w:eastAsia="MS PGothic" w:hAnsi="MS PGothic"/>
                <w:sz w:val="17"/>
                <w:szCs w:val="17"/>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Accelerated Filer</w:t>
            </w:r>
          </w:p>
        </w:tc>
      </w:tr>
      <w:tr>
        <w:trPr>
          <w:trHeight w:val="223"/>
        </w:trPr>
        <w:tc>
          <w:tcPr>
            <w:tcW w:w="26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Non-Accelerated Filer</w:t>
            </w:r>
          </w:p>
        </w:tc>
        <w:tc>
          <w:tcPr>
            <w:tcW w:w="1600" w:type="dxa"/>
            <w:vAlign w:val="bottom"/>
          </w:tcPr>
          <w:p>
            <w:pPr>
              <w:ind w:left="1340"/>
              <w:spacing w:after="0" w:line="171" w:lineRule="exact"/>
              <w:rPr>
                <w:sz w:val="20"/>
                <w:szCs w:val="20"/>
                <w:color w:val="auto"/>
              </w:rPr>
            </w:pPr>
            <w:r>
              <w:rPr>
                <w:rFonts w:ascii="MS PGothic" w:cs="MS PGothic" w:eastAsia="MS PGothic" w:hAnsi="MS PGothic"/>
                <w:sz w:val="17"/>
                <w:szCs w:val="17"/>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Smaller Reporting Company</w:t>
            </w:r>
          </w:p>
        </w:tc>
      </w:tr>
      <w:tr>
        <w:trPr>
          <w:trHeight w:val="294"/>
        </w:trPr>
        <w:tc>
          <w:tcPr>
            <w:tcW w:w="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0" w:type="dxa"/>
            <w:vAlign w:val="bottom"/>
          </w:tcPr>
          <w:p>
            <w:pPr>
              <w:ind w:left="1340"/>
              <w:spacing w:after="0" w:line="171" w:lineRule="exact"/>
              <w:rPr>
                <w:sz w:val="20"/>
                <w:szCs w:val="20"/>
                <w:color w:val="auto"/>
              </w:rPr>
            </w:pPr>
            <w:r>
              <w:rPr>
                <w:rFonts w:ascii="MS PGothic" w:cs="MS PGothic" w:eastAsia="MS PGothic" w:hAnsi="MS PGothic"/>
                <w:sz w:val="17"/>
                <w:szCs w:val="17"/>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Emerging Growth Company</w:t>
            </w:r>
          </w:p>
        </w:tc>
      </w:tr>
    </w:tbl>
    <w:p>
      <w:pPr>
        <w:spacing w:after="0" w:line="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Vornado Realty L.P.:</w:t>
      </w:r>
    </w:p>
    <w:p>
      <w:pPr>
        <w:spacing w:after="0" w:line="67" w:lineRule="exact"/>
        <w:rPr>
          <w:sz w:val="20"/>
          <w:szCs w:val="20"/>
          <w:color w:val="auto"/>
        </w:rPr>
      </w:pPr>
    </w:p>
    <w:tbl>
      <w:tblPr>
        <w:tblLayout w:type="fixed"/>
        <w:tblInd w:w="1660" w:type="dxa"/>
        <w:tblCellMar>
          <w:top w:w="0" w:type="dxa"/>
          <w:left w:w="0" w:type="dxa"/>
          <w:bottom w:w="0" w:type="dxa"/>
          <w:right w:w="0" w:type="dxa"/>
        </w:tblCellMar>
      </w:tblPr>
      <w:tr>
        <w:trPr>
          <w:trHeight w:val="223"/>
        </w:trPr>
        <w:tc>
          <w:tcPr>
            <w:tcW w:w="26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Large Accelerated Filer</w:t>
            </w:r>
          </w:p>
        </w:tc>
        <w:tc>
          <w:tcPr>
            <w:tcW w:w="1600" w:type="dxa"/>
            <w:vAlign w:val="bottom"/>
          </w:tcPr>
          <w:p>
            <w:pPr>
              <w:ind w:left="1340"/>
              <w:spacing w:after="0" w:line="171" w:lineRule="exact"/>
              <w:rPr>
                <w:sz w:val="20"/>
                <w:szCs w:val="20"/>
                <w:color w:val="auto"/>
              </w:rPr>
            </w:pPr>
            <w:r>
              <w:rPr>
                <w:rFonts w:ascii="MS PGothic" w:cs="MS PGothic" w:eastAsia="MS PGothic" w:hAnsi="MS PGothic"/>
                <w:sz w:val="17"/>
                <w:szCs w:val="17"/>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Accelerated Filer</w:t>
            </w:r>
          </w:p>
        </w:tc>
      </w:tr>
      <w:tr>
        <w:trPr>
          <w:trHeight w:val="223"/>
        </w:trPr>
        <w:tc>
          <w:tcPr>
            <w:tcW w:w="26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Non-Accelerated Filer</w:t>
            </w:r>
          </w:p>
        </w:tc>
        <w:tc>
          <w:tcPr>
            <w:tcW w:w="1600" w:type="dxa"/>
            <w:vAlign w:val="bottom"/>
          </w:tcPr>
          <w:p>
            <w:pPr>
              <w:ind w:left="1340"/>
              <w:spacing w:after="0" w:line="171" w:lineRule="exact"/>
              <w:rPr>
                <w:sz w:val="20"/>
                <w:szCs w:val="20"/>
                <w:color w:val="auto"/>
              </w:rPr>
            </w:pPr>
            <w:r>
              <w:rPr>
                <w:rFonts w:ascii="MS PGothic" w:cs="MS PGothic" w:eastAsia="MS PGothic" w:hAnsi="MS PGothic"/>
                <w:sz w:val="17"/>
                <w:szCs w:val="17"/>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Smaller Reporting Company</w:t>
            </w:r>
          </w:p>
        </w:tc>
      </w:tr>
      <w:tr>
        <w:trPr>
          <w:trHeight w:val="294"/>
        </w:trPr>
        <w:tc>
          <w:tcPr>
            <w:tcW w:w="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0" w:type="dxa"/>
            <w:vAlign w:val="bottom"/>
          </w:tcPr>
          <w:p>
            <w:pPr>
              <w:ind w:left="1340"/>
              <w:spacing w:after="0" w:line="171" w:lineRule="exact"/>
              <w:rPr>
                <w:sz w:val="20"/>
                <w:szCs w:val="20"/>
                <w:color w:val="auto"/>
              </w:rPr>
            </w:pPr>
            <w:r>
              <w:rPr>
                <w:rFonts w:ascii="MS PGothic" w:cs="MS PGothic" w:eastAsia="MS PGothic" w:hAnsi="MS PGothic"/>
                <w:sz w:val="17"/>
                <w:szCs w:val="17"/>
                <w:color w:val="auto"/>
              </w:rPr>
              <w:t>☐</w:t>
            </w:r>
          </w:p>
        </w:tc>
        <w:tc>
          <w:tcPr>
            <w:tcW w:w="2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Emerging Growth Company</w:t>
            </w:r>
          </w:p>
        </w:tc>
      </w:tr>
    </w:tbl>
    <w:p>
      <w:pPr>
        <w:spacing w:after="0" w:line="85" w:lineRule="exact"/>
        <w:rPr>
          <w:sz w:val="20"/>
          <w:szCs w:val="20"/>
          <w:color w:val="auto"/>
        </w:rPr>
      </w:pPr>
    </w:p>
    <w:p>
      <w:pPr>
        <w:jc w:val="center"/>
        <w:ind w:right="20"/>
        <w:spacing w:after="0" w:line="279"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Vornado Realty Trust: </w:t>
      </w:r>
      <w:r>
        <w:rPr>
          <w:rFonts w:ascii="MS PGothic" w:cs="MS PGothic" w:eastAsia="MS PGothic" w:hAnsi="MS PGothic"/>
          <w:sz w:val="15"/>
          <w:szCs w:val="15"/>
          <w:color w:val="auto"/>
          <w:highlight w:val="black"/>
        </w:rPr>
        <w:t>☐</w:t>
      </w:r>
      <w:r>
        <w:rPr>
          <w:rFonts w:ascii="Times New Roman" w:cs="Times New Roman" w:eastAsia="Times New Roman" w:hAnsi="Times New Roman"/>
          <w:sz w:val="17"/>
          <w:szCs w:val="17"/>
          <w:color w:val="auto"/>
        </w:rPr>
        <w:t xml:space="preserve"> Vornado Realty L.P.: </w:t>
      </w:r>
      <w:r>
        <w:rPr>
          <w:rFonts w:ascii="MS PGothic" w:cs="MS PGothic" w:eastAsia="MS PGothic" w:hAnsi="MS PGothic"/>
          <w:sz w:val="15"/>
          <w:szCs w:val="15"/>
          <w:color w:val="auto"/>
          <w:highlight w:val="black"/>
        </w:rPr>
        <w:t>☐</w:t>
      </w:r>
    </w:p>
    <w:p>
      <w:pPr>
        <w:spacing w:after="0" w:line="83"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ind w:left="3840"/>
        <w:spacing w:after="0" w:line="196" w:lineRule="exact"/>
        <w:rPr>
          <w:sz w:val="20"/>
          <w:szCs w:val="20"/>
          <w:color w:val="auto"/>
        </w:rPr>
      </w:pPr>
      <w:r>
        <w:rPr>
          <w:rFonts w:ascii="Times New Roman" w:cs="Times New Roman" w:eastAsia="Times New Roman" w:hAnsi="Times New Roman"/>
          <w:sz w:val="17"/>
          <w:szCs w:val="17"/>
          <w:color w:val="auto"/>
        </w:rPr>
        <w:t xml:space="preserve">Vornado Realty Trust: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Vornado Realty L.P.: </w:t>
      </w:r>
      <w:r>
        <w:rPr>
          <w:rFonts w:ascii="MS PGothic" w:cs="MS PGothic" w:eastAsia="MS PGothic" w:hAnsi="MS PGothic"/>
          <w:sz w:val="15"/>
          <w:szCs w:val="15"/>
          <w:color w:val="auto"/>
        </w:rPr>
        <w:t>☑</w:t>
      </w:r>
    </w:p>
    <w:p>
      <w:pPr>
        <w:spacing w:after="0" w:line="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If securities are registered pursuant to Section 12(b) of the Act, indicate by check mark whether the financial statements of the registrant included in the filing</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reflect the correction of an error to previously issued financial statements.</w:t>
      </w:r>
    </w:p>
    <w:p>
      <w:pPr>
        <w:spacing w:after="0" w:line="32" w:lineRule="exact"/>
        <w:rPr>
          <w:sz w:val="20"/>
          <w:szCs w:val="20"/>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Vornado Realty Trust: </w:t>
      </w:r>
      <w:r>
        <w:rPr>
          <w:rFonts w:ascii="MS PGothic" w:cs="MS PGothic" w:eastAsia="MS PGothic" w:hAnsi="MS PGothic"/>
          <w:sz w:val="15"/>
          <w:szCs w:val="15"/>
          <w:color w:val="auto"/>
          <w:highlight w:val="black"/>
        </w:rPr>
        <w:t>☐</w:t>
      </w:r>
      <w:r>
        <w:rPr>
          <w:rFonts w:ascii="Times New Roman" w:cs="Times New Roman" w:eastAsia="Times New Roman" w:hAnsi="Times New Roman"/>
          <w:sz w:val="17"/>
          <w:szCs w:val="17"/>
          <w:color w:val="auto"/>
        </w:rPr>
        <w:t xml:space="preserve"> Vornado Realty L.P.: </w:t>
      </w:r>
      <w:r>
        <w:rPr>
          <w:rFonts w:ascii="MS PGothic" w:cs="MS PGothic" w:eastAsia="MS PGothic" w:hAnsi="MS PGothic"/>
          <w:sz w:val="15"/>
          <w:szCs w:val="15"/>
          <w:color w:val="auto"/>
          <w:highlight w:val="black"/>
        </w:rPr>
        <w:t>☐</w:t>
      </w:r>
    </w:p>
    <w:p>
      <w:pPr>
        <w:spacing w:after="0" w:line="83" w:lineRule="exact"/>
        <w:rPr>
          <w:sz w:val="20"/>
          <w:szCs w:val="20"/>
          <w:color w:val="auto"/>
        </w:rPr>
      </w:pPr>
    </w:p>
    <w:p>
      <w:pPr>
        <w:ind w:left="1860" w:right="60" w:hanging="1501"/>
        <w:spacing w:after="0" w:line="279" w:lineRule="auto"/>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0"/>
          <w:szCs w:val="20"/>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Vornado Realty Trust: </w:t>
      </w:r>
      <w:r>
        <w:rPr>
          <w:rFonts w:ascii="MS PGothic" w:cs="MS PGothic" w:eastAsia="MS PGothic" w:hAnsi="MS PGothic"/>
          <w:sz w:val="15"/>
          <w:szCs w:val="15"/>
          <w:color w:val="auto"/>
          <w:highlight w:val="black"/>
        </w:rPr>
        <w:t>☐</w:t>
      </w:r>
      <w:r>
        <w:rPr>
          <w:rFonts w:ascii="Times New Roman" w:cs="Times New Roman" w:eastAsia="Times New Roman" w:hAnsi="Times New Roman"/>
          <w:sz w:val="17"/>
          <w:szCs w:val="17"/>
          <w:color w:val="auto"/>
        </w:rPr>
        <w:t xml:space="preserve"> Vornado Realty L.P.: </w:t>
      </w:r>
      <w:r>
        <w:rPr>
          <w:rFonts w:ascii="MS PGothic" w:cs="MS PGothic" w:eastAsia="MS PGothic" w:hAnsi="MS PGothic"/>
          <w:sz w:val="15"/>
          <w:szCs w:val="15"/>
          <w:color w:val="auto"/>
          <w:highlight w:val="black"/>
        </w:rPr>
        <w:t>☐</w:t>
      </w:r>
    </w:p>
    <w:p>
      <w:pPr>
        <w:spacing w:after="0" w:line="8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50" w:lineRule="exact"/>
        <w:rPr>
          <w:sz w:val="20"/>
          <w:szCs w:val="20"/>
          <w:color w:val="auto"/>
        </w:rPr>
      </w:pPr>
    </w:p>
    <w:p>
      <w:pPr>
        <w:ind w:left="2960"/>
        <w:spacing w:after="0" w:line="196" w:lineRule="exact"/>
        <w:tabs>
          <w:tab w:leader="none" w:pos="5280" w:val="left"/>
          <w:tab w:leader="none" w:pos="8100" w:val="left"/>
        </w:tabs>
        <w:rPr>
          <w:sz w:val="20"/>
          <w:szCs w:val="20"/>
          <w:color w:val="auto"/>
        </w:rPr>
      </w:pPr>
      <w:r>
        <w:rPr>
          <w:rFonts w:ascii="Times New Roman" w:cs="Times New Roman" w:eastAsia="Times New Roman" w:hAnsi="Times New Roman"/>
          <w:sz w:val="17"/>
          <w:szCs w:val="17"/>
          <w:color w:val="auto"/>
        </w:rPr>
        <w:t xml:space="preserve">Vornado Realty Trust: Yes </w:t>
      </w:r>
      <w:r>
        <w:rPr>
          <w:rFonts w:ascii="MS PGothic" w:cs="MS PGothic" w:eastAsia="MS PGothic" w:hAnsi="MS PGothic"/>
          <w:sz w:val="15"/>
          <w:szCs w:val="15"/>
          <w:color w:val="auto"/>
          <w:highlight w:val="black"/>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Vornado Realty L.P.: Yes </w:t>
      </w:r>
      <w:r>
        <w:rPr>
          <w:rFonts w:ascii="MS PGothic" w:cs="MS PGothic" w:eastAsia="MS PGothic" w:hAnsi="MS PGothic"/>
          <w:sz w:val="15"/>
          <w:szCs w:val="15"/>
          <w:color w:val="auto"/>
          <w:highlight w:val="black"/>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5"/>
          <w:szCs w:val="15"/>
          <w:color w:val="auto"/>
        </w:rPr>
        <w:t>☑</w:t>
      </w:r>
    </w:p>
    <w:p>
      <w:pPr>
        <w:spacing w:after="0" w:line="83" w:lineRule="exact"/>
        <w:rPr>
          <w:sz w:val="20"/>
          <w:szCs w:val="20"/>
          <w:color w:val="auto"/>
        </w:rPr>
      </w:pPr>
    </w:p>
    <w:p>
      <w:pPr>
        <w:jc w:val="center"/>
        <w:ind w:right="20"/>
        <w:spacing w:after="0" w:line="289"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shares held by non-affiliates of Vornado Realty Trust, i.e. by persons other than officers and trustees of Vornado Realty Trust, was $6,833,930,000 at June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of December 31, 2025, there were 190,666,367 common shares of beneficial interest outstanding of Vornado Realty Trust.</w:t>
      </w:r>
    </w:p>
    <w:p>
      <w:pPr>
        <w:spacing w:after="0" w:line="66" w:lineRule="exact"/>
        <w:rPr>
          <w:sz w:val="20"/>
          <w:szCs w:val="20"/>
          <w:color w:val="auto"/>
        </w:rPr>
      </w:pPr>
    </w:p>
    <w:p>
      <w:pPr>
        <w:jc w:val="center"/>
        <w:ind w:right="20"/>
        <w:spacing w:after="0" w:line="276" w:lineRule="auto"/>
        <w:rPr>
          <w:sz w:val="20"/>
          <w:szCs w:val="20"/>
          <w:color w:val="auto"/>
        </w:rPr>
      </w:pPr>
      <w:r>
        <w:rPr>
          <w:rFonts w:ascii="Times New Roman" w:cs="Times New Roman" w:eastAsia="Times New Roman" w:hAnsi="Times New Roman"/>
          <w:sz w:val="17"/>
          <w:szCs w:val="17"/>
          <w:color w:val="auto"/>
        </w:rPr>
        <w:t>There is no public market for the Class A units of limited partnership interest of Vornado Realty L.P. Based on the June 30, 2025 closing share price of Vornado Realty Trust’s common shares, which are issuable upon redemption of the Class A units, the aggregate market value of the Class A units held by non-affiliates of Vornado Realty L.P., i.e. by persons other than Vornado Realty Trust and its officers and trustees, was $403,978,000 as of June 30, 2025.</w:t>
      </w:r>
    </w:p>
    <w:p>
      <w:pPr>
        <w:spacing w:after="0" w:line="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u w:val="single" w:color="auto"/>
          <w:color w:val="auto"/>
        </w:rPr>
        <w:t>Documents Incorporated by Reference</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r>
        <w:rPr>
          <w:rFonts w:ascii="Times New Roman" w:cs="Times New Roman" w:eastAsia="Times New Roman" w:hAnsi="Times New Roman"/>
          <w:sz w:val="17"/>
          <w:szCs w:val="17"/>
          <w:color w:val="auto"/>
        </w:rPr>
        <w:t>: Portions of Proxy Statement for Annual Meeting of Vornado Realty Trust’s Shareholders to be held on 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516255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88265</wp:posOffset>
            </wp:positionV>
            <wp:extent cx="713613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40" w:top="69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2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This report combines the Annual Reports on Form 10-K for the fiscal year ended December 31, 2025 of Vornado Realty Trust and Vornado Realty L.P. Unless stated otherwise or the context otherwise requires, references to “Vornado” refer to Vornado Realty Trust, a Maryland real estate investment trust (“REIT”), and references to the “Operating Partnership” refer to Vornado Realty L.P., a Delaware limited partnership. References to the “Company,” “we,” “us” and “our” mean, collectively, Vornado, the Operating Partnership and those subsidiaries consolidated by Vornado.</w:t>
      </w:r>
    </w:p>
    <w:p>
      <w:pPr>
        <w:spacing w:after="0" w:line="1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Operating Partnership is the entity through which we conduct substantially all of our business and own, either directly or through subsidiaries, substantially all of our assets. Vornado is the sole general partner and also a 91.3% limited partner of the Operating Partnership. As the sole general partner of the Operating Partnership, Vornado has exclusive control of the Operating Partnership’s day-to-day management.</w:t>
      </w:r>
    </w:p>
    <w:p>
      <w:pPr>
        <w:spacing w:after="0" w:line="7"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Under the limited partnership agreement of the Operating Partnership, unitholders may present their Class A units for redemption at any time (subject to restrictions agreed upon at the time of issuance of the units that may restrict such right for a period of time). Class A units may be tendered for redemption to the Operating Partnership for cash; Vornado, at its option, may assume that obligation and pay the holder either cash or Vornado common shares on a one-for-one basis. Because the number of Vornado common shares outstanding at all times equals the number of Class A units owned by Vornado, the redemption value of each Class A unit is equivalent to the market value of one Vornado common share, and the distribution to a Class A unitholder is equal to the dividend paid to a Vornado common shareholder. This one-for-one exchange ratio is subject to specified adjustments to prevent dilution. Vornado generally expects that it will elect to issue its common shares in connection with each such presentation for redemption rather than having the Operating Partnership pay cash. With each such exchange or redemption, Vornado’s percentage ownership in the Operating Partnership will increase. In addition, whenever Vornado issues common shares other than to acquire Class A units of the Operating Partnership, Vornado must contribute any net proceeds it receives to the Operating Partnership and the Operating Partnership must issue to Vornado an equivalent number of Class A units of the Operating Partnership. This structure is commonly referred to as an umbrella partnership REIT, or UPREIT.</w:t>
      </w:r>
    </w:p>
    <w:p>
      <w:pPr>
        <w:spacing w:after="0" w:line="19"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The Company believes that combining the Annual Reports on Form 10-K of Vornado and the Operating Partnership into this single report provides the following benefits:</w:t>
      </w:r>
    </w:p>
    <w:p>
      <w:pPr>
        <w:spacing w:after="0" w:line="1" w:lineRule="exact"/>
        <w:rPr>
          <w:sz w:val="20"/>
          <w:szCs w:val="20"/>
          <w:color w:val="auto"/>
        </w:rPr>
      </w:pPr>
    </w:p>
    <w:p>
      <w:pPr>
        <w:ind w:left="480" w:hanging="318"/>
        <w:spacing w:after="0" w:line="268" w:lineRule="auto"/>
        <w:tabs>
          <w:tab w:leader="none" w:pos="4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enhances investors’ understanding of Vornado and the Operating Partnership by enabling investors to view the business as a whole in the same manner as management views and operates the business;</w:t>
      </w:r>
    </w:p>
    <w:p>
      <w:pPr>
        <w:ind w:left="480" w:hanging="318"/>
        <w:spacing w:after="0" w:line="257" w:lineRule="auto"/>
        <w:tabs>
          <w:tab w:leader="none" w:pos="4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eliminates duplicative disclosure and provides a more streamlined and readable presentation because a substantial portion of the disclosure applies to both Vornado and the Operating Partnership; and</w:t>
      </w:r>
    </w:p>
    <w:p>
      <w:pPr>
        <w:ind w:left="480" w:hanging="318"/>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creates time and cost efficiencies in the preparation of one combined report instead of two separate reports.</w:t>
      </w:r>
    </w:p>
    <w:p>
      <w:pPr>
        <w:spacing w:after="0" w:line="48"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The Company believes it is important to understand the few differences between Vornado and the Operating Partnership in the context of how Vornado and the Operating Partnership operate as a consolidated company. The financial results of the Operating Partnership are consolidated into the financial statements of Vornado. Vornado does not have any significant assets, liabilities or operations, other than its investment in the Operating Partnership. The Operating Partnership, not Vornado, generally executes all significant business relationships other than transactions involving the securities of Vornado. The Operating Partnership holds substantially all of the assets of Vornado. The Operating Partnership conducts the operations of the business and is structured as a partnership with no publicly traded equity. Except for the net proceeds from equity offerings by Vornado, which are contributed to the capital of the Operating Partnership in exchange for Class A units of partnership in the Operating Partnership, and the net proceeds of debt offerings by Vornado, which are contributed to the Operating Partnership in exchange for debt securities of the Operating Partnership, as applicable, the Operating Partnership generates all remaining capital required by the Company’s business. These sources may include working capital, net cash provided by operating activities, borrowings under the revolving credit facilities, the issuance of secured and unsecured debt and equity securities and proceeds received from the disposition of certain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595630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 w:name="page4"/>
    <w:bookmarkEnd w:id="3"/>
    <w:p>
      <w:pPr>
        <w:ind w:firstLine="314"/>
        <w:spacing w:after="0" w:line="289" w:lineRule="auto"/>
        <w:rPr>
          <w:sz w:val="20"/>
          <w:szCs w:val="20"/>
          <w:color w:val="auto"/>
        </w:rPr>
      </w:pPr>
      <w:r>
        <w:rPr>
          <w:rFonts w:ascii="Times New Roman" w:cs="Times New Roman" w:eastAsia="Times New Roman" w:hAnsi="Times New Roman"/>
          <w:sz w:val="17"/>
          <w:szCs w:val="17"/>
          <w:color w:val="auto"/>
        </w:rPr>
        <w:t>To help investors better understand the key differences between Vornado and the Operating Partnership, certain information for Vornado and the Operating Partnership in this report has been separated, as set forth below:</w:t>
      </w:r>
    </w:p>
    <w:p>
      <w:pPr>
        <w:spacing w:after="0" w:line="1" w:lineRule="exact"/>
        <w:rPr>
          <w:sz w:val="20"/>
          <w:szCs w:val="20"/>
          <w:color w:val="auto"/>
        </w:rPr>
      </w:pPr>
    </w:p>
    <w:p>
      <w:pPr>
        <w:ind w:left="1100" w:hanging="466"/>
        <w:spacing w:after="0"/>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5. Market for Registrant’s Common Equity, Related Stockholder Matters and Issuer Purchases of Equity Securities;</w:t>
      </w:r>
    </w:p>
    <w:p>
      <w:pPr>
        <w:spacing w:after="0" w:line="32" w:lineRule="exact"/>
        <w:rPr>
          <w:rFonts w:ascii="Times New Roman" w:cs="Times New Roman" w:eastAsia="Times New Roman" w:hAnsi="Times New Roman"/>
          <w:sz w:val="17"/>
          <w:szCs w:val="17"/>
          <w:color w:val="auto"/>
        </w:rPr>
      </w:pPr>
    </w:p>
    <w:p>
      <w:pPr>
        <w:ind w:left="1100" w:hanging="466"/>
        <w:spacing w:after="0" w:line="257" w:lineRule="auto"/>
        <w:tabs>
          <w:tab w:leader="none" w:pos="10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7. Management’s Discussion and Analysis of Financial Condition and Results of Operations includes information specific to each entity, where applicable; and</w:t>
      </w:r>
    </w:p>
    <w:p>
      <w:pPr>
        <w:ind w:left="1100" w:hanging="466"/>
        <w:spacing w:after="0" w:line="257" w:lineRule="auto"/>
        <w:tabs>
          <w:tab w:leader="none" w:pos="10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8. Financial Statements and Supplementary Data which includes the following specific disclosures for Vornado Realty Trust and Vornado Realty L.P.:</w:t>
      </w:r>
    </w:p>
    <w:p>
      <w:pPr>
        <w:ind w:left="2040" w:hanging="463"/>
        <w:spacing w:after="0"/>
        <w:tabs>
          <w:tab w:leader="none" w:pos="204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10. Redeemable Noncontrolling Interests</w:t>
      </w:r>
    </w:p>
    <w:p>
      <w:pPr>
        <w:spacing w:after="0" w:line="14" w:lineRule="exact"/>
        <w:rPr>
          <w:rFonts w:ascii="Times New Roman" w:cs="Times New Roman" w:eastAsia="Times New Roman" w:hAnsi="Times New Roman"/>
          <w:sz w:val="17"/>
          <w:szCs w:val="17"/>
          <w:color w:val="auto"/>
        </w:rPr>
      </w:pPr>
    </w:p>
    <w:p>
      <w:pPr>
        <w:ind w:left="2040" w:hanging="463"/>
        <w:spacing w:after="0"/>
        <w:tabs>
          <w:tab w:leader="none" w:pos="204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11. Shareholders' Equity/Partners' Capital</w:t>
      </w:r>
    </w:p>
    <w:p>
      <w:pPr>
        <w:spacing w:after="0" w:line="14" w:lineRule="exact"/>
        <w:rPr>
          <w:rFonts w:ascii="Times New Roman" w:cs="Times New Roman" w:eastAsia="Times New Roman" w:hAnsi="Times New Roman"/>
          <w:sz w:val="17"/>
          <w:szCs w:val="17"/>
          <w:color w:val="auto"/>
        </w:rPr>
      </w:pPr>
    </w:p>
    <w:p>
      <w:pPr>
        <w:ind w:left="2040" w:hanging="463"/>
        <w:spacing w:after="0"/>
        <w:tabs>
          <w:tab w:leader="none" w:pos="204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12. Stock-based Compensation</w:t>
      </w:r>
    </w:p>
    <w:p>
      <w:pPr>
        <w:spacing w:after="0" w:line="14" w:lineRule="exact"/>
        <w:rPr>
          <w:rFonts w:ascii="Times New Roman" w:cs="Times New Roman" w:eastAsia="Times New Roman" w:hAnsi="Times New Roman"/>
          <w:sz w:val="17"/>
          <w:szCs w:val="17"/>
          <w:color w:val="auto"/>
        </w:rPr>
      </w:pPr>
    </w:p>
    <w:p>
      <w:pPr>
        <w:ind w:left="2040" w:hanging="463"/>
        <w:spacing w:after="0"/>
        <w:tabs>
          <w:tab w:leader="none" w:pos="204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13. Income Per Share and Per Class A Unit</w:t>
      </w:r>
    </w:p>
    <w:p>
      <w:pPr>
        <w:spacing w:after="0" w:line="4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This report also includes separate Part II, Item 9A. Controls and Procedures sections and separate Exhibits 31 and 32 certifications for each of Vornado and the Operating Partnership in order to establish that the requisite certifications have been made and that Vornado and the Operating Partnership are compliant with Rule 13a-15 or Rule 15d-15 of the Securities Exchange Act of 1934 and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585470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20" w:type="dxa"/>
            <w:vAlign w:val="bottom"/>
            <w:gridSpan w:val="2"/>
          </w:tcPr>
          <w:p>
            <w:pPr>
              <w:ind w:left="2540"/>
              <w:spacing w:after="0"/>
              <w:rPr>
                <w:sz w:val="20"/>
                <w:szCs w:val="20"/>
                <w:color w:val="auto"/>
              </w:rPr>
            </w:pPr>
            <w:r>
              <w:rPr>
                <w:rFonts w:ascii="Times New Roman" w:cs="Times New Roman" w:eastAsia="Times New Roman" w:hAnsi="Times New Roman"/>
                <w:sz w:val="17"/>
                <w:szCs w:val="17"/>
                <w:b w:val="1"/>
                <w:bCs w:val="1"/>
                <w:color w:val="auto"/>
              </w:rPr>
              <w:t>INDEX</w:t>
            </w:r>
          </w:p>
        </w:tc>
        <w:tc>
          <w:tcPr>
            <w:tcW w:w="1360" w:type="dxa"/>
            <w:vAlign w:val="bottom"/>
          </w:tcPr>
          <w:p>
            <w:pPr>
              <w:spacing w:after="0"/>
              <w:rPr>
                <w:sz w:val="19"/>
                <w:szCs w:val="19"/>
                <w:color w:val="auto"/>
              </w:rPr>
            </w:pPr>
          </w:p>
        </w:tc>
      </w:tr>
      <w:tr>
        <w:trPr>
          <w:trHeight w:val="301"/>
        </w:trPr>
        <w:tc>
          <w:tcPr>
            <w:tcW w:w="1720" w:type="dxa"/>
            <w:vAlign w:val="bottom"/>
          </w:tcPr>
          <w:p>
            <w:pPr>
              <w:spacing w:after="0"/>
              <w:rPr>
                <w:sz w:val="24"/>
                <w:szCs w:val="24"/>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Item</w:t>
            </w:r>
          </w:p>
        </w:tc>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Information:</w:t>
            </w:r>
          </w:p>
        </w:tc>
        <w:tc>
          <w:tcPr>
            <w:tcW w:w="136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Page Number</w:t>
            </w:r>
          </w:p>
        </w:tc>
      </w:tr>
      <w:tr>
        <w:trPr>
          <w:trHeight w:val="137"/>
        </w:trPr>
        <w:tc>
          <w:tcPr>
            <w:tcW w:w="17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r>
      <w:tr>
        <w:trPr>
          <w:trHeight w:val="22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Business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1A.</w:t>
            </w: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 Factors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1B.</w:t>
            </w: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Unresolved Staff Comments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1C.</w:t>
            </w: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Cybersecurity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25</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Properties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26</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Proceedings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Mine Safety Disclosures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0"/>
        </w:trPr>
        <w:tc>
          <w:tcPr>
            <w:tcW w:w="17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b w:val="1"/>
                <w:bCs w:val="1"/>
                <w:color w:val="auto"/>
              </w:rPr>
              <w:t>PART II.</w:t>
            </w:r>
          </w:p>
        </w:tc>
        <w:tc>
          <w:tcPr>
            <w:tcW w:w="11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4"/>
                <w:szCs w:val="14"/>
                <w:color w:val="auto"/>
              </w:rPr>
            </w:pPr>
          </w:p>
        </w:tc>
        <w:tc>
          <w:tcPr>
            <w:tcW w:w="692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Market for Registrant’s Common Equity, Related Stockholder Matters and Issuer Purchases of</w:t>
            </w:r>
          </w:p>
        </w:tc>
        <w:tc>
          <w:tcPr>
            <w:tcW w:w="1360" w:type="dxa"/>
            <w:vAlign w:val="bottom"/>
            <w:shd w:val="clear" w:color="auto" w:fill="CCEEFF"/>
          </w:tcPr>
          <w:p>
            <w:pPr>
              <w:spacing w:after="0"/>
              <w:rPr>
                <w:sz w:val="14"/>
                <w:szCs w:val="14"/>
                <w:color w:val="auto"/>
              </w:rPr>
            </w:pPr>
          </w:p>
        </w:tc>
      </w:tr>
      <w:tr>
        <w:trPr>
          <w:trHeight w:val="236"/>
        </w:trPr>
        <w:tc>
          <w:tcPr>
            <w:tcW w:w="17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Reserved</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33</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34</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7A.</w:t>
            </w: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Statements and Supplementary Data</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and Disagreements with Accountants on Accounting and Financial Disclosure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113</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9A.</w:t>
            </w: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Controls and Procedures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113</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9B.</w:t>
            </w: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Information</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117</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9C.</w:t>
            </w: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Disclosure Regarding Foreign Jurisdictions That Prevent Inspections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117</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Directors, Executive Officers and Corporate Governance</w:t>
            </w:r>
            <w:r>
              <w:rPr>
                <w:rFonts w:ascii="Times New Roman" w:cs="Times New Roman" w:eastAsia="Times New Roman" w:hAnsi="Times New Roman"/>
                <w:sz w:val="22"/>
                <w:szCs w:val="22"/>
                <w:b w:val="1"/>
                <w:bCs w:val="1"/>
                <w:color w:val="auto"/>
                <w:vertAlign w:val="superscript"/>
              </w:rPr>
              <w:t>(1)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117</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Executive Compensation</w:t>
            </w:r>
            <w:r>
              <w:rPr>
                <w:rFonts w:ascii="Times New Roman" w:cs="Times New Roman" w:eastAsia="Times New Roman" w:hAnsi="Times New Roman"/>
                <w:sz w:val="22"/>
                <w:szCs w:val="22"/>
                <w:b w:val="1"/>
                <w:bCs w:val="1"/>
                <w:color w:val="auto"/>
                <w:vertAlign w:val="superscript"/>
              </w:rPr>
              <w:t>(1)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117</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0"/>
        </w:trPr>
        <w:tc>
          <w:tcPr>
            <w:tcW w:w="172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4"/>
                <w:szCs w:val="14"/>
                <w:color w:val="auto"/>
              </w:rPr>
            </w:pPr>
          </w:p>
        </w:tc>
        <w:tc>
          <w:tcPr>
            <w:tcW w:w="692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Security Ownership of Certain Beneficial Owners and Management and Related Stockholder</w:t>
            </w:r>
          </w:p>
        </w:tc>
        <w:tc>
          <w:tcPr>
            <w:tcW w:w="1360" w:type="dxa"/>
            <w:vAlign w:val="bottom"/>
            <w:shd w:val="clear" w:color="auto" w:fill="CCEEFF"/>
          </w:tcPr>
          <w:p>
            <w:pPr>
              <w:spacing w:after="0"/>
              <w:rPr>
                <w:sz w:val="14"/>
                <w:szCs w:val="14"/>
                <w:color w:val="auto"/>
              </w:rPr>
            </w:pPr>
          </w:p>
        </w:tc>
      </w:tr>
      <w:tr>
        <w:trPr>
          <w:trHeight w:val="236"/>
        </w:trPr>
        <w:tc>
          <w:tcPr>
            <w:tcW w:w="17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92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7"/>
                <w:szCs w:val="17"/>
                <w:color w:val="auto"/>
              </w:rPr>
              <w:t>Matters</w:t>
            </w:r>
            <w:r>
              <w:rPr>
                <w:rFonts w:ascii="Times New Roman" w:cs="Times New Roman" w:eastAsia="Times New Roman" w:hAnsi="Times New Roman"/>
                <w:sz w:val="22"/>
                <w:szCs w:val="22"/>
                <w:b w:val="1"/>
                <w:bCs w:val="1"/>
                <w:color w:val="auto"/>
                <w:vertAlign w:val="superscript"/>
              </w:rPr>
              <w:t>(1)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118</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Certain Relationships and Related Transactions, and Director Independence</w:t>
            </w:r>
            <w:r>
              <w:rPr>
                <w:rFonts w:ascii="Times New Roman" w:cs="Times New Roman" w:eastAsia="Times New Roman" w:hAnsi="Times New Roman"/>
                <w:sz w:val="22"/>
                <w:szCs w:val="22"/>
                <w:b w:val="1"/>
                <w:bCs w:val="1"/>
                <w:color w:val="auto"/>
                <w:vertAlign w:val="superscript"/>
              </w:rPr>
              <w:t>(1)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118</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Principal Accountant Fees and Services</w:t>
            </w:r>
            <w:r>
              <w:rPr>
                <w:rFonts w:ascii="Times New Roman" w:cs="Times New Roman" w:eastAsia="Times New Roman" w:hAnsi="Times New Roman"/>
                <w:sz w:val="22"/>
                <w:szCs w:val="22"/>
                <w:b w:val="1"/>
                <w:bCs w:val="1"/>
                <w:color w:val="auto"/>
                <w:vertAlign w:val="superscript"/>
              </w:rPr>
              <w:t>(1)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118</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Exhibits and Financial Statement Schedules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118</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Form 10-K Summary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128</w:t>
            </w:r>
          </w:p>
        </w:tc>
      </w:tr>
      <w:tr>
        <w:trPr>
          <w:trHeight w:val="157"/>
        </w:trPr>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Signatures</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129</w:t>
            </w:r>
          </w:p>
        </w:tc>
      </w:tr>
      <w:tr>
        <w:trPr>
          <w:trHeight w:val="211"/>
        </w:trPr>
        <w:tc>
          <w:tcPr>
            <w:tcW w:w="28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1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jc w:val="both"/>
        <w:ind w:left="320" w:hanging="315"/>
        <w:spacing w:after="0" w:line="264" w:lineRule="auto"/>
        <w:tabs>
          <w:tab w:leader="none" w:pos="31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These items are omitted in whole or in part because Vornado, the Operating Partnership’s sole general partner, will file a definitive Proxy Statement pursuant to Regulation 14A under the Securities Exchange Act of 1934 with the Securities and Exchange Commission no later than 120 days after December 31, 2025, portions of which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5" w:name="page6"/>
    <w:bookmarkEnd w:id="5"/>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87" w:lineRule="exact"/>
        <w:rPr>
          <w:sz w:val="20"/>
          <w:szCs w:val="20"/>
          <w:color w:val="auto"/>
        </w:rPr>
      </w:pPr>
    </w:p>
    <w:p>
      <w:pPr>
        <w:jc w:val="both"/>
        <w:ind w:firstLine="314"/>
        <w:spacing w:after="0" w:line="216" w:lineRule="exact"/>
        <w:rPr>
          <w:sz w:val="20"/>
          <w:szCs w:val="20"/>
          <w:color w:val="auto"/>
        </w:rPr>
      </w:pPr>
      <w:r>
        <w:rPr>
          <w:rFonts w:ascii="Times New Roman" w:cs="Times New Roman" w:eastAsia="Times New Roman" w:hAnsi="Times New Roman"/>
          <w:sz w:val="17"/>
          <w:szCs w:val="17"/>
          <w:color w:val="auto"/>
        </w:rPr>
        <w:t>Certain statements contained herein constitute forward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looking statements as such term is defined in Section 27A of the Securities Act of 1933, as amended, and Section 21E of the Securities Exchange Act of 1934, as amended. Forward-looking statements are not guarantees of future performance. They represent our intentions, plans, expectations and beliefs and are subject to numerous assumptions, risks and uncertainties. Our future results, financial condition and business may differ materially from those expressed in these forward-looking statements. You can find many of these statements by looking for words such as “approximates,” “believes,” “expects,” “anticipates,” “estimates,” “intends,” “plans,” “would,” “may” or other similar expressions in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We also note the following forward-looking statements: in the case of our development and redevelopment projects, the estimated completion date, estimated project cost and cost to complete; estimates of future rents, estimates of future capital expenditures, dividends to common and preferred shareholders and operating partnership distributions. Many of the factors that will determine the outcome of these and our other forward-looking statements are beyond our ability to control or predict. For further discussion of factors that could materially affect the outcome of our forward-looking statements, see “Item 1A. Risk Factors” in this Annual Report on Form 10-K.</w:t>
      </w:r>
    </w:p>
    <w:p>
      <w:pPr>
        <w:spacing w:after="0" w:line="3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For these statements, we claim the protection of the safe harbor for forward-looking statements contained in the Private Securities Litigation Reform Act of 1995. You are cautioned not to place undue reliance on our forward-looking statements, which speak only as of the date of this Annual Report on Form 10-K or the date of any document incorporated by reference.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occurring after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6" w:name="page7"/>
    <w:bookmarkEnd w:id="6"/>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1.</w:t>
        <w:tab/>
        <w:t>BUSINESS</w:t>
      </w:r>
    </w:p>
    <w:p>
      <w:pPr>
        <w:spacing w:after="0" w:line="34" w:lineRule="exact"/>
        <w:rPr>
          <w:sz w:val="20"/>
          <w:szCs w:val="20"/>
          <w:color w:val="auto"/>
        </w:rPr>
      </w:pPr>
    </w:p>
    <w:p>
      <w:pPr>
        <w:jc w:val="both"/>
        <w:ind w:firstLine="314"/>
        <w:spacing w:after="0" w:line="223" w:lineRule="exact"/>
        <w:rPr>
          <w:sz w:val="20"/>
          <w:szCs w:val="20"/>
          <w:color w:val="auto"/>
        </w:rPr>
      </w:pPr>
      <w:r>
        <w:rPr>
          <w:rFonts w:ascii="Times New Roman" w:cs="Times New Roman" w:eastAsia="Times New Roman" w:hAnsi="Times New Roman"/>
          <w:sz w:val="17"/>
          <w:szCs w:val="17"/>
          <w:color w:val="auto"/>
        </w:rPr>
        <w:t>Vornado is a fully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integrated REIT and conducts its business through, and substantially all of its interests in properties are held by, the Operating Partnership, a Delaware limited partnership. Accordingly, Vornado’s cash flow and ability to pay dividends to its shareholders are dependent upon the cash flow of the Operating Partnership and the ability of its direct and indirect subsidiaries to first satisfy their obligations to creditors. Vornado is the sole general partner of and owned approximately 91.3% of the common limited partnership interest in the Operating Partnership as of December 31, 2025.</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currently own all or portions of:</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u w:val="single" w:color="auto"/>
          <w:color w:val="auto"/>
        </w:rPr>
        <w:t>New York:</w:t>
      </w:r>
    </w:p>
    <w:p>
      <w:pPr>
        <w:spacing w:after="0" w:line="68" w:lineRule="exact"/>
        <w:rPr>
          <w:sz w:val="20"/>
          <w:szCs w:val="20"/>
          <w:color w:val="auto"/>
        </w:rPr>
      </w:pPr>
    </w:p>
    <w:p>
      <w:pPr>
        <w:ind w:left="620" w:hanging="301"/>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 Manhattan operating properties consisting of:</w:t>
      </w:r>
    </w:p>
    <w:p>
      <w:pPr>
        <w:spacing w:after="0" w:line="32"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19.2 million square feet of office space in 26 of the properties;</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 million square feet of street retail space in 45 of the properties;</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1,331 units in two Manhattan residential properties;</w:t>
      </w:r>
    </w:p>
    <w:p>
      <w:pPr>
        <w:spacing w:after="0" w:line="14"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development sites and redevelopment projects, including 350 Park Avenue, Sunset Pier 94 Studios, 623 Fifth Avenue, the Hotel Pennsylvania site (PENN 15) and other PENN district sites;</w:t>
      </w:r>
    </w:p>
    <w:p>
      <w:pPr>
        <w:ind w:left="640" w:hanging="321"/>
        <w:spacing w:after="0" w:line="257"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32.4% interest in Alexander’s, Inc. (“Alexander’s”) (NYSE: ALX), which owns five properties in the greater New York metropolitan area, including 731 Lexington Avenue, the 1.1 million square foot Bloomberg, L.P. headquarters building, and The Alexander, a 312-unit apartment tower in Queens;</w:t>
      </w:r>
    </w:p>
    <w:p>
      <w:pPr>
        <w:ind w:left="620" w:hanging="301"/>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Signage throughout the PENN District and Times Square; and</w:t>
      </w:r>
    </w:p>
    <w:p>
      <w:pPr>
        <w:spacing w:after="0" w:line="14" w:lineRule="exact"/>
        <w:rPr>
          <w:rFonts w:ascii="Times New Roman" w:cs="Times New Roman" w:eastAsia="Times New Roman" w:hAnsi="Times New Roman"/>
          <w:sz w:val="17"/>
          <w:szCs w:val="17"/>
          <w:color w:val="auto"/>
        </w:rPr>
      </w:pPr>
    </w:p>
    <w:p>
      <w:pPr>
        <w:ind w:left="640" w:hanging="321"/>
        <w:spacing w:after="0" w:line="269"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Building Maintenance Services LLC ("BMS"), a wholly owned subsidiary, which provides cleaning and security services for our buildings and third parties.</w:t>
      </w:r>
    </w:p>
    <w:p>
      <w:pPr>
        <w:ind w:left="320"/>
        <w:spacing w:after="0"/>
        <w:rPr>
          <w:sz w:val="20"/>
          <w:szCs w:val="20"/>
          <w:color w:val="auto"/>
        </w:rPr>
      </w:pPr>
      <w:r>
        <w:rPr>
          <w:rFonts w:ascii="Times New Roman" w:cs="Times New Roman" w:eastAsia="Times New Roman" w:hAnsi="Times New Roman"/>
          <w:sz w:val="17"/>
          <w:szCs w:val="17"/>
          <w:b w:val="1"/>
          <w:bCs w:val="1"/>
          <w:u w:val="single" w:color="auto"/>
          <w:color w:val="auto"/>
        </w:rPr>
        <w:t>Other Real Estate and Investments:</w:t>
      </w:r>
    </w:p>
    <w:p>
      <w:pPr>
        <w:spacing w:after="0" w:line="68" w:lineRule="exact"/>
        <w:rPr>
          <w:sz w:val="20"/>
          <w:szCs w:val="20"/>
          <w:color w:val="auto"/>
        </w:rPr>
      </w:pPr>
    </w:p>
    <w:p>
      <w:pPr>
        <w:ind w:left="620" w:hanging="301"/>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3.7 million square foot THE MART in Chicago;</w:t>
      </w:r>
    </w:p>
    <w:p>
      <w:pPr>
        <w:spacing w:after="0" w:line="32"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70% controlling interest in 555 California Street, a three-building office complex in San Francisco’s financial district aggregating 1.8 million square feet; and</w:t>
      </w:r>
    </w:p>
    <w:p>
      <w:pPr>
        <w:ind w:left="620" w:hanging="301"/>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real estate and investments.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OBJECTIVES AND STRATEGY</w:t>
      </w:r>
    </w:p>
    <w:p>
      <w:pPr>
        <w:spacing w:after="0" w:line="55" w:lineRule="exact"/>
        <w:rPr>
          <w:sz w:val="20"/>
          <w:szCs w:val="20"/>
          <w:color w:val="auto"/>
        </w:rPr>
      </w:pPr>
    </w:p>
    <w:p>
      <w:pPr>
        <w:ind w:firstLine="314"/>
        <w:spacing w:after="0" w:line="289" w:lineRule="auto"/>
        <w:rPr>
          <w:sz w:val="20"/>
          <w:szCs w:val="20"/>
          <w:color w:val="auto"/>
        </w:rPr>
      </w:pPr>
      <w:r>
        <w:rPr>
          <w:rFonts w:ascii="Times New Roman" w:cs="Times New Roman" w:eastAsia="Times New Roman" w:hAnsi="Times New Roman"/>
          <w:sz w:val="17"/>
          <w:szCs w:val="17"/>
          <w:color w:val="auto"/>
        </w:rPr>
        <w:t>Our business objective is to maximize Vornado shareholder value. We intend to achieve this objective by continuing to pursue our investment philosophy and to execute our operating strategies through:</w:t>
      </w:r>
    </w:p>
    <w:p>
      <w:pPr>
        <w:spacing w:after="0" w:line="1" w:lineRule="exact"/>
        <w:rPr>
          <w:sz w:val="20"/>
          <w:szCs w:val="20"/>
          <w:color w:val="auto"/>
        </w:rPr>
      </w:pPr>
    </w:p>
    <w:p>
      <w:pPr>
        <w:ind w:left="620" w:hanging="301"/>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superior team of operating and investment professionals and an entrepreneurial spirit;</w:t>
      </w:r>
    </w:p>
    <w:p>
      <w:pPr>
        <w:spacing w:after="0" w:line="32"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properties in select markets, such as New York City, where we believe there is a high likelihood of capital appreciation;</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acquiring quality properties at a discount to replacement cost and where there is a significant potential for higher rents;</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redeveloping properties to increase returns and maximize value; and</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operating companies that have a significant real estate component.</w:t>
      </w:r>
    </w:p>
    <w:p>
      <w:pPr>
        <w:spacing w:after="0" w:line="4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expect to finance our growth from acquisitions, developments, redevelopments and investments using internally generated funds and proceeds from asset sales and by accessing the public and private capital markets. We may also offer Vornado common or preferred shares or Operating Partnership units in exchange for property and may repurchase or otherwise reacquire these securities in the future.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ACQUISITIONS</w:t>
      </w:r>
    </w:p>
    <w:p>
      <w:pPr>
        <w:spacing w:after="0" w:line="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completed the following acquisition transactions during 2025:</w:t>
      </w:r>
    </w:p>
    <w:p>
      <w:pPr>
        <w:spacing w:after="0" w:line="32" w:lineRule="exact"/>
        <w:rPr>
          <w:sz w:val="20"/>
          <w:szCs w:val="20"/>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$218 million acquisition of the 623 Fifth Avenue office condominium, a 36-story, 383,000 square foot building;</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 million A-Note investment at par plus accrued interest, secured by 3 East 54th Street (we subsequently purchased the property in January 2026).</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DISPOSITIONS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completed the following sale transactions during 2025:</w:t>
      </w:r>
    </w:p>
    <w:p>
      <w:pPr>
        <w:spacing w:after="0" w:line="32" w:lineRule="exact"/>
        <w:rPr>
          <w:sz w:val="20"/>
          <w:szCs w:val="20"/>
          <w:color w:val="auto"/>
        </w:rPr>
      </w:pPr>
    </w:p>
    <w:p>
      <w:pPr>
        <w:ind w:left="640" w:hanging="321"/>
        <w:spacing w:after="0" w:line="257"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 million sale to UNIQLO of the portion of its U.S. flagship store at 666 Fifth Avenue (52.0% ownership) with the $342 million of net proceeds partially redeeming our preferred equity;</w:t>
      </w:r>
    </w:p>
    <w:p>
      <w:pPr>
        <w:ind w:left="640" w:hanging="321"/>
        <w:spacing w:after="0" w:line="257"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$205 million sale of 512 West 22nd Street (55.0% ownership) with net proceeds of $38 million after deducting our share of the existing $123 million mortgage loan;</w:t>
      </w: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 million net proceeds from the sale of three condominium units and ancillary amenities at 220 Central Park South;</w:t>
      </w:r>
    </w:p>
    <w:p>
      <w:pPr>
        <w:spacing w:after="0" w:line="14"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 million net proceeds from the sale of eight residential condominium units and two retail condominium units at 304-306 Canal Street and 334 Canal Street;</w:t>
      </w: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 million sale of 49 West 57th Street (50.0% ownership) with net proceeds of $9 million.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FINANCINGS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completed the following financing transactions during 2025:</w:t>
      </w:r>
    </w:p>
    <w:p>
      <w:pPr>
        <w:spacing w:after="0" w:line="32" w:lineRule="exact"/>
        <w:rPr>
          <w:sz w:val="20"/>
          <w:szCs w:val="20"/>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$700 million repayment of the 770 Broadway mortgage loan;</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$675 million refinancing of Independence Plaza (50.1% ownership);</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$450 million repayment of our 3.50% senior unsecured notes due January 2025;</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$450 million refinancing of PENN 11;</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$450 million financing of 1535 Broadway (52.0% ownership);</w:t>
      </w:r>
    </w:p>
    <w:p>
      <w:pPr>
        <w:spacing w:after="0" w:line="14"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 million restructuring of the 731 Lexington Avenue retail condominium (32.4% ownership); splitting the loan into a $133 million A-Note and $167 million C-Note and subsequent repurchase of the A-Note by Alexander’s;</w:t>
      </w: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$175 million refinancing of Rego Park II (32.4% ownership);</w:t>
      </w:r>
    </w:p>
    <w:p>
      <w:pPr>
        <w:spacing w:after="0" w:line="14"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 million refinancing of 4 Union Square South.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DEVELOPMENT / REDEVELOPMENT PROJECTS AND OPPORTUNITIES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District</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PENN 2</w:t>
      </w:r>
    </w:p>
    <w:p>
      <w:pPr>
        <w:spacing w:after="0" w:line="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are redeveloping PENN 2, a 1,825,000 square foot (as expanded) office building, located on the west side of Seventh Avenue between 31st and 33rd Street. The development cost of this project is estimated to be $750,000,000, of which $724,843,000 of cash has been expended as of December 31, 2025.</w:t>
      </w:r>
    </w:p>
    <w:p>
      <w:pPr>
        <w:spacing w:after="0" w:line="42"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are also making districtwide improvements within the PENN District. The development cost of these improvements is estimated to be $100,000,000, of which $80,196,000 of cash has been expended as of December 31, 2025.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Sunset Pier 94 Studios</w:t>
      </w:r>
    </w:p>
    <w:p>
      <w:pPr>
        <w:spacing w:after="0" w:line="6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On August 28, 2023, we, together with Hudson Pacific Properties and Blackstone Inc., formed a joint venture to develop Pier 94 into a 266,000 square foot purpose-built studio campus in Manhattan. We own a 49.9% equity interest in the joint venture. The development cost of the project is estimated to be $350,000,000, which will be funded with $183,200,000 of construction financing ($143,870,000 drawn as of December 31, 2025) and $166,800,000 of equity contributions. Our share of equity contributions was funded by (i) our $40,000,000 Pier 94 leasehold interest contribution and (ii) $34,000,000 of cash contributions, which are net of an estimated $9,000,000 for our share of development fees and reimbursement for overhead costs incurred by us. During 2024, we fully funded our share of equity and cash contributions.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623 Fifth Avenue Office Condominium</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are redeveloping the 623 Fifth Avenue office condominium, a 36-story, 383,000 square foot building situated above the flagship Saks Fifth Avenue department store, into a premier boutique office building. We purchased the property in September 2025 for $218,000,000 and at closing, borrowed $145,420,000 under our revolving credit facility to partially finance the acquisition. The development cost of this project, including the cost of acquiring the property, is estimated to be $450,000,000, of which $222,644,000 of cash has been expended as of December 31, 2025. We expect to complete the redevelopment for delivery to tenants in 2027.</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350 Park Avenue</w:t>
      </w:r>
    </w:p>
    <w:p>
      <w:pPr>
        <w:spacing w:after="0" w:line="68" w:lineRule="exact"/>
        <w:rPr>
          <w:sz w:val="20"/>
          <w:szCs w:val="20"/>
          <w:color w:val="auto"/>
        </w:rPr>
      </w:pPr>
    </w:p>
    <w:p>
      <w:pPr>
        <w:jc w:val="both"/>
        <w:ind w:firstLine="314"/>
        <w:spacing w:after="0"/>
        <w:rPr>
          <w:sz w:val="20"/>
          <w:szCs w:val="20"/>
          <w:color w:val="auto"/>
        </w:rPr>
      </w:pPr>
      <w:r>
        <w:rPr>
          <w:rFonts w:ascii="Times New Roman" w:cs="Times New Roman" w:eastAsia="Times New Roman" w:hAnsi="Times New Roman"/>
          <w:sz w:val="17"/>
          <w:szCs w:val="17"/>
          <w:color w:val="auto"/>
        </w:rPr>
        <w:t>On December 18, 2025, an affiliate of Kenneth C. Griffin, Citadel Enterprise Americas LLC’s (“Citadel”) Founder and CEO (“KG”), exercised an option to acquire at least a 60% interest in a joint venture (the “350 Park JV”) that would develop the 350 Park Avenue site (the “Investment Option”). Vornado and the Rudin Family, via a joint venture (the “Vornado/Rudin JV”), have the option to acquire an interest between 23% and 40% in the 350 Park JV (with Vornado having an effective ownership ranging from 21% to 36%). 350 Park JV would combine 350 Park Avenue with 39 East 51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Street (owned by the Vornado/Rudin JV) and 40 East 52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xml:space="preserve"> Street (owned by the Rudin Family) to build a new 1,850,000 square foot office tower (the “350 Park Site”) with Citadel as the anchor tenant. The Vornado/Rudin JV has until July 2026 to determine whether to enter into the 350 Park JV with KG or to exercise the option to put the 350 Park Site to KG for $1.2 billion ($900,000,000 to Vornado). The Investment Option closing is subject to the satisfaction of certain conditions.</w:t>
      </w:r>
    </w:p>
    <w:p>
      <w:pPr>
        <w:spacing w:after="0" w:line="246"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We are also evaluating other development and redevelopment opportunities at certain of our properties in Manhattan including, in particular, the PENN District.</w:t>
      </w:r>
    </w:p>
    <w:p>
      <w:pPr>
        <w:spacing w:after="0" w:line="200" w:lineRule="exact"/>
        <w:rPr>
          <w:sz w:val="20"/>
          <w:szCs w:val="20"/>
          <w:color w:val="auto"/>
        </w:rPr>
      </w:pPr>
    </w:p>
    <w:p>
      <w:pPr>
        <w:spacing w:after="0" w:line="3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can be no assurance that the above projects will be completed, completed on schedule or within budget.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ENVIRONMENTAL SUSTAINABILITY INITIATIVES</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have long believed a focus on environmental sustainability is responsible management of our business and important to our tenants, investors, employees and communities that we serve. It has been central to Vornado's business strategy for over 15 years. The Corporate Governance and Nominating Committee of Vornado's Board of Trustees is assigned with oversight of sustainability matters, which includes climate change risk. Environmental sustainability initiatives are carried out by a dedicated team of professionals that work directly with our business units.</w:t>
      </w:r>
    </w:p>
    <w:p>
      <w:pPr>
        <w:spacing w:after="0" w:line="11"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Vornado is an industry leader in sustainability, owning and operating more than 26 million square feet of LEED (Leadership in Energy and Environmental Design) certified buildings, representing 100% of our certifiable office portfolio, with over 24 million square feet at LEED Gold or Platinum. In 2025, we:</w:t>
      </w:r>
    </w:p>
    <w:p>
      <w:pPr>
        <w:spacing w:after="0" w:line="1" w:lineRule="exact"/>
        <w:rPr>
          <w:sz w:val="20"/>
          <w:szCs w:val="20"/>
          <w:color w:val="auto"/>
        </w:rPr>
      </w:pPr>
    </w:p>
    <w:p>
      <w:pPr>
        <w:ind w:left="640" w:hanging="321"/>
        <w:spacing w:after="0" w:line="257"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GRESB's five star rating and an assessment score of 91, placing us in the top 3% for the Americas/Listed, and the “Green Star” distinction for the thirteenth consecutive year;</w:t>
      </w:r>
    </w:p>
    <w:p>
      <w:pPr>
        <w:ind w:left="620" w:hanging="301"/>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achieved 100% WELL Health-Safety certification across our in-service office portfolio.</w:t>
      </w:r>
    </w:p>
    <w:p>
      <w:pPr>
        <w:spacing w:after="0" w:line="4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prioritize addressing climate change and in 2019 adopted a 10-year plan to make our buildings carbon neutral by 2030 (“Vision 2030”). Vision 2030 is a multi-faceted approach that prioritizes energy reduction, recovery, and renewable power. We rely on technology, as well as meaningful stakeholder collaboration with our tenants, our employees, and our communities, to achieve this plan. Our commitment to carbon neutrality and associated emissions reduction targets have been approved by the Science Based Targets Initiative as consistent with a 1.5°C climate scenario limit, the most ambitious goal of the Paris Agreement.</w:t>
      </w:r>
    </w:p>
    <w:p>
      <w:pPr>
        <w:spacing w:after="0" w:line="1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consider sustainability in all aspects of our business, including the design, construction, retrofitting and ongoing maintenance and operations of our portfolio of buildings. We operate our buildings sustainably and efficiently by seeking to establish best practices in energy and water consumption, carbon reduction, resource and waste management and ecologically sensitive procurement. Our policies, from 100% green cleaning to procuring 100% renewable electricity certificates to energy efficiency, are implemented across our entire portfolio. We undertake significant outreach with our tenants, employees and investors regarding Vornado’s sustainability programs and strategies.</w:t>
      </w:r>
    </w:p>
    <w:p>
      <w:pPr>
        <w:spacing w:after="0" w:line="13"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gather data to measure progress against our goals, align our goals with our tenants, plan for our longer-term projects and engage with our stakeholders in meaningful ways. We use carbon accounting software, energy audits and models and building automation software to measure and track our portfolio-wide waste, water and energy reduction strategies, create roadmaps for each building to understand how to achieve carbon neutrality and provide accurate and actionable data for our measurement, verification and reporting requirements.</w:t>
      </w:r>
    </w:p>
    <w:p>
      <w:pPr>
        <w:spacing w:after="0" w:line="1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are committed to transparent reporting of sustainability performance indicators and publish an annual Sustainability Report in accordance with the Global Reporting Initiative and aligned with the metrics codified by the Sustainability Accounting Standards Board. Further details on our environmental sustainability initiatives and strategy, including our Vision 2030 Roadmap, can be found in our 2024 Sustainability Report at (vno.com/sustainability). There can be no assurance that our Vision 2030 commitment will be achieved in the planned time frame. The Sustainability Report is not incorporated by reference and should not be considered part of this Annual Report on Form 10-K.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employees are the foundation of our business.</w:t>
      </w:r>
    </w:p>
    <w:p>
      <w:pPr>
        <w:spacing w:after="0" w:line="6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As of December 31, 2025, we had 3,145 employees, consisting of (i) 2,725 employees of Building Maintenance Services LLC, a wholly owned subsidiary, which provides cleaning, security, engineering and parking services primarily to our New York properties, (ii) 369 employees in our corporate office, and (iii) 51 employees of THE MART. The foregoing does not include employees of partially owned entities.</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Compensation, Benefits and Employee Wellbeing</w:t>
      </w:r>
    </w:p>
    <w:p>
      <w:pPr>
        <w:spacing w:after="0" w:line="70"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To attract and retain the best-qualified talent and to help our employees stay healthy, balance their work and personal lives, and meet their financial and retirement goals, we offer competitive benefits including, but not limited to, market-competitive compensation, healthcare (medical, dental and vision coverage), a health savings account, 401(k) and employer match, dependent care flexible spending account, parental leave, adoption/surrogacy benefits, short-term and long-term disability insurance, life insurance, pet insurance, time off/paid holidays, tuition reimbursement, subsidized gym memberships, employee wellness programs and incentives, in-workplace vaccinations, commuter benefits, an employee assistance program and workplace flexibility.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HUMAN CAPITAL MANAGEMENT - CONTINUED</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Talent Development</w:t>
      </w:r>
    </w:p>
    <w:p>
      <w:pPr>
        <w:spacing w:after="0" w:line="7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To foster talent and growth, we provide training and continuing education, promote career and personal development, and encourage innovation and engagement. To achieve our talent development goals, we provide tuition reimbursement for our employees’ continuing education and professional development, and the opportunity to participate in a variety of training and networking engagements.</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Culture and Engagement</w:t>
      </w:r>
    </w:p>
    <w:p>
      <w:pPr>
        <w:spacing w:after="0" w:line="7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employees are critical to our success, and we believe creating a positive and inclusive culture is essential to attracting and retaining engaged employees. We seek to retain our employees by actively engaging with our workforce and we solicit their feedback through our divisional leaders and employee surveys. We use their feedback to create and continually enhance programs that support their needs.</w:t>
      </w:r>
    </w:p>
    <w:p>
      <w:pPr>
        <w:spacing w:after="0" w:line="7"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Through our volunteer program, Vornado Volunteers, employees are granted one day of paid time off per calendar year to volunteer for a cause of their choice.</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Health and Wellness</w:t>
      </w:r>
    </w:p>
    <w:p>
      <w:pPr>
        <w:spacing w:after="0" w:line="70"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As a building owner and landlord to thousands of business tenants, we focus on maintaining and improving the health of our indoor environments, as well as communicating the value of our health and wellness programs with consistency and clarity to our stakeholders. We believe that consistent health programming and communications protocols not only mitigate health risks within our buildings, but they also create a responsible behavior framework for our employees, our tenants, and our visitors.</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Labor Relations</w:t>
      </w:r>
    </w:p>
    <w:p>
      <w:pPr>
        <w:spacing w:after="0" w:line="7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BMS employs and manages janitorial and security staff who are members of 32BJ SEIU and engineering staff who are members of Local 94 of the International Union of Operating Engineers AFL-CIO. Through our active participation in the Realty Advisory Board on Labor Relations, we work collaboratively with both unions and consider our relations with our union employees to be very positive.</w:t>
      </w:r>
    </w:p>
    <w:p>
      <w:pPr>
        <w:spacing w:after="0" w:line="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For additional information on human capital matters, please see our most recent Sustainability Report, available for download on our website at www.vno.com and in digital format at vno.com/sustainability. This report and other information on our website are not incorporated by reference into and do not form any part of this Annual Report on Form 10-K.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compete with a large number of real estate investors, property owners and developers, some of whom may be willing to accept lower returns on their investments. Principal factors of competition are rents charged, tenant concessions offered, attractiveness of location, the quality of the property and the breadth and the quality of services provided. Our success depends upon, among other factors, trends of the global, national, regional and local economies, the financial condition and operating results of current and prospective tenants and customers, availability and cost of capital, construction and renovation costs, taxes, governmental regulations, legislation, population and employment trends. See "Risk Factors" in Item 1A for additional information regarding these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DATA</w:t>
      </w:r>
    </w:p>
    <w:p>
      <w:pPr>
        <w:spacing w:after="0" w:line="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 xml:space="preserve">We operate in the following reportable segments: New York and Other. Financial information related to these reportable segments for the years ended December 31, 2025, 2024 and 2023 is set forth in Note 23 – </w:t>
      </w:r>
      <w:r>
        <w:rPr>
          <w:rFonts w:ascii="Times New Roman" w:cs="Times New Roman" w:eastAsia="Times New Roman" w:hAnsi="Times New Roman"/>
          <w:sz w:val="17"/>
          <w:szCs w:val="17"/>
          <w:i w:val="1"/>
          <w:iCs w:val="1"/>
          <w:color w:val="auto"/>
        </w:rPr>
        <w:t>Segment Information</w:t>
      </w:r>
      <w:r>
        <w:rPr>
          <w:rFonts w:ascii="Times New Roman" w:cs="Times New Roman" w:eastAsia="Times New Roman" w:hAnsi="Times New Roman"/>
          <w:sz w:val="17"/>
          <w:szCs w:val="17"/>
          <w:color w:val="auto"/>
        </w:rPr>
        <w:t xml:space="preserve"> to our consolidated financial statements in this Annual Report on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TENANTS ACCOUNTING FOR OVER 10% OF REVENUES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 of our tenants accounted for more than 10% of total revenues in any of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CERTAIN ACTIVITIES</w:t>
      </w:r>
    </w:p>
    <w:p>
      <w:pPr>
        <w:spacing w:after="0" w:line="34" w:lineRule="exact"/>
        <w:rPr>
          <w:sz w:val="20"/>
          <w:szCs w:val="20"/>
          <w:color w:val="auto"/>
        </w:rPr>
      </w:pPr>
    </w:p>
    <w:p>
      <w:pPr>
        <w:jc w:val="both"/>
        <w:ind w:firstLine="314"/>
        <w:spacing w:after="0" w:line="223" w:lineRule="exact"/>
        <w:rPr>
          <w:sz w:val="20"/>
          <w:szCs w:val="20"/>
          <w:color w:val="auto"/>
        </w:rPr>
      </w:pPr>
      <w:r>
        <w:rPr>
          <w:rFonts w:ascii="Times New Roman" w:cs="Times New Roman" w:eastAsia="Times New Roman" w:hAnsi="Times New Roman"/>
          <w:sz w:val="17"/>
          <w:szCs w:val="17"/>
          <w:color w:val="auto"/>
        </w:rPr>
        <w:t>We do not base our acquisitions and investments on specific allocations by type of property. We have historically held our properties for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investment; however, it is possible that properties in our portfolio may be sold or otherwise disposed of when circumstances warrant. Further, we have not adopted a policy that limits the amount or percentage of assets which could be invested in a specific property or property type. Generally our activities are reviewed and may be modified from time to time by Vornado’s Board of Trustees without the vote of our shareholders or Operating Partnership unitholders.</w:t>
      </w:r>
    </w:p>
    <w:p>
      <w:pPr>
        <w:spacing w:after="0" w:line="8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Material factors that may adversely affect our business, operations and financial condition are summarized below. We refer to the equity and debt securities of both Vornado and the Operating Partnership as our “securities” and the investors who own shares of Vornado or units of the Operating Partnership, or both, as our “equity holders.” The risks and uncertainties described herein may not be the only ones we face. Additional risks and uncertainties not presently known to us or that we currently believe to be immaterial may also adversely affect our business, operations and financial condition. See “Forward-Looking Statements” contained herein on page 6.</w:t>
      </w:r>
    </w:p>
    <w:p>
      <w:pPr>
        <w:spacing w:after="0" w:line="63" w:lineRule="exact"/>
        <w:rPr>
          <w:sz w:val="20"/>
          <w:szCs w:val="20"/>
          <w:color w:val="auto"/>
        </w:rPr>
      </w:pPr>
    </w:p>
    <w:p>
      <w:pPr>
        <w:jc w:val="right"/>
        <w:ind w:right="6620"/>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BUSINESS AND OPERATIONS</w:t>
      </w:r>
    </w:p>
    <w:p>
      <w:pPr>
        <w:spacing w:after="0" w:line="64"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17"/>
          <w:szCs w:val="17"/>
          <w:b w:val="1"/>
          <w:bCs w:val="1"/>
          <w:i w:val="1"/>
          <w:iCs w:val="1"/>
          <w:color w:val="auto"/>
        </w:rPr>
        <w:t>We may be adversely affected by trends in office real estate.</w:t>
      </w:r>
    </w:p>
    <w:p>
      <w:pPr>
        <w:spacing w:after="0" w:line="70" w:lineRule="exact"/>
        <w:rPr>
          <w:sz w:val="20"/>
          <w:szCs w:val="20"/>
          <w:color w:val="auto"/>
        </w:rPr>
      </w:pPr>
    </w:p>
    <w:p>
      <w:pPr>
        <w:jc w:val="both"/>
        <w:ind w:firstLine="314"/>
        <w:spacing w:after="0" w:line="266" w:lineRule="auto"/>
        <w:rPr>
          <w:sz w:val="20"/>
          <w:szCs w:val="20"/>
          <w:color w:val="auto"/>
        </w:rPr>
      </w:pPr>
      <w:r>
        <w:rPr>
          <w:rFonts w:ascii="Times New Roman" w:cs="Times New Roman" w:eastAsia="Times New Roman" w:hAnsi="Times New Roman"/>
          <w:sz w:val="17"/>
          <w:szCs w:val="17"/>
          <w:color w:val="auto"/>
        </w:rPr>
        <w:t>In 2025, approximately 78% of our net operating income (“NOI” a non-GAAP measure) is from our office properties. Work from home, flexible or hybrid work schedules, open workplaces, videoconferencing, and teleconferencing have become more common in recent years. Changes in tenant space utilization, including from the continuation of work from home and flexible work arrangement policies, may continue to cause office tenants to reassess their long-term physical space needs, which could have an adverse effect on our business. Additionally, the increased use of artificial intelligence (“AI”) could result in changes in tenant space utilization, including the need to reduce or reconfigure space.</w:t>
      </w:r>
    </w:p>
    <w:p>
      <w:pPr>
        <w:spacing w:after="0" w:line="4"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Further, as office tenants reevaluate their physical space needs and focus on attracting and retaining talent, many tenants have become more selective and are focused on leasing space in high-quality, modern and well-amenitized buildings near transit hubs. These factors have resulted in increased competition among landlords to attract tenants, significant landlord capital expenditures for a building to maintain Class A status and may negatively impact the value of older and less desirable office space. This could have an adverse effect on our financial condition and results of operations.</w:t>
      </w:r>
    </w:p>
    <w:p>
      <w:pPr>
        <w:spacing w:after="0" w:line="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A significant portion of our properties is located in the New York metropolitan area and is affected by the economic cycles and risks inherent to this area.</w:t>
      </w:r>
    </w:p>
    <w:p>
      <w:pPr>
        <w:spacing w:after="0" w:line="256"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In 2025, approximately 88% of our NOI is from properties located in the New York metropolitan area. We may continue to concentrate a significant portion of our future acquisitions, development and redevelopment in this area. Real estate markets are affected by economic downturns and we cannot predict how economic conditions will impact this market in either the short or long term. Declines in the economy and declines in the New York metropolitan area real estate market have impacted and could continue to impact our financial performance and the value of our properties. In addition to the factors affecting national economic conditions generally, the factors affecting economic conditions in this area include:</w:t>
      </w:r>
    </w:p>
    <w:p>
      <w:pPr>
        <w:spacing w:after="0" w:line="3" w:lineRule="exact"/>
        <w:rPr>
          <w:sz w:val="20"/>
          <w:szCs w:val="20"/>
          <w:color w:val="auto"/>
        </w:rPr>
      </w:pPr>
    </w:p>
    <w:p>
      <w:pPr>
        <w:ind w:left="940" w:hanging="306"/>
        <w:spacing w:after="0" w:line="268" w:lineRule="auto"/>
        <w:tabs>
          <w:tab w:leader="none" w:pos="96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performance and productivity of the media, advertising, professional services, financial, technology, retail, insurance and real estate industries;</w:t>
      </w: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layoffs or downsizing;</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oversupply of, or reduced demand for, real estate;</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slowdowns;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inflation;</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 fluctuations;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relocations of businesses;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demographics;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 from home and use of alternative work places;</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3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number of domestic and international tourists to our markets (including as a result of changes in the relative strengths of world currencies);</w:t>
      </w: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diplomatic and trade relationships, as well as potential tariffs;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fiscal health and policies of New York State and New York City governments and local transit authorities;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of life conditions;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infrastructure quality;</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government regulation and costs of complying with such regulations; and</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rates or limitations on the deductibility of state and local taxes.</w:t>
      </w:r>
    </w:p>
    <w:p>
      <w:pPr>
        <w:spacing w:after="0" w:line="35"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It is impossible for us to predict the future effect of trends in the economic and investment climates of the geographic areas in which we concentrate, and more generally of the United States, or the real estate markets in these areas. Local, national or global economic downturns could negatively affect the value of our properties, our businesses and profitability.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that affect the general and New York City retail environments.</w:t>
      </w:r>
    </w:p>
    <w:p>
      <w:pPr>
        <w:spacing w:after="0" w:line="70" w:lineRule="exact"/>
        <w:rPr>
          <w:sz w:val="20"/>
          <w:szCs w:val="20"/>
          <w:color w:val="auto"/>
        </w:rPr>
      </w:pPr>
    </w:p>
    <w:p>
      <w:pPr>
        <w:jc w:val="both"/>
        <w:ind w:firstLine="314"/>
        <w:spacing w:after="0" w:line="266" w:lineRule="auto"/>
        <w:rPr>
          <w:sz w:val="20"/>
          <w:szCs w:val="20"/>
          <w:color w:val="auto"/>
        </w:rPr>
      </w:pPr>
      <w:r>
        <w:rPr>
          <w:rFonts w:ascii="Times New Roman" w:cs="Times New Roman" w:eastAsia="Times New Roman" w:hAnsi="Times New Roman"/>
          <w:sz w:val="17"/>
          <w:szCs w:val="17"/>
          <w:color w:val="auto"/>
        </w:rPr>
        <w:t>In 2025, approximately 16% of our NOI is from Manhattan retail properties. These properties are affected by the general and New York City retail environments, including the level of consumer spending and consumer confidence, Manhattan tourism, office and residential occupancy rates, employer remote-working policies, the threat of terrorism or other criminal acts, increasing competition from online retailers and other retail centers, and the impact of technological change upon the retail environment generally. These factors could adversely affect the financial condition of our retail tenants, or result in the bankruptcy of such tenants, and the demand for physical space in our retail locations, which could have an adverse effect on the value of our properties, our business and profitability.</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Our performance and the value of an investment in us are subject to risks associated with our real estate assets and with the real estate industry.</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value of our real estate and the value of an investment in us fluctuates depending on conditions in the general economy and the real estate business.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conditions may also adversely impact our revenues and cash flows.</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factors that affect the value of our real estate investments include, among other things:</w:t>
      </w:r>
    </w:p>
    <w:p>
      <w:pPr>
        <w:spacing w:after="0" w:line="66" w:lineRule="exact"/>
        <w:rPr>
          <w:sz w:val="20"/>
          <w:szCs w:val="20"/>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national, regional and local economic conditions and geopolitical events;</w:t>
      </w:r>
    </w:p>
    <w:p>
      <w:pPr>
        <w:spacing w:after="0" w:line="32"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other available space, including co-working space and sub-leases;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conditions such as an oversupply of space or a reduction in demand for real estate in the area;</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well we manage our properties;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and/or redevelopment of our properties;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rental rates;</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89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in office real estate, including many tenants’ preferences for space in modern amenitized buildings which may require the landlord to incur significant capital expenditures;</w:t>
      </w: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from online shopping and its impact on retail tenants and their demand for retail space;</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changes in trade relationships, tariffs and other trade protection measures or barriers that may adversely affect retailers and retail store values;</w:t>
      </w:r>
    </w:p>
    <w:p>
      <w:pPr>
        <w:spacing w:after="0" w:line="209"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costs associated with property improvements and rentals;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are able to pass all or portions of any increases in operating costs through to tenants;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real estate taxes and other expenses;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state and local governments to operate within their budgets;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tenants and users such as customers and shoppers consider a property attractive;</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preferences adversely affecting retailers and retail store values;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tenant space utilization;</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condition of our tenants, including the extent of tenant bankruptcies or defaults;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consequences of any armed conflict involving, or terrorist attacks against, the United States or individual acts of violence in public spaces;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financing on acceptable terms or at all;</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inflation or deflation;</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adequate insurance;</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regulation, including changes in fiscal policies, taxation, and zoning laws;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liability and compliance costs associated with environmental or other laws or regulations;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competitive factors;</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change; and</w:t>
      </w:r>
    </w:p>
    <w:p>
      <w:pPr>
        <w:spacing w:after="0" w:line="14"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pandemics or outbreaks of other infectious diseases.</w:t>
      </w:r>
    </w:p>
    <w:p>
      <w:pPr>
        <w:spacing w:after="0" w:line="4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rents or sales proceeds we receive and the occupancy levels at our properties may decline as a result of adverse changes in any of these factors. If rental revenues, sales proceeds and/or occupancy levels decline, we generally would expect to have less cash available for operating costs, to pay indebtedness and for distribution to equity holders. In addition, some of our major expenses, including mortgage payments, real estate taxes and maintenance costs generally do not decline when the related rents decline and maintenance costs can increase substantially in an inflationary environment. These factors may cause the value of our real estate assets to decline, which may result in non-cash impairment charges and the impact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Real estate is a competitive business and that competition may adversely impact us.</w:t>
      </w:r>
    </w:p>
    <w:p>
      <w:pPr>
        <w:spacing w:after="0" w:line="70"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compete with a large number of real estate investors, property owners and developers, some of whom may be willing to accept lower returns on their investments. Principal factors of competition are rents charged, tenant concessions offered, attractiveness of location, the quality of the property and the breadth and the quality of services provided. Substantially all of our properties face competition from similar properties in the same market, which may adversely impact the rents we can charge at those properties and our results of operations.</w:t>
      </w:r>
    </w:p>
    <w:p>
      <w:pPr>
        <w:spacing w:after="0" w:line="1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commercial office properties are located primarily in highly developed areas of the New York metropolitan area. Manhattan is the largest office market in the United States. The number of competitive office properties in the New York metropolitan area, which may be newer, more amenitized or better located than our properties, could have a material adverse effect on our ability to lease office space at our properties and on the effective rents we are able to charge.</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renew leases, lease vacant space or relet space as leases expire on favorable terms.</w:t>
      </w:r>
    </w:p>
    <w:p>
      <w:pPr>
        <w:spacing w:after="0" w:line="70"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When our tenants decide not to renew their leases upon their expiration, we may not be able to relet the space. Even if tenants do renew or we can relet the space, the terms of renewal or reletting, considering among other things, rent and concessions, the cost of improvements to the property and leasing commissions, may be on less economically favorable terms. In addition, changes in space utilization by our tenants may impact our ability to renew or relet space without the need to incur substantial costs in renovating or redesigning the internal configuration of the relevant property and/or space. If we are unable to promptly renew leases or relet the space on economically favorable terms, our cash flow and ability to service debt obligations and pay dividends and distributions to equity holders could be adversely affected.</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Bankruptcy or insolvency of tenants may decrease our revenues, net income and available cash.</w:t>
      </w:r>
    </w:p>
    <w:p>
      <w:pPr>
        <w:spacing w:after="0" w:line="70"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From time to time, some of our tenants have declared bankruptcy, and other tenants may declare bankruptcy, become insolvent or experience a material business downturn adversely affecting their ability to make timely rental payments in the future. If a tenant does not pay its rent, we may face delays enforcing our rights as landlord and may incur substantial legal and other costs. Even if we are able to enforce our rights, a tenant may not have recoverable assets. The bankruptcy or insolvency of a major tenant may delay our efforts to collect past-due balances under the relevant leases and could ultimately preclude collection of these amounts altogether. As a result, the bankruptcy or insolvency of, or nonpayment by, a major tenant could cause us to suffer lower revenues and operational difficulties, including leasing the remainder of the property, which could in turn result in decreased net income and funds available to pay our indebtedness or make distributions to equity holders.</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Some of our potential losses may not be covered by insurance.</w:t>
      </w:r>
    </w:p>
    <w:p>
      <w:pPr>
        <w:spacing w:after="0" w:line="70"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For our properties, we maintain general liability insurance with limits of $300,000,000 per occurrence and per property, of which $275,000,000, includes communicable disease coverage, and we maintain all risk property and rental value insurance with limits of $2.0 billion per occurrence, with sub-limits for certain perils such as flood and earthquake, excluding communicable disease coverage. Our California properties have earthquake insurance with coverage of $350,000,000 per occurrence and in the aggregate, subject to a deductible in the amount of 5% of the value of the affected property. We maintain coverage for certified terrorism acts with limits of $6.0 billion per occurrence and in the aggregate (as listed below), $1.2 billion for non-certified acts of terrorism, and $5.0 billion per occurrence and in the aggregate for terrorism involving nuclear, biological, chemical and radiological (“NBCR”) terrorism events, as defined by the Terrorism Risk Insurance Act of 2002, as amended to date and which has been extended through December 2027.</w:t>
      </w:r>
    </w:p>
    <w:p>
      <w:pPr>
        <w:spacing w:after="0" w:line="20"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Penn Plaza Insurance Company, LLC (“PPIC”), our wholly owned consolidated subsidiary, acts as a re-insurer with respect to a portion of all risk property and rental value insurance and a portion of our earthquake insurance coverage, and as a direct insurer for coverage for acts of terrorism including NBCR acts. Coverage for acts of terrorism (excluding NBCR acts) is fully reinsured by third party insurance companies and the Federal government with no exposure to PPIC. For NBCR acts, PPIC is responsible for a deductible of $2,424,264 and 20% of the balance of a covered loss and the Federal government is responsible for the remaining portion of a covered loss. We are ultimately responsible for any loss incurred by PPIC.</w:t>
      </w:r>
    </w:p>
    <w:p>
      <w:pPr>
        <w:spacing w:after="0" w:line="13"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Certain condominiums in which we own an interest (including the Farley Condominiums) maintain insurance policies with different per occurrence and aggregate limits than our policies described above.</w:t>
      </w:r>
    </w:p>
    <w:p>
      <w:pPr>
        <w:spacing w:after="0" w:line="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continue to monitor the state of the insurance market and the scope and costs of coverage for acts of terrorism and other events. However, we cannot anticipate what coverage will be available on commercially reasonable terms in the future. We are responsible for uninsured losses and for deductibles and losses in excess of our insurance coverage, which could be material.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Actual or threatened terrorist attacks or other criminal acts may adversely affect the value of our properties and our ability to generate cash flow.</w:t>
      </w:r>
    </w:p>
    <w:p>
      <w:pPr>
        <w:spacing w:after="0" w:line="70"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We have significant investments in the New York City, Chicago and San Francisco metropolitan areas. In response to a terrorist attack, the perceived threat of terrorism, or other criminal acts, tenants in these areas may choose to relocate their businesses to less populated, lower-profile areas of the United States that may be perceived to be less likely targets of future terrorist activity or have lower rates of crime and fewer customers may choose to patronize businesses in these areas. This, in turn, would trigger a decrease in the demand for space in these areas, which could increase vacancies in our properties and force us to lease space on less favorable terms. Furthermore, we may experience increased costs in security, equipment and personnel. As a result, the value of our properties and the level of our revenues and cash flows could decline materially.</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The effects of climate change could have a concentrated impact on the areas where we operate and could adversely impact our results.</w:t>
      </w:r>
    </w:p>
    <w:p>
      <w:pPr>
        <w:spacing w:after="0" w:line="70"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Our investments are concentrated in the New York City, Chicago and San Francisco metropolitan areas. Physical climate change, and natural disasters, including earthquakes, storms, storm surges, tornados, floods, wildfires, hurricanes and rising sea levels, could cause significant damage to our properties and the surrounding environment or area. Government efforts to combat climate change may impact the cost of operating our properties. Over time, these conditions could result in declining demand for office and retail space in our buildings or the inability of us to operate the buildings at all. Extreme weather events may also have indirect effects on our business by increasing the cost of (or making unavailable) property insurance on terms we find acceptable, increasing the cost of energy at our properties and requiring us to expend funds as we seek to repair and protect our properties against such risks. The incurrence of these losses, costs or business interruptions may adversely affect our operating and financial results.</w:t>
      </w:r>
    </w:p>
    <w:p>
      <w:pPr>
        <w:spacing w:after="0" w:line="2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properties are located in urban areas, which means the vitality of our properties is reliant on sound transportation and utility infrastructure systems. If one of those systems is compromised in any way by an extreme weather event, such a compromise could have an adverse impact on our local economies and populations, as well as on our tenants’ ability to do business in our buildings.</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Our properties are subject to transitional risks related to climate-related policy change.</w:t>
      </w:r>
    </w:p>
    <w:p>
      <w:pPr>
        <w:spacing w:after="0" w:line="70"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Decarbonization of grid-supplied energy (as has been mandated by the Climate Leadership and Community Protection Act (CLCPA) in New York State) could lead to increased energy costs and operating expenses for our buildings. In October 2025, the Albany County Supreme Court ordered the New York Department of Environmental Conservation (DEC) to finalize regulations required under the CLCPA. This ruling compels the DEC to implement a cap-and-invest program to enforce greenhouse gas emission limits, which had been delayed. Retrofitting our building systems to consume less energy could lead to increased capital costs. In addition, buildings which consume fossil fuel onsite may be subject to penalties in the future. Although these laws and regulations have not had any material adverse effects on our business to date, they could result in substantial costs, including compliance costs, increased energy costs, retrofit costs and construction costs. We cannot predict how future laws and regulations, or future interpretations of current laws and regulations, related to climate change will affect our business, results of operations and financial condition.</w:t>
      </w:r>
    </w:p>
    <w:p>
      <w:pPr>
        <w:spacing w:after="0" w:line="22"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We may become subject to costs, taxes or penalties, or increases therein, associated with natural resource or energy usage, such as a “carbon tax” and by local legislation such as New York City’s Local Law 97, which sets limits on carbon emissions in our buildings and imposes penalties if we exceed those limits, and New York City’s Intro 2317, or the “gas ban” bill, which limits any onsite fossil fuel combustion in new construction and major renovations. We actively track and assess possible impact from regulations across our buildings and evaluate cost of compliance versus impact on business operations and property valuations in our regular capital cycles. These costs, taxes or penalties could increase our operating costs and decrease the cash available to pay our obligations or distribute to our equity owners.</w:t>
      </w:r>
    </w:p>
    <w:p>
      <w:pPr>
        <w:spacing w:after="0" w:line="11" w:lineRule="exact"/>
        <w:rPr>
          <w:sz w:val="20"/>
          <w:szCs w:val="20"/>
          <w:color w:val="auto"/>
        </w:rPr>
      </w:pP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Changes to tax laws could affect REITs generally, the trading of our shares and our results of operations, both positively and negatively, in ways that are difficult to anticipate.</w:t>
      </w:r>
    </w:p>
    <w:p>
      <w:pPr>
        <w:spacing w:after="0" w:line="1"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The rules dealing with U.S. federal, state and local income taxation are constantly under review by persons involved in the legislative process and by the IRS and the Treasury Department. Changes to tax laws (which changes may have retroactive application) could adversely affect the taxation of REITs and their shareholders. We cannot predict whether, when, in what form, or with what effective dates, tax laws, regulations and rulings may be enacted, promulgated or decided, or technical corrections made, which could result in an increase in our, or our shareholders’, tax liability or require changes in the manner in which we operate in order to minimize increases in our tax liability. If such changes occur, we may be required to pay additional taxes on our assets or income and/or be subject to additional restrictions. These increased tax costs could, among other things, adversely affect the trading price for our common shares, our financial condition, our results of operations and the amount of cash available for the payment of dividends.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Significant inflation and increases in the inflation rate could adversely affect our business and financial results.</w:t>
      </w:r>
    </w:p>
    <w:p>
      <w:pPr>
        <w:spacing w:after="0" w:line="70"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Elevated rates of inflation, both real and anticipated, may impact our business and results of operations. In a highly inflationary environment, we may be unable to raise rental rates at or above the rate of inflation, which could reduce our profit margins. In addition, our cost of labor and materials could increase, which could have an adverse impact on our business and financial results. Increased inflation could also adversely affect us by increasing costs of construction and renovation. While increases in most operating expenses at our properties can be passed on to our office and retail tenants, some tenants have fixed reimbursement charges and expenses at our residential properties may not be able to be passed on to residential tenants. Unreimbursed increased operating expenses may reduce cash flow available for payment of mortgage debt and interest and for distributions to shareholders.</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face risks associated with property acquisitions.</w:t>
      </w:r>
    </w:p>
    <w:p>
      <w:pPr>
        <w:spacing w:after="0" w:line="70"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We have acquired in the past and intend to continue to pursue the acquisition of properties and portfolios of properties, including, but not limited to, large portfolios that would increase our size and could result in alterations to our capital structure. Furthermore, from time to time we have made, and in the future we may seek to make one or more, material acquisitions that we believe will maximize shareholder value. However, an announcement by us of one or more significant acquisitions could result in a quick and significant decline in the price of our securities. Our acquisition activities and their success are subject to the following risks:</w:t>
      </w:r>
    </w:p>
    <w:p>
      <w:pPr>
        <w:spacing w:after="0" w:line="227" w:lineRule="exact"/>
        <w:rPr>
          <w:sz w:val="20"/>
          <w:szCs w:val="20"/>
          <w:color w:val="auto"/>
        </w:rPr>
      </w:pPr>
    </w:p>
    <w:p>
      <w:pPr>
        <w:ind w:left="940" w:hanging="306"/>
        <w:spacing w:after="0" w:line="268"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complete an acquisition of a property or portfolio even after entering into an acquisition agreement, making a non-refundable deposit and incurring certain other acquisition-related costs;</w:t>
      </w:r>
    </w:p>
    <w:p>
      <w:pPr>
        <w:ind w:left="940" w:hanging="306"/>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obtain or assume financing for acquisitions on favorable terms or at all;</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interest rates will increase the cost of financing acquired properties, reducing the opportunities for attractive acquisitions;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acquired properties may fail to perform as expected;</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actual costs of repositioning, redeveloping or maintaining acquired properties may be greater than our estimates and may require significantly greater time and attention of management than anticipated;</w:t>
      </w:r>
    </w:p>
    <w:p>
      <w:pPr>
        <w:ind w:left="940" w:hanging="306"/>
        <w:spacing w:after="0" w:line="25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agreement will likely contain conditions to closing, including completion of due diligence investigations to our satisfaction or other conditions that are not within our control, which may not be satisfied;</w:t>
      </w:r>
    </w:p>
    <w:p>
      <w:pPr>
        <w:jc w:val="both"/>
        <w:ind w:left="940" w:hanging="306"/>
        <w:spacing w:after="0" w:line="25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acquired properties may be located in new markets where we may face risks associated with a lack of market knowledge or understanding of the local economy, lack of business relationships in the area, costs associated with opening a new regional office and unfamiliarity with local governmental and permitting procedures;</w:t>
      </w:r>
    </w:p>
    <w:p>
      <w:pPr>
        <w:ind w:left="940" w:hanging="306"/>
        <w:spacing w:after="0" w:line="25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acquire real estate through the acquisition of the ownership entity subjecting us to the risks of that entity and we may be exposed to the liabilities of properties or companies acquired, some of which we may not be aware of at the time of acquisition;</w:t>
      </w:r>
    </w:p>
    <w:p>
      <w:pPr>
        <w:jc w:val="both"/>
        <w:ind w:left="940" w:hanging="306"/>
        <w:spacing w:after="0" w:line="25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face competition for acquisition opportunities from other well-capitalized investors, including publicly traded and privately held REITs, private real estate funds, domestic and foreign financial institutions, life insurance companies, sovereign wealth funds, pension trusts, partnerships and individual investors, which may cause an increase in the purchase price for a desired acquisition property or result in a competitor acquiring the desired property instead of us; and</w:t>
      </w:r>
    </w:p>
    <w:p>
      <w:pPr>
        <w:ind w:left="940" w:hanging="306"/>
        <w:spacing w:after="0" w:line="274"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quickly and efficiently integrate new acquisitions, particularly acquisitions of portfolios of properties, into our existing operations, and this could have an adverse effect on our results of operations and financial condition.</w:t>
      </w:r>
    </w:p>
    <w:p>
      <w:pPr>
        <w:spacing w:after="0" w:line="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Any delay or failure on our part to identify, negotiate, finance and consummate such acquisitions in a timely manner and on favorable terms, or operate acquired properties to meet our financial expectations, could impede our growth and have an adverse effect on us, including our financial condition, results of operations, cash flow and the market value of our securities. If we are unable to successfully acquire additional properties, our ability to grow our business could be adversely affected.</w:t>
      </w:r>
    </w:p>
    <w:p>
      <w:pPr>
        <w:spacing w:after="0" w:line="7" w:lineRule="exact"/>
        <w:rPr>
          <w:sz w:val="20"/>
          <w:szCs w:val="20"/>
          <w:color w:val="auto"/>
        </w:rPr>
      </w:pP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exposed to risks associated with property development, redevelopment and repositioning that could adversely affect us, including our financial condition and results of operations.</w:t>
      </w:r>
    </w:p>
    <w:p>
      <w:pPr>
        <w:spacing w:after="0" w:line="1"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We are the owner of numerous development sites and continue to engage in redevelopment and repositioning activities with respect to our properties, and, accordingly, we are subject to certain risks, which could adversely affect us, including our financial condition and results of operations. These risks include, without limitation, (i) the availability and pricing of financing on favorable terms or at all; (ii) the availability and timely receipt of zoning and other regulatory approvals; (iii) cost overruns, especially in an inflationary environment, and untimely completion of construction (including risks beyond our control, such as weather or labor conditions, material shortages or supply chain delays); (iv) the potential for the fluctuation of occupancy rates and rents at redeveloped properties, which may result in our investment not being profitable; (v) start up, repositioning and redevelopment costs may be higher than anticipated; (vi) the potential that we may fail to recover expenses already incurred if we abandon development or redevelopment opportunities after we begin to explore them; (vii) the potential that we may expend funds on and devote management time to projects which we do not complete; (viii) the inability to complete leasing of a property on schedule or at all, resulting in an increase in carrying or redevelopment costs; (ix) the possibility that properties will be leased at below expected rental rates and (x) to the extent the redevelopment activities are conducted in partnership with third parties, the possibility of disputes with our joint venture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 w:name="page16"/>
    <w:bookmarkEnd w:id="15"/>
    <w:p>
      <w:pPr>
        <w:jc w:val="both"/>
        <w:spacing w:after="0" w:line="270" w:lineRule="auto"/>
        <w:rPr>
          <w:sz w:val="20"/>
          <w:szCs w:val="20"/>
          <w:color w:val="auto"/>
        </w:rPr>
      </w:pPr>
      <w:r>
        <w:rPr>
          <w:rFonts w:ascii="Times New Roman" w:cs="Times New Roman" w:eastAsia="Times New Roman" w:hAnsi="Times New Roman"/>
          <w:sz w:val="17"/>
          <w:szCs w:val="17"/>
          <w:color w:val="auto"/>
        </w:rPr>
        <w:t>development partners and the potential that we miss certain project milestone deadlines. These risks could result in substantial unanticipated delays or expenses, prevent the initiation or the completion of redevelopment activities or reduce the ultimate rents achieved on new developments. These outcomes could have an adverse effect on our financial condition, results of operations, cash flow, the market value of our common shares and ability to satisfy our principal and interest obligations and to make distributions to our shareholders.</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It may be difficult to sell real estate on a timely basis, which may limit our flexibility.</w:t>
      </w:r>
    </w:p>
    <w:p>
      <w:pPr>
        <w:spacing w:after="0" w:line="70" w:lineRule="exact"/>
        <w:rPr>
          <w:sz w:val="20"/>
          <w:szCs w:val="20"/>
          <w:color w:val="auto"/>
        </w:rPr>
      </w:pPr>
    </w:p>
    <w:p>
      <w:pPr>
        <w:jc w:val="both"/>
        <w:ind w:firstLine="314"/>
        <w:spacing w:after="0" w:line="287" w:lineRule="auto"/>
        <w:rPr>
          <w:sz w:val="20"/>
          <w:szCs w:val="20"/>
          <w:color w:val="auto"/>
        </w:rPr>
      </w:pPr>
      <w:r>
        <w:rPr>
          <w:rFonts w:ascii="Times New Roman" w:cs="Times New Roman" w:eastAsia="Times New Roman" w:hAnsi="Times New Roman"/>
          <w:sz w:val="17"/>
          <w:szCs w:val="17"/>
          <w:color w:val="auto"/>
        </w:rPr>
        <w:t>Real estate investments are relatively illiquid. Consequently, we may have limited ability to dispose of assets in our portfolio promptly in response to changes in economic or other conditions which could have an adverse effect on our sources of working capital and our ability to satisfy our debt obligations.</w:t>
      </w: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There may be limitations on our ability to sell or reduce the indebtedness of specific properties. In addition, when we dispose of or sell assets, we may not be able to reinvest the sales proceeds and earn similar returns.</w:t>
      </w:r>
    </w:p>
    <w:p>
      <w:pPr>
        <w:spacing w:after="0" w:line="1"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As part of an acquisition of a property, or a portfolio of properties, we may agree, and in the past have agreed, not to dispose of the acquired properties or reduce the mortgage indebtedness for a long-term period, unless we pay certain of the resulting tax costs of the seller. These agreements could result in us holding on to properties that we would otherwise sell and not pay down or refinance the debt associated with those properties. In addition, when we dispose of or sell assets, we may not be able to reinvest the sales proceeds and earn returns similar to those generated by the assets that were sold.</w:t>
      </w:r>
    </w:p>
    <w:p>
      <w:pPr>
        <w:spacing w:after="0" w:line="7" w:lineRule="exact"/>
        <w:rPr>
          <w:sz w:val="20"/>
          <w:szCs w:val="20"/>
          <w:color w:val="auto"/>
        </w:rPr>
      </w:pP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From time to time we have made, and in the future we may seek to make investments in companies over which we do not have sole control. Some of these companies operate in industries with different risks than investing and operating real estate.</w:t>
      </w:r>
    </w:p>
    <w:p>
      <w:pPr>
        <w:spacing w:after="0" w:line="1"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From time to time we have made, and in the future we may seek to make, investments in companies that we may not control. Although these businesses generally have a significant real estate component, some of them operate in businesses that are different from investing and operating real estate. Consequently, we are subject to operating and financial risks of those industries and to the risks associated with lack of control, such as having differing objectives than our partners or the entities in which we invest, or becoming involved in disputes, or competing directly or indirectly with these partners or entities. In addition, we rely on the internal controls and financial reporting controls of these entities and their failure to maintain effectiveness or comply with applicable standards may adversely affect us.</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involved in real estate activity through joint ventures.</w:t>
      </w:r>
    </w:p>
    <w:p>
      <w:pPr>
        <w:spacing w:after="0" w:line="70"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We currently own properties through joint ventures with other persons and entities and may in the future acquire or own properties through joint ventures and other co-investment vehicles when we believe circumstances warrant the use of such structures. Joint venture investments involve risk, including: the possibility that our partners might refuse to make capital contributions when due and therefore we may be forced to make contributions to maintain the value of the property; that we may be responsible to our partners for indemnifiable losses; that our partners might at any time have business or economic goals that are inconsistent with ours; that third parties may be hesitant or refuse to transact with the joint venture due to the identity of our partners; and that our partners may be in a position to take action or withhold consent contrary to our recommendations, instructions or requests. For certain of our joint venture arrangements, we and our respective joint venture partners have rights including the ability to trigger a buy-sell, put right or forced sale arrangement, which could cause us to sell our interest, or acquire our partner’s interest, or to sell the underlying asset, at a time when we otherwise would not have initiated such a transaction, without our consent or on unfavorable terms. In some instances, joint venture partners may have competing interests in our markets that could create conflicts of interest. These conflicts may include compliance with the REIT requirements, and our REIT status could be jeopardized if any of our joint ventures do not operate in compliance with REIT requirements. To the extent our partners do not meet their obligations to us or our joint ventures, or they take action inconsistent with the interests of the joint venture, we may be adversely affected.</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risks related to our properties that are subject to ground leases arrangements which could adversely affect our results of operations.</w:t>
      </w:r>
    </w:p>
    <w:p>
      <w:pPr>
        <w:spacing w:after="0" w:line="36" w:lineRule="exact"/>
        <w:rPr>
          <w:sz w:val="20"/>
          <w:szCs w:val="20"/>
          <w:color w:val="auto"/>
        </w:rPr>
      </w:pPr>
    </w:p>
    <w:p>
      <w:pPr>
        <w:jc w:val="both"/>
        <w:ind w:firstLine="314"/>
        <w:spacing w:after="0" w:line="248" w:lineRule="auto"/>
        <w:rPr>
          <w:sz w:val="20"/>
          <w:szCs w:val="20"/>
          <w:color w:val="auto"/>
        </w:rPr>
      </w:pPr>
      <w:r>
        <w:rPr>
          <w:rFonts w:ascii="Times New Roman" w:cs="Times New Roman" w:eastAsia="Times New Roman" w:hAnsi="Times New Roman"/>
          <w:sz w:val="17"/>
          <w:szCs w:val="17"/>
          <w:color w:val="auto"/>
        </w:rPr>
        <w:t>We are the lessee under long-term ground lease arrangements at certain of our properties. Unless we purchase a fee interest in the underlying land or extend the terms of these leases prior to expiration, we will no longer operate these properties upon expiration of the leases, which could adversely affect our financial condition and results of operations. Furthermore, rent payments under such leasehold interests are periodically adjusted pursuant to the respective contractual arrangements and the initial rent reset determination may be subsequently challenged in litigation brought by either party. These rent resets may result in materially higher rents that could adversely affect our results of operation. Additionally, due to the greater risk associated with a loan secured by a leasehold interest than a loan secured by a fee interest, we face risks related to the availability and pricing of financing on favorable terms or at all for such ground leasehold interests. See “Business - Overview — PENN 1 Ground Rent Reset Determination” for information regarding the ground rent litigation involving PENN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INDEBTEDNESS AND ACCESS TO CAPITAL</w:t>
      </w:r>
    </w:p>
    <w:p>
      <w:pPr>
        <w:spacing w:after="0" w:line="64" w:lineRule="exact"/>
        <w:rPr>
          <w:sz w:val="20"/>
          <w:szCs w:val="20"/>
          <w:color w:val="auto"/>
        </w:rPr>
      </w:pP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Capital markets and economic conditions can materially affect our liquidity, financial condition and results of operations as well as the value of an investment in our debt and equity securities.</w:t>
      </w:r>
    </w:p>
    <w:p>
      <w:pPr>
        <w:spacing w:after="0" w:line="1"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There are many factors that can affect the value of our debt and equity securities, including the state of the capital markets and the economy. Demand for office and retail space typically declines nationwide due to an economic downturn, bankruptcies, downsizing, layoffs and cost cutting. Government action or inaction may adversely affect the state of the capital markets. The cost and availability of credit may be adversely affected by illiquid credit markets and wider credit spreads, which may adversely affect our liquidity and financial condition, including our results of operations, and the liquidity and financial condition of our tenants. Our inability or the inability of our tenants to timely refinance maturing liabilities, access the capital markets and obtain reasonable pricing to meet liquidity needs may materially affect our financial condition and results of operations and the value of our securities.</w:t>
      </w:r>
    </w:p>
    <w:p>
      <w:pPr>
        <w:spacing w:after="0" w:line="11" w:lineRule="exact"/>
        <w:rPr>
          <w:sz w:val="20"/>
          <w:szCs w:val="20"/>
          <w:color w:val="auto"/>
        </w:rPr>
      </w:pP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have outstanding debt, and the amount of debt and its cost may increase; refinancing may not be available on acceptable terms and could affect our future operations.</w:t>
      </w:r>
    </w:p>
    <w:p>
      <w:pPr>
        <w:spacing w:after="0" w:line="1"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As of December 31, 2025, our consolidated mortgages and unsecured indebtedness, excluding related premium, discount and deferred financing costs, totaled $7.2 billion. We rely on both secured and unsecured, variable rate and fixed rate debt to finance acquisitions and development activities and for working capital. We are subject to the risks normally associated with debt financing, including the risk that our cash flow from operations will be insufficient to meet our required debt service. Our debt service costs generally will not be reduced if conditions in the market or at our properties, such as the entry of new competitors or the loss of major tenants, cause a reduction in the income from our properties. Should such events occur, our operations may be adversely affected. If a property is mortgaged to secure payment of indebtedness and income from such property is insufficient to pay that indebtedness, the property could be foreclosed upon by the mortgagee resulting in our loss of the property.</w:t>
      </w:r>
    </w:p>
    <w:p>
      <w:pPr>
        <w:spacing w:after="0" w:line="20"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If we are unable to obtain debt financing or refinance existing indebtedness upon maturity, our financial condition and results of operations would likely be adversely affected. In addition, the volatility in the interest rate environment in recent years has led to an increase in interest rates on our variable rate debt, including with respect to new hedging instruments, and an increase in the cost of refinancing our existing debt and entering into new debt, all of which reduced, and could continue to reduce, our operating cash flows. While certain of our debt is fixed by interest rate swap arrangements, the arrangements typically expire earlier than the mortgage loan maturity, resulting in future exposure to rising interest rates, which could further reduce our available cash. If the cost or amount of our indebtedness increases or we cannot refinance our debt in sufficient amounts or on acceptable terms, we are at risk of credit rating downgrades and default on our obligations that could adversely affect our financial condition and results of operations.</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obtain capital to make investments.</w:t>
      </w:r>
    </w:p>
    <w:p>
      <w:pPr>
        <w:spacing w:after="0" w:line="70"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We depend primarily on external financing to fund the growth of our business. This is because one of the requirements of the Internal Revenue Code of 1986, as amended, for a REIT is that it distributes 90% of its taxable income, excluding net capital gains, to its shareholders. This, in turn, requires the Operating Partnership to make distributions to its unitholders. There is a separate requirement to distribute net capital gains or pay a corporate level tax in lieu thereof. Our access to debt or equity financing depends on the willingness of third parties to lend or make equity investments and on conditions in the capital markets generally. Although we believe that we will be able to finance any investments we may wish to make in the foreseeable future, there can be no assurance that new financing will be available or available on acceptable terms. For information about our available sources of funds, see “Management’s Discussion and Analysis of Financial Condition and Results of Operations — Liquidity and Capital Resources” and the notes to the consolidated financial statements in this Annual Report on Form 10-K.</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The hedge instruments we may use to manage our exposure to interest rate volatility involve risks.</w:t>
      </w:r>
    </w:p>
    <w:p>
      <w:pPr>
        <w:spacing w:after="0" w:line="70"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The interest rate hedge instruments we may use to manage some of our exposure to interest rate volatility involve risks, including the risk that counterparties may fail to perform under these arrangements. If interest rates subsequently fall from the time we execute our interest rate hedge arrangements, these arrangements may cause us to pay higher interest on our debt obligations than would otherwise be the case. In addition, the use of such instruments may generate income that may not be treated as qualifying REIT income for purposes of the 75% gross income test or 95% gross income test. Furthermore, there can be no assurance that our hedging arrangements will qualify as “highly effective” cash flow hedges under applicable accounting standards. If our hedges do not qualify as “highly effective,” the changes in the fair value of these instruments would be reflected in our results of operations and could adversely impact our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Covenants in our debt instruments could adversely affect our financial condition and our acquisitions and development activities.</w:t>
      </w:r>
    </w:p>
    <w:p>
      <w:pPr>
        <w:spacing w:after="0" w:line="70"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Our existing unsecured indebtedness contains (and debt that we may obtain in the future may also contain) customary restrictions, requirements and other limitations on our ability to incur indebtedness, including covenants that limit our ability to incur debt based upon the levels of certain ratios including total debt to total assets, secured debt to total assets, EBITDA to interest expense, and fixed charges, and that require us to maintain a certain ratio of unencumbered assets to unsecured debt. Our ability to borrow is subject to compliance with these and other covenants. In addition, failure to comply with our covenants could cause a default under the applicable debt instrument, and we may then be required to repay such debt with capital from such other sources or give possession of a secured property to the lender. Under those circumstances, other sources of capital may not be available to us or may be available only on unattractive terms. Further, depending on market conditions at the time of any refinancing, the covenants included as part of the terms of such refinancing may be more restrictive than the existing indebtedness.</w:t>
      </w:r>
    </w:p>
    <w:p>
      <w:pPr>
        <w:spacing w:after="0" w:line="22"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 addition, our debt instruments contain customary covenants requiring us to maintain insurance. Although we believe that we have adequate insurance coverage for purposes of these agreements, we may not be able to obtain an equivalent amount of coverage at reasonable costs in the future. Further, if lenders insist on greater coverage than we are able to obtain it could result in acceleration of repayment of such debt instruments and adversely affect our ability to finance or refinance our properties and expand our portfolio.</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 downgrade in our credit ratings could materially and adversely affect our business and financial condition.</w:t>
      </w:r>
    </w:p>
    <w:p>
      <w:pPr>
        <w:spacing w:after="0" w:line="70"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Our credit rating and the credit ratings assigned to our debt securities and our preferred shares could change in the future based upon, among other things, our results of operations and financial condition. Our ratings are subject to ongoing evaluation by credit rating agencies, and any rating could be changed or withdrawn by a rating agency in the future if, in its judgment, circumstances warrant such action. Moreover, these credit ratings are not recommendations to buy, sell or hold our common shares or any other securities. If any of the credit rating agencies that have rated our securities downgrades or lowers its credit rating, or if any credit rating agency indicates that it has placed any such rating on a “watch list” for a possible downgrading or lowering, or otherwise indicates that its outlook for that rating is negative, such action could have a material adverse effect on our costs and availability of funding. For instance, if we fail to maintain the credit ratings currently assigned to our senior debt, the interest rates payable on outstanding debt under our unsecured term loan and revolving credit facilities would increase and we may be required to post additional collateral under certain of our existing loan agreements. Furthermore, any future lowering of our credit ratings or outlook would likely make it more difficult and/or more expensive for us to obtain additional debt financing. Our failure to maintain or improve our credit ratings could in turn have a material adverse effect on our financial condition, results of operations, cash flows, the trading/redemption price of our securities, and our ability to satisfy our debt service obligations and to pay dividends and distributions to our equity holders.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ORGANIZATION AND STRUCTURE</w:t>
      </w:r>
    </w:p>
    <w:p>
      <w:pPr>
        <w:spacing w:after="0" w:line="64" w:lineRule="exact"/>
        <w:rPr>
          <w:sz w:val="20"/>
          <w:szCs w:val="20"/>
          <w:color w:val="auto"/>
        </w:rPr>
      </w:pP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depend on dividends and distributions from our direct and indirect subsidiaries. The creditors and preferred equity holders of these subsidiaries are entitled to amounts payable to them by the subsidiaries before the subsidiaries may pay any dividends or distributions to us.</w:t>
      </w:r>
    </w:p>
    <w:p>
      <w:pPr>
        <w:spacing w:after="0" w:line="1"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Substantially all of Vornado’s assets are held through the Operating Partnership which holds substantially all of its properties and assets through subsidiaries. The Operating Partnership’s cash flow is dependent on cash distributions to it by its subsidiaries, and in turn, substantially all of Vornado’s cash flow is dependent on cash distributions to it by the Operating Partnership. The creditors of each of Vornado’s direct and indirect subsidiaries are entitled to payment of that subsidiary’s obligations to them, when due and payable, before distributions may be made by that subsidiary to its equity holders. Thus, the Operating Partnership’s ability to make distributions to its equity holders depends on its subsidiaries’ ability first to satisfy their obligations to their creditors and then to make distributions to the Operating Partnership. Consequently, Vornado’s ability to pay dividends to its holders of common and preferred shares depends on the Operating Partnership’s ability first to satisfy its obligations to its creditors and make distributions to holders of its preferred units and then to make distributions to Vornado.</w:t>
      </w:r>
    </w:p>
    <w:p>
      <w:pPr>
        <w:spacing w:after="0" w:line="229"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Furthermore, the holders of preferred units of the Operating Partnership are entitled to receive preferred distributions before payment of distributions to the Operating Partnership’s equity holders, including Vornado. Thus, Vornado’s ability to pay cash dividends to its equity holders and satisfy its debt obligations depends on the Operating Partnership’s ability first to satisfy its obligations to its creditors and make distributions to holders of its preferred units and then to its equity holders, including Vornado. As of December 31, 2025, there were six series of preferred units of the Operating Partnership not held by Vornado with a total liquidation value of $53,000,000.</w:t>
      </w:r>
    </w:p>
    <w:p>
      <w:pPr>
        <w:spacing w:after="0" w:line="13"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In addition, Vornado’s participation in any distribution of the assets of any of its direct or indirect subsidiaries upon the liquidation, reorganization or insolvency is only after the claims of the creditors, including trade creditors and preferred equity holders, are satisfied.</w:t>
      </w: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Vornado’s Amended and Restated Declaration of Trust (the “declaration of trust”) sets limits on the ownership of its shares.</w:t>
      </w:r>
    </w:p>
    <w:p>
      <w:pPr>
        <w:spacing w:after="0" w:line="70"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Generally, for Vornado to maintain its qualification as a REIT under the Internal Revenue Code, not more than 50% in value of the outstanding shares of beneficial interest of Vornado may be owned, directly or indirectly, by five or fewer individuals at any time during the last half of Vornado’s taxable year. The Internal Revenue Code defines “individuals” for purposes of the requirement described in the preceding sentence to include some types of entities. Under Vornado’s declaration of trust, as amended, no person may own more than 6.7% of the outstanding common shares of any class, or 9.9% of the outstanding preferred shares of any class, with some exceptions for persons who held common shares in excess of the 6.7% limit before Vornado adopted the limit and other persons approved by Vornado’s Board of Trustees. In addition, our declaration of trust includes restrictions on ownership of our common shares and preferred shares to preserve our status as a "domestically controlled qualified investment entity" within the meaning of Section 897 (h)(4)(B) of the Internal Revenue Code of 1986, as amended. These restrictions on transferability and ownership may delay, deter or prevent a change in control of Vornado or other transaction that might involve a premium price or otherwise be in the best interest of equity holders.</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The Maryland General Corporation Law (the “MGCL”) contains provisions that may reduce the likelihood of certain takeover transactions.</w:t>
      </w:r>
    </w:p>
    <w:p>
      <w:pPr>
        <w:spacing w:after="0" w:line="70"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The MGCL imposes conditions and restrictions on certain “business combinations” (including, among other transactions, a merger, consolidation, share exchange, or, in certain circumstances, an asset transfer or issuance of equity securities) between a Maryland REIT and certain persons who beneficially own at least 10% of the corporation’s stock (an “interested shareholder”). Unless approved in advance by the board of trustees of the trust, or otherwise exempted by the statute, such a business combination is prohibited for a period of five years after the most recent date on which the interested shareholder became an interested shareholder. After such five-year period, a business combination with an interested shareholder must be: (a) recommended by the board of trustees of the trust, and (b) approved by the affirmative vote of at least (i) 80% of the trust’s outstanding shares entitled to vote and (ii) two-thirds of the trust’s outstanding shares entitled to vote which are not held by the interested shareholder with whom the business combination is to be effected, unless, among other things, the trust’s common shareholders receive a “fair price” (as defined by the statute) for their shares and the consideration is received in cash or in the same form as previously paid by the interested shareholder for his or her shares.</w:t>
      </w:r>
    </w:p>
    <w:p>
      <w:pPr>
        <w:spacing w:after="0" w:line="1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In approving a transaction, Vornado’s Board of Trustees may provide that its approval is subject to compliance, at or after the time of approval, with any terms and conditions determined by the Board of Trustees. Vornado’s Board of Trustees has adopted a resolution exempting any business combination between Vornado and any trustee or officer of Vornado or its affiliates. As a result, any trustee or officer of Vornado or its affiliates may be able to enter into business combinations with Vornado that may not be in the best interest of our equity holders. With respect to business combinations with other persons, the business combination provisions of the MGCL may have the effect of delaying, deferring or preventing a change in control of Vornado or other transaction that might involve a premium price or otherwise be in the best interest of our equity holders. The business combination statute may discourage others from trying to acquire control of Vornado and increase the difficulty of consummating any offer.</w:t>
      </w:r>
    </w:p>
    <w:p>
      <w:pPr>
        <w:spacing w:after="0" w:line="20"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Title 3, Subtitle 8 of the MGCL permits our Board of Trustees, without shareholder approval and regardless of what is currently provided in our declaration of trust or bylaws, to implement certain takeover defenses, including adopting a classified board or increasing the vote required to remove a trustee. Such takeover defenses may have the effect of inhibiting a third party from making an acquisition proposal for us or of delaying, deferring or preventing a change in control of us under the circumstances that otherwise could provide our common shareholders with the opportunity to realize a premium over the then current market price.</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Vornado may issue additional shares in a manner that could adversely affect the likelihood of certain takeover transactions.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Vornado’s declaration of trust authorizes the Board of Trustees to:</w:t>
      </w:r>
    </w:p>
    <w:p>
      <w:pPr>
        <w:spacing w:after="0" w:line="66" w:lineRule="exact"/>
        <w:rPr>
          <w:sz w:val="20"/>
          <w:szCs w:val="20"/>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Vornado to issue additional authorized but unissued common shares or preferred shares;</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classify or reclassify, in one or more series, any unissued preferred shares;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the preferences, rights and other terms of any classified or reclassified shares that Vornado issues; and</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without shareholder approval, the number of shares of beneficial interest that Vornado may issue.</w:t>
      </w:r>
    </w:p>
    <w:p>
      <w:pPr>
        <w:spacing w:after="0" w:line="4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Vornado’s Board of Trustees could establish a series of preferred shares whose terms could delay, deter or prevent a change in control of Vornado, and therefore of the Operating Partnership, or other transaction that might involve a premium price or otherwise be in the best interest of our equity holders, although Vornado’s Board of Trustees does not now intend to establish a series of preferred shares of this kind. Vornado’s declaration of trust and bylaws contain other provisions that may delay, deter or prevent a change in control of Vornado or other transaction that might involve a premium price or otherwise be in the best interest of our equity holders.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change our policies without obtaining the approval of our equity holders.</w:t>
      </w:r>
    </w:p>
    <w:p>
      <w:pPr>
        <w:spacing w:after="0" w:line="7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operating and financial policies, including our policies with respect to acquisitions of real estate or other companies, growth, operations, indebtedness, capitalization, dividends and distributions, are exclusively determined by Vornado’s Board of Trustees. Accordingly, our equity holders do not control these policies.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9" w:name="page20"/>
    <w:bookmarkEnd w:id="19"/>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Steven Roth and Interstate Properties may exercise substantial influence over us. They and some of Vornado’s other trustees and officers have interests or positions in other entities that may compete with us.</w:t>
      </w:r>
    </w:p>
    <w:p>
      <w:pPr>
        <w:spacing w:after="0" w:line="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As of December 31, 2025, Interstate Properties, a New Jersey general partnership, and its partners beneficially owned an aggregate of approximately 7.1% of the common shares of beneficial interest of Vornado and 26.0% of the common stock of Alexander’s, which is described below. Steven Roth, David Mandelbaum and Russell B. Wight, Jr. are the three partners of Interstate Properties. Mr. Roth is the Chairman of the Board of Trustees and Chief Executive Officer of Vornado, the managing general partner of Interstate Properties, and the Chairman of the Board of Directors and Chief Executive Officer of Alexander’s. Messrs. Mandelbaum and Wight are Trustees of Vornado and Directors of Alexander’s.</w:t>
      </w:r>
    </w:p>
    <w:p>
      <w:pPr>
        <w:spacing w:after="0" w:line="13"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Because of these overlapping interests, Mr. Roth and Interstate Properties and its partners may have substantial influence over Vornado, and therefore over the Operating Partnership. In addition, certain decisions concerning our operations or financial structure may present conflicts of interest among Messrs. Roth, Mandelbaum and Wight and Interstate Properties and our other equity holders. In addition, Mr. Roth, Interstate Properties and its partners, and Alexander’s currently and may in the future engage in a wide variety of activities in the real estate business which may result in conflicts of interest with respect to matters affecting us, such as which of these entities or persons, if any, may take advantage of potential business opportunities, the business focus of these entities, the types of properties and geographic locations in which these entities make investments, potential competition between business activities conducted, or sought to be conducted, competition for properties and tenants, possible corporate transactions such as acquisitions and other strategic decisions affecting the future of these entities.</w:t>
      </w:r>
    </w:p>
    <w:p>
      <w:pPr>
        <w:spacing w:after="0" w:line="229"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 xml:space="preserve">We manage and lease the real estate assets of Interstate Properties pursuant to a management agreement for which we receive an annual fee equal to 4% of annual base rent and percentage rent. See Note 22 –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 xml:space="preserve"> to our consolidated financial statements in this Annual Report on Form 10-K for additional information.</w:t>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There may be conflicts of interest between Alexander’s and us.</w:t>
      </w:r>
    </w:p>
    <w:p>
      <w:pPr>
        <w:spacing w:after="0" w:line="70"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As of December 31, 2025, we owned 32.4% of the outstanding common stock of Alexander’s. Alexander’s is a REIT that has five properties, which are located in the greater New York metropolitan area. In addition to the 2.3% that they indirectly own through Vornado, Interstate Properties, which is described above, and its partners owned 26.0% of the outstanding common stock of Alexander’s as of December 31, 2025. Mr. Roth is the Chairman of the Board of Trustees and Chief Executive Officer of Vornado, the managing general partner of Interstate Properties, and the Chairman of the Board of Directors and Chief Executive Officer of Alexander’s. Messrs. Mandelbaum and Wight are Trustees of Vornado and Directors of Alexander’s and general partners of Interstate Properties. Ms. Mandakini Puri is a Trustee of Vornado and Director of Alexander’s.</w:t>
      </w:r>
    </w:p>
    <w:p>
      <w:pPr>
        <w:spacing w:after="0" w:line="15"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 xml:space="preserve">We manage, develop and lease Alexander’s properties under management, development and leasing agreements under which we receive annual fees from Alexander’s. These agreements are described in Note 4 – </w:t>
      </w:r>
      <w:r>
        <w:rPr>
          <w:rFonts w:ascii="Times New Roman" w:cs="Times New Roman" w:eastAsia="Times New Roman" w:hAnsi="Times New Roman"/>
          <w:sz w:val="17"/>
          <w:szCs w:val="17"/>
          <w:i w:val="1"/>
          <w:iCs w:val="1"/>
          <w:color w:val="auto"/>
        </w:rPr>
        <w:t>Investments in Partially Owned Entities</w:t>
      </w:r>
      <w:r>
        <w:rPr>
          <w:rFonts w:ascii="Times New Roman" w:cs="Times New Roman" w:eastAsia="Times New Roman" w:hAnsi="Times New Roman"/>
          <w:sz w:val="17"/>
          <w:szCs w:val="17"/>
          <w:color w:val="auto"/>
        </w:rPr>
        <w:t xml:space="preserve"> to our consolidated financial statements in this Annual Report on Form 10-K.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COMMON SHARES AND OPERATING PARTNERSHIP CLASS A UNITS</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Vornado’s common shares has been volatile and may continue to fluctuate.</w:t>
      </w:r>
    </w:p>
    <w:p>
      <w:pPr>
        <w:spacing w:after="0" w:line="70"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trading price of Vornado’s common shares has been volatile and may continue to fluctuate widely as a result of several factors, many of which are outside our control. In addition, the stock market is subject to fluctuations in the equity prices and trading volumes that affect the market prices of the shares of many companies. These broad market fluctuations have in the past and may in the future adversely affect the market price of Vornado’s common shares and the redemption price of the Operating Partnership’s Class A units. These factors include:</w:t>
      </w:r>
    </w:p>
    <w:p>
      <w:pPr>
        <w:spacing w:after="0" w:line="11" w:lineRule="exact"/>
        <w:rPr>
          <w:sz w:val="20"/>
          <w:szCs w:val="20"/>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condition and performance;</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condition of our tenants, including the extent of tenant bankruptcies or defaults;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quarterly fluctuations in our operating results and financial condition;</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dividend policy;</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reputation of REITs and real estate investments generally and the attractiveness of REIT equity securities in comparison to other equity securities, including securities issued by other real estate companies, and fixed income securities;</w:t>
      </w: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and volatility in the equity and credit markets;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rates;</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revenue or earnings estimates or publication of research reports and recommendations by financial analysts or actions taken by rating agencies with respect to our securities or those of other REITs;</w:t>
      </w: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meet analysts’ revenue or earnings estimates;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speculation in the press or investment community;</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actions by us or our competitors, such as acquisitions or restructurings;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of institutional investor interest in us;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of short-selling of Vornado common shares and the shares of our competitors;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stock price and operating results of our competitors;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0" w:name="page21"/>
    <w:bookmarkEnd w:id="20"/>
    <w:p>
      <w:pPr>
        <w:ind w:left="940" w:hanging="306"/>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repurchase plans;</w:t>
      </w:r>
    </w:p>
    <w:p>
      <w:pPr>
        <w:spacing w:after="0" w:line="32"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financial and economic market conditions and, in particular, developments related to market conditions for office REITs and other real estate related companies and the New York City real estate market;</w:t>
      </w:r>
    </w:p>
    <w:p>
      <w:pPr>
        <w:ind w:left="940" w:hanging="306"/>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inflation;</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domestic and international economic factors unrelated to our performance (including the macro-economic impact of geopolitical conflicts);</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fiscal policies or inaction at the U.S. federal government level that may lead to federal government shutdowns or negative impacts on the U.S. economy;</w:t>
      </w:r>
    </w:p>
    <w:p>
      <w:pPr>
        <w:ind w:left="940" w:hanging="306"/>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and rules; and</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risk factors addressed elsewhere in this Annual Report on Form 10-K.</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significant decline in Vornado’s stock price could result in substantial losses for our equity holders.</w:t>
      </w:r>
    </w:p>
    <w:p>
      <w:pPr>
        <w:spacing w:after="0" w:line="62" w:lineRule="exact"/>
        <w:rPr>
          <w:sz w:val="20"/>
          <w:szCs w:val="20"/>
          <w:color w:val="auto"/>
        </w:rPr>
      </w:pP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Vornado has many shares available for future sale, which could hurt the market price of its shares and the redemption price of the Operating Partnership’s units.</w:t>
      </w:r>
    </w:p>
    <w:p>
      <w:pPr>
        <w:spacing w:after="0" w:line="1"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The interests of equity holders could be diluted if we issue additional equity securities. As of December 31, 2025, Vornado had authorized but unissued 59,333,633 common shares of beneficial interest, $0.04 par value, and 58,391,550 preferred shares of beneficial interest, no par value; of which 20,399,118 common shares are reserved for issuance upon redemption of Class A Operating Partnership units, convertible securities and employee stock options and 11,200,000 preferred shares are reserved for issuance upon redemption of preferred Operating Partnership units. The reserved common shares exclude the potential conversion of appreciation-only long-term incentive plan units (“AO LTIP Units”) and performance AO LTIP Units which may be converted into Class A Operating Partnership Units if a specified price is met. Any shares not reserved may be issued from time to time in public or private offerings or in connection with acquisitions. In addition, common and preferred shares reserved may be sold upon issuance in the public market after registration under the Securities Act or under Rule 144 under the Securities Act or other available exemptions from registration. We cannot predict the effect that future sales of Vornado’s common and preferred shares or Operating Partnership Class A and preferred units will have on the market prices of our securities.</w:t>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addition, under Maryland law, Vornado’s Board of Trustees has the authority to increase the number of authorized shares without shareholder approval.</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Loss of our key personnel could harm our operations and adversely affect the value of our common shares and Operating Partnership Class A units.</w:t>
      </w:r>
    </w:p>
    <w:p>
      <w:pPr>
        <w:spacing w:after="0" w:line="70" w:lineRule="exact"/>
        <w:rPr>
          <w:sz w:val="20"/>
          <w:szCs w:val="20"/>
          <w:color w:val="auto"/>
        </w:rPr>
      </w:pPr>
    </w:p>
    <w:p>
      <w:pPr>
        <w:jc w:val="both"/>
        <w:ind w:firstLine="314"/>
        <w:spacing w:after="0" w:line="288" w:lineRule="auto"/>
        <w:rPr>
          <w:sz w:val="20"/>
          <w:szCs w:val="20"/>
          <w:color w:val="auto"/>
        </w:rPr>
      </w:pPr>
      <w:r>
        <w:rPr>
          <w:rFonts w:ascii="Times New Roman" w:cs="Times New Roman" w:eastAsia="Times New Roman" w:hAnsi="Times New Roman"/>
          <w:sz w:val="17"/>
          <w:szCs w:val="17"/>
          <w:color w:val="auto"/>
        </w:rPr>
        <w:t>We are dependent on the efforts of Steven Roth, the Chairman of the Board of Trustees and Chief Executive Officer of Vornado. While we believe that we could find a replacement for him and other key personnel, the loss of their services could harm our operations and adversely affect the value of our securities.</w:t>
      </w: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REGULATORY COMPLIANCE</w:t>
      </w:r>
    </w:p>
    <w:p>
      <w:pPr>
        <w:spacing w:after="0" w:line="64" w:lineRule="exact"/>
        <w:rPr>
          <w:sz w:val="20"/>
          <w:szCs w:val="20"/>
          <w:color w:val="auto"/>
        </w:rPr>
      </w:pP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Vornado may fail to qualify or remain qualified as a REIT and may be required to pay federal income taxes at corporate rates, which could adversely impact the value of our common shares.</w:t>
      </w:r>
    </w:p>
    <w:p>
      <w:pPr>
        <w:spacing w:after="0" w:line="1"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Although we believe that Vornado will remain organized and will continue to operate so as to qualify as a REIT for federal income tax purposes, Vornado may fail to remain so qualified. Qualifications are governed by highly technical and complex provisions of the Internal Revenue Code for which there are only limited judicial or administrative interpretations and depend on various facts and circumstances that are not entirely within our control. In addition, legislation, new regulations, administrative interpretations or court decisions may significantly change the relevant tax laws and/or the federal income tax consequences of qualifying as a REIT. If, with respect to any taxable year, Vornado fails to maintain its qualification as a REIT and does not qualify under statutory relief provisions, Vornado could not deduct distributions to shareholders in computing our taxable income and would have to pay federal income tax on its taxable income at regular corporate rates. The federal income tax payable would include any applicable alternative minimum tax. If Vornado had to pay federal income tax, the amount of money available to distribute to equity holders and pay its indebtedness would be reduced for the year or years involved, and Vornado would not be required to make distributions to shareholders in that taxable year and in future years until it was able to qualify as a REIT and did so. In addition, Vornado would also be disqualified from treatment as a REIT for the four taxable years following the year during which qualification was lost, unless Vornado were entitled to relief under the relevant statutory provisions. Our failure to qualify as a REIT could impact our ability to expand our business and raise capital and adversely affect the price of our common shares.</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face possible adverse federal tax audits and changes in federal tax laws, which may result in an increase in our tax liability.</w:t>
      </w:r>
    </w:p>
    <w:p>
      <w:pPr>
        <w:spacing w:after="0" w:line="70" w:lineRule="exact"/>
        <w:rPr>
          <w:sz w:val="20"/>
          <w:szCs w:val="20"/>
          <w:color w:val="auto"/>
        </w:rPr>
      </w:pPr>
    </w:p>
    <w:p>
      <w:pPr>
        <w:jc w:val="both"/>
        <w:ind w:firstLine="314"/>
        <w:spacing w:after="0" w:line="274" w:lineRule="auto"/>
        <w:rPr>
          <w:sz w:val="20"/>
          <w:szCs w:val="20"/>
          <w:color w:val="auto"/>
        </w:rPr>
      </w:pPr>
      <w:r>
        <w:rPr>
          <w:rFonts w:ascii="Times New Roman" w:cs="Times New Roman" w:eastAsia="Times New Roman" w:hAnsi="Times New Roman"/>
          <w:sz w:val="17"/>
          <w:szCs w:val="17"/>
          <w:color w:val="auto"/>
        </w:rPr>
        <w:t>In the normal course of business, certain entities through which we own real estate either have undergone or may undergo tax audits. Although we believe that we have substantial arguments in favor of our positions, in some instances there is no controlling precedent or interpretive guidance. There can be no assurance that audits will not occur with increased frequency or that the ultimate result of such audits will not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21" w:name="page22"/>
    <w:bookmarkEnd w:id="21"/>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At any time, the U.S. federal income tax laws governing REITs or the administrative interpretations of those laws may be amended. We cannot predict if or when any new U.S. federal income tax law, regulation, or administrative interpretation, or any amendment to any existing U.S. federal income tax law, Treasury regulation or administrative interpretation, will be adopted, promulgated or become effective and any such law, regulation, or interpretation may take effect retroactively. Vornado, its taxable REIT subsidiaries, and our security holders could be adversely affected by any such change in, or any new, U.S. federal income tax law, Treasury regulation or administrative interpretation.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face possible adverse state and local tax audits and changes in state and local tax law.</w:t>
      </w:r>
    </w:p>
    <w:p>
      <w:pPr>
        <w:spacing w:after="0" w:line="70"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Because Vornado is organized and qualifies as a REIT, it is generally not subject to federal income taxes, but we are subject to certain state and local taxes. In the normal course of business, certain entities through which we own real estate either have undergone, or are currently undergoing, tax audits. Although we believe that we have substantial arguments in favor of our positions in the ongoing audits, in some instances there is no controlling precedent or interpretive guidance on the specific point at issue. There can be no assurance that audits will not occur with increased frequency or that the ultimate result of such audits will not have a material adverse effect on our results of operations.</w:t>
      </w:r>
    </w:p>
    <w:p>
      <w:pPr>
        <w:spacing w:after="0" w:line="13"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From time to time changes in state and local tax laws or regulations are enacted, which may result in an increase in our tax liability. A shortfall in tax revenues for states and municipalities in which we operate may lead to an increase in the frequency and size of such changes including changes in laws, regulations and administration of property and transfer taxes. If such changes occur, we may be required to pay additional taxes on our assets or income. These increased tax costs could adversely affect our financial condition and results of operations and the amount of cash available for the payment of dividends and distributions to our security holders.</w:t>
      </w:r>
    </w:p>
    <w:p>
      <w:pPr>
        <w:spacing w:after="0" w:line="9" w:lineRule="exact"/>
        <w:rPr>
          <w:sz w:val="20"/>
          <w:szCs w:val="20"/>
          <w:color w:val="auto"/>
        </w:rPr>
      </w:pPr>
    </w:p>
    <w:p>
      <w:pPr>
        <w:jc w:val="both"/>
        <w:ind w:firstLine="31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Compliance or failure to comply with the Americans with Disabilities Act (the "ADA") or other safety regulations and requirements could result in substantial costs.</w:t>
      </w:r>
    </w:p>
    <w:p>
      <w:pPr>
        <w:spacing w:after="0" w:line="1"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The ADA generally requires that public buildings, including our properties, meet certain Federal requirements related to access and use by disabled persons. Noncompliance could result in the imposition of fines by the Federal government or the award of damages to private litigants and/or legal fees to their counsel. From time to time persons have asserted claims against us with respect to some of our properties under the ADA, but to date such claims have not resulted in any material expense or liability. If, under the ADA, we are required to make substantial alterations and capital expenditures in one or more of our properties, including the removal of access barriers, it could adversely affect our financial condition and results of operations, as well as the amount of cash available for distribution to equity holders.</w:t>
      </w:r>
    </w:p>
    <w:p>
      <w:pPr>
        <w:spacing w:after="0" w:line="15"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properties are subject to various federal, state and local regulatory requirements, such as state and local fire and life safety requirements. If we fail to comply with these requirements, we could incur fines or private damage awards. We do not know whether existing requirements will change or whether compliance with future requirements will require significant unanticipated expenditures that will affect our cash flow and results of operations.</w:t>
      </w:r>
    </w:p>
    <w:p>
      <w:pPr>
        <w:spacing w:after="0" w:line="3"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We may incur significant costs to comply with environmental laws and environmental contamination may impair our ability to lease and/or sell real estate.</w:t>
      </w:r>
    </w:p>
    <w:p>
      <w:pPr>
        <w:spacing w:after="0" w:line="256"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Our operations and properties are subject to various federal, state and local laws and regulations concerning the protection of the environment, including air and water quality, hazardous or toxic substances and health and safety. Under some environmental laws, a current or previous owner or operator of real estate may be required to investigate and clean up hazardous or toxic substances released at a property. The owner or operator may also be held liable to a governmental entity or to third parties for property damage or personal injuries and for investigation and clean-up costs incurred by those parties because of the contamination. These laws often impose liability without regard to whether the owner or operator knew of the release of the substances or caused the release. The presence of contamination or the failure to remediate contamination may also impair our ability to sell or lease real estate or to borrow using the real estate as collateral. Other laws and regulations govern indoor and outdoor air quality including those that can require the abatement or removal of asbestos-containing materials in the event of damage, demolition, renovation or remodeling and govern emissions of and exposure to asbestos fibers in the air. The maintenance and removal of lead paint and certain electrical equipment containing polychlorinated biphenyls (PCBs) are also regulated by federal and state laws. We are also subject to risks associated with human exposure to chemical or biological contaminants such as molds, pollens, viruses and bacteria which, above certain levels, can be alleged to be connected to allergic or other health effects and symptoms in susceptible individuals. Our predecessor companies may be subject to similar liabilities for activities of those companies in the past. We could incur fines for environmental compliance and be held liable for the costs of remedial action with respect to the foregoing regulated substances or related claims arising out of environmental contamination or human exposure to contamination at or from our properties.</w:t>
      </w:r>
    </w:p>
    <w:p>
      <w:pPr>
        <w:spacing w:after="0" w:line="233" w:lineRule="exact"/>
        <w:rPr>
          <w:sz w:val="20"/>
          <w:szCs w:val="20"/>
          <w:color w:val="auto"/>
        </w:rPr>
      </w:pPr>
    </w:p>
    <w:p>
      <w:pPr>
        <w:jc w:val="both"/>
        <w:ind w:firstLine="314"/>
        <w:spacing w:after="0" w:line="274" w:lineRule="auto"/>
        <w:rPr>
          <w:sz w:val="20"/>
          <w:szCs w:val="20"/>
          <w:color w:val="auto"/>
        </w:rPr>
      </w:pPr>
      <w:r>
        <w:rPr>
          <w:rFonts w:ascii="Times New Roman" w:cs="Times New Roman" w:eastAsia="Times New Roman" w:hAnsi="Times New Roman"/>
          <w:sz w:val="17"/>
          <w:szCs w:val="17"/>
          <w:color w:val="auto"/>
        </w:rPr>
        <w:t>Each of our properties has been subject to varying degrees of environmental assessment. To date, these environmental assessments have not revealed any environmental condition material to our business. However, identification of new compliance concerns or undiscovered areas of contamination, changes in the extent or known scope of contamination, human exposure to contamination or changes in clean-up or compliance requirements could result in significant costs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TECHNOLOGY, CYBERSECURITY AND DATA PROTECTION</w:t>
      </w:r>
    </w:p>
    <w:p>
      <w:pPr>
        <w:spacing w:after="0" w:line="64" w:lineRule="exact"/>
        <w:rPr>
          <w:sz w:val="20"/>
          <w:szCs w:val="20"/>
          <w:color w:val="auto"/>
        </w:rPr>
      </w:pPr>
    </w:p>
    <w:p>
      <w:pPr>
        <w:jc w:val="both"/>
        <w:ind w:firstLine="314"/>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occurrence of cyber incidents, or a deficiency in our cyber security, as well as other disruptions to our IT networks and related systems, could negatively impact our business by causing a disruption to our operations, a compromise or corruption of our confidential information, and/or damage to our business relationships or reputation, all of which could negatively impact our financial results.</w:t>
      </w:r>
    </w:p>
    <w:p>
      <w:pPr>
        <w:spacing w:after="0" w:line="3" w:lineRule="exact"/>
        <w:rPr>
          <w:sz w:val="20"/>
          <w:szCs w:val="20"/>
          <w:color w:val="auto"/>
        </w:rPr>
      </w:pPr>
    </w:p>
    <w:p>
      <w:pPr>
        <w:jc w:val="both"/>
        <w:ind w:firstLine="314"/>
        <w:spacing w:after="0" w:line="259" w:lineRule="auto"/>
        <w:rPr>
          <w:sz w:val="20"/>
          <w:szCs w:val="20"/>
          <w:color w:val="auto"/>
        </w:rPr>
      </w:pPr>
      <w:r>
        <w:rPr>
          <w:rFonts w:ascii="Times New Roman" w:cs="Times New Roman" w:eastAsia="Times New Roman" w:hAnsi="Times New Roman"/>
          <w:sz w:val="17"/>
          <w:szCs w:val="17"/>
          <w:color w:val="auto"/>
        </w:rPr>
        <w:t>Our IT networks and related systems are essential to the operation of our business and our ability to perform day-to-day operations (including managing our building systems) and, in some cases, may be critical to the operations of certain of our tenants. We face risks associated with security breaches, whether through cyber attacks, malware, ransomware, computer viruses, phishing, attachments to e-mails, persons who access our systems from inside or outside our organization, and other significant disruptions of our IT networks and related systems. Our suppliers, subcontractors, and joint venture partners face similar threats and an incident at one of these entities could adversely impact our business. These entities are typically outside our control and may have access to certain of our information with varying levels of security and cybersecurity resources. The risk of a security breach or disruption, particularly through cyber attack, including by computer hackers, foreign governments and cyber terrorists, has generally increased as the number, intensity and sophistication of attempted attacks from around the world have increased, including through the use of artificial intelligence. Although we have not experienced cyber incidents that are individually, or in the aggregate, material, the incidents we have experienced thus far have been mitigated by preventative, detective, and responsive measures that we have put in place.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Unauthorized parties, whether within or outside our company, may disrupt or gain access to our systems, or those of third parties with whom we do business, through human error, misfeasance, fraud, trickery, or other forms of deceit, including break-ins, use of stolen credentials, social engineering, phishing, computer viruses or other malicious codes, and similar means of unauthorized and destructive tampering. Even the most well protected information, networks, systems and facilities remain potentially vulnerable because the techniques used in such attempted security breaches evolve and generally are not recognized until launched against a target, and in some cases are designed to not be detected and, in fact, may not be detected. Accordingly, we may be unable to anticipate these techniques or to implement adequate security barriers or other preventative measures, and thus it is impossible for us to entirely mitigate this risk.</w:t>
      </w:r>
    </w:p>
    <w:p>
      <w:pPr>
        <w:spacing w:after="0" w:line="238"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A security breach or other significant disruption involving our IT networks and related systems could disrupt the proper functioning of our networks and systems and therefore our operations and/or those of certain of our tenants; result in the unauthorized access to, and destruction, loss, theft, misappropriation or release of, proprietary, confidential, sensitive or otherwise valuable information of ours or others, which others could use to compete against us or which could expose us to damage claims by third-parties for disruptive, destructive or otherwise harmful purposes and outcomes; result in our inability to maintain the building systems relied upon by our tenants for the efficient use of their leased space; require significant management attention and resources to remedy any damages that result; may require payments to the attackers; subject us to litigation claims for breach of contract, damages, credits, fines, penalties, governmental investigations and enforcement actions or termination of leases or other agreements; or damage our reputation among our tenants and investors generally. Any or all of the foregoing could have a material adverse effect on our results of operations, financial condition and cash flows.</w:t>
      </w:r>
    </w:p>
    <w:p>
      <w:pPr>
        <w:spacing w:after="0" w:line="22"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A cyber attack or systems failure could interfere with our ability to comply with financial reporting requirements, which could adversely affect us. A cyber attack could also compromise the confidential information of our employees, tenants, customers and vendors. A successful attack could disrupt and materially affect our business operations, including damaging relationships with tenants, customers and vendors. Any compromise of our information security systems could also result in a violation of applicable privacy and other laws, significant legal and financial exposure, damage to our reputation, loss or misuse of the information (which may be confidential, proprietary and/or commercially sensitive in nature) and a loss of confidence in our security measures, which could harm our business. For additional information on our cybersecurity risk management process, see Item 1C. Cybersecurity.</w:t>
      </w:r>
    </w:p>
    <w:p>
      <w:pPr>
        <w:spacing w:after="0" w:line="2"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17"/>
          <w:szCs w:val="17"/>
          <w:color w:val="auto"/>
        </w:rPr>
        <w:t>We have begun the use of AI capabilities with the goal of creating additional efficiencies in conducting our business and operations. While we intend to use AI appropriately and to attempt to mitigate ethical and legal issues presented by its use, we may ultimately be unsuccessful in identifying or resolving issues before they arise. There can be no assurance that we or our service providers will properly implement AI, and the failure to do so could have an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PRINCIPAL EXECUTIVE OFFICES</w:t>
      </w:r>
    </w:p>
    <w:p>
      <w:pPr>
        <w:spacing w:after="0" w:line="34" w:lineRule="exact"/>
        <w:rPr>
          <w:sz w:val="20"/>
          <w:szCs w:val="20"/>
          <w:color w:val="auto"/>
        </w:rPr>
      </w:pPr>
    </w:p>
    <w:p>
      <w:pPr>
        <w:ind w:left="320"/>
        <w:spacing w:after="0" w:line="196" w:lineRule="exact"/>
        <w:rPr>
          <w:sz w:val="20"/>
          <w:szCs w:val="20"/>
          <w:color w:val="auto"/>
        </w:rPr>
      </w:pPr>
      <w:r>
        <w:rPr>
          <w:rFonts w:ascii="Times New Roman" w:cs="Times New Roman" w:eastAsia="Times New Roman" w:hAnsi="Times New Roman"/>
          <w:sz w:val="17"/>
          <w:szCs w:val="17"/>
          <w:color w:val="auto"/>
        </w:rPr>
        <w:t>Our principal executive offices are located at 888 Seventh Avenue, New York, New York 10019; telephone (212) 894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7000.</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MATERIALS AVAILABLE ON OUR WEBSITE</w:t>
      </w:r>
    </w:p>
    <w:p>
      <w:pPr>
        <w:spacing w:after="0" w:line="34" w:lineRule="exact"/>
        <w:rPr>
          <w:sz w:val="20"/>
          <w:szCs w:val="20"/>
          <w:color w:val="auto"/>
        </w:rPr>
      </w:pPr>
    </w:p>
    <w:p>
      <w:pPr>
        <w:jc w:val="both"/>
        <w:ind w:firstLine="314"/>
        <w:spacing w:after="0" w:line="216" w:lineRule="exact"/>
        <w:rPr>
          <w:sz w:val="20"/>
          <w:szCs w:val="20"/>
          <w:color w:val="auto"/>
        </w:rPr>
      </w:pPr>
      <w:r>
        <w:rPr>
          <w:rFonts w:ascii="Times New Roman" w:cs="Times New Roman" w:eastAsia="Times New Roman" w:hAnsi="Times New Roman"/>
          <w:sz w:val="17"/>
          <w:szCs w:val="17"/>
          <w:color w:val="auto"/>
        </w:rPr>
        <w:t>Copies of our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Quarterly Reports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 Current Reports on Form 8</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and amendments to those reports, as well as Reports on Forms 3, 4 and 5 regarding officers, trustees and 10% beneficial owners, filed or furnished pursuant to Section 13(a), 15(d) or 16(a) of the Securities Exchange Act of 1934 are available free of charge through our website (www.vno.com) as soon as reasonably practicable after they are electronically filed with, or furnished to, the Securities and Exchange Commission. Also available on our website are copies of our Audit Committee Charter, Compensation Committee Charter, Corporate Governance and Nominating Committee Charter, Code of Business Conduct and Ethics, and Corporate Governance Guidelines. In the event of any changes to these charters or the code or guidelines, revised copies will also be made available on our website. Copies of these documents are also available directly from us free of charge. Our website also includes other financial and non-financial information, including certain non-GAAP financial measures, none of which is a part of this Annual Report on Form 10-K. Copies of our filings under the Securities Exchange Act of 1934 are also available free of charge from us, upon request.</w:t>
      </w:r>
    </w:p>
    <w:p>
      <w:pPr>
        <w:spacing w:after="0" w:line="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are no unresolved comments from the staff of the Securities and Exchange Commission as of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4" w:name="page25"/>
    <w:bookmarkEnd w:id="24"/>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and Strategy</w:t>
      </w:r>
    </w:p>
    <w:p>
      <w:pPr>
        <w:spacing w:after="0" w:line="12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employ a comprehensive risk management strategy for the assessment, identification and management of material risks stemming from cybersecurity threats. Our methodologies involve a systematic evaluation of potential threats, vulnerabilities, and their potential impacts on our organization’s operations, data, and systems.</w:t>
      </w:r>
    </w:p>
    <w:p>
      <w:pPr>
        <w:spacing w:after="0" w:line="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cybersecurity risk management program is integrated into our overall enterprise risk management program, and shares common methodologies, reporting channels and governance processes that apply across the enterprise risk management program, including legal, compliance, strategic, operational, and financial risk areas.</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cybersecurity risk management program includes:</w:t>
      </w:r>
    </w:p>
    <w:p>
      <w:pPr>
        <w:spacing w:after="0" w:line="66" w:lineRule="exact"/>
        <w:rPr>
          <w:sz w:val="20"/>
          <w:szCs w:val="20"/>
          <w:color w:val="auto"/>
        </w:rPr>
      </w:pPr>
    </w:p>
    <w:p>
      <w:pPr>
        <w:ind w:left="940" w:hanging="306"/>
        <w:spacing w:after="0" w:line="268"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assessments designed to help identify material cybersecurity risks to our critical systems, information, and our broader enterprise IT environment;</w:t>
      </w:r>
    </w:p>
    <w:p>
      <w:pPr>
        <w:spacing w:after="0" w:line="218"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team principally responsible for managing our (i) cybersecurity risk assessment processes, (ii) security controls and (iii) response to cybersecurity incidents;</w:t>
      </w:r>
    </w:p>
    <w:p>
      <w:pPr>
        <w:ind w:left="940" w:hanging="306"/>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external service providers, where appropriate, to assess, test or otherwise assist with aspects of our security controls;</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awareness training of our employees, incident response personnel and senior management, including through the use of third-party providers for regular mandatory trainings;</w:t>
      </w:r>
    </w:p>
    <w:p>
      <w:pPr>
        <w:ind w:left="940" w:hanging="306"/>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cybersecurity incident response plan that includes procedures for responding to cybersecurity incidents; and</w:t>
      </w:r>
    </w:p>
    <w:p>
      <w:pPr>
        <w:spacing w:after="0" w:line="14" w:lineRule="exact"/>
        <w:rPr>
          <w:rFonts w:ascii="Times New Roman" w:cs="Times New Roman" w:eastAsia="Times New Roman" w:hAnsi="Times New Roman"/>
          <w:sz w:val="17"/>
          <w:szCs w:val="17"/>
          <w:color w:val="auto"/>
        </w:rPr>
      </w:pPr>
    </w:p>
    <w:p>
      <w:pPr>
        <w:ind w:left="940" w:hanging="306"/>
        <w:spacing w:after="0" w:line="274"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risk management process for third-party service providers, suppliers, and vendors. We employ rigorous vetting processes and ongoing monitoring mechanisms designed to ensure their compliance with cybersecurity standards.</w:t>
      </w:r>
    </w:p>
    <w:p>
      <w:pPr>
        <w:spacing w:after="0" w:line="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As of the date of this Annual Report on Form 10-K, we are not aware of any risks from cybersecurity threats, including as a result of any previous cybersecurity incidents, that have materially affected or are reasonably likely to materially affect us, including our operations, business strategy, results of operations, or financial condition.</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Governance</w:t>
      </w:r>
    </w:p>
    <w:p>
      <w:pPr>
        <w:spacing w:after="0" w:line="70"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Our Board of Trustee’s considers cybersecurity risk as part of its risk oversight function and has delegated to the Audit Committee (the “Committee”) oversight of cybersecurity and other information technology risks. The Committee oversees management’s implementation of our cybersecurity risk management program.</w:t>
      </w:r>
    </w:p>
    <w:p>
      <w:pPr>
        <w:spacing w:after="0" w:line="21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Committee receives periodic reports from management on our potential cybersecurity risks and threats and receives presentations on cybersecurity topics from our Chief Information Officer. The Committee reports to the full Board of Trustees regarding its activities, including those related to cybersecurity. The full Board of Trustees also receives briefings from management on cybersecurity matters as needed.</w:t>
      </w:r>
    </w:p>
    <w:p>
      <w:pPr>
        <w:spacing w:after="0" w:line="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management team, including our Chief Information Officer,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Chief Information Officer has many years of experience leading cybersecurity oversight and overall has broad, extensive experience with information technology, including security, auditing, compliance, systems and programming.</w:t>
      </w:r>
    </w:p>
    <w:p>
      <w:pPr>
        <w:spacing w:after="0" w:line="1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 Our cybersecurity incident response plan governs our assessment and response upon the occurrence of a material cybersecurity incident, including the process for informing senior management and our Board of Trustees.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5" w:name="page26"/>
    <w:bookmarkEnd w:id="25"/>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LISTING</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operate in two reportable segments: New York and Other. The following pages provide details of our real estate properties as of December 31, 2025.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Development</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NEW YORK SEGMENT</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w w:val="98"/>
              </w:rPr>
              <w:t>or Not</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260" w:type="dxa"/>
            <w:vAlign w:val="bottom"/>
            <w:gridSpan w:val="4"/>
            <w:vMerge w:val="continue"/>
          </w:tcPr>
          <w:p>
            <w:pPr>
              <w:spacing w:after="0"/>
              <w:rPr>
                <w:sz w:val="6"/>
                <w:szCs w:val="6"/>
                <w:color w:val="auto"/>
              </w:rPr>
            </w:pPr>
          </w:p>
        </w:tc>
        <w:tc>
          <w:tcPr>
            <w:tcW w:w="980" w:type="dxa"/>
            <w:vAlign w:val="bottom"/>
            <w:vMerge w:val="restart"/>
          </w:tcPr>
          <w:p>
            <w:pPr>
              <w:jc w:val="right"/>
              <w:ind w:right="350"/>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restart"/>
          </w:tcPr>
          <w:p>
            <w:pPr>
              <w:jc w:val="right"/>
              <w:ind w:right="390"/>
              <w:spacing w:after="0" w:line="144"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2"/>
            <w:vMerge w:val="restart"/>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Available</w:t>
            </w:r>
          </w:p>
        </w:tc>
        <w:tc>
          <w:tcPr>
            <w:tcW w:w="880" w:type="dxa"/>
            <w:vAlign w:val="bottom"/>
            <w:vMerge w:val="restart"/>
          </w:tcPr>
          <w:p>
            <w:pPr>
              <w:jc w:val="right"/>
              <w:ind w:right="210"/>
              <w:spacing w:after="0" w:line="144"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2740" w:type="dxa"/>
            <w:vAlign w:val="bottom"/>
            <w:gridSpan w:val="2"/>
            <w:vMerge w:val="restart"/>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4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In Service</w:t>
            </w:r>
          </w:p>
        </w:tc>
        <w:tc>
          <w:tcPr>
            <w:tcW w:w="114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500" w:type="dxa"/>
            <w:vAlign w:val="bottom"/>
            <w:gridSpan w:val="2"/>
            <w:vMerge w:val="continue"/>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Occupancy</w:t>
            </w:r>
          </w:p>
        </w:tc>
        <w:tc>
          <w:tcPr>
            <w:tcW w:w="3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Lease</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95"/>
        </w:trPr>
        <w:tc>
          <w:tcPr>
            <w:tcW w:w="20" w:type="dxa"/>
            <w:vAlign w:val="bottom"/>
            <w:tcBorders>
              <w:top w:val="single" w:sz="8" w:color="auto"/>
            </w:tcBorders>
            <w:shd w:val="clear" w:color="auto" w:fill="CCEEFF"/>
          </w:tcPr>
          <w:p>
            <w:pPr>
              <w:spacing w:after="0"/>
              <w:rPr>
                <w:sz w:val="16"/>
                <w:szCs w:val="16"/>
                <w:color w:val="auto"/>
              </w:rPr>
            </w:pPr>
          </w:p>
        </w:tc>
        <w:tc>
          <w:tcPr>
            <w:tcW w:w="4160" w:type="dxa"/>
            <w:vAlign w:val="bottom"/>
            <w:tcBorders>
              <w:top w:val="single" w:sz="8" w:color="auto"/>
            </w:tcBorders>
            <w:gridSpan w:val="3"/>
            <w:shd w:val="clear" w:color="auto" w:fill="CCEEFF"/>
          </w:tcPr>
          <w:p>
            <w:pPr>
              <w:spacing w:after="0" w:line="195" w:lineRule="exact"/>
              <w:rPr>
                <w:sz w:val="20"/>
                <w:szCs w:val="20"/>
                <w:color w:val="auto"/>
              </w:rPr>
            </w:pPr>
            <w:r>
              <w:rPr>
                <w:rFonts w:ascii="Times New Roman" w:cs="Times New Roman" w:eastAsia="Times New Roman" w:hAnsi="Times New Roman"/>
                <w:sz w:val="14"/>
                <w:szCs w:val="14"/>
                <w:color w:val="auto"/>
              </w:rPr>
              <w:t>PENN 1 (ground leased through 2098)</w:t>
            </w:r>
            <w:r>
              <w:rPr>
                <w:rFonts w:ascii="Times New Roman" w:cs="Times New Roman" w:eastAsia="Times New Roman" w:hAnsi="Times New Roman"/>
                <w:sz w:val="18"/>
                <w:szCs w:val="18"/>
                <w:b w:val="1"/>
                <w:bCs w:val="1"/>
                <w:color w:val="auto"/>
                <w:vertAlign w:val="superscript"/>
              </w:rPr>
              <w:t>(1)</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Office / Retail</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3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2,553,000</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1290 Avenue of the Americas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70.0 %</w:t>
            </w:r>
          </w:p>
        </w:tc>
        <w:tc>
          <w:tcPr>
            <w:tcW w:w="10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2,089,000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2,089,000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PENN 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1,825,000</w:t>
            </w:r>
          </w:p>
        </w:tc>
        <w:tc>
          <w:tcPr>
            <w:tcW w:w="0" w:type="dxa"/>
            <w:vAlign w:val="bottom"/>
          </w:tcPr>
          <w:p>
            <w:pPr>
              <w:spacing w:after="0"/>
              <w:rPr>
                <w:sz w:val="1"/>
                <w:szCs w:val="1"/>
                <w:color w:val="auto"/>
              </w:rPr>
            </w:pPr>
          </w:p>
        </w:tc>
      </w:tr>
      <w:tr>
        <w:trPr>
          <w:trHeight w:val="19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909</w:t>
            </w:r>
          </w:p>
        </w:tc>
        <w:tc>
          <w:tcPr>
            <w:tcW w:w="40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Third Avenue (ground leased through 2063)</w:t>
            </w:r>
            <w:r>
              <w:rPr>
                <w:rFonts w:ascii="Times New Roman" w:cs="Times New Roman" w:eastAsia="Times New Roman" w:hAnsi="Times New Roman"/>
                <w:sz w:val="18"/>
                <w:szCs w:val="18"/>
                <w:b w:val="1"/>
                <w:bCs w:val="1"/>
                <w:color w:val="auto"/>
                <w:vertAlign w:val="superscript"/>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1,353,000</w:t>
            </w:r>
          </w:p>
        </w:tc>
        <w:tc>
          <w:tcPr>
            <w:tcW w:w="0" w:type="dxa"/>
            <w:vAlign w:val="bottom"/>
          </w:tcPr>
          <w:p>
            <w:pPr>
              <w:spacing w:after="0"/>
              <w:rPr>
                <w:sz w:val="1"/>
                <w:szCs w:val="1"/>
                <w:color w:val="auto"/>
              </w:rPr>
            </w:pPr>
          </w:p>
        </w:tc>
      </w:tr>
      <w:tr>
        <w:trPr>
          <w:trHeight w:val="196"/>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280</w:t>
            </w:r>
          </w:p>
        </w:tc>
        <w:tc>
          <w:tcPr>
            <w:tcW w:w="40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Park Avenue</w:t>
            </w:r>
            <w:r>
              <w:rPr>
                <w:rFonts w:ascii="Times New Roman" w:cs="Times New Roman" w:eastAsia="Times New Roman" w:hAnsi="Times New Roman"/>
                <w:sz w:val="18"/>
                <w:szCs w:val="18"/>
                <w:b w:val="1"/>
                <w:bCs w:val="1"/>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gridSpan w:val="4"/>
          </w:tcPr>
          <w:p>
            <w:pPr>
              <w:spacing w:after="0" w:line="196" w:lineRule="exact"/>
              <w:rPr>
                <w:sz w:val="20"/>
                <w:szCs w:val="20"/>
                <w:color w:val="auto"/>
              </w:rPr>
            </w:pPr>
            <w:r>
              <w:rPr>
                <w:rFonts w:ascii="Times New Roman" w:cs="Times New Roman" w:eastAsia="Times New Roman" w:hAnsi="Times New Roman"/>
                <w:sz w:val="14"/>
                <w:szCs w:val="14"/>
                <w:color w:val="auto"/>
              </w:rPr>
              <w:t>Independence Plaza, Tribeca (1,328 units)</w:t>
            </w:r>
            <w:r>
              <w:rPr>
                <w:rFonts w:ascii="Times New Roman" w:cs="Times New Roman" w:eastAsia="Times New Roman" w:hAnsi="Times New Roman"/>
                <w:sz w:val="18"/>
                <w:szCs w:val="18"/>
                <w:b w:val="1"/>
                <w:bCs w:val="1"/>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 / Residential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9"/>
                <w:szCs w:val="9"/>
                <w:b w:val="1"/>
                <w:bCs w:val="1"/>
                <w:color w:val="auto"/>
                <w:w w:val="94"/>
              </w:rPr>
              <w:t>(3)</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1,258,000</w:t>
            </w:r>
          </w:p>
        </w:tc>
        <w:tc>
          <w:tcPr>
            <w:tcW w:w="0" w:type="dxa"/>
            <w:vAlign w:val="bottom"/>
          </w:tcPr>
          <w:p>
            <w:pPr>
              <w:spacing w:after="0"/>
              <w:rPr>
                <w:sz w:val="1"/>
                <w:szCs w:val="1"/>
                <w:color w:val="auto"/>
              </w:rPr>
            </w:pPr>
          </w:p>
        </w:tc>
      </w:tr>
      <w:tr>
        <w:trPr>
          <w:trHeight w:val="196"/>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770</w:t>
            </w:r>
          </w:p>
        </w:tc>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Broadway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PENN 11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1,159,000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1,159,000</w:t>
            </w:r>
          </w:p>
        </w:tc>
        <w:tc>
          <w:tcPr>
            <w:tcW w:w="0" w:type="dxa"/>
            <w:vAlign w:val="bottom"/>
          </w:tcPr>
          <w:p>
            <w:pPr>
              <w:spacing w:after="0"/>
              <w:rPr>
                <w:sz w:val="1"/>
                <w:szCs w:val="1"/>
                <w:color w:val="auto"/>
              </w:rPr>
            </w:pPr>
          </w:p>
        </w:tc>
      </w:tr>
      <w:tr>
        <w:trPr>
          <w:trHeight w:val="204"/>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100</w:t>
            </w:r>
          </w:p>
        </w:tc>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33rd Street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858,000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90 Park Avenue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956,000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956,000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One Park Avenue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945,000</w:t>
            </w:r>
          </w:p>
        </w:tc>
        <w:tc>
          <w:tcPr>
            <w:tcW w:w="0" w:type="dxa"/>
            <w:vAlign w:val="bottom"/>
          </w:tcPr>
          <w:p>
            <w:pPr>
              <w:spacing w:after="0"/>
              <w:rPr>
                <w:sz w:val="1"/>
                <w:szCs w:val="1"/>
                <w:color w:val="auto"/>
              </w:rPr>
            </w:pPr>
          </w:p>
        </w:tc>
      </w:tr>
      <w:tr>
        <w:trPr>
          <w:trHeight w:val="19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888</w:t>
            </w:r>
          </w:p>
        </w:tc>
        <w:tc>
          <w:tcPr>
            <w:tcW w:w="40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Seventh Avenue (ground leased through 2067)</w:t>
            </w:r>
            <w:r>
              <w:rPr>
                <w:rFonts w:ascii="Times New Roman" w:cs="Times New Roman" w:eastAsia="Times New Roman" w:hAnsi="Times New Roman"/>
                <w:sz w:val="18"/>
                <w:szCs w:val="18"/>
                <w:b w:val="1"/>
                <w:bCs w:val="1"/>
                <w:color w:val="auto"/>
                <w:vertAlign w:val="superscript"/>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888,000</w:t>
            </w: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4260" w:type="dxa"/>
            <w:vAlign w:val="bottom"/>
            <w:gridSpan w:val="4"/>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The Farley Building</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100" w:type="dxa"/>
            <w:vAlign w:val="bottom"/>
            <w:shd w:val="clear" w:color="auto" w:fill="CCEEFF"/>
          </w:tcPr>
          <w:p>
            <w:pPr>
              <w:spacing w:after="0"/>
              <w:rPr>
                <w:sz w:val="11"/>
                <w:szCs w:val="11"/>
                <w:color w:val="auto"/>
              </w:rPr>
            </w:pPr>
          </w:p>
        </w:tc>
        <w:tc>
          <w:tcPr>
            <w:tcW w:w="1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3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846,000</w:t>
            </w: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846,000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40" w:type="dxa"/>
            <w:vAlign w:val="bottom"/>
            <w:gridSpan w:val="3"/>
            <w:shd w:val="clear" w:color="auto" w:fill="CCEEFF"/>
          </w:tcPr>
          <w:p>
            <w:pPr>
              <w:jc w:val="right"/>
              <w:ind w:right="1560"/>
              <w:spacing w:after="0" w:line="196" w:lineRule="exact"/>
              <w:rPr>
                <w:sz w:val="20"/>
                <w:szCs w:val="20"/>
                <w:color w:val="auto"/>
              </w:rPr>
            </w:pPr>
            <w:r>
              <w:rPr>
                <w:rFonts w:ascii="Times New Roman" w:cs="Times New Roman" w:eastAsia="Times New Roman" w:hAnsi="Times New Roman"/>
                <w:sz w:val="14"/>
                <w:szCs w:val="14"/>
                <w:color w:val="auto"/>
                <w:w w:val="96"/>
              </w:rPr>
              <w:t>(ground and building leased through 2116)</w:t>
            </w:r>
            <w:r>
              <w:rPr>
                <w:rFonts w:ascii="Times New Roman" w:cs="Times New Roman" w:eastAsia="Times New Roman" w:hAnsi="Times New Roman"/>
                <w:sz w:val="18"/>
                <w:szCs w:val="18"/>
                <w:b w:val="1"/>
                <w:bCs w:val="1"/>
                <w:color w:val="auto"/>
                <w:w w:val="96"/>
                <w:vertAlign w:val="superscript"/>
              </w:rPr>
              <w:t>(1)</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330</w:t>
            </w:r>
          </w:p>
        </w:tc>
        <w:tc>
          <w:tcPr>
            <w:tcW w:w="40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West 34th Street (65.2% ground leased through 2149)</w:t>
            </w:r>
            <w:r>
              <w:rPr>
                <w:rFonts w:ascii="Times New Roman" w:cs="Times New Roman" w:eastAsia="Times New Roman" w:hAnsi="Times New Roman"/>
                <w:sz w:val="18"/>
                <w:szCs w:val="18"/>
                <w:b w:val="1"/>
                <w:bCs w:val="1"/>
                <w:color w:val="auto"/>
                <w:vertAlign w:val="superscript"/>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726,000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85 Tenth Avenue</w:t>
            </w:r>
            <w:r>
              <w:rPr>
                <w:rFonts w:ascii="Times New Roman" w:cs="Times New Roman" w:eastAsia="Times New Roman" w:hAnsi="Times New Roman"/>
                <w:sz w:val="18"/>
                <w:szCs w:val="18"/>
                <w:b w:val="1"/>
                <w:bCs w:val="1"/>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641,000</w:t>
            </w:r>
          </w:p>
        </w:tc>
        <w:tc>
          <w:tcPr>
            <w:tcW w:w="0" w:type="dxa"/>
            <w:vAlign w:val="bottom"/>
          </w:tcPr>
          <w:p>
            <w:pPr>
              <w:spacing w:after="0"/>
              <w:rPr>
                <w:sz w:val="1"/>
                <w:szCs w:val="1"/>
                <w:color w:val="auto"/>
              </w:rPr>
            </w:pPr>
          </w:p>
        </w:tc>
      </w:tr>
      <w:tr>
        <w:trPr>
          <w:trHeight w:val="189"/>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350</w:t>
            </w: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585,000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585,000</w:t>
            </w:r>
          </w:p>
        </w:tc>
        <w:tc>
          <w:tcPr>
            <w:tcW w:w="0" w:type="dxa"/>
            <w:vAlign w:val="bottom"/>
          </w:tcPr>
          <w:p>
            <w:pPr>
              <w:spacing w:after="0"/>
              <w:rPr>
                <w:sz w:val="1"/>
                <w:szCs w:val="1"/>
                <w:color w:val="auto"/>
              </w:rPr>
            </w:pPr>
          </w:p>
        </w:tc>
      </w:tr>
      <w:tr>
        <w:trPr>
          <w:trHeight w:val="204"/>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150</w:t>
            </w:r>
          </w:p>
        </w:tc>
        <w:tc>
          <w:tcPr>
            <w:tcW w:w="40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East 58th Street</w:t>
            </w:r>
            <w:r>
              <w:rPr>
                <w:rFonts w:ascii="Times New Roman" w:cs="Times New Roman" w:eastAsia="Times New Roman" w:hAnsi="Times New Roman"/>
                <w:sz w:val="18"/>
                <w:szCs w:val="18"/>
                <w:b w:val="1"/>
                <w:bCs w:val="1"/>
                <w:color w:val="auto"/>
                <w:vertAlign w:val="superscript"/>
              </w:rPr>
              <w:t>(4)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gridSpan w:val="4"/>
          </w:tcPr>
          <w:p>
            <w:pPr>
              <w:spacing w:after="0" w:line="196" w:lineRule="exact"/>
              <w:rPr>
                <w:sz w:val="20"/>
                <w:szCs w:val="20"/>
                <w:color w:val="auto"/>
              </w:rPr>
            </w:pPr>
            <w:r>
              <w:rPr>
                <w:rFonts w:ascii="Times New Roman" w:cs="Times New Roman" w:eastAsia="Times New Roman" w:hAnsi="Times New Roman"/>
                <w:sz w:val="14"/>
                <w:szCs w:val="14"/>
                <w:color w:val="auto"/>
              </w:rPr>
              <w:t>7 West 34th Street</w:t>
            </w:r>
            <w:r>
              <w:rPr>
                <w:rFonts w:ascii="Times New Roman" w:cs="Times New Roman" w:eastAsia="Times New Roman" w:hAnsi="Times New Roman"/>
                <w:sz w:val="18"/>
                <w:szCs w:val="18"/>
                <w:b w:val="1"/>
                <w:bCs w:val="1"/>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477,000</w:t>
            </w:r>
          </w:p>
        </w:tc>
        <w:tc>
          <w:tcPr>
            <w:tcW w:w="0" w:type="dxa"/>
            <w:vAlign w:val="bottom"/>
          </w:tcPr>
          <w:p>
            <w:pPr>
              <w:spacing w:after="0"/>
              <w:rPr>
                <w:sz w:val="1"/>
                <w:szCs w:val="1"/>
                <w:color w:val="auto"/>
              </w:rPr>
            </w:pPr>
          </w:p>
        </w:tc>
      </w:tr>
      <w:tr>
        <w:trPr>
          <w:trHeight w:val="196"/>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623</w:t>
            </w:r>
          </w:p>
        </w:tc>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Fifth Avenue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(5)</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383,000</w:t>
            </w:r>
          </w:p>
        </w:tc>
        <w:tc>
          <w:tcPr>
            <w:tcW w:w="0" w:type="dxa"/>
            <w:vAlign w:val="bottom"/>
          </w:tcPr>
          <w:p>
            <w:pPr>
              <w:spacing w:after="0"/>
              <w:rPr>
                <w:sz w:val="1"/>
                <w:szCs w:val="1"/>
                <w:color w:val="auto"/>
              </w:rPr>
            </w:pPr>
          </w:p>
        </w:tc>
      </w:tr>
      <w:tr>
        <w:trPr>
          <w:trHeight w:val="189"/>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595</w:t>
            </w: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Madison Avenue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332,000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332,000</w:t>
            </w:r>
          </w:p>
        </w:tc>
        <w:tc>
          <w:tcPr>
            <w:tcW w:w="0" w:type="dxa"/>
            <w:vAlign w:val="bottom"/>
          </w:tcPr>
          <w:p>
            <w:pPr>
              <w:spacing w:after="0"/>
              <w:rPr>
                <w:sz w:val="1"/>
                <w:szCs w:val="1"/>
                <w:color w:val="auto"/>
              </w:rPr>
            </w:pPr>
          </w:p>
        </w:tc>
      </w:tr>
      <w:tr>
        <w:trPr>
          <w:trHeight w:val="204"/>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640</w:t>
            </w:r>
          </w:p>
        </w:tc>
        <w:tc>
          <w:tcPr>
            <w:tcW w:w="40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Fifth Avenue</w:t>
            </w:r>
            <w:r>
              <w:rPr>
                <w:rFonts w:ascii="Times New Roman" w:cs="Times New Roman" w:eastAsia="Times New Roman" w:hAnsi="Times New Roman"/>
                <w:sz w:val="18"/>
                <w:szCs w:val="18"/>
                <w:b w:val="1"/>
                <w:bCs w:val="1"/>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315,000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60" w:type="dxa"/>
            <w:vAlign w:val="bottom"/>
            <w:gridSpan w:val="4"/>
          </w:tcPr>
          <w:p>
            <w:pPr>
              <w:spacing w:after="0" w:line="131" w:lineRule="exact"/>
              <w:rPr>
                <w:sz w:val="20"/>
                <w:szCs w:val="20"/>
                <w:color w:val="auto"/>
              </w:rPr>
            </w:pPr>
            <w:r>
              <w:rPr>
                <w:rFonts w:ascii="Times New Roman" w:cs="Times New Roman" w:eastAsia="Times New Roman" w:hAnsi="Times New Roman"/>
                <w:sz w:val="14"/>
                <w:szCs w:val="14"/>
                <w:color w:val="auto"/>
              </w:rPr>
              <w:t>Sunset Pier 94 Studios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49.9 %</w:t>
            </w:r>
          </w:p>
        </w:tc>
        <w:tc>
          <w:tcPr>
            <w:tcW w:w="100" w:type="dxa"/>
            <w:vAlign w:val="bottom"/>
          </w:tcPr>
          <w:p>
            <w:pPr>
              <w:spacing w:after="0"/>
              <w:rPr>
                <w:sz w:val="11"/>
                <w:szCs w:val="11"/>
                <w:color w:val="auto"/>
              </w:rPr>
            </w:pPr>
          </w:p>
        </w:tc>
        <w:tc>
          <w:tcPr>
            <w:tcW w:w="1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Studio</w:t>
            </w:r>
          </w:p>
        </w:tc>
        <w:tc>
          <w:tcPr>
            <w:tcW w:w="10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(5)</w:t>
            </w:r>
          </w:p>
        </w:tc>
        <w:tc>
          <w:tcPr>
            <w:tcW w:w="3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266,000</w:t>
            </w: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gridSpan w:val="4"/>
          </w:tcPr>
          <w:p>
            <w:pPr>
              <w:jc w:val="right"/>
              <w:ind w:right="1560"/>
              <w:spacing w:after="0" w:line="196" w:lineRule="exact"/>
              <w:rPr>
                <w:sz w:val="20"/>
                <w:szCs w:val="20"/>
                <w:color w:val="auto"/>
              </w:rPr>
            </w:pPr>
            <w:r>
              <w:rPr>
                <w:rFonts w:ascii="Times New Roman" w:cs="Times New Roman" w:eastAsia="Times New Roman" w:hAnsi="Times New Roman"/>
                <w:sz w:val="14"/>
                <w:szCs w:val="14"/>
                <w:color w:val="auto"/>
              </w:rPr>
              <w:t>(ground and building leased through 2110)</w:t>
            </w:r>
            <w:r>
              <w:rPr>
                <w:rFonts w:ascii="Times New Roman" w:cs="Times New Roman" w:eastAsia="Times New Roman" w:hAnsi="Times New Roman"/>
                <w:sz w:val="18"/>
                <w:szCs w:val="18"/>
                <w:b w:val="1"/>
                <w:bCs w:val="1"/>
                <w:color w:val="auto"/>
                <w:vertAlign w:val="superscript"/>
              </w:rPr>
              <w:t>(1)(2)</w:t>
            </w: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260</w:t>
            </w:r>
          </w:p>
        </w:tc>
        <w:tc>
          <w:tcPr>
            <w:tcW w:w="40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Eleventh Avenue (ground leased through 2114)</w:t>
            </w:r>
            <w:r>
              <w:rPr>
                <w:rFonts w:ascii="Times New Roman" w:cs="Times New Roman" w:eastAsia="Times New Roman" w:hAnsi="Times New Roman"/>
                <w:sz w:val="18"/>
                <w:szCs w:val="18"/>
                <w:b w:val="1"/>
                <w:bCs w:val="1"/>
                <w:color w:val="auto"/>
                <w:vertAlign w:val="superscript"/>
              </w:rPr>
              <w:t>(1)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4 Union Square South</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204,000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204,000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61 Ninth Avenue (2 buildings) (ground leased through 2115)</w:t>
            </w:r>
            <w:r>
              <w:rPr>
                <w:rFonts w:ascii="Times New Roman" w:cs="Times New Roman" w:eastAsia="Times New Roman" w:hAnsi="Times New Roman"/>
                <w:sz w:val="18"/>
                <w:szCs w:val="18"/>
                <w:b w:val="1"/>
                <w:bCs w:val="1"/>
                <w:color w:val="auto"/>
                <w:vertAlign w:val="superscript"/>
              </w:rPr>
              <w:t>(1)(2)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194,000</w:t>
            </w:r>
          </w:p>
        </w:tc>
        <w:tc>
          <w:tcPr>
            <w:tcW w:w="0" w:type="dxa"/>
            <w:vAlign w:val="bottom"/>
          </w:tcPr>
          <w:p>
            <w:pPr>
              <w:spacing w:after="0"/>
              <w:rPr>
                <w:sz w:val="1"/>
                <w:szCs w:val="1"/>
                <w:color w:val="auto"/>
              </w:rPr>
            </w:pPr>
          </w:p>
        </w:tc>
      </w:tr>
      <w:tr>
        <w:trPr>
          <w:trHeight w:val="19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825</w:t>
            </w: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Seventh Avenue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4"/>
                <w:szCs w:val="14"/>
                <w:color w:val="auto"/>
              </w:rPr>
              <w:t>Office</w:t>
            </w:r>
            <w:r>
              <w:rPr>
                <w:rFonts w:ascii="Times New Roman" w:cs="Times New Roman" w:eastAsia="Times New Roman" w:hAnsi="Times New Roman"/>
                <w:sz w:val="18"/>
                <w:szCs w:val="18"/>
                <w:b w:val="1"/>
                <w:bCs w:val="1"/>
                <w:color w:val="auto"/>
                <w:vertAlign w:val="superscript"/>
              </w:rPr>
              <w:t>(2)</w:t>
            </w:r>
            <w:r>
              <w:rPr>
                <w:rFonts w:ascii="Times New Roman" w:cs="Times New Roman" w:eastAsia="Times New Roman" w:hAnsi="Times New Roman"/>
                <w:sz w:val="14"/>
                <w:szCs w:val="14"/>
                <w:color w:val="auto"/>
              </w:rPr>
              <w:t xml:space="preserv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173,000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1540 Broadway</w:t>
            </w:r>
            <w:r>
              <w:rPr>
                <w:rFonts w:ascii="Times New Roman" w:cs="Times New Roman" w:eastAsia="Times New Roman" w:hAnsi="Times New Roman"/>
                <w:sz w:val="18"/>
                <w:szCs w:val="18"/>
                <w:b w:val="1"/>
                <w:bCs w:val="1"/>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gridSpan w:val="4"/>
          </w:tcPr>
          <w:p>
            <w:pPr>
              <w:spacing w:after="0" w:line="196" w:lineRule="exact"/>
              <w:rPr>
                <w:sz w:val="20"/>
                <w:szCs w:val="20"/>
                <w:color w:val="auto"/>
              </w:rPr>
            </w:pPr>
            <w:r>
              <w:rPr>
                <w:rFonts w:ascii="Times New Roman" w:cs="Times New Roman" w:eastAsia="Times New Roman" w:hAnsi="Times New Roman"/>
                <w:sz w:val="14"/>
                <w:szCs w:val="14"/>
                <w:color w:val="auto"/>
              </w:rPr>
              <w:t>1535 Broadway</w:t>
            </w:r>
            <w:r>
              <w:rPr>
                <w:rFonts w:ascii="Times New Roman" w:cs="Times New Roman" w:eastAsia="Times New Roman" w:hAnsi="Times New Roman"/>
                <w:sz w:val="18"/>
                <w:szCs w:val="18"/>
                <w:b w:val="1"/>
                <w:bCs w:val="1"/>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 / Theatre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107,000</w:t>
            </w:r>
          </w:p>
        </w:tc>
        <w:tc>
          <w:tcPr>
            <w:tcW w:w="0" w:type="dxa"/>
            <w:vAlign w:val="bottom"/>
          </w:tcPr>
          <w:p>
            <w:pPr>
              <w:spacing w:after="0"/>
              <w:rPr>
                <w:sz w:val="1"/>
                <w:szCs w:val="1"/>
                <w:color w:val="auto"/>
              </w:rPr>
            </w:pPr>
          </w:p>
        </w:tc>
      </w:tr>
      <w:tr>
        <w:trPr>
          <w:trHeight w:val="196"/>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689</w:t>
            </w:r>
          </w:p>
        </w:tc>
        <w:tc>
          <w:tcPr>
            <w:tcW w:w="40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Fifth Avenue</w:t>
            </w:r>
            <w:r>
              <w:rPr>
                <w:rFonts w:ascii="Times New Roman" w:cs="Times New Roman" w:eastAsia="Times New Roman" w:hAnsi="Times New Roman"/>
                <w:sz w:val="18"/>
                <w:szCs w:val="18"/>
                <w:b w:val="1"/>
                <w:bCs w:val="1"/>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97,000</w:t>
            </w:r>
          </w:p>
        </w:tc>
        <w:tc>
          <w:tcPr>
            <w:tcW w:w="0" w:type="dxa"/>
            <w:vAlign w:val="bottom"/>
          </w:tcPr>
          <w:p>
            <w:pPr>
              <w:spacing w:after="0"/>
              <w:rPr>
                <w:sz w:val="1"/>
                <w:szCs w:val="1"/>
                <w:color w:val="auto"/>
              </w:rPr>
            </w:pPr>
          </w:p>
        </w:tc>
      </w:tr>
      <w:tr>
        <w:trPr>
          <w:trHeight w:val="189"/>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150</w:t>
            </w: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West 34th Street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50 West 57th Street</w:t>
            </w:r>
            <w:r>
              <w:rPr>
                <w:rFonts w:ascii="Times New Roman" w:cs="Times New Roman" w:eastAsia="Times New Roman" w:hAnsi="Times New Roman"/>
                <w:sz w:val="18"/>
                <w:szCs w:val="18"/>
                <w:b w:val="1"/>
                <w:bCs w:val="1"/>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0" w:type="dxa"/>
            <w:vAlign w:val="bottom"/>
          </w:tcPr>
          <w:p>
            <w:pPr>
              <w:spacing w:after="0"/>
              <w:rPr>
                <w:sz w:val="1"/>
                <w:szCs w:val="1"/>
                <w:color w:val="auto"/>
              </w:rPr>
            </w:pPr>
          </w:p>
        </w:tc>
      </w:tr>
      <w:tr>
        <w:trPr>
          <w:trHeight w:val="196"/>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655</w:t>
            </w:r>
          </w:p>
        </w:tc>
        <w:tc>
          <w:tcPr>
            <w:tcW w:w="40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Fifth Avenue</w:t>
            </w:r>
            <w:r>
              <w:rPr>
                <w:rFonts w:ascii="Times New Roman" w:cs="Times New Roman" w:eastAsia="Times New Roman" w:hAnsi="Times New Roman"/>
                <w:sz w:val="18"/>
                <w:szCs w:val="18"/>
                <w:b w:val="1"/>
                <w:bCs w:val="1"/>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57,000</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57,000</w:t>
            </w:r>
          </w:p>
        </w:tc>
        <w:tc>
          <w:tcPr>
            <w:tcW w:w="0" w:type="dxa"/>
            <w:vAlign w:val="bottom"/>
          </w:tcPr>
          <w:p>
            <w:pPr>
              <w:spacing w:after="0"/>
              <w:rPr>
                <w:sz w:val="1"/>
                <w:szCs w:val="1"/>
                <w:color w:val="auto"/>
              </w:rPr>
            </w:pPr>
          </w:p>
        </w:tc>
      </w:tr>
      <w:tr>
        <w:trPr>
          <w:trHeight w:val="196"/>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435</w:t>
            </w:r>
          </w:p>
        </w:tc>
        <w:tc>
          <w:tcPr>
            <w:tcW w:w="4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Seventh Avenue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43,000</w:t>
            </w:r>
          </w:p>
        </w:tc>
        <w:tc>
          <w:tcPr>
            <w:tcW w:w="0" w:type="dxa"/>
            <w:vAlign w:val="bottom"/>
          </w:tcPr>
          <w:p>
            <w:pPr>
              <w:spacing w:after="0"/>
              <w:rPr>
                <w:sz w:val="1"/>
                <w:szCs w:val="1"/>
                <w:color w:val="auto"/>
              </w:rPr>
            </w:pPr>
          </w:p>
        </w:tc>
      </w:tr>
      <w:tr>
        <w:trPr>
          <w:trHeight w:val="189"/>
        </w:trPr>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5"/>
              </w:rPr>
              <w:t>606</w:t>
            </w: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Broadway</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Office / 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26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697-703 Fifth Avenue</w:t>
            </w:r>
            <w:r>
              <w:rPr>
                <w:rFonts w:ascii="Times New Roman" w:cs="Times New Roman" w:eastAsia="Times New Roman" w:hAnsi="Times New Roman"/>
                <w:sz w:val="18"/>
                <w:szCs w:val="18"/>
                <w:b w:val="1"/>
                <w:bCs w:val="1"/>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1131 Third Avenue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0" w:type="dxa"/>
            <w:vAlign w:val="bottom"/>
          </w:tcPr>
          <w:p>
            <w:pPr>
              <w:spacing w:after="0"/>
              <w:rPr>
                <w:sz w:val="1"/>
                <w:szCs w:val="1"/>
                <w:color w:val="auto"/>
              </w:rPr>
            </w:pPr>
          </w:p>
        </w:tc>
      </w:tr>
      <w:tr>
        <w:trPr>
          <w:trHeight w:val="204"/>
        </w:trPr>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666</w:t>
            </w:r>
          </w:p>
        </w:tc>
        <w:tc>
          <w:tcPr>
            <w:tcW w:w="404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 xml:space="preserve">Fifth Avenue </w:t>
            </w:r>
            <w:r>
              <w:rPr>
                <w:rFonts w:ascii="Times New Roman" w:cs="Times New Roman" w:eastAsia="Times New Roman" w:hAnsi="Times New Roman"/>
                <w:sz w:val="18"/>
                <w:szCs w:val="18"/>
                <w:b w:val="1"/>
                <w:bCs w:val="1"/>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131-135 West 33rd Street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Retail</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on page 28.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PROPERTY LISTING –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Square Feet</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Development</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0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NEW YORK SEGMENT – CONTINUED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or Not</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4060" w:type="dxa"/>
            <w:vAlign w:val="bottom"/>
            <w:gridSpan w:val="4"/>
            <w:vMerge w:val="continue"/>
          </w:tcPr>
          <w:p>
            <w:pPr>
              <w:spacing w:after="0"/>
              <w:rPr>
                <w:sz w:val="6"/>
                <w:szCs w:val="6"/>
                <w:color w:val="auto"/>
              </w:rPr>
            </w:pPr>
          </w:p>
        </w:tc>
        <w:tc>
          <w:tcPr>
            <w:tcW w:w="1040" w:type="dxa"/>
            <w:vAlign w:val="bottom"/>
            <w:vMerge w:val="restart"/>
          </w:tcPr>
          <w:p>
            <w:pPr>
              <w:jc w:val="right"/>
              <w:ind w:right="39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restart"/>
          </w:tcPr>
          <w:p>
            <w:pPr>
              <w:jc w:val="right"/>
              <w:ind w:right="39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restart"/>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Available</w:t>
            </w:r>
          </w:p>
        </w:tc>
        <w:tc>
          <w:tcPr>
            <w:tcW w:w="940" w:type="dxa"/>
            <w:vAlign w:val="bottom"/>
            <w:vMerge w:val="restart"/>
          </w:tcPr>
          <w:p>
            <w:pPr>
              <w:jc w:val="right"/>
              <w:ind w:right="250"/>
              <w:spacing w:after="0" w:line="143"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25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540" w:type="dxa"/>
            <w:vAlign w:val="bottom"/>
            <w:gridSpan w:val="2"/>
            <w:vMerge w:val="restart"/>
          </w:tcPr>
          <w:p>
            <w:pPr>
              <w:spacing w:after="0"/>
              <w:rPr>
                <w:sz w:val="3"/>
                <w:szCs w:val="3"/>
                <w:color w:val="auto"/>
              </w:rPr>
            </w:pP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 Service</w:t>
            </w:r>
          </w:p>
        </w:tc>
        <w:tc>
          <w:tcPr>
            <w:tcW w:w="1160" w:type="dxa"/>
            <w:vAlign w:val="bottom"/>
            <w:gridSpan w:val="2"/>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520" w:type="dxa"/>
            <w:vAlign w:val="bottom"/>
            <w:gridSpan w:val="2"/>
            <w:vMerge w:val="continue"/>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Occupancy</w:t>
            </w:r>
          </w:p>
        </w:tc>
        <w:tc>
          <w:tcPr>
            <w:tcW w:w="1040" w:type="dxa"/>
            <w:vAlign w:val="bottom"/>
            <w:gridSpan w:val="2"/>
            <w:vMerge w:val="continue"/>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Lease</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715</w:t>
            </w:r>
          </w:p>
        </w:tc>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Lexington Avenue</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Retail</w:t>
            </w: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537</w:t>
            </w:r>
          </w:p>
        </w:tc>
        <w:tc>
          <w:tcPr>
            <w:tcW w:w="3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West 26th Street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w:t>
            </w: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40 East 66th Street (3 units)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Residential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431</w:t>
            </w:r>
          </w:p>
        </w:tc>
        <w:tc>
          <w:tcPr>
            <w:tcW w:w="3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Seventh Avenue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138-142 West 32nd Street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339</w:t>
            </w:r>
          </w:p>
        </w:tc>
        <w:tc>
          <w:tcPr>
            <w:tcW w:w="3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Greenwich Street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966</w:t>
            </w:r>
          </w:p>
        </w:tc>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Avenue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968</w:t>
            </w:r>
          </w:p>
        </w:tc>
        <w:tc>
          <w:tcPr>
            <w:tcW w:w="38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Third Avenue</w:t>
            </w:r>
            <w:r>
              <w:rPr>
                <w:rFonts w:ascii="Times New Roman" w:cs="Times New Roman" w:eastAsia="Times New Roman" w:hAnsi="Times New Roman"/>
                <w:sz w:val="18"/>
                <w:szCs w:val="18"/>
                <w:b w:val="1"/>
                <w:bCs w:val="1"/>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137</w:t>
            </w:r>
          </w:p>
        </w:tc>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33rd Street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60" w:type="dxa"/>
            <w:vAlign w:val="bottom"/>
            <w:gridSpan w:val="4"/>
          </w:tcPr>
          <w:p>
            <w:pPr>
              <w:spacing w:after="0" w:line="196" w:lineRule="exact"/>
              <w:rPr>
                <w:sz w:val="20"/>
                <w:szCs w:val="20"/>
                <w:color w:val="auto"/>
              </w:rPr>
            </w:pPr>
            <w:r>
              <w:rPr>
                <w:rFonts w:ascii="Times New Roman" w:cs="Times New Roman" w:eastAsia="Times New Roman" w:hAnsi="Times New Roman"/>
                <w:sz w:val="14"/>
                <w:szCs w:val="14"/>
                <w:color w:val="auto"/>
              </w:rPr>
              <w:t>57th Street</w:t>
            </w:r>
            <w:r>
              <w:rPr>
                <w:rFonts w:ascii="Times New Roman" w:cs="Times New Roman" w:eastAsia="Times New Roman" w:hAnsi="Times New Roman"/>
                <w:sz w:val="18"/>
                <w:szCs w:val="18"/>
                <w:b w:val="1"/>
                <w:bCs w:val="1"/>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Land</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w:t>
            </w:r>
          </w:p>
        </w:tc>
        <w:tc>
          <w:tcPr>
            <w:tcW w:w="2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Eighth Avenue and 34th Street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Land</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Hotel Pennsylvania site (PENN 15)</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Land</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w:t>
            </w: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(4 buildings)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56.7 %</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34,000</w:t>
            </w:r>
          </w:p>
        </w:tc>
        <w:tc>
          <w:tcPr>
            <w:tcW w:w="0" w:type="dxa"/>
            <w:vAlign w:val="bottom"/>
          </w:tcPr>
          <w:p>
            <w:pPr>
              <w:spacing w:after="0"/>
              <w:rPr>
                <w:sz w:val="1"/>
                <w:szCs w:val="1"/>
                <w:color w:val="auto"/>
              </w:rPr>
            </w:pPr>
          </w:p>
        </w:tc>
      </w:tr>
      <w:tr>
        <w:trPr>
          <w:trHeight w:val="474"/>
        </w:trPr>
        <w:tc>
          <w:tcPr>
            <w:tcW w:w="40" w:type="dxa"/>
            <w:vAlign w:val="bottom"/>
          </w:tcPr>
          <w:p>
            <w:pPr>
              <w:spacing w:after="0"/>
              <w:rPr>
                <w:sz w:val="24"/>
                <w:szCs w:val="24"/>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Alexander's, Inc.:</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vMerge w:val="continue"/>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731</w:t>
            </w:r>
          </w:p>
        </w:tc>
        <w:tc>
          <w:tcPr>
            <w:tcW w:w="382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Lexington Avenue</w:t>
            </w:r>
            <w:r>
              <w:rPr>
                <w:rFonts w:ascii="Times New Roman" w:cs="Times New Roman" w:eastAsia="Times New Roman" w:hAnsi="Times New Roman"/>
                <w:sz w:val="18"/>
                <w:szCs w:val="18"/>
                <w:b w:val="1"/>
                <w:bCs w:val="1"/>
                <w:color w:val="auto"/>
                <w:vertAlign w:val="superscript"/>
              </w:rPr>
              <w:t>(2)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Office / Retail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1,080,000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60" w:type="dxa"/>
            <w:vAlign w:val="bottom"/>
            <w:gridSpan w:val="4"/>
          </w:tcPr>
          <w:p>
            <w:pPr>
              <w:spacing w:after="0" w:line="196" w:lineRule="exact"/>
              <w:rPr>
                <w:sz w:val="20"/>
                <w:szCs w:val="20"/>
                <w:color w:val="auto"/>
              </w:rPr>
            </w:pPr>
            <w:r>
              <w:rPr>
                <w:rFonts w:ascii="Times New Roman" w:cs="Times New Roman" w:eastAsia="Times New Roman" w:hAnsi="Times New Roman"/>
                <w:sz w:val="14"/>
                <w:szCs w:val="14"/>
                <w:color w:val="auto"/>
              </w:rPr>
              <w:t>Rego Park II, Queens (6.6 acres)</w:t>
            </w:r>
            <w:r>
              <w:rPr>
                <w:rFonts w:ascii="Times New Roman" w:cs="Times New Roman" w:eastAsia="Times New Roman" w:hAnsi="Times New Roman"/>
                <w:sz w:val="18"/>
                <w:szCs w:val="18"/>
                <w:b w:val="1"/>
                <w:bCs w:val="1"/>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0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606,000</w:t>
            </w:r>
          </w:p>
        </w:tc>
        <w:tc>
          <w:tcPr>
            <w:tcW w:w="1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6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Rego Park I, Queens (4.8 acres)</w:t>
            </w:r>
            <w:r>
              <w:rPr>
                <w:rFonts w:ascii="Times New Roman" w:cs="Times New Roman" w:eastAsia="Times New Roman" w:hAnsi="Times New Roman"/>
                <w:sz w:val="18"/>
                <w:szCs w:val="18"/>
                <w:b w:val="1"/>
                <w:bCs w:val="1"/>
                <w:color w:val="auto"/>
                <w:vertAlign w:val="superscript"/>
              </w:rPr>
              <w:t>(2)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Retail</w:t>
            </w:r>
          </w:p>
        </w:tc>
        <w:tc>
          <w:tcPr>
            <w:tcW w:w="13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338,000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60" w:type="dxa"/>
            <w:vAlign w:val="bottom"/>
            <w:gridSpan w:val="4"/>
          </w:tcPr>
          <w:p>
            <w:pPr>
              <w:spacing w:after="0" w:line="196" w:lineRule="exact"/>
              <w:rPr>
                <w:sz w:val="20"/>
                <w:szCs w:val="20"/>
                <w:color w:val="auto"/>
              </w:rPr>
            </w:pPr>
            <w:r>
              <w:rPr>
                <w:rFonts w:ascii="Times New Roman" w:cs="Times New Roman" w:eastAsia="Times New Roman" w:hAnsi="Times New Roman"/>
                <w:sz w:val="14"/>
                <w:szCs w:val="14"/>
                <w:color w:val="auto"/>
              </w:rPr>
              <w:t>The Alexander Apartment Tower, Queens (312 units)</w:t>
            </w:r>
            <w:r>
              <w:rPr>
                <w:rFonts w:ascii="Times New Roman" w:cs="Times New Roman" w:eastAsia="Times New Roman" w:hAnsi="Times New Roman"/>
                <w:sz w:val="18"/>
                <w:szCs w:val="18"/>
                <w:b w:val="1"/>
                <w:bCs w:val="1"/>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0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Residential</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255,000</w:t>
            </w:r>
          </w:p>
        </w:tc>
        <w:tc>
          <w:tcPr>
            <w:tcW w:w="10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255,000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60" w:type="dxa"/>
            <w:vAlign w:val="bottom"/>
            <w:tcBorders>
              <w:bottom w:val="single" w:sz="8" w:color="auto"/>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Flushing, Queens (1.0 acre ground leased through 2037)</w:t>
            </w:r>
            <w:r>
              <w:rPr>
                <w:rFonts w:ascii="Times New Roman" w:cs="Times New Roman" w:eastAsia="Times New Roman" w:hAnsi="Times New Roman"/>
                <w:sz w:val="18"/>
                <w:szCs w:val="18"/>
                <w:b w:val="1"/>
                <w:bCs w:val="1"/>
                <w:color w:val="auto"/>
                <w:vertAlign w:val="superscript"/>
              </w:rPr>
              <w:t>(2)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Retail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167,000</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167,000</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4060" w:type="dxa"/>
            <w:vAlign w:val="bottom"/>
            <w:tcBorders>
              <w:bottom w:val="single" w:sz="8" w:color="auto"/>
            </w:tcBorders>
            <w:gridSpan w:val="4"/>
            <w:shd w:val="clear" w:color="auto" w:fill="FFFF99"/>
          </w:tcPr>
          <w:p>
            <w:pPr>
              <w:spacing w:after="0"/>
              <w:rPr>
                <w:sz w:val="20"/>
                <w:szCs w:val="20"/>
                <w:color w:val="auto"/>
              </w:rPr>
            </w:pPr>
            <w:r>
              <w:rPr>
                <w:rFonts w:ascii="Times New Roman" w:cs="Times New Roman" w:eastAsia="Times New Roman" w:hAnsi="Times New Roman"/>
                <w:sz w:val="14"/>
                <w:szCs w:val="14"/>
                <w:b w:val="1"/>
                <w:bCs w:val="1"/>
                <w:color w:val="auto"/>
              </w:rPr>
              <w:t>Total New York Segment</w:t>
            </w:r>
          </w:p>
        </w:tc>
        <w:tc>
          <w:tcPr>
            <w:tcW w:w="1040" w:type="dxa"/>
            <w:vAlign w:val="bottom"/>
            <w:tcBorders>
              <w:bottom w:val="single" w:sz="8" w:color="auto"/>
            </w:tcBorders>
            <w:shd w:val="clear" w:color="auto" w:fill="FFFF99"/>
          </w:tcPr>
          <w:p>
            <w:pPr>
              <w:spacing w:after="0"/>
              <w:rPr>
                <w:sz w:val="15"/>
                <w:szCs w:val="15"/>
                <w:color w:val="auto"/>
              </w:rPr>
            </w:pPr>
          </w:p>
        </w:tc>
        <w:tc>
          <w:tcPr>
            <w:tcW w:w="100" w:type="dxa"/>
            <w:vAlign w:val="bottom"/>
            <w:tcBorders>
              <w:bottom w:val="single" w:sz="8" w:color="auto"/>
            </w:tcBorders>
            <w:shd w:val="clear" w:color="auto" w:fill="FFFF99"/>
          </w:tcPr>
          <w:p>
            <w:pPr>
              <w:spacing w:after="0"/>
              <w:rPr>
                <w:sz w:val="15"/>
                <w:szCs w:val="15"/>
                <w:color w:val="auto"/>
              </w:rPr>
            </w:pPr>
          </w:p>
        </w:tc>
        <w:tc>
          <w:tcPr>
            <w:tcW w:w="1400" w:type="dxa"/>
            <w:vAlign w:val="bottom"/>
            <w:tcBorders>
              <w:bottom w:val="single" w:sz="8" w:color="auto"/>
            </w:tcBorders>
            <w:shd w:val="clear" w:color="auto" w:fill="FFFF99"/>
          </w:tcPr>
          <w:p>
            <w:pPr>
              <w:spacing w:after="0"/>
              <w:rPr>
                <w:sz w:val="15"/>
                <w:szCs w:val="15"/>
                <w:color w:val="auto"/>
              </w:rPr>
            </w:pPr>
          </w:p>
        </w:tc>
        <w:tc>
          <w:tcPr>
            <w:tcW w:w="120" w:type="dxa"/>
            <w:vAlign w:val="bottom"/>
            <w:tcBorders>
              <w:bottom w:val="single" w:sz="8" w:color="auto"/>
            </w:tcBorders>
            <w:shd w:val="clear" w:color="auto" w:fill="FFFF99"/>
          </w:tcPr>
          <w:p>
            <w:pPr>
              <w:spacing w:after="0"/>
              <w:rPr>
                <w:sz w:val="15"/>
                <w:szCs w:val="15"/>
                <w:color w:val="auto"/>
              </w:rPr>
            </w:pPr>
          </w:p>
        </w:tc>
        <w:tc>
          <w:tcPr>
            <w:tcW w:w="1060" w:type="dxa"/>
            <w:vAlign w:val="bottom"/>
            <w:tcBorders>
              <w:bottom w:val="single" w:sz="8" w:color="auto"/>
            </w:tcBorders>
            <w:shd w:val="clear" w:color="auto" w:fill="FFFF99"/>
          </w:tcPr>
          <w:p>
            <w:pPr>
              <w:jc w:val="right"/>
              <w:spacing w:after="0"/>
              <w:rPr>
                <w:sz w:val="20"/>
                <w:szCs w:val="20"/>
                <w:color w:val="auto"/>
              </w:rPr>
            </w:pPr>
            <w:r>
              <w:rPr>
                <w:rFonts w:ascii="Times New Roman" w:cs="Times New Roman" w:eastAsia="Times New Roman" w:hAnsi="Times New Roman"/>
                <w:sz w:val="14"/>
                <w:szCs w:val="14"/>
                <w:b w:val="1"/>
                <w:bCs w:val="1"/>
                <w:color w:val="auto"/>
              </w:rPr>
              <w:t>89.5%</w:t>
            </w:r>
          </w:p>
        </w:tc>
        <w:tc>
          <w:tcPr>
            <w:tcW w:w="260" w:type="dxa"/>
            <w:vAlign w:val="bottom"/>
            <w:tcBorders>
              <w:bottom w:val="single" w:sz="8" w:color="auto"/>
            </w:tcBorders>
            <w:shd w:val="clear" w:color="auto" w:fill="FFFF99"/>
          </w:tcPr>
          <w:p>
            <w:pPr>
              <w:spacing w:after="0"/>
              <w:rPr>
                <w:sz w:val="15"/>
                <w:szCs w:val="15"/>
                <w:color w:val="auto"/>
              </w:rPr>
            </w:pPr>
          </w:p>
        </w:tc>
        <w:tc>
          <w:tcPr>
            <w:tcW w:w="940" w:type="dxa"/>
            <w:vAlign w:val="bottom"/>
            <w:tcBorders>
              <w:bottom w:val="single" w:sz="8" w:color="auto"/>
            </w:tcBorders>
            <w:shd w:val="clear" w:color="auto" w:fill="FFFF99"/>
          </w:tcPr>
          <w:p>
            <w:pPr>
              <w:jc w:val="right"/>
              <w:spacing w:after="0"/>
              <w:rPr>
                <w:sz w:val="20"/>
                <w:szCs w:val="20"/>
                <w:color w:val="auto"/>
              </w:rPr>
            </w:pPr>
            <w:r>
              <w:rPr>
                <w:rFonts w:ascii="Times New Roman" w:cs="Times New Roman" w:eastAsia="Times New Roman" w:hAnsi="Times New Roman"/>
                <w:sz w:val="14"/>
                <w:szCs w:val="14"/>
                <w:b w:val="1"/>
                <w:bCs w:val="1"/>
                <w:color w:val="auto"/>
              </w:rPr>
              <w:t>24,569,000</w:t>
            </w:r>
          </w:p>
        </w:tc>
        <w:tc>
          <w:tcPr>
            <w:tcW w:w="100" w:type="dxa"/>
            <w:vAlign w:val="bottom"/>
            <w:tcBorders>
              <w:bottom w:val="single" w:sz="8" w:color="auto"/>
            </w:tcBorders>
            <w:shd w:val="clear" w:color="auto" w:fill="FFFF99"/>
          </w:tcPr>
          <w:p>
            <w:pPr>
              <w:spacing w:after="0"/>
              <w:rPr>
                <w:sz w:val="15"/>
                <w:szCs w:val="15"/>
                <w:color w:val="auto"/>
              </w:rPr>
            </w:pPr>
          </w:p>
        </w:tc>
        <w:tc>
          <w:tcPr>
            <w:tcW w:w="1040" w:type="dxa"/>
            <w:vAlign w:val="bottom"/>
            <w:tcBorders>
              <w:bottom w:val="single" w:sz="8" w:color="auto"/>
            </w:tcBorders>
            <w:shd w:val="clear" w:color="auto" w:fill="FFFF99"/>
          </w:tcPr>
          <w:p>
            <w:pPr>
              <w:jc w:val="right"/>
              <w:spacing w:after="0"/>
              <w:rPr>
                <w:sz w:val="20"/>
                <w:szCs w:val="20"/>
                <w:color w:val="auto"/>
              </w:rPr>
            </w:pPr>
            <w:r>
              <w:rPr>
                <w:rFonts w:ascii="Times New Roman" w:cs="Times New Roman" w:eastAsia="Times New Roman" w:hAnsi="Times New Roman"/>
                <w:sz w:val="14"/>
                <w:szCs w:val="14"/>
                <w:b w:val="1"/>
                <w:bCs w:val="1"/>
                <w:color w:val="auto"/>
              </w:rPr>
              <w:t>1,244,000</w:t>
            </w:r>
          </w:p>
        </w:tc>
        <w:tc>
          <w:tcPr>
            <w:tcW w:w="120" w:type="dxa"/>
            <w:vAlign w:val="bottom"/>
            <w:tcBorders>
              <w:bottom w:val="single" w:sz="8" w:color="auto"/>
            </w:tcBorders>
            <w:shd w:val="clear" w:color="auto" w:fill="FFFF99"/>
          </w:tcPr>
          <w:p>
            <w:pPr>
              <w:spacing w:after="0"/>
              <w:rPr>
                <w:sz w:val="15"/>
                <w:szCs w:val="15"/>
                <w:color w:val="auto"/>
              </w:rPr>
            </w:pPr>
          </w:p>
        </w:tc>
        <w:tc>
          <w:tcPr>
            <w:tcW w:w="940" w:type="dxa"/>
            <w:vAlign w:val="bottom"/>
            <w:tcBorders>
              <w:bottom w:val="single" w:sz="8" w:color="auto"/>
            </w:tcBorders>
            <w:shd w:val="clear" w:color="auto" w:fill="FFFF99"/>
          </w:tcPr>
          <w:p>
            <w:pPr>
              <w:jc w:val="right"/>
              <w:spacing w:after="0"/>
              <w:rPr>
                <w:sz w:val="20"/>
                <w:szCs w:val="20"/>
                <w:color w:val="auto"/>
              </w:rPr>
            </w:pPr>
            <w:r>
              <w:rPr>
                <w:rFonts w:ascii="Times New Roman" w:cs="Times New Roman" w:eastAsia="Times New Roman" w:hAnsi="Times New Roman"/>
                <w:sz w:val="14"/>
                <w:szCs w:val="14"/>
                <w:b w:val="1"/>
                <w:bCs w:val="1"/>
                <w:color w:val="auto"/>
              </w:rPr>
              <w:t>25,813,000</w:t>
            </w: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4060" w:type="dxa"/>
            <w:vAlign w:val="bottom"/>
            <w:tcBorders>
              <w:bottom w:val="single" w:sz="8" w:color="auto"/>
            </w:tcBorders>
            <w:gridSpan w:val="4"/>
            <w:shd w:val="clear" w:color="auto" w:fill="FFFF99"/>
          </w:tcPr>
          <w:p>
            <w:pPr>
              <w:spacing w:after="0"/>
              <w:rPr>
                <w:sz w:val="20"/>
                <w:szCs w:val="20"/>
                <w:color w:val="auto"/>
              </w:rPr>
            </w:pPr>
            <w:r>
              <w:rPr>
                <w:rFonts w:ascii="Times New Roman" w:cs="Times New Roman" w:eastAsia="Times New Roman" w:hAnsi="Times New Roman"/>
                <w:sz w:val="14"/>
                <w:szCs w:val="14"/>
                <w:b w:val="1"/>
                <w:bCs w:val="1"/>
                <w:color w:val="auto"/>
              </w:rPr>
              <w:t>Our Ownership Interest</w:t>
            </w:r>
          </w:p>
        </w:tc>
        <w:tc>
          <w:tcPr>
            <w:tcW w:w="1040" w:type="dxa"/>
            <w:vAlign w:val="bottom"/>
            <w:tcBorders>
              <w:bottom w:val="single" w:sz="8" w:color="auto"/>
            </w:tcBorders>
            <w:shd w:val="clear" w:color="auto" w:fill="FFFF99"/>
          </w:tcPr>
          <w:p>
            <w:pPr>
              <w:spacing w:after="0"/>
              <w:rPr>
                <w:sz w:val="15"/>
                <w:szCs w:val="15"/>
                <w:color w:val="auto"/>
              </w:rPr>
            </w:pPr>
          </w:p>
        </w:tc>
        <w:tc>
          <w:tcPr>
            <w:tcW w:w="100" w:type="dxa"/>
            <w:vAlign w:val="bottom"/>
            <w:tcBorders>
              <w:bottom w:val="single" w:sz="8" w:color="auto"/>
            </w:tcBorders>
            <w:shd w:val="clear" w:color="auto" w:fill="FFFF99"/>
          </w:tcPr>
          <w:p>
            <w:pPr>
              <w:spacing w:after="0"/>
              <w:rPr>
                <w:sz w:val="15"/>
                <w:szCs w:val="15"/>
                <w:color w:val="auto"/>
              </w:rPr>
            </w:pPr>
          </w:p>
        </w:tc>
        <w:tc>
          <w:tcPr>
            <w:tcW w:w="1400" w:type="dxa"/>
            <w:vAlign w:val="bottom"/>
            <w:tcBorders>
              <w:bottom w:val="single" w:sz="8" w:color="auto"/>
            </w:tcBorders>
            <w:shd w:val="clear" w:color="auto" w:fill="FFFF99"/>
          </w:tcPr>
          <w:p>
            <w:pPr>
              <w:spacing w:after="0"/>
              <w:rPr>
                <w:sz w:val="15"/>
                <w:szCs w:val="15"/>
                <w:color w:val="auto"/>
              </w:rPr>
            </w:pPr>
          </w:p>
        </w:tc>
        <w:tc>
          <w:tcPr>
            <w:tcW w:w="120" w:type="dxa"/>
            <w:vAlign w:val="bottom"/>
            <w:tcBorders>
              <w:bottom w:val="single" w:sz="8" w:color="auto"/>
            </w:tcBorders>
            <w:shd w:val="clear" w:color="auto" w:fill="FFFF99"/>
          </w:tcPr>
          <w:p>
            <w:pPr>
              <w:spacing w:after="0"/>
              <w:rPr>
                <w:sz w:val="15"/>
                <w:szCs w:val="15"/>
                <w:color w:val="auto"/>
              </w:rPr>
            </w:pPr>
          </w:p>
        </w:tc>
        <w:tc>
          <w:tcPr>
            <w:tcW w:w="1060" w:type="dxa"/>
            <w:vAlign w:val="bottom"/>
            <w:tcBorders>
              <w:bottom w:val="single" w:sz="8" w:color="auto"/>
            </w:tcBorders>
            <w:shd w:val="clear" w:color="auto" w:fill="FFFF99"/>
          </w:tcPr>
          <w:p>
            <w:pPr>
              <w:jc w:val="right"/>
              <w:spacing w:after="0"/>
              <w:rPr>
                <w:sz w:val="20"/>
                <w:szCs w:val="20"/>
                <w:color w:val="auto"/>
              </w:rPr>
            </w:pPr>
            <w:r>
              <w:rPr>
                <w:rFonts w:ascii="Times New Roman" w:cs="Times New Roman" w:eastAsia="Times New Roman" w:hAnsi="Times New Roman"/>
                <w:sz w:val="14"/>
                <w:szCs w:val="14"/>
                <w:b w:val="1"/>
                <w:bCs w:val="1"/>
                <w:color w:val="auto"/>
              </w:rPr>
              <w:t>90.0%</w:t>
            </w:r>
          </w:p>
        </w:tc>
        <w:tc>
          <w:tcPr>
            <w:tcW w:w="260" w:type="dxa"/>
            <w:vAlign w:val="bottom"/>
            <w:tcBorders>
              <w:bottom w:val="single" w:sz="8" w:color="auto"/>
            </w:tcBorders>
            <w:shd w:val="clear" w:color="auto" w:fill="FFFF99"/>
          </w:tcPr>
          <w:p>
            <w:pPr>
              <w:spacing w:after="0"/>
              <w:rPr>
                <w:sz w:val="15"/>
                <w:szCs w:val="15"/>
                <w:color w:val="auto"/>
              </w:rPr>
            </w:pPr>
          </w:p>
        </w:tc>
        <w:tc>
          <w:tcPr>
            <w:tcW w:w="940" w:type="dxa"/>
            <w:vAlign w:val="bottom"/>
            <w:tcBorders>
              <w:bottom w:val="single" w:sz="8" w:color="auto"/>
            </w:tcBorders>
            <w:shd w:val="clear" w:color="auto" w:fill="FFFF99"/>
          </w:tcPr>
          <w:p>
            <w:pPr>
              <w:jc w:val="right"/>
              <w:spacing w:after="0"/>
              <w:rPr>
                <w:sz w:val="20"/>
                <w:szCs w:val="20"/>
                <w:color w:val="auto"/>
              </w:rPr>
            </w:pPr>
            <w:r>
              <w:rPr>
                <w:rFonts w:ascii="Times New Roman" w:cs="Times New Roman" w:eastAsia="Times New Roman" w:hAnsi="Times New Roman"/>
                <w:sz w:val="14"/>
                <w:szCs w:val="14"/>
                <w:b w:val="1"/>
                <w:bCs w:val="1"/>
                <w:color w:val="auto"/>
              </w:rPr>
              <w:t>20,024,000</w:t>
            </w:r>
          </w:p>
        </w:tc>
        <w:tc>
          <w:tcPr>
            <w:tcW w:w="100" w:type="dxa"/>
            <w:vAlign w:val="bottom"/>
            <w:tcBorders>
              <w:bottom w:val="single" w:sz="8" w:color="auto"/>
            </w:tcBorders>
            <w:shd w:val="clear" w:color="auto" w:fill="FFFF99"/>
          </w:tcPr>
          <w:p>
            <w:pPr>
              <w:spacing w:after="0"/>
              <w:rPr>
                <w:sz w:val="15"/>
                <w:szCs w:val="15"/>
                <w:color w:val="auto"/>
              </w:rPr>
            </w:pPr>
          </w:p>
        </w:tc>
        <w:tc>
          <w:tcPr>
            <w:tcW w:w="1040" w:type="dxa"/>
            <w:vAlign w:val="bottom"/>
            <w:tcBorders>
              <w:bottom w:val="single" w:sz="8" w:color="auto"/>
            </w:tcBorders>
            <w:shd w:val="clear" w:color="auto" w:fill="FFFF99"/>
          </w:tcPr>
          <w:p>
            <w:pPr>
              <w:jc w:val="right"/>
              <w:spacing w:after="0"/>
              <w:rPr>
                <w:sz w:val="20"/>
                <w:szCs w:val="20"/>
                <w:color w:val="auto"/>
              </w:rPr>
            </w:pPr>
            <w:r>
              <w:rPr>
                <w:rFonts w:ascii="Times New Roman" w:cs="Times New Roman" w:eastAsia="Times New Roman" w:hAnsi="Times New Roman"/>
                <w:sz w:val="14"/>
                <w:szCs w:val="14"/>
                <w:b w:val="1"/>
                <w:bCs w:val="1"/>
                <w:color w:val="auto"/>
              </w:rPr>
              <w:t>883,000</w:t>
            </w:r>
          </w:p>
        </w:tc>
        <w:tc>
          <w:tcPr>
            <w:tcW w:w="120" w:type="dxa"/>
            <w:vAlign w:val="bottom"/>
            <w:tcBorders>
              <w:bottom w:val="single" w:sz="8" w:color="auto"/>
            </w:tcBorders>
            <w:shd w:val="clear" w:color="auto" w:fill="FFFF99"/>
          </w:tcPr>
          <w:p>
            <w:pPr>
              <w:spacing w:after="0"/>
              <w:rPr>
                <w:sz w:val="15"/>
                <w:szCs w:val="15"/>
                <w:color w:val="auto"/>
              </w:rPr>
            </w:pPr>
          </w:p>
        </w:tc>
        <w:tc>
          <w:tcPr>
            <w:tcW w:w="940" w:type="dxa"/>
            <w:vAlign w:val="bottom"/>
            <w:tcBorders>
              <w:bottom w:val="single" w:sz="8" w:color="auto"/>
            </w:tcBorders>
            <w:shd w:val="clear" w:color="auto" w:fill="FFFF99"/>
          </w:tcPr>
          <w:p>
            <w:pPr>
              <w:jc w:val="right"/>
              <w:spacing w:after="0"/>
              <w:rPr>
                <w:sz w:val="20"/>
                <w:szCs w:val="20"/>
                <w:color w:val="auto"/>
              </w:rPr>
            </w:pPr>
            <w:r>
              <w:rPr>
                <w:rFonts w:ascii="Times New Roman" w:cs="Times New Roman" w:eastAsia="Times New Roman" w:hAnsi="Times New Roman"/>
                <w:sz w:val="14"/>
                <w:szCs w:val="14"/>
                <w:b w:val="1"/>
                <w:bCs w:val="1"/>
                <w:color w:val="auto"/>
              </w:rPr>
              <w:t>20,907,000</w:t>
            </w:r>
          </w:p>
        </w:tc>
        <w:tc>
          <w:tcPr>
            <w:tcW w:w="0" w:type="dxa"/>
            <w:vAlign w:val="bottom"/>
          </w:tcPr>
          <w:p>
            <w:pPr>
              <w:spacing w:after="0"/>
              <w:rPr>
                <w:sz w:val="1"/>
                <w:szCs w:val="1"/>
                <w:color w:val="auto"/>
              </w:rPr>
            </w:pPr>
          </w:p>
        </w:tc>
      </w:tr>
      <w:tr>
        <w:trPr>
          <w:trHeight w:val="186"/>
        </w:trPr>
        <w:tc>
          <w:tcPr>
            <w:tcW w:w="25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1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See notes on page 28.</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PROPERTY LISTING –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OTHER SEGMENT</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45720</wp:posOffset>
            </wp:positionV>
            <wp:extent cx="25698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9845" cy="8255"/>
                    </a:xfrm>
                    <a:prstGeom prst="rect">
                      <a:avLst/>
                    </a:prstGeom>
                    <a:noFill/>
                  </pic:spPr>
                </pic:pic>
              </a:graphicData>
            </a:graphic>
          </wp:anchor>
        </w:drawing>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THE MART:</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THE MART, Chicago</w:t>
      </w:r>
    </w:p>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527 West Kinzie, Chicago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17145</wp:posOffset>
            </wp:positionV>
            <wp:extent cx="6654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5480" cy="8255"/>
                    </a:xfrm>
                    <a:prstGeom prst="rect">
                      <a:avLst/>
                    </a:prstGeom>
                    <a:noFill/>
                  </pic:spPr>
                </pic:pic>
              </a:graphicData>
            </a:graphic>
          </wp:anchor>
        </w:drawing>
      </w: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100.0 %</w:t>
      </w:r>
    </w:p>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100.0 %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29845</wp:posOffset>
            </wp:positionV>
            <wp:extent cx="8401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53" w:lineRule="exact"/>
        <w:rPr>
          <w:sz w:val="20"/>
          <w:szCs w:val="20"/>
          <w:color w:val="auto"/>
        </w:rPr>
      </w:pPr>
    </w:p>
    <w:p>
      <w:pPr>
        <w:jc w:val="right"/>
        <w:spacing w:after="0" w:line="262" w:lineRule="auto"/>
        <w:rPr>
          <w:sz w:val="20"/>
          <w:szCs w:val="20"/>
          <w:color w:val="auto"/>
        </w:rPr>
      </w:pPr>
      <w:r>
        <w:rPr>
          <w:rFonts w:ascii="Times New Roman" w:cs="Times New Roman" w:eastAsia="Times New Roman" w:hAnsi="Times New Roman"/>
          <w:sz w:val="13"/>
          <w:szCs w:val="13"/>
          <w:color w:val="auto"/>
        </w:rPr>
        <w:t>Office / Retail / Trade show / Showroom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-200660</wp:posOffset>
            </wp:positionV>
            <wp:extent cx="7111365" cy="207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1365" cy="20764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Land</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Development</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w w:val="98"/>
              </w:rPr>
              <w:t>or Not</w:t>
            </w:r>
          </w:p>
        </w:tc>
        <w:tc>
          <w:tcPr>
            <w:tcW w:w="96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Service</w:t>
            </w:r>
          </w:p>
        </w:tc>
        <w:tc>
          <w:tcPr>
            <w:tcW w:w="120" w:type="dxa"/>
            <w:vAlign w:val="bottom"/>
            <w:vMerge w:val="restart"/>
          </w:tcPr>
          <w:p>
            <w:pPr>
              <w:spacing w:after="0"/>
              <w:rPr>
                <w:sz w:val="12"/>
                <w:szCs w:val="12"/>
                <w:color w:val="auto"/>
              </w:rPr>
            </w:pPr>
          </w:p>
        </w:tc>
        <w:tc>
          <w:tcPr>
            <w:tcW w:w="11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5"/>
              </w:rPr>
              <w:t>Available</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Occupancy</w:t>
            </w:r>
          </w:p>
        </w:tc>
        <w:tc>
          <w:tcPr>
            <w:tcW w:w="28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Lease</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525"/>
        </w:trPr>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3,693,000</w:t>
            </w:r>
          </w:p>
        </w:tc>
        <w:tc>
          <w:tcPr>
            <w:tcW w:w="120" w:type="dxa"/>
            <w:vAlign w:val="bottom"/>
          </w:tcPr>
          <w:p>
            <w:pPr>
              <w:spacing w:after="0"/>
              <w:rPr>
                <w:sz w:val="24"/>
                <w:szCs w:val="24"/>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3,693,000</w:t>
            </w:r>
          </w:p>
        </w:tc>
        <w:tc>
          <w:tcPr>
            <w:tcW w:w="0" w:type="dxa"/>
            <w:vAlign w:val="bottom"/>
          </w:tcPr>
          <w:p>
            <w:pPr>
              <w:spacing w:after="0"/>
              <w:rPr>
                <w:sz w:val="1"/>
                <w:szCs w:val="1"/>
                <w:color w:val="auto"/>
              </w:rPr>
            </w:pPr>
          </w:p>
        </w:tc>
      </w:tr>
      <w:tr>
        <w:trPr>
          <w:trHeight w:val="196"/>
        </w:trPr>
        <w:tc>
          <w:tcPr>
            <w:tcW w:w="106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w:t>
            </w:r>
          </w:p>
        </w:tc>
        <w:tc>
          <w:tcPr>
            <w:tcW w:w="2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4">
            <w:col w:w="3660" w:space="720"/>
            <w:col w:w="820" w:space="220"/>
            <w:col w:w="1220" w:space="120"/>
            <w:col w:w="4480"/>
          </w:cols>
          <w:pgMar w:left="320" w:top="1167" w:right="339" w:bottom="1440" w:gutter="0" w:footer="0" w:header="0"/>
        </w:sectPr>
      </w:pPr>
    </w:p>
    <w:tbl>
      <w:tblPr>
        <w:tblLayout w:type="fixed"/>
        <w:tblInd w:w="40" w:type="dxa"/>
        <w:tblCellMar>
          <w:top w:w="0" w:type="dxa"/>
          <w:left w:w="0" w:type="dxa"/>
          <w:bottom w:w="0" w:type="dxa"/>
          <w:right w:w="0" w:type="dxa"/>
        </w:tblCellMar>
      </w:tblPr>
      <w:tr>
        <w:trPr>
          <w:trHeight w:val="207"/>
        </w:trPr>
        <w:tc>
          <w:tcPr>
            <w:tcW w:w="40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(1 property)</w:t>
            </w:r>
            <w:r>
              <w:rPr>
                <w:rFonts w:ascii="Times New Roman" w:cs="Times New Roman" w:eastAsia="Times New Roman" w:hAnsi="Times New Roman"/>
                <w:sz w:val="18"/>
                <w:szCs w:val="18"/>
                <w:b w:val="1"/>
                <w:bCs w:val="1"/>
                <w:color w:val="auto"/>
                <w:vertAlign w:val="superscript"/>
              </w:rPr>
              <w:t>(2)</w:t>
            </w:r>
            <w:r>
              <w:rPr>
                <w:rFonts w:ascii="Times New Roman" w:cs="Times New Roman" w:eastAsia="Times New Roman" w:hAnsi="Times New Roman"/>
                <w:sz w:val="14"/>
                <w:szCs w:val="14"/>
                <w:color w:val="auto"/>
              </w:rPr>
              <w:t>, Chicago</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50.0 %</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Retail</w:t>
            </w: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85.5%</w:t>
            </w:r>
          </w:p>
        </w:tc>
        <w:tc>
          <w:tcPr>
            <w:tcW w:w="11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4,000</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221"/>
        </w:trPr>
        <w:tc>
          <w:tcPr>
            <w:tcW w:w="4020" w:type="dxa"/>
            <w:vAlign w:val="bottom"/>
            <w:tcBorders>
              <w:bottom w:val="single" w:sz="8" w:color="FFFF99"/>
            </w:tcBorders>
            <w:gridSpan w:val="2"/>
            <w:shd w:val="clear" w:color="auto" w:fill="FFFF99"/>
          </w:tcPr>
          <w:p>
            <w:pPr>
              <w:spacing w:after="0"/>
              <w:rPr>
                <w:sz w:val="20"/>
                <w:szCs w:val="20"/>
                <w:color w:val="auto"/>
              </w:rPr>
            </w:pPr>
            <w:r>
              <w:rPr>
                <w:rFonts w:ascii="Times New Roman" w:cs="Times New Roman" w:eastAsia="Times New Roman" w:hAnsi="Times New Roman"/>
                <w:sz w:val="14"/>
                <w:szCs w:val="14"/>
                <w:b w:val="1"/>
                <w:bCs w:val="1"/>
                <w:color w:val="auto"/>
              </w:rPr>
              <w:t>Total THE MART</w:t>
            </w:r>
          </w:p>
        </w:tc>
        <w:tc>
          <w:tcPr>
            <w:tcW w:w="1340" w:type="dxa"/>
            <w:vAlign w:val="bottom"/>
            <w:tcBorders>
              <w:bottom w:val="single" w:sz="8" w:color="FFFF99"/>
            </w:tcBorders>
            <w:shd w:val="clear" w:color="auto" w:fill="FFFF99"/>
          </w:tcPr>
          <w:p>
            <w:pPr>
              <w:spacing w:after="0"/>
              <w:rPr>
                <w:sz w:val="18"/>
                <w:szCs w:val="18"/>
                <w:color w:val="auto"/>
              </w:rPr>
            </w:pPr>
          </w:p>
        </w:tc>
        <w:tc>
          <w:tcPr>
            <w:tcW w:w="1600" w:type="dxa"/>
            <w:vAlign w:val="bottom"/>
            <w:tcBorders>
              <w:bottom w:val="single" w:sz="8" w:color="FFFF99"/>
            </w:tcBorders>
            <w:shd w:val="clear" w:color="auto" w:fill="FFFF99"/>
          </w:tcPr>
          <w:p>
            <w:pPr>
              <w:spacing w:after="0"/>
              <w:rPr>
                <w:sz w:val="18"/>
                <w:szCs w:val="18"/>
                <w:color w:val="auto"/>
              </w:rPr>
            </w:pPr>
          </w:p>
        </w:tc>
        <w:tc>
          <w:tcPr>
            <w:tcW w:w="1180" w:type="dxa"/>
            <w:vAlign w:val="bottom"/>
            <w:tcBorders>
              <w:bottom w:val="single" w:sz="8" w:color="FFFF99"/>
            </w:tcBorders>
            <w:shd w:val="clear" w:color="auto" w:fill="FFFF99"/>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81.5%</w:t>
            </w:r>
          </w:p>
        </w:tc>
        <w:tc>
          <w:tcPr>
            <w:tcW w:w="1140" w:type="dxa"/>
            <w:vAlign w:val="bottom"/>
            <w:tcBorders>
              <w:bottom w:val="single" w:sz="8" w:color="FFFF99"/>
            </w:tcBorders>
            <w:shd w:val="clear" w:color="auto" w:fill="FFFF99"/>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3,697,000</w:t>
            </w:r>
          </w:p>
        </w:tc>
        <w:tc>
          <w:tcPr>
            <w:tcW w:w="1040" w:type="dxa"/>
            <w:vAlign w:val="bottom"/>
            <w:tcBorders>
              <w:bottom w:val="single" w:sz="8" w:color="FFFF99"/>
            </w:tcBorders>
            <w:shd w:val="clear" w:color="auto" w:fill="FFFF9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FFFF99"/>
            </w:tcBorders>
            <w:shd w:val="clear" w:color="auto" w:fill="FFFF9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3,697,000</w:t>
            </w:r>
          </w:p>
        </w:tc>
        <w:tc>
          <w:tcPr>
            <w:tcW w:w="0" w:type="dxa"/>
            <w:vAlign w:val="bottom"/>
          </w:tcPr>
          <w:p>
            <w:pPr>
              <w:spacing w:after="0"/>
              <w:rPr>
                <w:sz w:val="1"/>
                <w:szCs w:val="1"/>
                <w:color w:val="auto"/>
              </w:rPr>
            </w:pPr>
          </w:p>
        </w:tc>
      </w:tr>
      <w:tr>
        <w:trPr>
          <w:trHeight w:val="72"/>
        </w:trPr>
        <w:tc>
          <w:tcPr>
            <w:tcW w:w="220" w:type="dxa"/>
            <w:vAlign w:val="bottom"/>
            <w:tcBorders>
              <w:top w:val="single" w:sz="8" w:color="auto"/>
              <w:bottom w:val="single" w:sz="8" w:color="auto"/>
            </w:tcBorders>
          </w:tcPr>
          <w:p>
            <w:pPr>
              <w:spacing w:after="0"/>
              <w:rPr>
                <w:sz w:val="6"/>
                <w:szCs w:val="6"/>
                <w:color w:val="auto"/>
              </w:rPr>
            </w:pPr>
          </w:p>
        </w:tc>
        <w:tc>
          <w:tcPr>
            <w:tcW w:w="3800" w:type="dxa"/>
            <w:vAlign w:val="bottom"/>
            <w:tcBorders>
              <w:top w:val="single" w:sz="8" w:color="auto"/>
              <w:bottom w:val="single" w:sz="8" w:color="auto"/>
            </w:tcBorders>
          </w:tcPr>
          <w:p>
            <w:pPr>
              <w:spacing w:after="0"/>
              <w:rPr>
                <w:sz w:val="6"/>
                <w:szCs w:val="6"/>
                <w:color w:val="auto"/>
              </w:rPr>
            </w:pPr>
          </w:p>
        </w:tc>
        <w:tc>
          <w:tcPr>
            <w:tcW w:w="1340" w:type="dxa"/>
            <w:vAlign w:val="bottom"/>
            <w:tcBorders>
              <w:top w:val="single" w:sz="8" w:color="auto"/>
              <w:bottom w:val="single" w:sz="8" w:color="auto"/>
            </w:tcBorders>
          </w:tcPr>
          <w:p>
            <w:pPr>
              <w:spacing w:after="0"/>
              <w:rPr>
                <w:sz w:val="6"/>
                <w:szCs w:val="6"/>
                <w:color w:val="auto"/>
              </w:rPr>
            </w:pPr>
          </w:p>
        </w:tc>
        <w:tc>
          <w:tcPr>
            <w:tcW w:w="1600" w:type="dxa"/>
            <w:vAlign w:val="bottom"/>
            <w:tcBorders>
              <w:top w:val="single" w:sz="8" w:color="auto"/>
              <w:bottom w:val="single" w:sz="8" w:color="auto"/>
            </w:tcBorders>
          </w:tcPr>
          <w:p>
            <w:pPr>
              <w:spacing w:after="0"/>
              <w:rPr>
                <w:sz w:val="6"/>
                <w:szCs w:val="6"/>
                <w:color w:val="auto"/>
              </w:rPr>
            </w:pPr>
          </w:p>
        </w:tc>
        <w:tc>
          <w:tcPr>
            <w:tcW w:w="1180" w:type="dxa"/>
            <w:vAlign w:val="bottom"/>
            <w:tcBorders>
              <w:top w:val="single" w:sz="8" w:color="auto"/>
              <w:bottom w:val="single" w:sz="8" w:color="auto"/>
            </w:tcBorders>
          </w:tcPr>
          <w:p>
            <w:pPr>
              <w:spacing w:after="0"/>
              <w:rPr>
                <w:sz w:val="6"/>
                <w:szCs w:val="6"/>
                <w:color w:val="auto"/>
              </w:rPr>
            </w:pPr>
          </w:p>
        </w:tc>
        <w:tc>
          <w:tcPr>
            <w:tcW w:w="1140" w:type="dxa"/>
            <w:vAlign w:val="bottom"/>
            <w:tcBorders>
              <w:top w:val="single" w:sz="8" w:color="auto"/>
              <w:bottom w:val="single" w:sz="8" w:color="auto"/>
            </w:tcBorders>
          </w:tcPr>
          <w:p>
            <w:pPr>
              <w:spacing w:after="0"/>
              <w:rPr>
                <w:sz w:val="6"/>
                <w:szCs w:val="6"/>
                <w:color w:val="auto"/>
              </w:rPr>
            </w:pPr>
          </w:p>
        </w:tc>
        <w:tc>
          <w:tcPr>
            <w:tcW w:w="1040" w:type="dxa"/>
            <w:vAlign w:val="bottom"/>
            <w:tcBorders>
              <w:top w:val="single" w:sz="8" w:color="auto"/>
              <w:bottom w:val="single" w:sz="8" w:color="auto"/>
            </w:tcBorders>
          </w:tcPr>
          <w:p>
            <w:pPr>
              <w:spacing w:after="0"/>
              <w:rPr>
                <w:sz w:val="6"/>
                <w:szCs w:val="6"/>
                <w:color w:val="auto"/>
              </w:rPr>
            </w:pPr>
          </w:p>
        </w:tc>
        <w:tc>
          <w:tcPr>
            <w:tcW w:w="88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4020" w:type="dxa"/>
            <w:vAlign w:val="bottom"/>
            <w:tcBorders>
              <w:bottom w:val="single" w:sz="8" w:color="FFFF99"/>
            </w:tcBorders>
            <w:gridSpan w:val="2"/>
            <w:shd w:val="clear" w:color="auto" w:fill="FFFF99"/>
          </w:tcPr>
          <w:p>
            <w:pPr>
              <w:spacing w:after="0"/>
              <w:rPr>
                <w:sz w:val="20"/>
                <w:szCs w:val="20"/>
                <w:color w:val="auto"/>
              </w:rPr>
            </w:pPr>
            <w:r>
              <w:rPr>
                <w:rFonts w:ascii="Times New Roman" w:cs="Times New Roman" w:eastAsia="Times New Roman" w:hAnsi="Times New Roman"/>
                <w:sz w:val="14"/>
                <w:szCs w:val="14"/>
                <w:b w:val="1"/>
                <w:bCs w:val="1"/>
                <w:color w:val="auto"/>
              </w:rPr>
              <w:t>Our Ownership Interest</w:t>
            </w:r>
          </w:p>
        </w:tc>
        <w:tc>
          <w:tcPr>
            <w:tcW w:w="1340" w:type="dxa"/>
            <w:vAlign w:val="bottom"/>
            <w:tcBorders>
              <w:bottom w:val="single" w:sz="8" w:color="FFFF99"/>
            </w:tcBorders>
            <w:shd w:val="clear" w:color="auto" w:fill="FFFF99"/>
          </w:tcPr>
          <w:p>
            <w:pPr>
              <w:spacing w:after="0"/>
              <w:rPr>
                <w:sz w:val="18"/>
                <w:szCs w:val="18"/>
                <w:color w:val="auto"/>
              </w:rPr>
            </w:pPr>
          </w:p>
        </w:tc>
        <w:tc>
          <w:tcPr>
            <w:tcW w:w="1600" w:type="dxa"/>
            <w:vAlign w:val="bottom"/>
            <w:tcBorders>
              <w:bottom w:val="single" w:sz="8" w:color="FFFF99"/>
            </w:tcBorders>
            <w:shd w:val="clear" w:color="auto" w:fill="FFFF99"/>
          </w:tcPr>
          <w:p>
            <w:pPr>
              <w:spacing w:after="0"/>
              <w:rPr>
                <w:sz w:val="18"/>
                <w:szCs w:val="18"/>
                <w:color w:val="auto"/>
              </w:rPr>
            </w:pPr>
          </w:p>
        </w:tc>
        <w:tc>
          <w:tcPr>
            <w:tcW w:w="1180" w:type="dxa"/>
            <w:vAlign w:val="bottom"/>
            <w:tcBorders>
              <w:bottom w:val="single" w:sz="8" w:color="FFFF99"/>
            </w:tcBorders>
            <w:shd w:val="clear" w:color="auto" w:fill="FFFF99"/>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81.5%</w:t>
            </w:r>
          </w:p>
        </w:tc>
        <w:tc>
          <w:tcPr>
            <w:tcW w:w="1140" w:type="dxa"/>
            <w:vAlign w:val="bottom"/>
            <w:tcBorders>
              <w:bottom w:val="single" w:sz="8" w:color="FFFF99"/>
            </w:tcBorders>
            <w:shd w:val="clear" w:color="auto" w:fill="FFFF99"/>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3,695,000</w:t>
            </w:r>
          </w:p>
        </w:tc>
        <w:tc>
          <w:tcPr>
            <w:tcW w:w="1040" w:type="dxa"/>
            <w:vAlign w:val="bottom"/>
            <w:tcBorders>
              <w:bottom w:val="single" w:sz="8" w:color="FFFF99"/>
            </w:tcBorders>
            <w:shd w:val="clear" w:color="auto" w:fill="FFFF9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FFFF99"/>
            </w:tcBorders>
            <w:shd w:val="clear" w:color="auto" w:fill="FFFF9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3,695,000</w:t>
            </w:r>
          </w:p>
        </w:tc>
        <w:tc>
          <w:tcPr>
            <w:tcW w:w="0" w:type="dxa"/>
            <w:vAlign w:val="bottom"/>
          </w:tcPr>
          <w:p>
            <w:pPr>
              <w:spacing w:after="0"/>
              <w:rPr>
                <w:sz w:val="1"/>
                <w:szCs w:val="1"/>
                <w:color w:val="auto"/>
              </w:rPr>
            </w:pPr>
          </w:p>
        </w:tc>
      </w:tr>
      <w:tr>
        <w:trPr>
          <w:trHeight w:val="245"/>
        </w:trPr>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555</w:t>
            </w:r>
          </w:p>
        </w:tc>
        <w:tc>
          <w:tcPr>
            <w:tcW w:w="3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California Street:</w:t>
            </w:r>
          </w:p>
        </w:tc>
        <w:tc>
          <w:tcPr>
            <w:tcW w:w="13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555</w:t>
            </w:r>
          </w:p>
        </w:tc>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 Street, San Francisco</w:t>
            </w: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70.0 %</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Office / Retail</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94.6%</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1,509,000</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1,509,000</w:t>
            </w:r>
          </w:p>
        </w:tc>
        <w:tc>
          <w:tcPr>
            <w:tcW w:w="0" w:type="dxa"/>
            <w:vAlign w:val="bottom"/>
          </w:tcPr>
          <w:p>
            <w:pPr>
              <w:spacing w:after="0"/>
              <w:rPr>
                <w:sz w:val="1"/>
                <w:szCs w:val="1"/>
                <w:color w:val="auto"/>
              </w:rPr>
            </w:pPr>
          </w:p>
        </w:tc>
      </w:tr>
      <w:tr>
        <w:trPr>
          <w:trHeight w:val="19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315</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Montgomery Street, San Francisco</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70.0 %</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Office / Retail</w:t>
            </w: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49.0%</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235,000</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235,000</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345</w:t>
            </w:r>
          </w:p>
        </w:tc>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Montgomery Street, San Francisco</w:t>
            </w:r>
          </w:p>
        </w:tc>
        <w:tc>
          <w:tcPr>
            <w:tcW w:w="1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70.0 %</w:t>
            </w:r>
          </w:p>
        </w:tc>
        <w:tc>
          <w:tcPr>
            <w:tcW w:w="16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Office / Retail</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76,000</w:t>
            </w: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76,000</w:t>
            </w:r>
          </w:p>
        </w:tc>
        <w:tc>
          <w:tcPr>
            <w:tcW w:w="0" w:type="dxa"/>
            <w:vAlign w:val="bottom"/>
          </w:tcPr>
          <w:p>
            <w:pPr>
              <w:spacing w:after="0"/>
              <w:rPr>
                <w:sz w:val="1"/>
                <w:szCs w:val="1"/>
                <w:color w:val="auto"/>
              </w:rPr>
            </w:pPr>
          </w:p>
        </w:tc>
      </w:tr>
      <w:tr>
        <w:trPr>
          <w:trHeight w:val="221"/>
        </w:trPr>
        <w:tc>
          <w:tcPr>
            <w:tcW w:w="4020" w:type="dxa"/>
            <w:vAlign w:val="bottom"/>
            <w:tcBorders>
              <w:top w:val="single" w:sz="8" w:color="auto"/>
              <w:bottom w:val="single" w:sz="8" w:color="FFFF99"/>
            </w:tcBorders>
            <w:gridSpan w:val="2"/>
            <w:shd w:val="clear" w:color="auto" w:fill="FFFF99"/>
          </w:tcPr>
          <w:p>
            <w:pPr>
              <w:spacing w:after="0"/>
              <w:rPr>
                <w:sz w:val="20"/>
                <w:szCs w:val="20"/>
                <w:color w:val="auto"/>
              </w:rPr>
            </w:pPr>
            <w:r>
              <w:rPr>
                <w:rFonts w:ascii="Times New Roman" w:cs="Times New Roman" w:eastAsia="Times New Roman" w:hAnsi="Times New Roman"/>
                <w:sz w:val="14"/>
                <w:szCs w:val="14"/>
                <w:b w:val="1"/>
                <w:bCs w:val="1"/>
                <w:color w:val="auto"/>
              </w:rPr>
              <w:t>Total 555 California Street</w:t>
            </w:r>
          </w:p>
        </w:tc>
        <w:tc>
          <w:tcPr>
            <w:tcW w:w="1340" w:type="dxa"/>
            <w:vAlign w:val="bottom"/>
            <w:tcBorders>
              <w:top w:val="single" w:sz="8" w:color="auto"/>
              <w:bottom w:val="single" w:sz="8" w:color="FFFF99"/>
            </w:tcBorders>
            <w:shd w:val="clear" w:color="auto" w:fill="FFFF99"/>
          </w:tcPr>
          <w:p>
            <w:pPr>
              <w:spacing w:after="0"/>
              <w:rPr>
                <w:sz w:val="18"/>
                <w:szCs w:val="18"/>
                <w:color w:val="auto"/>
              </w:rPr>
            </w:pPr>
          </w:p>
        </w:tc>
        <w:tc>
          <w:tcPr>
            <w:tcW w:w="1600" w:type="dxa"/>
            <w:vAlign w:val="bottom"/>
            <w:tcBorders>
              <w:top w:val="single" w:sz="8" w:color="auto"/>
              <w:bottom w:val="single" w:sz="8" w:color="FFFF99"/>
            </w:tcBorders>
            <w:shd w:val="clear" w:color="auto" w:fill="FFFF99"/>
          </w:tcPr>
          <w:p>
            <w:pPr>
              <w:spacing w:after="0"/>
              <w:rPr>
                <w:sz w:val="18"/>
                <w:szCs w:val="18"/>
                <w:color w:val="auto"/>
              </w:rPr>
            </w:pPr>
          </w:p>
        </w:tc>
        <w:tc>
          <w:tcPr>
            <w:tcW w:w="1180" w:type="dxa"/>
            <w:vAlign w:val="bottom"/>
            <w:tcBorders>
              <w:top w:val="single" w:sz="8" w:color="auto"/>
              <w:bottom w:val="single" w:sz="8" w:color="FFFF99"/>
            </w:tcBorders>
            <w:shd w:val="clear" w:color="auto" w:fill="FFFF99"/>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88.9%</w:t>
            </w:r>
          </w:p>
        </w:tc>
        <w:tc>
          <w:tcPr>
            <w:tcW w:w="1140" w:type="dxa"/>
            <w:vAlign w:val="bottom"/>
            <w:tcBorders>
              <w:top w:val="single" w:sz="8" w:color="auto"/>
              <w:bottom w:val="single" w:sz="8" w:color="FFFF99"/>
            </w:tcBorders>
            <w:shd w:val="clear" w:color="auto" w:fill="FFFF99"/>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1,820,000</w:t>
            </w:r>
          </w:p>
        </w:tc>
        <w:tc>
          <w:tcPr>
            <w:tcW w:w="1040" w:type="dxa"/>
            <w:vAlign w:val="bottom"/>
            <w:tcBorders>
              <w:top w:val="single" w:sz="8" w:color="auto"/>
              <w:bottom w:val="single" w:sz="8" w:color="FFFF99"/>
            </w:tcBorders>
            <w:shd w:val="clear" w:color="auto" w:fill="FFFF9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FFFF99"/>
            </w:tcBorders>
            <w:shd w:val="clear" w:color="auto" w:fill="FFFF9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1,820,000</w:t>
            </w:r>
          </w:p>
        </w:tc>
        <w:tc>
          <w:tcPr>
            <w:tcW w:w="0" w:type="dxa"/>
            <w:vAlign w:val="bottom"/>
          </w:tcPr>
          <w:p>
            <w:pPr>
              <w:spacing w:after="0"/>
              <w:rPr>
                <w:sz w:val="1"/>
                <w:szCs w:val="1"/>
                <w:color w:val="auto"/>
              </w:rPr>
            </w:pPr>
          </w:p>
        </w:tc>
      </w:tr>
      <w:tr>
        <w:trPr>
          <w:trHeight w:val="72"/>
        </w:trPr>
        <w:tc>
          <w:tcPr>
            <w:tcW w:w="220" w:type="dxa"/>
            <w:vAlign w:val="bottom"/>
            <w:tcBorders>
              <w:top w:val="single" w:sz="8" w:color="auto"/>
              <w:bottom w:val="single" w:sz="8" w:color="auto"/>
            </w:tcBorders>
          </w:tcPr>
          <w:p>
            <w:pPr>
              <w:spacing w:after="0"/>
              <w:rPr>
                <w:sz w:val="6"/>
                <w:szCs w:val="6"/>
                <w:color w:val="auto"/>
              </w:rPr>
            </w:pPr>
          </w:p>
        </w:tc>
        <w:tc>
          <w:tcPr>
            <w:tcW w:w="3800" w:type="dxa"/>
            <w:vAlign w:val="bottom"/>
            <w:tcBorders>
              <w:top w:val="single" w:sz="8" w:color="auto"/>
              <w:bottom w:val="single" w:sz="8" w:color="auto"/>
            </w:tcBorders>
          </w:tcPr>
          <w:p>
            <w:pPr>
              <w:spacing w:after="0"/>
              <w:rPr>
                <w:sz w:val="6"/>
                <w:szCs w:val="6"/>
                <w:color w:val="auto"/>
              </w:rPr>
            </w:pPr>
          </w:p>
        </w:tc>
        <w:tc>
          <w:tcPr>
            <w:tcW w:w="1340" w:type="dxa"/>
            <w:vAlign w:val="bottom"/>
            <w:tcBorders>
              <w:top w:val="single" w:sz="8" w:color="auto"/>
              <w:bottom w:val="single" w:sz="8" w:color="auto"/>
            </w:tcBorders>
          </w:tcPr>
          <w:p>
            <w:pPr>
              <w:spacing w:after="0"/>
              <w:rPr>
                <w:sz w:val="6"/>
                <w:szCs w:val="6"/>
                <w:color w:val="auto"/>
              </w:rPr>
            </w:pPr>
          </w:p>
        </w:tc>
        <w:tc>
          <w:tcPr>
            <w:tcW w:w="1600" w:type="dxa"/>
            <w:vAlign w:val="bottom"/>
            <w:tcBorders>
              <w:top w:val="single" w:sz="8" w:color="auto"/>
              <w:bottom w:val="single" w:sz="8" w:color="auto"/>
            </w:tcBorders>
          </w:tcPr>
          <w:p>
            <w:pPr>
              <w:spacing w:after="0"/>
              <w:rPr>
                <w:sz w:val="6"/>
                <w:szCs w:val="6"/>
                <w:color w:val="auto"/>
              </w:rPr>
            </w:pPr>
          </w:p>
        </w:tc>
        <w:tc>
          <w:tcPr>
            <w:tcW w:w="1180" w:type="dxa"/>
            <w:vAlign w:val="bottom"/>
            <w:tcBorders>
              <w:top w:val="single" w:sz="8" w:color="auto"/>
              <w:bottom w:val="single" w:sz="8" w:color="auto"/>
            </w:tcBorders>
          </w:tcPr>
          <w:p>
            <w:pPr>
              <w:spacing w:after="0"/>
              <w:rPr>
                <w:sz w:val="6"/>
                <w:szCs w:val="6"/>
                <w:color w:val="auto"/>
              </w:rPr>
            </w:pPr>
          </w:p>
        </w:tc>
        <w:tc>
          <w:tcPr>
            <w:tcW w:w="1140" w:type="dxa"/>
            <w:vAlign w:val="bottom"/>
            <w:tcBorders>
              <w:top w:val="single" w:sz="8" w:color="auto"/>
              <w:bottom w:val="single" w:sz="8" w:color="auto"/>
            </w:tcBorders>
          </w:tcPr>
          <w:p>
            <w:pPr>
              <w:spacing w:after="0"/>
              <w:rPr>
                <w:sz w:val="6"/>
                <w:szCs w:val="6"/>
                <w:color w:val="auto"/>
              </w:rPr>
            </w:pPr>
          </w:p>
        </w:tc>
        <w:tc>
          <w:tcPr>
            <w:tcW w:w="1040" w:type="dxa"/>
            <w:vAlign w:val="bottom"/>
            <w:tcBorders>
              <w:top w:val="single" w:sz="8" w:color="auto"/>
              <w:bottom w:val="single" w:sz="8" w:color="auto"/>
            </w:tcBorders>
          </w:tcPr>
          <w:p>
            <w:pPr>
              <w:spacing w:after="0"/>
              <w:rPr>
                <w:sz w:val="6"/>
                <w:szCs w:val="6"/>
                <w:color w:val="auto"/>
              </w:rPr>
            </w:pPr>
          </w:p>
        </w:tc>
        <w:tc>
          <w:tcPr>
            <w:tcW w:w="88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4020" w:type="dxa"/>
            <w:vAlign w:val="bottom"/>
            <w:tcBorders>
              <w:bottom w:val="single" w:sz="8" w:color="FFFF99"/>
            </w:tcBorders>
            <w:gridSpan w:val="2"/>
            <w:shd w:val="clear" w:color="auto" w:fill="FFFF99"/>
          </w:tcPr>
          <w:p>
            <w:pPr>
              <w:spacing w:after="0"/>
              <w:rPr>
                <w:sz w:val="20"/>
                <w:szCs w:val="20"/>
                <w:color w:val="auto"/>
              </w:rPr>
            </w:pPr>
            <w:r>
              <w:rPr>
                <w:rFonts w:ascii="Times New Roman" w:cs="Times New Roman" w:eastAsia="Times New Roman" w:hAnsi="Times New Roman"/>
                <w:sz w:val="14"/>
                <w:szCs w:val="14"/>
                <w:b w:val="1"/>
                <w:bCs w:val="1"/>
                <w:color w:val="auto"/>
              </w:rPr>
              <w:t>Our Ownership Interest</w:t>
            </w:r>
          </w:p>
        </w:tc>
        <w:tc>
          <w:tcPr>
            <w:tcW w:w="1340" w:type="dxa"/>
            <w:vAlign w:val="bottom"/>
            <w:tcBorders>
              <w:bottom w:val="single" w:sz="8" w:color="FFFF99"/>
            </w:tcBorders>
            <w:shd w:val="clear" w:color="auto" w:fill="FFFF99"/>
          </w:tcPr>
          <w:p>
            <w:pPr>
              <w:spacing w:after="0"/>
              <w:rPr>
                <w:sz w:val="18"/>
                <w:szCs w:val="18"/>
                <w:color w:val="auto"/>
              </w:rPr>
            </w:pPr>
          </w:p>
        </w:tc>
        <w:tc>
          <w:tcPr>
            <w:tcW w:w="1600" w:type="dxa"/>
            <w:vAlign w:val="bottom"/>
            <w:tcBorders>
              <w:bottom w:val="single" w:sz="8" w:color="FFFF99"/>
            </w:tcBorders>
            <w:shd w:val="clear" w:color="auto" w:fill="FFFF99"/>
          </w:tcPr>
          <w:p>
            <w:pPr>
              <w:spacing w:after="0"/>
              <w:rPr>
                <w:sz w:val="18"/>
                <w:szCs w:val="18"/>
                <w:color w:val="auto"/>
              </w:rPr>
            </w:pPr>
          </w:p>
        </w:tc>
        <w:tc>
          <w:tcPr>
            <w:tcW w:w="1180" w:type="dxa"/>
            <w:vAlign w:val="bottom"/>
            <w:tcBorders>
              <w:bottom w:val="single" w:sz="8" w:color="FFFF99"/>
            </w:tcBorders>
            <w:shd w:val="clear" w:color="auto" w:fill="FFFF99"/>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88.9%</w:t>
            </w:r>
          </w:p>
        </w:tc>
        <w:tc>
          <w:tcPr>
            <w:tcW w:w="1140" w:type="dxa"/>
            <w:vAlign w:val="bottom"/>
            <w:tcBorders>
              <w:bottom w:val="single" w:sz="8" w:color="FFFF99"/>
            </w:tcBorders>
            <w:shd w:val="clear" w:color="auto" w:fill="FFFF99"/>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1,274,000</w:t>
            </w:r>
          </w:p>
        </w:tc>
        <w:tc>
          <w:tcPr>
            <w:tcW w:w="1040" w:type="dxa"/>
            <w:vAlign w:val="bottom"/>
            <w:tcBorders>
              <w:bottom w:val="single" w:sz="8" w:color="FFFF99"/>
            </w:tcBorders>
            <w:shd w:val="clear" w:color="auto" w:fill="FFFF9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FFFF99"/>
            </w:tcBorders>
            <w:shd w:val="clear" w:color="auto" w:fill="FFFF9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1,274,000</w:t>
            </w:r>
          </w:p>
        </w:tc>
        <w:tc>
          <w:tcPr>
            <w:tcW w:w="0" w:type="dxa"/>
            <w:vAlign w:val="bottom"/>
          </w:tcPr>
          <w:p>
            <w:pPr>
              <w:spacing w:after="0"/>
              <w:rPr>
                <w:sz w:val="1"/>
                <w:szCs w:val="1"/>
                <w:color w:val="auto"/>
              </w:rPr>
            </w:pPr>
          </w:p>
        </w:tc>
      </w:tr>
      <w:tr>
        <w:trPr>
          <w:trHeight w:val="428"/>
        </w:trPr>
        <w:tc>
          <w:tcPr>
            <w:tcW w:w="4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4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020" w:type="dxa"/>
            <w:vAlign w:val="bottom"/>
            <w:gridSpan w:val="2"/>
          </w:tcPr>
          <w:p>
            <w:pPr>
              <w:spacing w:after="0"/>
              <w:rPr>
                <w:sz w:val="4"/>
                <w:szCs w:val="4"/>
                <w:color w:val="auto"/>
              </w:rPr>
            </w:pPr>
          </w:p>
        </w:tc>
        <w:tc>
          <w:tcPr>
            <w:tcW w:w="13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Rosslyn Plaza, VA (197 units)</w:t>
            </w:r>
            <w:r>
              <w:rPr>
                <w:rFonts w:ascii="Times New Roman" w:cs="Times New Roman" w:eastAsia="Times New Roman" w:hAnsi="Times New Roman"/>
                <w:sz w:val="18"/>
                <w:szCs w:val="18"/>
                <w:b w:val="1"/>
                <w:bCs w:val="1"/>
                <w:color w:val="auto"/>
                <w:vertAlign w:val="superscript"/>
              </w:rPr>
              <w:t>(2)</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45.6 %</w:t>
            </w:r>
          </w:p>
        </w:tc>
        <w:tc>
          <w:tcPr>
            <w:tcW w:w="1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Office / Residential</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 xml:space="preserve">22.5% </w:t>
            </w:r>
            <w:r>
              <w:rPr>
                <w:rFonts w:ascii="Times New Roman" w:cs="Times New Roman" w:eastAsia="Times New Roman" w:hAnsi="Times New Roman"/>
                <w:sz w:val="18"/>
                <w:szCs w:val="18"/>
                <w:b w:val="1"/>
                <w:bCs w:val="1"/>
                <w:color w:val="auto"/>
                <w:vertAlign w:val="superscript"/>
              </w:rPr>
              <w:t>(3)</w:t>
            </w:r>
          </w:p>
        </w:tc>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685,000</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304,000</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989,000</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Fashion Centre Mall / Washington Tower, VA</w:t>
            </w:r>
            <w:r>
              <w:rPr>
                <w:rFonts w:ascii="Times New Roman" w:cs="Times New Roman" w:eastAsia="Times New Roman" w:hAnsi="Times New Roman"/>
                <w:sz w:val="18"/>
                <w:szCs w:val="18"/>
                <w:b w:val="1"/>
                <w:bCs w:val="1"/>
                <w:color w:val="auto"/>
                <w:vertAlign w:val="superscript"/>
              </w:rPr>
              <w:t>(2)</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7.5 %</w:t>
            </w: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Office / Retail</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95.6%</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1,038,000</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1,038,000</w:t>
            </w:r>
          </w:p>
        </w:tc>
        <w:tc>
          <w:tcPr>
            <w:tcW w:w="0" w:type="dxa"/>
            <w:vAlign w:val="bottom"/>
          </w:tcPr>
          <w:p>
            <w:pPr>
              <w:spacing w:after="0"/>
              <w:rPr>
                <w:sz w:val="1"/>
                <w:szCs w:val="1"/>
                <w:color w:val="auto"/>
              </w:rPr>
            </w:pPr>
          </w:p>
        </w:tc>
      </w:tr>
      <w:tr>
        <w:trPr>
          <w:trHeight w:val="156"/>
        </w:trPr>
        <w:tc>
          <w:tcPr>
            <w:tcW w:w="402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Wayne Towne Center, Wayne, NJ (ground leased through</w:t>
            </w:r>
          </w:p>
        </w:tc>
        <w:tc>
          <w:tcPr>
            <w:tcW w:w="13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2064)</w:t>
            </w:r>
            <w:r>
              <w:rPr>
                <w:rFonts w:ascii="Times New Roman" w:cs="Times New Roman" w:eastAsia="Times New Roman" w:hAnsi="Times New Roman"/>
                <w:sz w:val="18"/>
                <w:szCs w:val="18"/>
                <w:b w:val="1"/>
                <w:bCs w:val="1"/>
                <w:color w:val="auto"/>
                <w:vertAlign w:val="superscript"/>
              </w:rPr>
              <w:t>(1)</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100.0 %</w:t>
            </w:r>
          </w:p>
        </w:tc>
        <w:tc>
          <w:tcPr>
            <w:tcW w:w="1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Retail</w:t>
            </w:r>
          </w:p>
        </w:tc>
        <w:tc>
          <w:tcPr>
            <w:tcW w:w="11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690,000</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690,000</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Annapolis, MD (ground leased through 2042)</w:t>
            </w:r>
            <w:r>
              <w:rPr>
                <w:rFonts w:ascii="Times New Roman" w:cs="Times New Roman" w:eastAsia="Times New Roman" w:hAnsi="Times New Roman"/>
                <w:sz w:val="18"/>
                <w:szCs w:val="18"/>
                <w:b w:val="1"/>
                <w:bCs w:val="1"/>
                <w:color w:val="auto"/>
                <w:vertAlign w:val="superscript"/>
              </w:rPr>
              <w:t>(1)</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100.0 %</w:t>
            </w: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Retail</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128,000</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128,000</w:t>
            </w:r>
          </w:p>
        </w:tc>
        <w:tc>
          <w:tcPr>
            <w:tcW w:w="0" w:type="dxa"/>
            <w:vAlign w:val="bottom"/>
          </w:tcPr>
          <w:p>
            <w:pPr>
              <w:spacing w:after="0"/>
              <w:rPr>
                <w:sz w:val="1"/>
                <w:szCs w:val="1"/>
                <w:color w:val="auto"/>
              </w:rPr>
            </w:pPr>
          </w:p>
        </w:tc>
      </w:tr>
      <w:tr>
        <w:trPr>
          <w:trHeight w:val="131"/>
        </w:trPr>
        <w:tc>
          <w:tcPr>
            <w:tcW w:w="4020" w:type="dxa"/>
            <w:vAlign w:val="bottom"/>
            <w:gridSpan w:val="2"/>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Atlantic City, NJ (11.3 acres ground leased through 2070 to</w:t>
            </w:r>
          </w:p>
        </w:tc>
        <w:tc>
          <w:tcPr>
            <w:tcW w:w="13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VICI Properties for a portion of the Borgata Hotel</w:t>
            </w:r>
          </w:p>
        </w:tc>
        <w:tc>
          <w:tcPr>
            <w:tcW w:w="134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100.0 %</w:t>
            </w:r>
          </w:p>
        </w:tc>
        <w:tc>
          <w:tcPr>
            <w:tcW w:w="160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Land</w:t>
            </w:r>
          </w:p>
        </w:tc>
        <w:tc>
          <w:tcPr>
            <w:tcW w:w="118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Casino complex)</w:t>
            </w:r>
          </w:p>
        </w:tc>
        <w:tc>
          <w:tcPr>
            <w:tcW w:w="1340" w:type="dxa"/>
            <w:vAlign w:val="bottom"/>
            <w:tcBorders>
              <w:bottom w:val="single" w:sz="8" w:color="CCEEFF"/>
            </w:tcBorders>
            <w:vMerge w:val="continue"/>
            <w:shd w:val="clear" w:color="auto" w:fill="CCEEFF"/>
          </w:tcPr>
          <w:p>
            <w:pPr>
              <w:spacing w:after="0"/>
              <w:rPr>
                <w:sz w:val="16"/>
                <w:szCs w:val="16"/>
                <w:color w:val="auto"/>
              </w:rPr>
            </w:pPr>
          </w:p>
        </w:tc>
        <w:tc>
          <w:tcPr>
            <w:tcW w:w="1600" w:type="dxa"/>
            <w:vAlign w:val="bottom"/>
            <w:tcBorders>
              <w:bottom w:val="single" w:sz="8" w:color="CCEEFF"/>
            </w:tcBorders>
            <w:vMerge w:val="continue"/>
            <w:shd w:val="clear" w:color="auto" w:fill="CCEEFF"/>
          </w:tcPr>
          <w:p>
            <w:pPr>
              <w:spacing w:after="0"/>
              <w:rPr>
                <w:sz w:val="16"/>
                <w:szCs w:val="16"/>
                <w:color w:val="auto"/>
              </w:rPr>
            </w:pPr>
          </w:p>
        </w:tc>
        <w:tc>
          <w:tcPr>
            <w:tcW w:w="1180" w:type="dxa"/>
            <w:vAlign w:val="bottom"/>
            <w:tcBorders>
              <w:bottom w:val="single" w:sz="8" w:color="CCEEFF"/>
            </w:tcBorders>
            <w:vMerge w:val="continue"/>
            <w:shd w:val="clear" w:color="auto" w:fill="CCEEFF"/>
          </w:tcPr>
          <w:p>
            <w:pPr>
              <w:spacing w:after="0"/>
              <w:rPr>
                <w:sz w:val="16"/>
                <w:szCs w:val="16"/>
                <w:color w:val="auto"/>
              </w:rPr>
            </w:pPr>
          </w:p>
        </w:tc>
        <w:tc>
          <w:tcPr>
            <w:tcW w:w="1140" w:type="dxa"/>
            <w:vAlign w:val="bottom"/>
            <w:tcBorders>
              <w:bottom w:val="single" w:sz="8" w:color="CCEEFF"/>
            </w:tcBorders>
            <w:vMerge w:val="continue"/>
            <w:shd w:val="clear" w:color="auto" w:fill="CCEEFF"/>
          </w:tcPr>
          <w:p>
            <w:pPr>
              <w:spacing w:after="0"/>
              <w:rPr>
                <w:sz w:val="16"/>
                <w:szCs w:val="16"/>
                <w:color w:val="auto"/>
              </w:rPr>
            </w:pPr>
          </w:p>
        </w:tc>
        <w:tc>
          <w:tcPr>
            <w:tcW w:w="1040" w:type="dxa"/>
            <w:vAlign w:val="bottom"/>
            <w:tcBorders>
              <w:bottom w:val="single" w:sz="8" w:color="CCEEFF"/>
            </w:tcBorders>
            <w:vMerge w:val="continue"/>
            <w:shd w:val="clear" w:color="auto" w:fill="CCEEFF"/>
          </w:tcPr>
          <w:p>
            <w:pPr>
              <w:spacing w:after="0"/>
              <w:rPr>
                <w:sz w:val="16"/>
                <w:szCs w:val="16"/>
                <w:color w:val="auto"/>
              </w:rPr>
            </w:pPr>
          </w:p>
        </w:tc>
        <w:tc>
          <w:tcPr>
            <w:tcW w:w="8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Paramus, NJ (Vornado administrative headquarters)</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100.0 %</w:t>
            </w: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Office</w:t>
            </w: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71.2%</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rPr>
              <w:t>129,000</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129,000</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650</w:t>
            </w:r>
          </w:p>
        </w:tc>
        <w:tc>
          <w:tcPr>
            <w:tcW w:w="3800" w:type="dxa"/>
            <w:vAlign w:val="bottom"/>
            <w:tcBorders>
              <w:bottom w:val="single" w:sz="8" w:color="auto"/>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Madison Avenue</w:t>
            </w:r>
            <w:r>
              <w:rPr>
                <w:rFonts w:ascii="Times New Roman" w:cs="Times New Roman" w:eastAsia="Times New Roman" w:hAnsi="Times New Roman"/>
                <w:sz w:val="18"/>
                <w:szCs w:val="18"/>
                <w:b w:val="1"/>
                <w:bCs w:val="1"/>
                <w:color w:val="auto"/>
                <w:vertAlign w:val="superscript"/>
              </w:rPr>
              <w:t>(2)(6)</w:t>
            </w:r>
            <w:r>
              <w:rPr>
                <w:rFonts w:ascii="Times New Roman" w:cs="Times New Roman" w:eastAsia="Times New Roman" w:hAnsi="Times New Roman"/>
                <w:sz w:val="14"/>
                <w:szCs w:val="14"/>
                <w:color w:val="auto"/>
              </w:rPr>
              <w:t>, New York, NY</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22.2 %</w:t>
            </w:r>
          </w:p>
        </w:tc>
        <w:tc>
          <w:tcPr>
            <w:tcW w:w="160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Office / Retail</w:t>
            </w:r>
          </w:p>
        </w:tc>
        <w:tc>
          <w:tcPr>
            <w:tcW w:w="11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67.1%</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601,000</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601,000</w:t>
            </w:r>
          </w:p>
        </w:tc>
        <w:tc>
          <w:tcPr>
            <w:tcW w:w="0" w:type="dxa"/>
            <w:vAlign w:val="bottom"/>
          </w:tcPr>
          <w:p>
            <w:pPr>
              <w:spacing w:after="0"/>
              <w:rPr>
                <w:sz w:val="1"/>
                <w:szCs w:val="1"/>
                <w:color w:val="auto"/>
              </w:rPr>
            </w:pPr>
          </w:p>
        </w:tc>
      </w:tr>
      <w:tr>
        <w:trPr>
          <w:trHeight w:val="221"/>
        </w:trPr>
        <w:tc>
          <w:tcPr>
            <w:tcW w:w="4020" w:type="dxa"/>
            <w:vAlign w:val="bottom"/>
            <w:tcBorders>
              <w:bottom w:val="single" w:sz="8" w:color="FFFF99"/>
            </w:tcBorders>
            <w:gridSpan w:val="2"/>
            <w:shd w:val="clear" w:color="auto" w:fill="FFFF99"/>
          </w:tcPr>
          <w:p>
            <w:pPr>
              <w:spacing w:after="0"/>
              <w:rPr>
                <w:sz w:val="20"/>
                <w:szCs w:val="20"/>
                <w:color w:val="auto"/>
              </w:rPr>
            </w:pPr>
            <w:r>
              <w:rPr>
                <w:rFonts w:ascii="Times New Roman" w:cs="Times New Roman" w:eastAsia="Times New Roman" w:hAnsi="Times New Roman"/>
                <w:sz w:val="14"/>
                <w:szCs w:val="14"/>
                <w:b w:val="1"/>
                <w:bCs w:val="1"/>
                <w:color w:val="auto"/>
              </w:rPr>
              <w:t>Total Other</w:t>
            </w:r>
          </w:p>
        </w:tc>
        <w:tc>
          <w:tcPr>
            <w:tcW w:w="1340" w:type="dxa"/>
            <w:vAlign w:val="bottom"/>
            <w:tcBorders>
              <w:bottom w:val="single" w:sz="8" w:color="FFFF99"/>
            </w:tcBorders>
            <w:shd w:val="clear" w:color="auto" w:fill="FFFF99"/>
          </w:tcPr>
          <w:p>
            <w:pPr>
              <w:spacing w:after="0"/>
              <w:rPr>
                <w:sz w:val="18"/>
                <w:szCs w:val="18"/>
                <w:color w:val="auto"/>
              </w:rPr>
            </w:pPr>
          </w:p>
        </w:tc>
        <w:tc>
          <w:tcPr>
            <w:tcW w:w="1600" w:type="dxa"/>
            <w:vAlign w:val="bottom"/>
            <w:tcBorders>
              <w:bottom w:val="single" w:sz="8" w:color="FFFF99"/>
            </w:tcBorders>
            <w:shd w:val="clear" w:color="auto" w:fill="FFFF99"/>
          </w:tcPr>
          <w:p>
            <w:pPr>
              <w:spacing w:after="0"/>
              <w:rPr>
                <w:sz w:val="18"/>
                <w:szCs w:val="18"/>
                <w:color w:val="auto"/>
              </w:rPr>
            </w:pPr>
          </w:p>
        </w:tc>
        <w:tc>
          <w:tcPr>
            <w:tcW w:w="1180" w:type="dxa"/>
            <w:vAlign w:val="bottom"/>
            <w:tcBorders>
              <w:bottom w:val="single" w:sz="8" w:color="FFFF99"/>
            </w:tcBorders>
            <w:shd w:val="clear" w:color="auto" w:fill="FFFF99"/>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81.0%</w:t>
            </w:r>
          </w:p>
        </w:tc>
        <w:tc>
          <w:tcPr>
            <w:tcW w:w="1140" w:type="dxa"/>
            <w:vAlign w:val="bottom"/>
            <w:tcBorders>
              <w:bottom w:val="single" w:sz="8" w:color="FFFF99"/>
            </w:tcBorders>
            <w:shd w:val="clear" w:color="auto" w:fill="FFFF99"/>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3,271,000</w:t>
            </w:r>
          </w:p>
        </w:tc>
        <w:tc>
          <w:tcPr>
            <w:tcW w:w="1040" w:type="dxa"/>
            <w:vAlign w:val="bottom"/>
            <w:tcBorders>
              <w:bottom w:val="single" w:sz="8" w:color="FFFF99"/>
            </w:tcBorders>
            <w:shd w:val="clear" w:color="auto" w:fill="FFFF9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304,000</w:t>
            </w:r>
          </w:p>
        </w:tc>
        <w:tc>
          <w:tcPr>
            <w:tcW w:w="880" w:type="dxa"/>
            <w:vAlign w:val="bottom"/>
            <w:tcBorders>
              <w:bottom w:val="single" w:sz="8" w:color="FFFF99"/>
            </w:tcBorders>
            <w:shd w:val="clear" w:color="auto" w:fill="FFFF9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3,575,000</w:t>
            </w:r>
          </w:p>
        </w:tc>
        <w:tc>
          <w:tcPr>
            <w:tcW w:w="0" w:type="dxa"/>
            <w:vAlign w:val="bottom"/>
          </w:tcPr>
          <w:p>
            <w:pPr>
              <w:spacing w:after="0"/>
              <w:rPr>
                <w:sz w:val="1"/>
                <w:szCs w:val="1"/>
                <w:color w:val="auto"/>
              </w:rPr>
            </w:pPr>
          </w:p>
        </w:tc>
      </w:tr>
      <w:tr>
        <w:trPr>
          <w:trHeight w:val="72"/>
        </w:trPr>
        <w:tc>
          <w:tcPr>
            <w:tcW w:w="220" w:type="dxa"/>
            <w:vAlign w:val="bottom"/>
            <w:tcBorders>
              <w:top w:val="single" w:sz="8" w:color="auto"/>
              <w:bottom w:val="single" w:sz="8" w:color="auto"/>
            </w:tcBorders>
          </w:tcPr>
          <w:p>
            <w:pPr>
              <w:spacing w:after="0"/>
              <w:rPr>
                <w:sz w:val="6"/>
                <w:szCs w:val="6"/>
                <w:color w:val="auto"/>
              </w:rPr>
            </w:pPr>
          </w:p>
        </w:tc>
        <w:tc>
          <w:tcPr>
            <w:tcW w:w="3800" w:type="dxa"/>
            <w:vAlign w:val="bottom"/>
            <w:tcBorders>
              <w:top w:val="single" w:sz="8" w:color="auto"/>
              <w:bottom w:val="single" w:sz="8" w:color="auto"/>
            </w:tcBorders>
          </w:tcPr>
          <w:p>
            <w:pPr>
              <w:spacing w:after="0"/>
              <w:rPr>
                <w:sz w:val="6"/>
                <w:szCs w:val="6"/>
                <w:color w:val="auto"/>
              </w:rPr>
            </w:pPr>
          </w:p>
        </w:tc>
        <w:tc>
          <w:tcPr>
            <w:tcW w:w="1340" w:type="dxa"/>
            <w:vAlign w:val="bottom"/>
            <w:tcBorders>
              <w:top w:val="single" w:sz="8" w:color="auto"/>
              <w:bottom w:val="single" w:sz="8" w:color="auto"/>
            </w:tcBorders>
          </w:tcPr>
          <w:p>
            <w:pPr>
              <w:spacing w:after="0"/>
              <w:rPr>
                <w:sz w:val="6"/>
                <w:szCs w:val="6"/>
                <w:color w:val="auto"/>
              </w:rPr>
            </w:pPr>
          </w:p>
        </w:tc>
        <w:tc>
          <w:tcPr>
            <w:tcW w:w="1600" w:type="dxa"/>
            <w:vAlign w:val="bottom"/>
            <w:tcBorders>
              <w:top w:val="single" w:sz="8" w:color="auto"/>
              <w:bottom w:val="single" w:sz="8" w:color="auto"/>
            </w:tcBorders>
          </w:tcPr>
          <w:p>
            <w:pPr>
              <w:spacing w:after="0"/>
              <w:rPr>
                <w:sz w:val="6"/>
                <w:szCs w:val="6"/>
                <w:color w:val="auto"/>
              </w:rPr>
            </w:pPr>
          </w:p>
        </w:tc>
        <w:tc>
          <w:tcPr>
            <w:tcW w:w="1180" w:type="dxa"/>
            <w:vAlign w:val="bottom"/>
            <w:tcBorders>
              <w:top w:val="single" w:sz="8" w:color="auto"/>
              <w:bottom w:val="single" w:sz="8" w:color="auto"/>
            </w:tcBorders>
          </w:tcPr>
          <w:p>
            <w:pPr>
              <w:spacing w:after="0"/>
              <w:rPr>
                <w:sz w:val="6"/>
                <w:szCs w:val="6"/>
                <w:color w:val="auto"/>
              </w:rPr>
            </w:pPr>
          </w:p>
        </w:tc>
        <w:tc>
          <w:tcPr>
            <w:tcW w:w="1140" w:type="dxa"/>
            <w:vAlign w:val="bottom"/>
            <w:tcBorders>
              <w:top w:val="single" w:sz="8" w:color="auto"/>
              <w:bottom w:val="single" w:sz="8" w:color="auto"/>
            </w:tcBorders>
          </w:tcPr>
          <w:p>
            <w:pPr>
              <w:spacing w:after="0"/>
              <w:rPr>
                <w:sz w:val="6"/>
                <w:szCs w:val="6"/>
                <w:color w:val="auto"/>
              </w:rPr>
            </w:pPr>
          </w:p>
        </w:tc>
        <w:tc>
          <w:tcPr>
            <w:tcW w:w="1040" w:type="dxa"/>
            <w:vAlign w:val="bottom"/>
            <w:tcBorders>
              <w:top w:val="single" w:sz="8" w:color="auto"/>
              <w:bottom w:val="single" w:sz="8" w:color="auto"/>
            </w:tcBorders>
          </w:tcPr>
          <w:p>
            <w:pPr>
              <w:spacing w:after="0"/>
              <w:rPr>
                <w:sz w:val="6"/>
                <w:szCs w:val="6"/>
                <w:color w:val="auto"/>
              </w:rPr>
            </w:pPr>
          </w:p>
        </w:tc>
        <w:tc>
          <w:tcPr>
            <w:tcW w:w="88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20" w:type="dxa"/>
            <w:vAlign w:val="bottom"/>
            <w:tcBorders>
              <w:bottom w:val="single" w:sz="8" w:color="FFFF99"/>
            </w:tcBorders>
            <w:gridSpan w:val="2"/>
            <w:shd w:val="clear" w:color="auto" w:fill="FFFF99"/>
          </w:tcPr>
          <w:p>
            <w:pPr>
              <w:spacing w:after="0"/>
              <w:rPr>
                <w:sz w:val="20"/>
                <w:szCs w:val="20"/>
                <w:color w:val="auto"/>
              </w:rPr>
            </w:pPr>
            <w:r>
              <w:rPr>
                <w:rFonts w:ascii="Times New Roman" w:cs="Times New Roman" w:eastAsia="Times New Roman" w:hAnsi="Times New Roman"/>
                <w:sz w:val="14"/>
                <w:szCs w:val="14"/>
                <w:b w:val="1"/>
                <w:bCs w:val="1"/>
                <w:color w:val="auto"/>
              </w:rPr>
              <w:t>Our Ownership Interest</w:t>
            </w:r>
          </w:p>
        </w:tc>
        <w:tc>
          <w:tcPr>
            <w:tcW w:w="1340" w:type="dxa"/>
            <w:vAlign w:val="bottom"/>
            <w:tcBorders>
              <w:bottom w:val="single" w:sz="8" w:color="FFFF99"/>
            </w:tcBorders>
            <w:shd w:val="clear" w:color="auto" w:fill="FFFF99"/>
          </w:tcPr>
          <w:p>
            <w:pPr>
              <w:spacing w:after="0"/>
              <w:rPr>
                <w:sz w:val="17"/>
                <w:szCs w:val="17"/>
                <w:color w:val="auto"/>
              </w:rPr>
            </w:pPr>
          </w:p>
        </w:tc>
        <w:tc>
          <w:tcPr>
            <w:tcW w:w="1600" w:type="dxa"/>
            <w:vAlign w:val="bottom"/>
            <w:tcBorders>
              <w:bottom w:val="single" w:sz="8" w:color="FFFF99"/>
            </w:tcBorders>
            <w:shd w:val="clear" w:color="auto" w:fill="FFFF99"/>
          </w:tcPr>
          <w:p>
            <w:pPr>
              <w:spacing w:after="0"/>
              <w:rPr>
                <w:sz w:val="17"/>
                <w:szCs w:val="17"/>
                <w:color w:val="auto"/>
              </w:rPr>
            </w:pPr>
          </w:p>
        </w:tc>
        <w:tc>
          <w:tcPr>
            <w:tcW w:w="1180" w:type="dxa"/>
            <w:vAlign w:val="bottom"/>
            <w:tcBorders>
              <w:bottom w:val="single" w:sz="8" w:color="FFFF99"/>
            </w:tcBorders>
            <w:shd w:val="clear" w:color="auto" w:fill="FFFF99"/>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82.4%</w:t>
            </w:r>
          </w:p>
        </w:tc>
        <w:tc>
          <w:tcPr>
            <w:tcW w:w="1140" w:type="dxa"/>
            <w:vAlign w:val="bottom"/>
            <w:tcBorders>
              <w:bottom w:val="single" w:sz="8" w:color="FFFF99"/>
            </w:tcBorders>
            <w:shd w:val="clear" w:color="auto" w:fill="FFFF99"/>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1,470,000</w:t>
            </w:r>
          </w:p>
        </w:tc>
        <w:tc>
          <w:tcPr>
            <w:tcW w:w="1040" w:type="dxa"/>
            <w:vAlign w:val="bottom"/>
            <w:tcBorders>
              <w:bottom w:val="single" w:sz="8" w:color="FFFF99"/>
            </w:tcBorders>
            <w:shd w:val="clear" w:color="auto" w:fill="FFFF9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140,000</w:t>
            </w:r>
          </w:p>
        </w:tc>
        <w:tc>
          <w:tcPr>
            <w:tcW w:w="880" w:type="dxa"/>
            <w:vAlign w:val="bottom"/>
            <w:tcBorders>
              <w:bottom w:val="single" w:sz="8" w:color="FFFF99"/>
            </w:tcBorders>
            <w:shd w:val="clear" w:color="auto" w:fill="FFFF99"/>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1,610,000</w:t>
            </w: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22" w:lineRule="exact"/>
        <w:rPr>
          <w:sz w:val="20"/>
          <w:szCs w:val="20"/>
          <w:color w:val="auto"/>
        </w:rPr>
      </w:pPr>
    </w:p>
    <w:p>
      <w:pPr>
        <w:ind w:left="320" w:hanging="315"/>
        <w:spacing w:after="0"/>
        <w:tabs>
          <w:tab w:leader="none" w:pos="32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Term assumes all renewal options exercised, if applicable.</w:t>
      </w:r>
    </w:p>
    <w:p>
      <w:pPr>
        <w:spacing w:after="0" w:line="6"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Denotes property not consolidated in the accompanying consolidated financial statements and related financial data included in the Annual Report on Form 10-K.</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residential occupancy statistics.</w:t>
      </w:r>
    </w:p>
    <w:p>
      <w:pPr>
        <w:ind w:left="320" w:hanging="315"/>
        <w:spacing w:after="0"/>
        <w:tabs>
          <w:tab w:leader="none" w:pos="32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962 Third Avenue (the Annex building to 150 East 58th Street) 50.0% ground leased through 2118 (assuming all renewal options are exercised).</w:t>
      </w:r>
    </w:p>
    <w:p>
      <w:pPr>
        <w:spacing w:after="0" w:line="5"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Properties under development or to be developed.</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2022, our investment was written down to zero and we no longer record our share of 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TOP 10 TENANTS BASED ON ANNUALIZED ESCALATED RENTS</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 xml:space="preserve"> (AT SHARE):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(Amounts in thousands, except square feet)</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gridSpan w:val="2"/>
          </w:tcPr>
          <w:p>
            <w:pPr>
              <w:jc w:val="center"/>
              <w:ind w:right="580"/>
              <w:spacing w:after="0" w:line="156" w:lineRule="exact"/>
              <w:rPr>
                <w:sz w:val="20"/>
                <w:szCs w:val="20"/>
                <w:color w:val="auto"/>
              </w:rPr>
            </w:pPr>
            <w:r>
              <w:rPr>
                <w:rFonts w:ascii="Times New Roman" w:cs="Times New Roman" w:eastAsia="Times New Roman" w:hAnsi="Times New Roman"/>
                <w:sz w:val="14"/>
                <w:szCs w:val="14"/>
                <w:b w:val="1"/>
                <w:bCs w:val="1"/>
                <w:color w:val="auto"/>
                <w:w w:val="98"/>
              </w:rPr>
              <w:t>Square</w:t>
            </w:r>
          </w:p>
        </w:tc>
        <w:tc>
          <w:tcPr>
            <w:tcW w:w="240" w:type="dxa"/>
            <w:vAlign w:val="bottom"/>
          </w:tcPr>
          <w:p>
            <w:pPr>
              <w:spacing w:after="0"/>
              <w:rPr>
                <w:sz w:val="13"/>
                <w:szCs w:val="13"/>
                <w:color w:val="auto"/>
              </w:rPr>
            </w:pPr>
          </w:p>
        </w:tc>
        <w:tc>
          <w:tcPr>
            <w:tcW w:w="1580" w:type="dxa"/>
            <w:vAlign w:val="bottom"/>
            <w:gridSpan w:val="4"/>
          </w:tcPr>
          <w:p>
            <w:pPr>
              <w:jc w:val="center"/>
              <w:ind w:right="3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Annualized</w:t>
            </w:r>
          </w:p>
        </w:tc>
        <w:tc>
          <w:tcPr>
            <w:tcW w:w="18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8"/>
              </w:rPr>
              <w:t>% of Total Annualized</w:t>
            </w:r>
          </w:p>
        </w:tc>
        <w:tc>
          <w:tcPr>
            <w:tcW w:w="0" w:type="dxa"/>
            <w:vAlign w:val="bottom"/>
          </w:tcPr>
          <w:p>
            <w:pPr>
              <w:spacing w:after="0"/>
              <w:rPr>
                <w:sz w:val="1"/>
                <w:szCs w:val="1"/>
                <w:color w:val="auto"/>
              </w:rPr>
            </w:pPr>
          </w:p>
        </w:tc>
      </w:tr>
      <w:tr>
        <w:trPr>
          <w:trHeight w:val="142"/>
        </w:trPr>
        <w:tc>
          <w:tcPr>
            <w:tcW w:w="6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Tenant</w:t>
            </w:r>
          </w:p>
        </w:tc>
        <w:tc>
          <w:tcPr>
            <w:tcW w:w="1360" w:type="dxa"/>
            <w:vAlign w:val="bottom"/>
            <w:gridSpan w:val="2"/>
          </w:tcPr>
          <w:p>
            <w:pPr>
              <w:jc w:val="center"/>
              <w:ind w:right="580"/>
              <w:spacing w:after="0" w:line="143" w:lineRule="exact"/>
              <w:rPr>
                <w:sz w:val="20"/>
                <w:szCs w:val="20"/>
                <w:color w:val="auto"/>
              </w:rPr>
            </w:pPr>
            <w:r>
              <w:rPr>
                <w:rFonts w:ascii="Times New Roman" w:cs="Times New Roman" w:eastAsia="Times New Roman" w:hAnsi="Times New Roman"/>
                <w:sz w:val="14"/>
                <w:szCs w:val="14"/>
                <w:b w:val="1"/>
                <w:bCs w:val="1"/>
                <w:color w:val="auto"/>
                <w:w w:val="96"/>
              </w:rPr>
              <w:t>Footage</w:t>
            </w:r>
          </w:p>
        </w:tc>
        <w:tc>
          <w:tcPr>
            <w:tcW w:w="240" w:type="dxa"/>
            <w:vAlign w:val="bottom"/>
          </w:tcPr>
          <w:p>
            <w:pPr>
              <w:spacing w:after="0"/>
              <w:rPr>
                <w:sz w:val="12"/>
                <w:szCs w:val="12"/>
                <w:color w:val="auto"/>
              </w:rPr>
            </w:pPr>
          </w:p>
        </w:tc>
        <w:tc>
          <w:tcPr>
            <w:tcW w:w="1580" w:type="dxa"/>
            <w:vAlign w:val="bottom"/>
            <w:gridSpan w:val="4"/>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8"/>
              </w:rPr>
              <w:t>Escalated Rents</w:t>
            </w:r>
          </w:p>
        </w:tc>
        <w:tc>
          <w:tcPr>
            <w:tcW w:w="18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Escalated Rents</w:t>
            </w:r>
          </w:p>
        </w:tc>
        <w:tc>
          <w:tcPr>
            <w:tcW w:w="0" w:type="dxa"/>
            <w:vAlign w:val="bottom"/>
          </w:tcPr>
          <w:p>
            <w:pPr>
              <w:spacing w:after="0"/>
              <w:rPr>
                <w:sz w:val="1"/>
                <w:szCs w:val="1"/>
                <w:color w:val="auto"/>
              </w:rPr>
            </w:pPr>
          </w:p>
        </w:tc>
      </w:tr>
      <w:tr>
        <w:trPr>
          <w:trHeight w:val="190"/>
        </w:trPr>
        <w:tc>
          <w:tcPr>
            <w:tcW w:w="6260" w:type="dxa"/>
            <w:vAlign w:val="bottom"/>
            <w:gridSpan w:val="3"/>
            <w:vMerge w:val="continue"/>
          </w:tcPr>
          <w:p>
            <w:pPr>
              <w:spacing w:after="0"/>
              <w:rPr>
                <w:sz w:val="16"/>
                <w:szCs w:val="16"/>
                <w:color w:val="auto"/>
              </w:rPr>
            </w:pPr>
          </w:p>
        </w:tc>
        <w:tc>
          <w:tcPr>
            <w:tcW w:w="13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At Share</w:t>
            </w:r>
          </w:p>
        </w:tc>
        <w:tc>
          <w:tcPr>
            <w:tcW w:w="240" w:type="dxa"/>
            <w:vAlign w:val="bottom"/>
          </w:tcPr>
          <w:p>
            <w:pPr>
              <w:spacing w:after="0"/>
              <w:rPr>
                <w:sz w:val="16"/>
                <w:szCs w:val="16"/>
                <w:color w:val="auto"/>
              </w:rPr>
            </w:pPr>
          </w:p>
        </w:tc>
        <w:tc>
          <w:tcPr>
            <w:tcW w:w="15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At 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Share</w:t>
            </w:r>
          </w:p>
        </w:tc>
        <w:tc>
          <w:tcPr>
            <w:tcW w:w="0" w:type="dxa"/>
            <w:vAlign w:val="bottom"/>
          </w:tcPr>
          <w:p>
            <w:pPr>
              <w:spacing w:after="0"/>
              <w:rPr>
                <w:sz w:val="1"/>
                <w:szCs w:val="1"/>
                <w:color w:val="auto"/>
              </w:rPr>
            </w:pPr>
          </w:p>
        </w:tc>
      </w:tr>
      <w:tr>
        <w:trPr>
          <w:trHeight w:val="196"/>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Meta Platforms, Inc.</w:t>
            </w: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693,500</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82,906</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9"/>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IPG and affiliates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955,211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63,897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4"/>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Citadel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585,460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62,498</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6"/>
        </w:trPr>
        <w:tc>
          <w:tcPr>
            <w:tcW w:w="62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New York University</w:t>
            </w:r>
            <w:r>
              <w:rPr>
                <w:rFonts w:ascii="Times New Roman" w:cs="Times New Roman" w:eastAsia="Times New Roman" w:hAnsi="Times New Roman"/>
                <w:sz w:val="18"/>
                <w:szCs w:val="18"/>
                <w:b w:val="1"/>
                <w:bCs w:val="1"/>
                <w:color w:val="auto"/>
                <w:vertAlign w:val="superscript"/>
              </w:rPr>
              <w:t>(2)</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1,761,681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58,353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6"/>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Bloomberg L.P.</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306,768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44,479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9"/>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Madison Square Garden &amp; Affiliates</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449,053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44,032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4"/>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Google/Motorola Mobility (guaranteed by Google)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759,446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43,464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9"/>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UMG Recordings, Inc,</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336,700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35,411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4"/>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Apple Inc.</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556,057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33,796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2"/>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Amazon (including its Whole Foods subsidiary)</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312,694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32,421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1"/>
        </w:trPr>
        <w:tc>
          <w:tcPr>
            <w:tcW w:w="5680" w:type="dxa"/>
            <w:vAlign w:val="bottom"/>
          </w:tcPr>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See notes below.</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7"/>
        </w:trPr>
        <w:tc>
          <w:tcPr>
            <w:tcW w:w="62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ANNUALIZED ESCALATED RENTS</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 xml:space="preserve"> (AT SHARE) BY TENANT INDUSTRY:</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
        </w:trPr>
        <w:tc>
          <w:tcPr>
            <w:tcW w:w="626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Financial Services</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9"/>
        </w:trPr>
        <w:tc>
          <w:tcPr>
            <w:tcW w:w="62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Technology</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4"/>
        </w:trPr>
        <w:tc>
          <w:tcPr>
            <w:tcW w:w="62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Professional Services</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9"/>
        </w:trPr>
        <w:tc>
          <w:tcPr>
            <w:tcW w:w="62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Advertising/Marketing</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4"/>
        </w:trPr>
        <w:tc>
          <w:tcPr>
            <w:tcW w:w="62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Entertainment and Electronics</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9"/>
        </w:trPr>
        <w:tc>
          <w:tcPr>
            <w:tcW w:w="62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Education</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4"/>
        </w:trPr>
        <w:tc>
          <w:tcPr>
            <w:tcW w:w="62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Real Estate</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62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Engineering, Architect &amp; Surveying</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4"/>
        </w:trPr>
        <w:tc>
          <w:tcPr>
            <w:tcW w:w="62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Health Services</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62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Communications</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4"/>
        </w:trPr>
        <w:tc>
          <w:tcPr>
            <w:tcW w:w="62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Insurance</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62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Apparel</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4"/>
        </w:trPr>
        <w:tc>
          <w:tcPr>
            <w:tcW w:w="62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Government</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gridSpan w:val="3"/>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2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0"/>
        </w:trPr>
        <w:tc>
          <w:tcPr>
            <w:tcW w:w="5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3"/>
        </w:trPr>
        <w:tc>
          <w:tcPr>
            <w:tcW w:w="5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2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Apparel</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4"/>
        </w:trPr>
        <w:tc>
          <w:tcPr>
            <w:tcW w:w="62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Luxury Retail</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9"/>
        </w:trPr>
        <w:tc>
          <w:tcPr>
            <w:tcW w:w="62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Restaurants</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4"/>
        </w:trPr>
        <w:tc>
          <w:tcPr>
            <w:tcW w:w="62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Banking</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62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Grocery</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7"/>
        </w:trPr>
        <w:tc>
          <w:tcPr>
            <w:tcW w:w="62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0"/>
        </w:trPr>
        <w:tc>
          <w:tcPr>
            <w:tcW w:w="56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Showroom</w:t>
            </w:r>
          </w:p>
        </w:tc>
        <w:tc>
          <w:tcPr>
            <w:tcW w:w="12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3"/>
        </w:trPr>
        <w:tc>
          <w:tcPr>
            <w:tcW w:w="5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5"/>
        <w:spacing w:after="0" w:line="241" w:lineRule="auto"/>
        <w:tabs>
          <w:tab w:leader="none" w:pos="312"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Annualized escalated rents represent monthly contractual base rent before free rent plus tenant reimbursements multiplied by 12. Annualized escalated rents at share include leases signed but not yet commenced in place of current tenants or vacancy in the same space.</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line="267" w:lineRule="auto"/>
        <w:tabs>
          <w:tab w:leader="none" w:pos="312"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NYU’s master lease of 1,076,000 square feet at 770 Broadway. In addition to the $9,281 annual lease payments, which are included in annualized escalated rents above, NYU made a $935,000 prepaid lease payment at lease commencement. See page 37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As of December 31, 2025, our New York segment consisted of 25.8 million square feet in 61 properties. The 25.8 million square feet is comprised of 19.9 million square feet of Manhattan office in 28 of the properties, 2.3 million square feet of Manhattan street retail in 45 of the properties, 1,331 units in two residential properties, and our 32.4% interest in Alexander’s, which owns five properties in the greater New York metropolitan area, including 731 Lexington Avenue, the 1.1 million square foot Bloomberg, L.P. headquarters building, and The Alexander, a 312-unit apartment tower in Queens. The New York segment also includes nine garages totaling 1.6 million square feet (4,685 spaces).</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2025, the occupancy rate for our New York segment was 90.0%.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Occupancy and weighted average annual rent per square foot: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Office:</w:t>
      </w:r>
    </w:p>
    <w:p>
      <w:pPr>
        <w:spacing w:after="0" w:line="102"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Vornado's Ownership Interest</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 Service</w:t>
            </w:r>
          </w:p>
        </w:tc>
        <w:tc>
          <w:tcPr>
            <w:tcW w:w="1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jc w:val="center"/>
              <w:ind w:right="50"/>
              <w:spacing w:after="0" w:line="126"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 Service</w:t>
            </w:r>
          </w:p>
        </w:tc>
        <w:tc>
          <w:tcPr>
            <w:tcW w:w="1860" w:type="dxa"/>
            <w:vAlign w:val="bottom"/>
            <w:gridSpan w:val="2"/>
            <w:vMerge w:val="continue"/>
          </w:tcPr>
          <w:p>
            <w:pPr>
              <w:spacing w:after="0"/>
              <w:rPr>
                <w:sz w:val="12"/>
                <w:szCs w:val="12"/>
                <w:color w:val="auto"/>
              </w:rPr>
            </w:pPr>
          </w:p>
        </w:tc>
        <w:tc>
          <w:tcPr>
            <w:tcW w:w="2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Occupancy</w:t>
            </w:r>
          </w:p>
        </w:tc>
        <w:tc>
          <w:tcPr>
            <w:tcW w:w="100" w:type="dxa"/>
            <w:vAlign w:val="bottom"/>
          </w:tcPr>
          <w:p>
            <w:pPr>
              <w:spacing w:after="0"/>
              <w:rPr>
                <w:sz w:val="12"/>
                <w:szCs w:val="12"/>
                <w:color w:val="auto"/>
              </w:rPr>
            </w:pPr>
          </w:p>
        </w:tc>
        <w:tc>
          <w:tcPr>
            <w:tcW w:w="1720" w:type="dxa"/>
            <w:vAlign w:val="bottom"/>
          </w:tcPr>
          <w:p>
            <w:pPr>
              <w:jc w:val="center"/>
              <w:ind w:right="5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Average Annual Escalated</w:t>
            </w:r>
          </w:p>
        </w:tc>
        <w:tc>
          <w:tcPr>
            <w:tcW w:w="0" w:type="dxa"/>
            <w:vAlign w:val="bottom"/>
          </w:tcPr>
          <w:p>
            <w:pPr>
              <w:spacing w:after="0"/>
              <w:rPr>
                <w:sz w:val="1"/>
                <w:szCs w:val="1"/>
                <w:color w:val="auto"/>
              </w:rPr>
            </w:pPr>
          </w:p>
        </w:tc>
      </w:tr>
      <w:tr>
        <w:trPr>
          <w:trHeight w:val="144"/>
        </w:trPr>
        <w:tc>
          <w:tcPr>
            <w:tcW w:w="1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18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 Square Feet</w:t>
            </w:r>
          </w:p>
        </w:tc>
        <w:tc>
          <w:tcPr>
            <w:tcW w:w="1860" w:type="dxa"/>
            <w:vAlign w:val="bottom"/>
            <w:gridSpan w:val="2"/>
            <w:vMerge w:val="continue"/>
          </w:tcPr>
          <w:p>
            <w:pPr>
              <w:spacing w:after="0"/>
              <w:rPr>
                <w:sz w:val="12"/>
                <w:szCs w:val="12"/>
                <w:color w:val="auto"/>
              </w:rPr>
            </w:pPr>
          </w:p>
        </w:tc>
        <w:tc>
          <w:tcPr>
            <w:tcW w:w="186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Square Feet</w:t>
            </w:r>
          </w:p>
        </w:tc>
        <w:tc>
          <w:tcPr>
            <w:tcW w:w="2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ind w:right="50"/>
              <w:spacing w:after="0" w:line="144" w:lineRule="exact"/>
              <w:rPr>
                <w:sz w:val="20"/>
                <w:szCs w:val="20"/>
                <w:color w:val="auto"/>
              </w:rPr>
            </w:pPr>
            <w:r>
              <w:rPr>
                <w:rFonts w:ascii="Times New Roman" w:cs="Times New Roman" w:eastAsia="Times New Roman" w:hAnsi="Times New Roman"/>
                <w:sz w:val="14"/>
                <w:szCs w:val="14"/>
                <w:b w:val="1"/>
                <w:bCs w:val="1"/>
                <w:color w:val="auto"/>
                <w:w w:val="97"/>
              </w:rPr>
              <w:t>Rent</w:t>
            </w:r>
          </w:p>
        </w:tc>
        <w:tc>
          <w:tcPr>
            <w:tcW w:w="0" w:type="dxa"/>
            <w:vAlign w:val="bottom"/>
          </w:tcPr>
          <w:p>
            <w:pPr>
              <w:spacing w:after="0"/>
              <w:rPr>
                <w:sz w:val="1"/>
                <w:szCs w:val="1"/>
                <w:color w:val="auto"/>
              </w:rPr>
            </w:pPr>
          </w:p>
        </w:tc>
      </w:tr>
      <w:tr>
        <w:trPr>
          <w:trHeight w:val="191"/>
        </w:trPr>
        <w:tc>
          <w:tcPr>
            <w:tcW w:w="166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Square Feet</w:t>
            </w: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 Share</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Pr>
          <w:p>
            <w:pPr>
              <w:spacing w:after="0"/>
              <w:rPr>
                <w:sz w:val="16"/>
                <w:szCs w:val="16"/>
                <w:color w:val="auto"/>
              </w:rPr>
            </w:pPr>
          </w:p>
        </w:tc>
        <w:tc>
          <w:tcPr>
            <w:tcW w:w="172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7"/>
              </w:rPr>
              <w:t>Per Square Foot</w:t>
            </w:r>
          </w:p>
        </w:tc>
        <w:tc>
          <w:tcPr>
            <w:tcW w:w="0" w:type="dxa"/>
            <w:vAlign w:val="bottom"/>
          </w:tcPr>
          <w:p>
            <w:pPr>
              <w:spacing w:after="0"/>
              <w:rPr>
                <w:sz w:val="1"/>
                <w:szCs w:val="1"/>
                <w:color w:val="auto"/>
              </w:rPr>
            </w:pPr>
          </w:p>
        </w:tc>
      </w:tr>
      <w:tr>
        <w:trPr>
          <w:trHeight w:val="195"/>
        </w:trPr>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24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19,884,000</w:t>
            </w:r>
          </w:p>
        </w:tc>
        <w:tc>
          <w:tcPr>
            <w:tcW w:w="20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19,235,000</w:t>
            </w:r>
          </w:p>
        </w:tc>
        <w:tc>
          <w:tcPr>
            <w:tcW w:w="20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17,078,000</w:t>
            </w:r>
          </w:p>
        </w:tc>
        <w:tc>
          <w:tcPr>
            <w:tcW w:w="2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20,343,000</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18,714,000</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16,024,000</w:t>
            </w:r>
          </w:p>
        </w:tc>
        <w:tc>
          <w:tcPr>
            <w:tcW w:w="2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88.38</w:t>
            </w:r>
          </w:p>
        </w:tc>
        <w:tc>
          <w:tcPr>
            <w:tcW w:w="0" w:type="dxa"/>
            <w:vAlign w:val="bottom"/>
          </w:tcPr>
          <w:p>
            <w:pPr>
              <w:spacing w:after="0"/>
              <w:rPr>
                <w:sz w:val="1"/>
                <w:szCs w:val="1"/>
                <w:color w:val="auto"/>
              </w:rPr>
            </w:pPr>
          </w:p>
        </w:tc>
      </w:tr>
      <w:tr>
        <w:trPr>
          <w:trHeight w:val="204"/>
        </w:trPr>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20,383,000</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18,699,000</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16,001,000</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86.30</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19,902,000</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18,724,000</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16,028,000</w:t>
            </w:r>
          </w:p>
        </w:tc>
        <w:tc>
          <w:tcPr>
            <w:tcW w:w="2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83.98</w:t>
            </w:r>
          </w:p>
        </w:tc>
        <w:tc>
          <w:tcPr>
            <w:tcW w:w="0" w:type="dxa"/>
            <w:vAlign w:val="bottom"/>
          </w:tcPr>
          <w:p>
            <w:pPr>
              <w:spacing w:after="0"/>
              <w:rPr>
                <w:sz w:val="1"/>
                <w:szCs w:val="1"/>
                <w:color w:val="auto"/>
              </w:rPr>
            </w:pPr>
          </w:p>
        </w:tc>
      </w:tr>
      <w:tr>
        <w:trPr>
          <w:trHeight w:val="204"/>
        </w:trPr>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20,630,000</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19,442,000</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16,757,000</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80.01</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Retail:</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Vornado's Ownership Interest</w:t>
            </w: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 Service</w:t>
            </w:r>
          </w:p>
        </w:tc>
        <w:tc>
          <w:tcPr>
            <w:tcW w:w="1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tcPr>
          <w:p>
            <w:pPr>
              <w:jc w:val="center"/>
              <w:ind w:right="30"/>
              <w:spacing w:after="0" w:line="124"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vMerge w:val="restart"/>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In Service</w:t>
            </w:r>
          </w:p>
        </w:tc>
        <w:tc>
          <w:tcPr>
            <w:tcW w:w="2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Occupancy</w:t>
            </w:r>
          </w:p>
        </w:tc>
        <w:tc>
          <w:tcPr>
            <w:tcW w:w="100" w:type="dxa"/>
            <w:vAlign w:val="bottom"/>
          </w:tcPr>
          <w:p>
            <w:pPr>
              <w:spacing w:after="0"/>
              <w:rPr>
                <w:sz w:val="12"/>
                <w:szCs w:val="12"/>
                <w:color w:val="auto"/>
              </w:rPr>
            </w:pPr>
          </w:p>
        </w:tc>
        <w:tc>
          <w:tcPr>
            <w:tcW w:w="1660" w:type="dxa"/>
            <w:vAlign w:val="bottom"/>
          </w:tcPr>
          <w:p>
            <w:pPr>
              <w:jc w:val="center"/>
              <w:ind w:right="3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Average Annual Escalated</w:t>
            </w:r>
          </w:p>
        </w:tc>
        <w:tc>
          <w:tcPr>
            <w:tcW w:w="0" w:type="dxa"/>
            <w:vAlign w:val="bottom"/>
          </w:tcPr>
          <w:p>
            <w:pPr>
              <w:spacing w:after="0"/>
              <w:rPr>
                <w:sz w:val="1"/>
                <w:szCs w:val="1"/>
                <w:color w:val="auto"/>
              </w:rPr>
            </w:pPr>
          </w:p>
        </w:tc>
      </w:tr>
      <w:tr>
        <w:trPr>
          <w:trHeight w:val="144"/>
        </w:trPr>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 Square Feet</w:t>
            </w:r>
          </w:p>
        </w:tc>
        <w:tc>
          <w:tcPr>
            <w:tcW w:w="1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1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ind w:right="30"/>
              <w:spacing w:after="0" w:line="144" w:lineRule="exact"/>
              <w:rPr>
                <w:sz w:val="20"/>
                <w:szCs w:val="20"/>
                <w:color w:val="auto"/>
              </w:rPr>
            </w:pPr>
            <w:r>
              <w:rPr>
                <w:rFonts w:ascii="Times New Roman" w:cs="Times New Roman" w:eastAsia="Times New Roman" w:hAnsi="Times New Roman"/>
                <w:sz w:val="14"/>
                <w:szCs w:val="14"/>
                <w:b w:val="1"/>
                <w:bCs w:val="1"/>
                <w:color w:val="auto"/>
                <w:w w:val="97"/>
              </w:rPr>
              <w:t>Rent</w:t>
            </w:r>
          </w:p>
        </w:tc>
        <w:tc>
          <w:tcPr>
            <w:tcW w:w="0" w:type="dxa"/>
            <w:vAlign w:val="bottom"/>
          </w:tcPr>
          <w:p>
            <w:pPr>
              <w:spacing w:after="0"/>
              <w:rPr>
                <w:sz w:val="1"/>
                <w:szCs w:val="1"/>
                <w:color w:val="auto"/>
              </w:rPr>
            </w:pPr>
          </w:p>
        </w:tc>
      </w:tr>
      <w:tr>
        <w:trPr>
          <w:trHeight w:val="190"/>
        </w:trPr>
        <w:tc>
          <w:tcPr>
            <w:tcW w:w="178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6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280" w:type="dxa"/>
            <w:vAlign w:val="bottom"/>
          </w:tcPr>
          <w:p>
            <w:pPr>
              <w:spacing w:after="0"/>
              <w:rPr>
                <w:sz w:val="16"/>
                <w:szCs w:val="16"/>
                <w:color w:val="auto"/>
              </w:rPr>
            </w:pP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At Share</w:t>
            </w: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Pr>
          <w:p>
            <w:pPr>
              <w:spacing w:after="0"/>
              <w:rPr>
                <w:sz w:val="16"/>
                <w:szCs w:val="16"/>
                <w:color w:val="auto"/>
              </w:rPr>
            </w:pPr>
          </w:p>
        </w:tc>
        <w:tc>
          <w:tcPr>
            <w:tcW w:w="16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Per Square Foot</w:t>
            </w:r>
          </w:p>
        </w:tc>
        <w:tc>
          <w:tcPr>
            <w:tcW w:w="0" w:type="dxa"/>
            <w:vAlign w:val="bottom"/>
          </w:tcPr>
          <w:p>
            <w:pPr>
              <w:spacing w:after="0"/>
              <w:rPr>
                <w:sz w:val="1"/>
                <w:szCs w:val="1"/>
                <w:color w:val="auto"/>
              </w:rPr>
            </w:pPr>
          </w:p>
        </w:tc>
      </w:tr>
      <w:tr>
        <w:trPr>
          <w:trHeight w:val="105"/>
        </w:trPr>
        <w:tc>
          <w:tcPr>
            <w:tcW w:w="15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240" w:type="dxa"/>
            <w:vAlign w:val="bottom"/>
            <w:tcBorders>
              <w:top w:val="single" w:sz="8" w:color="CCEEFF"/>
            </w:tcBorders>
            <w:shd w:val="clear" w:color="auto" w:fill="CCEEFF"/>
          </w:tcPr>
          <w:p>
            <w:pPr>
              <w:spacing w:after="0"/>
              <w:rPr>
                <w:sz w:val="9"/>
                <w:szCs w:val="9"/>
                <w:color w:val="auto"/>
              </w:rPr>
            </w:pPr>
          </w:p>
        </w:tc>
        <w:tc>
          <w:tcPr>
            <w:tcW w:w="1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2,287,000</w:t>
            </w:r>
          </w:p>
        </w:tc>
        <w:tc>
          <w:tcPr>
            <w:tcW w:w="200" w:type="dxa"/>
            <w:vAlign w:val="bottom"/>
            <w:tcBorders>
              <w:top w:val="single" w:sz="8" w:color="CCEEFF"/>
            </w:tcBorders>
            <w:shd w:val="clear" w:color="auto" w:fill="CCEEFF"/>
          </w:tcPr>
          <w:p>
            <w:pPr>
              <w:spacing w:after="0"/>
              <w:rPr>
                <w:sz w:val="9"/>
                <w:szCs w:val="9"/>
                <w:color w:val="auto"/>
              </w:rPr>
            </w:pPr>
          </w:p>
        </w:tc>
        <w:tc>
          <w:tcPr>
            <w:tcW w:w="1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2,030,000</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w:t>
            </w:r>
          </w:p>
        </w:tc>
        <w:tc>
          <w:tcPr>
            <w:tcW w:w="1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1,659,000</w:t>
            </w:r>
          </w:p>
        </w:tc>
        <w:tc>
          <w:tcPr>
            <w:tcW w:w="200" w:type="dxa"/>
            <w:vAlign w:val="bottom"/>
            <w:tcBorders>
              <w:top w:val="single" w:sz="8" w:color="CCEEFF"/>
            </w:tcBorders>
            <w:shd w:val="clear" w:color="auto" w:fill="CCEEFF"/>
          </w:tcPr>
          <w:p>
            <w:pPr>
              <w:spacing w:after="0"/>
              <w:rPr>
                <w:sz w:val="9"/>
                <w:szCs w:val="9"/>
                <w:color w:val="auto"/>
              </w:rPr>
            </w:pPr>
          </w:p>
        </w:tc>
        <w:tc>
          <w:tcPr>
            <w:tcW w:w="1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2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228.41</w:t>
            </w:r>
          </w:p>
        </w:tc>
        <w:tc>
          <w:tcPr>
            <w:tcW w:w="0" w:type="dxa"/>
            <w:vAlign w:val="bottom"/>
          </w:tcPr>
          <w:p>
            <w:pPr>
              <w:spacing w:after="0"/>
              <w:rPr>
                <w:sz w:val="1"/>
                <w:szCs w:val="1"/>
                <w:color w:val="auto"/>
              </w:rPr>
            </w:pPr>
          </w:p>
        </w:tc>
      </w:tr>
      <w:tr>
        <w:trPr>
          <w:trHeight w:val="91"/>
        </w:trPr>
        <w:tc>
          <w:tcPr>
            <w:tcW w:w="154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6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6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6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78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6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2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2,421,000</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2,387,000</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1,943,000</w:t>
            </w:r>
          </w:p>
        </w:tc>
        <w:tc>
          <w:tcPr>
            <w:tcW w:w="2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213.05</w:t>
            </w:r>
          </w:p>
        </w:tc>
        <w:tc>
          <w:tcPr>
            <w:tcW w:w="0" w:type="dxa"/>
            <w:vAlign w:val="bottom"/>
          </w:tcPr>
          <w:p>
            <w:pPr>
              <w:spacing w:after="0"/>
              <w:rPr>
                <w:sz w:val="1"/>
                <w:szCs w:val="1"/>
                <w:color w:val="auto"/>
              </w:rPr>
            </w:pPr>
          </w:p>
        </w:tc>
      </w:tr>
      <w:tr>
        <w:trPr>
          <w:trHeight w:val="204"/>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2,394,000</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2,123,000</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1,684,000</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224.88</w:t>
            </w:r>
          </w:p>
        </w:tc>
        <w:tc>
          <w:tcPr>
            <w:tcW w:w="0" w:type="dxa"/>
            <w:vAlign w:val="bottom"/>
          </w:tcPr>
          <w:p>
            <w:pPr>
              <w:spacing w:after="0"/>
              <w:rPr>
                <w:sz w:val="1"/>
                <w:szCs w:val="1"/>
                <w:color w:val="auto"/>
              </w:rPr>
            </w:pPr>
          </w:p>
        </w:tc>
      </w:tr>
      <w:tr>
        <w:trPr>
          <w:trHeight w:val="189"/>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2,556,000</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2,289,000</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1,851,000</w:t>
            </w:r>
          </w:p>
        </w:tc>
        <w:tc>
          <w:tcPr>
            <w:tcW w:w="2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215.72</w:t>
            </w:r>
          </w:p>
        </w:tc>
        <w:tc>
          <w:tcPr>
            <w:tcW w:w="0" w:type="dxa"/>
            <w:vAlign w:val="bottom"/>
          </w:tcPr>
          <w:p>
            <w:pPr>
              <w:spacing w:after="0"/>
              <w:rPr>
                <w:sz w:val="1"/>
                <w:szCs w:val="1"/>
                <w:color w:val="auto"/>
              </w:rPr>
            </w:pPr>
          </w:p>
        </w:tc>
      </w:tr>
      <w:tr>
        <w:trPr>
          <w:trHeight w:val="204"/>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2,693,000</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2,267,000</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1,825,000</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214.22</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22" w:lineRule="exact"/>
        <w:rPr>
          <w:sz w:val="20"/>
          <w:szCs w:val="20"/>
          <w:color w:val="auto"/>
        </w:rPr>
      </w:pPr>
    </w:p>
    <w:p>
      <w:pPr>
        <w:ind w:left="320" w:hanging="315"/>
        <w:spacing w:after="0"/>
        <w:tabs>
          <w:tab w:leader="none" w:pos="320"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Reflects the impact of the 100 West 33rd Street retail space coming out of service during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Occupancy and average monthly rent per unit: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Residential:</w:t>
      </w:r>
    </w:p>
    <w:p>
      <w:pPr>
        <w:spacing w:after="0" w:line="154"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Vornado's Ownership Interest</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2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8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20" w:type="dxa"/>
            <w:vAlign w:val="bottom"/>
            <w:gridSpan w:val="2"/>
            <w:vMerge w:val="continue"/>
          </w:tcPr>
          <w:p>
            <w:pPr>
              <w:spacing w:after="0"/>
              <w:rPr>
                <w:sz w:val="10"/>
                <w:szCs w:val="10"/>
                <w:color w:val="auto"/>
              </w:rPr>
            </w:pPr>
          </w:p>
        </w:tc>
        <w:tc>
          <w:tcPr>
            <w:tcW w:w="182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rPr>
              <w:t>Total</w:t>
            </w:r>
          </w:p>
        </w:tc>
        <w:tc>
          <w:tcPr>
            <w:tcW w:w="196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w w:val="98"/>
              </w:rPr>
              <w:t>Occupancy</w:t>
            </w:r>
          </w:p>
        </w:tc>
        <w:tc>
          <w:tcPr>
            <w:tcW w:w="200" w:type="dxa"/>
            <w:vAlign w:val="bottom"/>
          </w:tcPr>
          <w:p>
            <w:pPr>
              <w:spacing w:after="0"/>
              <w:rPr>
                <w:sz w:val="10"/>
                <w:szCs w:val="10"/>
                <w:color w:val="auto"/>
              </w:rPr>
            </w:pPr>
          </w:p>
        </w:tc>
        <w:tc>
          <w:tcPr>
            <w:tcW w:w="1500" w:type="dxa"/>
            <w:vAlign w:val="bottom"/>
          </w:tcPr>
          <w:p>
            <w:pPr>
              <w:jc w:val="right"/>
              <w:ind w:right="270"/>
              <w:spacing w:after="0" w:line="126" w:lineRule="exact"/>
              <w:rPr>
                <w:sz w:val="20"/>
                <w:szCs w:val="20"/>
                <w:color w:val="auto"/>
              </w:rPr>
            </w:pPr>
            <w:r>
              <w:rPr>
                <w:rFonts w:ascii="Times New Roman" w:cs="Times New Roman" w:eastAsia="Times New Roman" w:hAnsi="Times New Roman"/>
                <w:sz w:val="14"/>
                <w:szCs w:val="14"/>
                <w:b w:val="1"/>
                <w:bCs w:val="1"/>
                <w:color w:val="auto"/>
              </w:rPr>
              <w:t>Average Monthly</w:t>
            </w:r>
          </w:p>
        </w:tc>
        <w:tc>
          <w:tcPr>
            <w:tcW w:w="0" w:type="dxa"/>
            <w:vAlign w:val="bottom"/>
          </w:tcPr>
          <w:p>
            <w:pPr>
              <w:spacing w:after="0"/>
              <w:rPr>
                <w:sz w:val="1"/>
                <w:szCs w:val="1"/>
                <w:color w:val="auto"/>
              </w:rPr>
            </w:pPr>
          </w:p>
        </w:tc>
      </w:tr>
      <w:tr>
        <w:trPr>
          <w:trHeight w:val="190"/>
        </w:trPr>
        <w:tc>
          <w:tcPr>
            <w:tcW w:w="1860" w:type="dxa"/>
            <w:vAlign w:val="bottom"/>
            <w:gridSpan w:val="2"/>
            <w:vMerge w:val="continue"/>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Number of Units</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Number of Units</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00" w:type="dxa"/>
            <w:vAlign w:val="bottom"/>
          </w:tcPr>
          <w:p>
            <w:pPr>
              <w:spacing w:after="0"/>
              <w:rPr>
                <w:sz w:val="16"/>
                <w:szCs w:val="16"/>
                <w:color w:val="auto"/>
              </w:rPr>
            </w:pP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Rent Per Unit</w:t>
            </w:r>
          </w:p>
        </w:tc>
        <w:tc>
          <w:tcPr>
            <w:tcW w:w="0" w:type="dxa"/>
            <w:vAlign w:val="bottom"/>
          </w:tcPr>
          <w:p>
            <w:pPr>
              <w:spacing w:after="0"/>
              <w:rPr>
                <w:sz w:val="1"/>
                <w:szCs w:val="1"/>
                <w:color w:val="auto"/>
              </w:rPr>
            </w:pPr>
          </w:p>
        </w:tc>
      </w:tr>
      <w:tr>
        <w:trPr>
          <w:trHeight w:val="195"/>
        </w:trPr>
        <w:tc>
          <w:tcPr>
            <w:tcW w:w="17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1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5,051</w:t>
            </w:r>
          </w:p>
        </w:tc>
        <w:tc>
          <w:tcPr>
            <w:tcW w:w="0" w:type="dxa"/>
            <w:vAlign w:val="bottom"/>
          </w:tcPr>
          <w:p>
            <w:pPr>
              <w:spacing w:after="0"/>
              <w:rPr>
                <w:sz w:val="1"/>
                <w:szCs w:val="1"/>
                <w:color w:val="auto"/>
              </w:rPr>
            </w:pPr>
          </w:p>
        </w:tc>
      </w:tr>
      <w:tr>
        <w:trPr>
          <w:trHeight w:val="189"/>
        </w:trPr>
        <w:tc>
          <w:tcPr>
            <w:tcW w:w="176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4,713</w:t>
            </w:r>
          </w:p>
        </w:tc>
        <w:tc>
          <w:tcPr>
            <w:tcW w:w="0" w:type="dxa"/>
            <w:vAlign w:val="bottom"/>
          </w:tcPr>
          <w:p>
            <w:pPr>
              <w:spacing w:after="0"/>
              <w:rPr>
                <w:sz w:val="1"/>
                <w:szCs w:val="1"/>
                <w:color w:val="auto"/>
              </w:rPr>
            </w:pPr>
          </w:p>
        </w:tc>
      </w:tr>
      <w:tr>
        <w:trPr>
          <w:trHeight w:val="204"/>
        </w:trPr>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0" w:type="dxa"/>
            <w:vAlign w:val="bottom"/>
          </w:tcPr>
          <w:p>
            <w:pPr>
              <w:spacing w:after="0"/>
              <w:rPr>
                <w:sz w:val="1"/>
                <w:szCs w:val="1"/>
                <w:color w:val="auto"/>
              </w:rPr>
            </w:pPr>
          </w:p>
        </w:tc>
      </w:tr>
      <w:tr>
        <w:trPr>
          <w:trHeight w:val="189"/>
        </w:trPr>
        <w:tc>
          <w:tcPr>
            <w:tcW w:w="176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1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3,882</w:t>
            </w:r>
          </w:p>
        </w:tc>
        <w:tc>
          <w:tcPr>
            <w:tcW w:w="0" w:type="dxa"/>
            <w:vAlign w:val="bottom"/>
          </w:tcPr>
          <w:p>
            <w:pPr>
              <w:spacing w:after="0"/>
              <w:rPr>
                <w:sz w:val="1"/>
                <w:szCs w:val="1"/>
                <w:color w:val="auto"/>
              </w:rPr>
            </w:pPr>
          </w:p>
        </w:tc>
      </w:tr>
      <w:tr>
        <w:trPr>
          <w:trHeight w:val="204"/>
        </w:trPr>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NEW YORK – CONTINUED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expirations as of December 31, 2025 (at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Annualized Escalated Rents</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Expiring</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Square Feet of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of Expiring Leases</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5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4"/>
                <w:szCs w:val="14"/>
                <w:b w:val="1"/>
                <w:bCs w:val="1"/>
                <w:color w:val="auto"/>
                <w:w w:val="96"/>
              </w:rPr>
              <w:t>Expiring Leases</w:t>
            </w:r>
            <w:r>
              <w:rPr>
                <w:rFonts w:ascii="Times New Roman" w:cs="Times New Roman" w:eastAsia="Times New Roman" w:hAnsi="Times New Roman"/>
                <w:sz w:val="18"/>
                <w:szCs w:val="18"/>
                <w:b w:val="1"/>
                <w:bCs w:val="1"/>
                <w:color w:val="auto"/>
                <w:w w:val="96"/>
                <w:vertAlign w:val="superscript"/>
              </w:rPr>
              <w:t>(1)</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New York Square Feet</w:t>
            </w:r>
          </w:p>
        </w:tc>
        <w:tc>
          <w:tcPr>
            <w:tcW w:w="320" w:type="dxa"/>
            <w:vAlign w:val="bottom"/>
          </w:tcPr>
          <w:p>
            <w:pPr>
              <w:spacing w:after="0"/>
              <w:rPr>
                <w:sz w:val="17"/>
                <w:szCs w:val="17"/>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7"/>
                <w:szCs w:val="17"/>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Per Square Foot</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Fourth Quarter 2025</w:t>
            </w:r>
            <w:r>
              <w:rPr>
                <w:rFonts w:ascii="Times New Roman" w:cs="Times New Roman" w:eastAsia="Times New Roman" w:hAnsi="Times New Roman"/>
                <w:sz w:val="18"/>
                <w:szCs w:val="18"/>
                <w:b w:val="1"/>
                <w:bCs w:val="1"/>
                <w:color w:val="auto"/>
                <w:vertAlign w:val="superscript"/>
              </w:rPr>
              <w:t>(2)</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85"/>
              </w:rPr>
              <w:t>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0.2%</w:t>
            </w:r>
          </w:p>
        </w:tc>
        <w:tc>
          <w:tcPr>
            <w:tcW w:w="100" w:type="dxa"/>
            <w:vAlign w:val="bottom"/>
          </w:tcPr>
          <w:p>
            <w:pPr>
              <w:spacing w:after="0"/>
              <w:rPr>
                <w:sz w:val="18"/>
                <w:szCs w:val="18"/>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81.08</w:t>
            </w:r>
          </w:p>
        </w:tc>
        <w:tc>
          <w:tcPr>
            <w:tcW w:w="360" w:type="dxa"/>
            <w:vAlign w:val="bottom"/>
            <w:vMerge w:val="restart"/>
          </w:tcPr>
          <w:p>
            <w:pPr>
              <w:jc w:val="right"/>
              <w:ind w:right="175"/>
              <w:spacing w:after="0"/>
              <w:rPr>
                <w:sz w:val="20"/>
                <w:szCs w:val="20"/>
                <w:color w:val="auto"/>
              </w:rPr>
            </w:pP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63</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74,154,000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79.82</w:t>
            </w: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89</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6.2%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80,578,000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84.55</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2028</w:t>
            </w:r>
            <w:r>
              <w:rPr>
                <w:rFonts w:ascii="Times New Roman" w:cs="Times New Roman" w:eastAsia="Times New Roman" w:hAnsi="Times New Roman"/>
                <w:sz w:val="18"/>
                <w:szCs w:val="18"/>
                <w:b w:val="1"/>
                <w:bCs w:val="1"/>
                <w:color w:val="auto"/>
                <w:vertAlign w:val="superscript"/>
              </w:rPr>
              <w:t>(4)</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65</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970,000</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77,672,000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73</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87,124,000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77.44</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60</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65,470,000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91.18</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2031</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49</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82,530,000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94.21</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29</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113,366,000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2033</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27</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49,133,000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87.27</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2034</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32</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40,755,000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2035</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37</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7.2%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83,452,000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81.02</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Fourth Quarter 2025</w:t>
            </w:r>
            <w:r>
              <w:rPr>
                <w:rFonts w:ascii="Times New Roman" w:cs="Times New Roman" w:eastAsia="Times New Roman" w:hAnsi="Times New Roman"/>
                <w:sz w:val="18"/>
                <w:szCs w:val="18"/>
                <w:b w:val="1"/>
                <w:bCs w:val="1"/>
                <w:color w:val="auto"/>
                <w:vertAlign w:val="superscript"/>
              </w:rPr>
              <w:t>(2)</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85"/>
              </w:rPr>
              <w:t>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0.1%</w:t>
            </w:r>
          </w:p>
        </w:tc>
        <w:tc>
          <w:tcPr>
            <w:tcW w:w="100" w:type="dxa"/>
            <w:vAlign w:val="bottom"/>
          </w:tcPr>
          <w:p>
            <w:pPr>
              <w:spacing w:after="0"/>
              <w:rPr>
                <w:sz w:val="19"/>
                <w:szCs w:val="19"/>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360" w:type="dxa"/>
            <w:vAlign w:val="bottom"/>
            <w:vMerge w:val="restart"/>
          </w:tcPr>
          <w:p>
            <w:pPr>
              <w:jc w:val="right"/>
              <w:ind w:right="175"/>
              <w:spacing w:after="0"/>
              <w:rPr>
                <w:sz w:val="20"/>
                <w:szCs w:val="20"/>
                <w:color w:val="auto"/>
              </w:rPr>
            </w:pPr>
            <w:r>
              <w:rPr>
                <w:rFonts w:ascii="Times New Roman" w:cs="Times New Roman" w:eastAsia="Times New Roman" w:hAnsi="Times New Roman"/>
                <w:sz w:val="9"/>
                <w:szCs w:val="9"/>
                <w:b w:val="1"/>
                <w:bCs w:val="1"/>
                <w:color w:val="auto"/>
              </w:rPr>
              <w:t>(5)</w:t>
            </w: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85"/>
              </w:rPr>
              <w:t>8</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247.52</w:t>
            </w: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18</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22,931,000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432.66</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85"/>
              </w:rPr>
              <w:t>9</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9,912,000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13</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4.7%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22,546,000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433.58</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14</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23,737,000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164.84</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2031</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20</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5.1%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30,232,000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530.39</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22</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31,907,000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514.63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2033</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14</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3.2%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12,272,000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340.89</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2034</w:t>
            </w: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35</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146,000</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20,475,000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140.24</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2035</w:t>
            </w:r>
          </w:p>
        </w:tc>
        <w:tc>
          <w:tcPr>
            <w:tcW w:w="15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11</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12,372,000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515.50</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-2993390</wp:posOffset>
            </wp:positionV>
            <wp:extent cx="7136130" cy="1244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-1371600</wp:posOffset>
            </wp:positionV>
            <wp:extent cx="7136130" cy="124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2446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ind w:left="320" w:hanging="315"/>
        <w:spacing w:after="0"/>
        <w:tabs>
          <w:tab w:leader="none" w:pos="320"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storage, vacancy and other.</w:t>
      </w:r>
    </w:p>
    <w:p>
      <w:pPr>
        <w:spacing w:after="0" w:line="5"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month-to-month leases, holdover tenants, and leases expiring on the last day of the current quarter.</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Based on current market conditions, we expect to re-lease this space at rents between $85 to $95 per square foot.</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line="244" w:lineRule="auto"/>
        <w:tabs>
          <w:tab w:leader="none" w:pos="312"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the expiration of 492,000 square feet at 909 Third Avenue for U.S. Post Office as we assume the exercise of all renewal options through 2038 given the below-market rent on their options.</w:t>
      </w:r>
    </w:p>
    <w:p>
      <w:pPr>
        <w:ind w:left="320" w:hanging="315"/>
        <w:spacing w:after="0"/>
        <w:tabs>
          <w:tab w:leader="none" w:pos="320"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Based on current market conditions, we expect to re-lease this space at rents between $450 to $500 per square foot.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Alexander’s</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As of December 31, 2025, we own 32.4% of the outstanding common stock of Alexander’s, which owns five properties in the greater New York City aggregating 2.4 million square feet, including 731 Lexington Avenue, the 1.1 million square foot Bloomberg L.P. headquarters building. As of December 31, 2025, Alexander's had an occupancy rate of 94.6% and a weighted average annual rent per square foot of $115.14.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REAL ESTATE AND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MART</w:t>
      </w:r>
    </w:p>
    <w:p>
      <w:pPr>
        <w:spacing w:after="0" w:line="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own the 3.7 million square foot THE MART in Chicago, whose largest tenant is Motorola Mobility at 609,000 square feet, the lease of which is guaranteed by Google. As of December 31, 2025, THE MART had an occupancy rate of 81.5% and a weighted average annual rent per square foot of $54.03.</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555 California Street</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own a 70% controlling interest in a three-building office complex aggregating 1.8 million square feet, located at California and Montgomery Streets in San Francisco’s financial district (“555 California Street”). As of December 31, 2025, 555 California Street had an occupancy rate of 88.9%, which reflects the impact of lease expirations at 315 Montgomery Street during the fourth quarter, and a weighted average annual rent per square foot of $103.50.</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1" w:name="page32"/>
    <w:bookmarkEnd w:id="31"/>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are from time to time involved in legal actions arising in the ordinary course of business. In our opinion, after consultation with legal counsel, the outcome of such matters is not expected to have a material adverse effect on our financial position, results of operations or cash flows.</w:t>
      </w:r>
    </w:p>
    <w:p>
      <w:pPr>
        <w:spacing w:after="0" w:line="4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19" w:lineRule="exact"/>
        <w:rPr>
          <w:sz w:val="20"/>
          <w:szCs w:val="20"/>
          <w:color w:val="auto"/>
        </w:rPr>
      </w:pPr>
    </w:p>
    <w:p>
      <w:pPr>
        <w:jc w:val="both"/>
        <w:ind w:left="1000" w:hanging="1256"/>
        <w:spacing w:after="0" w:line="289" w:lineRule="auto"/>
        <w:tabs>
          <w:tab w:leader="none" w:pos="98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Vornado’s common shares are traded on the New York Stock Exchange under the symbol “VNO.”</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February 1, 2026, there were 648 holders of record of Vornado common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There is no established trading market for the Operating Partnership's Class A units. Class A units that are not held by Vornado may be tendered for redemption to the Operating Partnership for cash; Vornado, at its option, may assume that obligation and pay the holder either cash or Vornado common shares on a one-for-one basis. Because the number of Vornado common shares outstanding at all times equals the number of Class A units owned by Vornado, the redemption value of each Class A unit is equivalent to the market value of one Vornado common share, and the distribution to a Class A unit holder is equal to the dividend paid to a Vornado common shareholder.</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February 1, 2026, there were 787 Class A unitholders of record.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Vornado Realty Trust</w:t>
      </w:r>
    </w:p>
    <w:p>
      <w:pPr>
        <w:spacing w:after="0" w:line="7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During the fourth quarter of 2025, Vornado issued 73,895 of its common shares for the redemption of Class A units by certain limited partners of Vornado Realty L.P., and conversions of Series A preferred shares. Such shares were issued in reliance on an exemption from registration under Section 4(a)(2) of the Securities Act of 1933, as amended. There were no cash proceeds associated with these issuances.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Vornado Realty L.P.</w:t>
      </w:r>
    </w:p>
    <w:p>
      <w:pPr>
        <w:spacing w:after="0" w:line="70" w:lineRule="exact"/>
        <w:rPr>
          <w:sz w:val="20"/>
          <w:szCs w:val="20"/>
          <w:color w:val="auto"/>
        </w:rPr>
      </w:pPr>
    </w:p>
    <w:p>
      <w:pPr>
        <w:jc w:val="both"/>
        <w:ind w:firstLine="393"/>
        <w:spacing w:after="0" w:line="289" w:lineRule="auto"/>
        <w:rPr>
          <w:sz w:val="20"/>
          <w:szCs w:val="20"/>
          <w:color w:val="auto"/>
        </w:rPr>
      </w:pPr>
      <w:r>
        <w:rPr>
          <w:rFonts w:ascii="Times New Roman" w:cs="Times New Roman" w:eastAsia="Times New Roman" w:hAnsi="Times New Roman"/>
          <w:sz w:val="17"/>
          <w:szCs w:val="17"/>
          <w:color w:val="auto"/>
        </w:rPr>
        <w:t>During the fourth quarter of 2025, Vornado Realty L.P. issued 728,527 Class A units to satisfy conversions of restricted Operating Partnership units (“LTIP Units”). There were no cash proceeds associated with these issuances.</w:t>
      </w:r>
    </w:p>
    <w:p>
      <w:pPr>
        <w:spacing w:after="0" w:line="1" w:lineRule="exact"/>
        <w:rPr>
          <w:sz w:val="20"/>
          <w:szCs w:val="20"/>
          <w:color w:val="auto"/>
        </w:rPr>
      </w:pPr>
    </w:p>
    <w:p>
      <w:pPr>
        <w:jc w:val="both"/>
        <w:ind w:firstLine="393"/>
        <w:spacing w:after="0" w:line="289" w:lineRule="auto"/>
        <w:rPr>
          <w:sz w:val="20"/>
          <w:szCs w:val="20"/>
          <w:color w:val="auto"/>
        </w:rPr>
      </w:pPr>
      <w:r>
        <w:rPr>
          <w:rFonts w:ascii="Times New Roman" w:cs="Times New Roman" w:eastAsia="Times New Roman" w:hAnsi="Times New Roman"/>
          <w:sz w:val="17"/>
          <w:szCs w:val="17"/>
          <w:color w:val="auto"/>
        </w:rPr>
        <w:t>On December 16, 2025, the Operating Partnership granted 28,919 LTIP Units at a market price of $34.58 per unit to Vornado consultants that are not executives of the Company as part of their annual consulting fees. The units were issued outside of Vornado’s Omnibus Share Plan.</w:t>
      </w:r>
    </w:p>
    <w:p>
      <w:pPr>
        <w:spacing w:after="0" w:line="1"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All of the securities referred to above were issued in reliance on an exemption from registration under Section 4(a)(2) of the Securities Act of 1933, as amended.</w:t>
      </w:r>
    </w:p>
    <w:p>
      <w:pPr>
        <w:spacing w:after="0" w:line="200" w:lineRule="exact"/>
        <w:rPr>
          <w:sz w:val="20"/>
          <w:szCs w:val="20"/>
          <w:color w:val="auto"/>
        </w:rPr>
      </w:pPr>
    </w:p>
    <w:p>
      <w:pPr>
        <w:spacing w:after="0" w:line="21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From time to time, in connection with equity awards granted under our Omnibus Share Plan, we may withhold common shares for tax purposes or acquire common shares as part of the payment of the exercise price. Although we treat these as repurchases for certain financial statement purposes, these withheld or acquired shares are not considered by us as repurchases for this purpose.</w:t>
      </w:r>
    </w:p>
    <w:p>
      <w:pPr>
        <w:spacing w:after="0" w:line="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Information relating to compensation plans under which Vornado’s equity securities are authorized for issuance is set forth under Part III, Item 12 of this Annual Report on Form 10-K and such information is incorporated by reference herein.</w:t>
      </w: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Recent Purchases of Unregistered Securities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Vornado Realty Trust</w:t>
      </w:r>
    </w:p>
    <w:p>
      <w:pPr>
        <w:spacing w:after="0" w:line="70"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In April 2023, our Board of Trustees authorized a share repurchase plan under which Vornado is authorized to repurchase up to $200,000,000 of its outstanding common shares. The following table summarizes share repurchases executed under the plan during the three months ended December 31, 2025.</w:t>
      </w:r>
    </w:p>
    <w:p>
      <w:pPr>
        <w:spacing w:after="0" w:line="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Average Price Paid Per</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Total Number of Shares Purchased</w:t>
            </w: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Approximate Dollar Value of Shares</w:t>
            </w:r>
          </w:p>
        </w:tc>
        <w:tc>
          <w:tcPr>
            <w:tcW w:w="0" w:type="dxa"/>
            <w:vAlign w:val="bottom"/>
          </w:tcPr>
          <w:p>
            <w:pPr>
              <w:spacing w:after="0"/>
              <w:rPr>
                <w:sz w:val="1"/>
                <w:szCs w:val="1"/>
                <w:color w:val="auto"/>
              </w:rPr>
            </w:pPr>
          </w:p>
        </w:tc>
      </w:tr>
      <w:tr>
        <w:trPr>
          <w:trHeight w:val="142"/>
        </w:trPr>
        <w:tc>
          <w:tcPr>
            <w:tcW w:w="300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40" w:type="dxa"/>
            <w:vAlign w:val="bottom"/>
            <w:gridSpan w:val="2"/>
            <w:vMerge w:val="continue"/>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32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as Part of Publicly Announced</w:t>
            </w:r>
          </w:p>
        </w:tc>
        <w:tc>
          <w:tcPr>
            <w:tcW w:w="100" w:type="dxa"/>
            <w:vAlign w:val="bottom"/>
          </w:tcPr>
          <w:p>
            <w:pPr>
              <w:spacing w:after="0"/>
              <w:rPr>
                <w:sz w:val="12"/>
                <w:szCs w:val="12"/>
                <w:color w:val="auto"/>
              </w:rPr>
            </w:pPr>
          </w:p>
        </w:tc>
        <w:tc>
          <w:tcPr>
            <w:tcW w:w="216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w w:val="98"/>
              </w:rPr>
              <w:t>that May Yet Be Purchased Under</w:t>
            </w:r>
          </w:p>
        </w:tc>
        <w:tc>
          <w:tcPr>
            <w:tcW w:w="0" w:type="dxa"/>
            <w:vAlign w:val="bottom"/>
          </w:tcPr>
          <w:p>
            <w:pPr>
              <w:spacing w:after="0"/>
              <w:rPr>
                <w:sz w:val="1"/>
                <w:szCs w:val="1"/>
                <w:color w:val="auto"/>
              </w:rPr>
            </w:pPr>
          </w:p>
        </w:tc>
      </w:tr>
      <w:tr>
        <w:trPr>
          <w:trHeight w:val="196"/>
        </w:trPr>
        <w:tc>
          <w:tcPr>
            <w:tcW w:w="3000" w:type="dxa"/>
            <w:vAlign w:val="bottom"/>
            <w:gridSpan w:val="2"/>
            <w:vMerge w:val="continue"/>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Repurchased</w:t>
            </w:r>
          </w:p>
        </w:tc>
        <w:tc>
          <w:tcPr>
            <w:tcW w:w="320" w:type="dxa"/>
            <w:vAlign w:val="bottom"/>
          </w:tcPr>
          <w:p>
            <w:pPr>
              <w:spacing w:after="0"/>
              <w:rPr>
                <w:sz w:val="17"/>
                <w:szCs w:val="17"/>
                <w:color w:val="auto"/>
              </w:rPr>
            </w:pPr>
          </w:p>
        </w:tc>
        <w:tc>
          <w:tcPr>
            <w:tcW w:w="1320" w:type="dxa"/>
            <w:vAlign w:val="bottom"/>
            <w:gridSpan w:val="2"/>
          </w:tcPr>
          <w:p>
            <w:pPr>
              <w:jc w:val="center"/>
              <w:ind w:right="420"/>
              <w:spacing w:after="0" w:line="196" w:lineRule="exact"/>
              <w:rPr>
                <w:sz w:val="20"/>
                <w:szCs w:val="20"/>
                <w:color w:val="auto"/>
              </w:rPr>
            </w:pPr>
            <w:r>
              <w:rPr>
                <w:rFonts w:ascii="Times New Roman" w:cs="Times New Roman" w:eastAsia="Times New Roman" w:hAnsi="Times New Roman"/>
                <w:sz w:val="14"/>
                <w:szCs w:val="14"/>
                <w:b w:val="1"/>
                <w:bCs w:val="1"/>
                <w:color w:val="auto"/>
                <w:w w:val="93"/>
              </w:rPr>
              <w:t>Share</w:t>
            </w:r>
            <w:r>
              <w:rPr>
                <w:rFonts w:ascii="Times New Roman" w:cs="Times New Roman" w:eastAsia="Times New Roman" w:hAnsi="Times New Roman"/>
                <w:sz w:val="18"/>
                <w:szCs w:val="18"/>
                <w:b w:val="1"/>
                <w:bCs w:val="1"/>
                <w:color w:val="auto"/>
                <w:w w:val="93"/>
                <w:vertAlign w:val="superscript"/>
              </w:rPr>
              <w:t>(1)</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00" w:type="dxa"/>
            <w:vAlign w:val="bottom"/>
          </w:tcPr>
          <w:p>
            <w:pPr>
              <w:spacing w:after="0"/>
              <w:rPr>
                <w:sz w:val="17"/>
                <w:szCs w:val="17"/>
                <w:color w:val="auto"/>
              </w:rPr>
            </w:pPr>
          </w:p>
        </w:tc>
        <w:tc>
          <w:tcPr>
            <w:tcW w:w="21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the Program</w:t>
            </w:r>
          </w:p>
        </w:tc>
        <w:tc>
          <w:tcPr>
            <w:tcW w:w="0" w:type="dxa"/>
            <w:vAlign w:val="bottom"/>
          </w:tcPr>
          <w:p>
            <w:pPr>
              <w:spacing w:after="0"/>
              <w:rPr>
                <w:sz w:val="1"/>
                <w:szCs w:val="1"/>
                <w:color w:val="auto"/>
              </w:rPr>
            </w:pPr>
          </w:p>
        </w:tc>
      </w:tr>
      <w:tr>
        <w:trPr>
          <w:trHeight w:val="190"/>
        </w:trPr>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2025 - October 31, 2025</w:t>
            </w: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170,857,099</w:t>
            </w:r>
          </w:p>
        </w:tc>
        <w:tc>
          <w:tcPr>
            <w:tcW w:w="0" w:type="dxa"/>
            <w:vAlign w:val="bottom"/>
          </w:tcPr>
          <w:p>
            <w:pPr>
              <w:spacing w:after="0"/>
              <w:rPr>
                <w:sz w:val="1"/>
                <w:szCs w:val="1"/>
                <w:color w:val="auto"/>
              </w:rPr>
            </w:pPr>
          </w:p>
        </w:tc>
      </w:tr>
      <w:tr>
        <w:trPr>
          <w:trHeight w:val="18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2025 - November 30,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660,498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100" w:type="dxa"/>
            <w:vAlign w:val="bottom"/>
          </w:tcPr>
          <w:p>
            <w:pPr>
              <w:spacing w:after="0"/>
              <w:rPr>
                <w:sz w:val="16"/>
                <w:szCs w:val="16"/>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660,498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147,582,863</w:t>
            </w:r>
          </w:p>
        </w:tc>
        <w:tc>
          <w:tcPr>
            <w:tcW w:w="0" w:type="dxa"/>
            <w:vAlign w:val="bottom"/>
          </w:tcPr>
          <w:p>
            <w:pPr>
              <w:spacing w:after="0"/>
              <w:rPr>
                <w:sz w:val="1"/>
                <w:szCs w:val="1"/>
                <w:color w:val="auto"/>
              </w:rPr>
            </w:pPr>
          </w:p>
        </w:tc>
      </w:tr>
      <w:tr>
        <w:trPr>
          <w:trHeight w:val="204"/>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2025 - December 31, 2025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801,862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801,862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119,895,368</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ind w:left="620" w:hanging="301"/>
        <w:spacing w:after="0"/>
        <w:tabs>
          <w:tab w:leader="none" w:pos="620"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Average price paid per share excludes costs associated with the repurchases.</w:t>
      </w:r>
    </w:p>
    <w:p>
      <w:pPr>
        <w:spacing w:after="0" w:line="102"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Share repurchases may be made from time to time in the open market, through privately negotiated transactions or through other means as permitted by federal securities laws, including through block trades, accelerated share repurchase transactions and/or trading plans intended to qualify under Rule 10b5-1. The timing, manner, price and amount of any repurchases will be determined in Vornado’s discretion depending on business, economic and market conditions, corporate and regulatory requirements, prevailing prices for Vornado’s common shares, alternative uses for capital and other considerations. The program does not have an expiration date and may be suspended or discontinued at any time and does not obligate Vornado to make any repurchases of its common shares.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Vornado Realty L.P.</w:t>
      </w:r>
    </w:p>
    <w:p>
      <w:pPr>
        <w:spacing w:after="0" w:line="70"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Vornado Realty L.P. repurchased Class A units from Vornado Realty Trust equivalent to the number and price of common shares repurchased by Vornado Realty Trust during the three months ended December 31, 2025, as disclosed in the table above.</w:t>
      </w: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55"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 xml:space="preserve">The following graph is a comparison of the five-year cumulative return of Vornado’s common shares, the Standard &amp; Poor’s 400 MidCap Index (the “S&amp;P 400 MidCap Index”) and the </w:t>
      </w:r>
      <w:r>
        <w:rPr>
          <w:rFonts w:ascii="Times New Roman" w:cs="Times New Roman" w:eastAsia="Times New Roman" w:hAnsi="Times New Roman"/>
          <w:sz w:val="17"/>
          <w:szCs w:val="17"/>
          <w:color w:val="242424"/>
        </w:rPr>
        <w:t>FTSE NAREIT Equity Office Index (the “FTSE Office”),</w:t>
      </w:r>
      <w:r>
        <w:rPr>
          <w:rFonts w:ascii="Times New Roman" w:cs="Times New Roman" w:eastAsia="Times New Roman" w:hAnsi="Times New Roman"/>
          <w:sz w:val="17"/>
          <w:szCs w:val="17"/>
          <w:color w:val="auto"/>
        </w:rPr>
        <w:t xml:space="preserve"> a peer group index. The graph assumes that $100 was invested on December 31, 2020 in our common shares, the S&amp;P 400 MidCap Index, and the </w:t>
      </w:r>
      <w:r>
        <w:rPr>
          <w:rFonts w:ascii="Times New Roman" w:cs="Times New Roman" w:eastAsia="Times New Roman" w:hAnsi="Times New Roman"/>
          <w:sz w:val="17"/>
          <w:szCs w:val="17"/>
          <w:color w:val="242424"/>
        </w:rPr>
        <w:t>FTSE Office Index</w:t>
      </w:r>
      <w:r>
        <w:rPr>
          <w:rFonts w:ascii="Times New Roman" w:cs="Times New Roman" w:eastAsia="Times New Roman" w:hAnsi="Times New Roman"/>
          <w:sz w:val="17"/>
          <w:szCs w:val="17"/>
          <w:color w:val="auto"/>
        </w:rPr>
        <w:t xml:space="preserve"> and that all dividends were reinvested without the payment of any commissions. There can be no assurance that the performance of our shares will continue in line with the same or similar trends depicted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156210</wp:posOffset>
            </wp:positionV>
            <wp:extent cx="4158615" cy="2628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58615" cy="2628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2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Vornado Realty Trust</w:t>
            </w:r>
          </w:p>
        </w:tc>
        <w:tc>
          <w:tcPr>
            <w:tcW w:w="8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107</w:t>
            </w:r>
          </w:p>
        </w:tc>
      </w:tr>
      <w:tr>
        <w:trPr>
          <w:trHeight w:val="189"/>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S&amp;P 400 MidCap Index</w:t>
            </w:r>
          </w:p>
        </w:tc>
        <w:tc>
          <w:tcPr>
            <w:tcW w:w="860" w:type="dxa"/>
            <w:vAlign w:val="bottom"/>
          </w:tcPr>
          <w:p>
            <w:pPr>
              <w:spacing w:after="0"/>
              <w:rPr>
                <w:sz w:val="16"/>
                <w:szCs w:val="16"/>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155</w:t>
            </w:r>
          </w:p>
        </w:tc>
      </w:tr>
      <w:tr>
        <w:trPr>
          <w:trHeight w:val="23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42424"/>
              </w:rPr>
              <w:t>FTSE Office</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w:t>
            </w:r>
          </w:p>
        </w:tc>
      </w:tr>
    </w:tbl>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33" w:name="page34"/>
    <w:bookmarkEnd w:id="33"/>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 OF OPERATIONS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Page Number</w:t>
            </w:r>
          </w:p>
        </w:tc>
      </w:tr>
      <w:tr>
        <w:trPr>
          <w:trHeight w:val="205"/>
        </w:trPr>
        <w:tc>
          <w:tcPr>
            <w:tcW w:w="9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Overview</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r>
      <w:tr>
        <w:trPr>
          <w:trHeight w:val="208"/>
        </w:trPr>
        <w:tc>
          <w:tcPr>
            <w:tcW w:w="9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Critical Accounting Estimates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r>
      <w:tr>
        <w:trPr>
          <w:trHeight w:val="211"/>
        </w:trPr>
        <w:tc>
          <w:tcPr>
            <w:tcW w:w="9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Operating Income At Share by Segment for the Years Ended December 31, 2025 and 2024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r>
      <w:tr>
        <w:trPr>
          <w:trHeight w:val="208"/>
        </w:trPr>
        <w:tc>
          <w:tcPr>
            <w:tcW w:w="9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Results of Operations for the Year Ended December 31, 2025 Compared to December 31, 2024</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r>
      <w:tr>
        <w:trPr>
          <w:trHeight w:val="211"/>
        </w:trPr>
        <w:tc>
          <w:tcPr>
            <w:tcW w:w="9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Related Party Transactions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208"/>
        </w:trPr>
        <w:tc>
          <w:tcPr>
            <w:tcW w:w="9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Liquidity and Capital Resources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211"/>
        </w:trPr>
        <w:tc>
          <w:tcPr>
            <w:tcW w:w="9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Funds From Operations for the Years Ended December 31, 2025 and 2024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68"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the financial statements and related notes included under Part II, Item 8 of this Annual Report on Form 10-K.</w:t>
      </w:r>
    </w:p>
    <w:p>
      <w:pPr>
        <w:spacing w:after="0" w:line="1"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Management's Discussion and Analysis of Financial Condition and Results of Operations ("MD&amp;A") within this section is focused on the years ended December 31, 2025 and 2024, including year-to-year comparisons between these years. Our MD&amp;A for the year ended December 31, 2023, including year-to-year comparisons between 2024 and 2023, can be found in Part II, Item 7, Management's Discussion and Analysis of Financial Condition and Results of Operations in the Company's Annual Report on Form 10-K for the year ended December 31, 2024.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34" w:lineRule="exact"/>
        <w:rPr>
          <w:sz w:val="20"/>
          <w:szCs w:val="20"/>
          <w:color w:val="auto"/>
        </w:rPr>
      </w:pPr>
    </w:p>
    <w:p>
      <w:pPr>
        <w:jc w:val="both"/>
        <w:ind w:firstLine="314"/>
        <w:spacing w:after="0" w:line="219" w:lineRule="exact"/>
        <w:rPr>
          <w:sz w:val="20"/>
          <w:szCs w:val="20"/>
          <w:color w:val="auto"/>
        </w:rPr>
      </w:pPr>
      <w:r>
        <w:rPr>
          <w:rFonts w:ascii="Times New Roman" w:cs="Times New Roman" w:eastAsia="Times New Roman" w:hAnsi="Times New Roman"/>
          <w:sz w:val="17"/>
          <w:szCs w:val="17"/>
          <w:color w:val="auto"/>
        </w:rPr>
        <w:t>Vornado Realty Trust (“Vornado”) is a fully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integrated real estate investment trust (“REIT”) and conducts its business through, and substantially all of its interests in properties are held by, Vornado Realty L.P., (the “Operating Partnership”) a Delaware limited partnership. Accordingly, Vornado’s cash flow and ability to pay dividends to its shareholders are dependent upon the cash flow of the Operating Partnership and the ability of its direct and indirect subsidiaries to first satisfy their obligations to creditors. Vornado is the sole general partner of and owned approximately 91.3% of the common limited partnership interest in the Operating Partnership as of December 31, 2025. All references to the “Company,” “we,” “us” and “our” mean, collectively, Vornado, the Operating Partnership and those subsidiaries consolidated by Vornado.</w:t>
      </w:r>
    </w:p>
    <w:p>
      <w:pPr>
        <w:spacing w:after="0" w:line="35"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We own and operate office and retail properties with a concentration in the New York metropolitan area. In addition, we have a 32.4% interest in Alexander’s, Inc. (“Alexander’s”) (NYSE: ALX), which owns five properties in the greater New York metropolitan area, as well as interests in other real estate and investments.</w:t>
      </w:r>
    </w:p>
    <w:p>
      <w:pPr>
        <w:spacing w:after="0" w:line="210"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Our business objective is to maximize Vornado shareholder value, which we measure by the total return provided to our shareholders. Below is a table comparing Vornado’s performance to the FTSE Office and the MSCI US REIT Index (“MSCI”) for the following periods ended December 31, 2025:</w:t>
      </w:r>
    </w:p>
    <w:p>
      <w:pPr>
        <w:spacing w:after="0" w:line="59" w:lineRule="exact"/>
        <w:rPr>
          <w:sz w:val="20"/>
          <w:szCs w:val="20"/>
          <w:color w:val="auto"/>
        </w:rPr>
      </w:pPr>
    </w:p>
    <w:tbl>
      <w:tblPr>
        <w:tblLayout w:type="fixed"/>
        <w:tblInd w:w="2120" w:type="dxa"/>
        <w:tblCellMar>
          <w:top w:w="0" w:type="dxa"/>
          <w:left w:w="0" w:type="dxa"/>
          <w:bottom w:w="0" w:type="dxa"/>
          <w:right w:w="0" w:type="dxa"/>
        </w:tblCellMar>
      </w:tblPr>
      <w:tr>
        <w:trPr>
          <w:trHeight w:val="211"/>
        </w:trPr>
        <w:tc>
          <w:tcPr>
            <w:tcW w:w="25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 Return</w:t>
            </w:r>
            <w:r>
              <w:rPr>
                <w:rFonts w:ascii="Times New Roman" w:cs="Times New Roman" w:eastAsia="Times New Roman" w:hAnsi="Times New Roman"/>
                <w:sz w:val="18"/>
                <w:szCs w:val="18"/>
                <w:b w:val="1"/>
                <w:bCs w:val="1"/>
                <w:color w:val="auto"/>
                <w:w w:val="93"/>
                <w:vertAlign w:val="superscript"/>
              </w:rPr>
              <w:t>(1)</w:t>
            </w:r>
          </w:p>
        </w:tc>
        <w:tc>
          <w:tcPr>
            <w:tcW w:w="1400" w:type="dxa"/>
            <w:vAlign w:val="bottom"/>
            <w:tcBorders>
              <w:bottom w:val="single" w:sz="8" w:color="auto"/>
            </w:tcBorders>
          </w:tcPr>
          <w:p>
            <w:pPr>
              <w:spacing w:after="0"/>
              <w:rPr>
                <w:sz w:val="18"/>
                <w:szCs w:val="18"/>
                <w:color w:val="auto"/>
              </w:rPr>
            </w:pPr>
          </w:p>
        </w:tc>
      </w:tr>
      <w:tr>
        <w:trPr>
          <w:trHeight w:val="184"/>
        </w:trPr>
        <w:tc>
          <w:tcPr>
            <w:tcW w:w="2560" w:type="dxa"/>
            <w:vAlign w:val="bottom"/>
          </w:tcPr>
          <w:p>
            <w:pPr>
              <w:spacing w:after="0"/>
              <w:rPr>
                <w:sz w:val="15"/>
                <w:szCs w:val="15"/>
                <w:color w:val="auto"/>
              </w:rPr>
            </w:pP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Vornado</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FTSE Office</w:t>
            </w: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MSCI</w:t>
            </w:r>
          </w:p>
        </w:tc>
      </w:tr>
      <w:tr>
        <w:trPr>
          <w:trHeight w:val="196"/>
        </w:trPr>
        <w:tc>
          <w:tcPr>
            <w:tcW w:w="2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Three-month</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9"/>
        </w:trPr>
        <w:tc>
          <w:tcPr>
            <w:tcW w:w="25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One-year</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4"/>
        </w:trPr>
        <w:tc>
          <w:tcPr>
            <w:tcW w:w="2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Three-year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189"/>
        </w:trPr>
        <w:tc>
          <w:tcPr>
            <w:tcW w:w="25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Five-year</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r>
      <w:tr>
        <w:trPr>
          <w:trHeight w:val="204"/>
        </w:trPr>
        <w:tc>
          <w:tcPr>
            <w:tcW w:w="2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Ten-year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r>
    </w:tbl>
    <w:p>
      <w:pPr>
        <w:spacing w:after="0" w:line="6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22" w:lineRule="exact"/>
        <w:rPr>
          <w:sz w:val="20"/>
          <w:szCs w:val="20"/>
          <w:color w:val="auto"/>
        </w:rPr>
      </w:pPr>
    </w:p>
    <w:p>
      <w:pPr>
        <w:ind w:left="2040" w:hanging="306"/>
        <w:spacing w:after="0"/>
        <w:tabs>
          <w:tab w:leader="none" w:pos="2040"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Past performance is not necessarily indicative of future performance.</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intend to achieve this objective by continuing to pursue our investment philosophy and to execute our operating strategies through:</w:t>
      </w:r>
    </w:p>
    <w:p>
      <w:pPr>
        <w:spacing w:after="0" w:line="66" w:lineRule="exact"/>
        <w:rPr>
          <w:sz w:val="20"/>
          <w:szCs w:val="20"/>
          <w:color w:val="auto"/>
        </w:rPr>
      </w:pPr>
    </w:p>
    <w:p>
      <w:pPr>
        <w:ind w:left="940" w:hanging="306"/>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superior team of operating and investment professionals and an entrepreneurial spirit;</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properties in select markets, such as New York City, where we believe there is a high likelihood of capital appreciation;</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acquiring quality properties at a discount to replacement cost and where there is a significant potential for higher rents;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redeveloping properties to increase returns and maximize value; and</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operating companies that have a significant real estate component.</w:t>
      </w:r>
    </w:p>
    <w:p>
      <w:pPr>
        <w:spacing w:after="0" w:line="4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expect to finance our growth from acquisitions, developments, redevelopments and investments using internally generated funds and proceeds from asset sales and by accessing the public and private capital markets. We may also offer Vornado common or preferred shares or Operating Partnership units in exchange for property and may repurchase or otherwise reacquire these securities in the future.</w:t>
      </w:r>
    </w:p>
    <w:p>
      <w:pPr>
        <w:spacing w:after="0" w:line="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compete with a large number of real estate investors, property owners and developers, some of whom may be willing to accept lower returns on their investments. Principal factors of competition are rents charged, tenant concessions offered, attractiveness of location, the quality of the property and the breadth and the quality of services provided. Our success depends upon, among other factors, trends of the global, national, regional and local economies, the financial condition and operating results of current and prospective tenants and customers, availability and cost of capital, construction and renovation costs, taxes, governmental regulations, legislation, population and employment trends. See “Risk Factors” in Item 1A for additional information regarding these factors.</w:t>
      </w:r>
    </w:p>
    <w:p>
      <w:pPr>
        <w:spacing w:after="0" w:line="13"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Our business has been, and may continue to be, affected by interest rates fluctuations, the effects of inflation and other uncertainties including the potential for an economic downturn. These factors could have a material impact on our business, financial condition, results of operations and cash flows.</w:t>
      </w: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Overview - continued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Vornado Realty Trust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Year Ended December 31, 2025 Financial Results Summary</w:t>
      </w:r>
    </w:p>
    <w:p>
      <w:pPr>
        <w:spacing w:after="0" w:line="66"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Net income attributable to common shareholders for the year ended December 31, 2025 was $842,851,000, or $4.20 per diluted share, compared to $8,275,000, or $0.04 per diluted share, for the year ended December 31, 2024.</w:t>
      </w:r>
    </w:p>
    <w:p>
      <w:pPr>
        <w:spacing w:after="0" w:line="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Funds from operations ("FFO") attributable to common shareholders plus assumed conversions for the year ended December 31, 2025 was $486,826,000, or $2.42 per diluted share, compared to $470,021,000, or $2.37 per diluted share, for the year ended December 31, 2024. The years ended December 31, 2025 and 2024 include certain items that impact FFO, which are listed in the table below. The aggregate of these items, net of amounts attributable to noncontrolling interests, increased FFO by $21,272,000, or $0.10 per diluted share, for the year ended December 31, 2025 and by $22,950,000, or $0.11 per diluted share, for the year ended December 31, 2024.</w:t>
      </w:r>
    </w:p>
    <w:p>
      <w:pPr>
        <w:spacing w:after="0" w:line="65"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following table reconciles the difference between our FFO attributable to common shareholders plus assumed conversions and our FFO attributable to common shareholders plus assumed conversions, as adjusted: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00" w:type="dxa"/>
            <w:vAlign w:val="bottom"/>
          </w:tcPr>
          <w:p>
            <w:pPr>
              <w:spacing w:after="0"/>
              <w:rPr>
                <w:sz w:val="16"/>
                <w:szCs w:val="16"/>
                <w:color w:val="auto"/>
              </w:rPr>
            </w:pPr>
          </w:p>
        </w:tc>
        <w:tc>
          <w:tcPr>
            <w:tcW w:w="306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3"/>
        </w:trPr>
        <w:tc>
          <w:tcPr>
            <w:tcW w:w="77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0"/>
        </w:trPr>
        <w:tc>
          <w:tcPr>
            <w:tcW w:w="778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Certain (income) expense items that impact FFO attributable to common shareholders plus assumed conversions:</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After-tax net gain on sale of 220 Central Park South ("220 CPS") condominium units and ancillary amenities</w:t>
            </w: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(13,069)</w:t>
            </w:r>
          </w:p>
        </w:tc>
      </w:tr>
      <w:tr>
        <w:trPr>
          <w:trHeight w:val="189"/>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on sale of Canal Street residential condominium units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tax liability on our investment in the Farley Building (held through a taxable REIT subsidiary)</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14,353</w:t>
            </w:r>
          </w:p>
        </w:tc>
      </w:tr>
      <w:tr>
        <w:trPr>
          <w:trHeight w:val="189"/>
        </w:trPr>
        <w:tc>
          <w:tcPr>
            <w:tcW w:w="77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Our share of the gain on the discounted extinguishment of the 280 Park Avenue mezzanine loan</w:t>
            </w:r>
          </w:p>
        </w:tc>
        <w:tc>
          <w:tcPr>
            <w:tcW w:w="4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(31,215)</w:t>
            </w:r>
          </w:p>
        </w:tc>
      </w:tr>
      <w:tr>
        <w:trPr>
          <w:trHeight w:val="197"/>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89"/>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(24,931)</w:t>
            </w:r>
          </w:p>
        </w:tc>
      </w:tr>
      <w:tr>
        <w:trPr>
          <w:trHeight w:val="19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 share of above adjustments on a dilutive basis</w:t>
            </w: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w:t>
            </w:r>
          </w:p>
        </w:tc>
      </w:tr>
      <w:tr>
        <w:trPr>
          <w:trHeight w:val="19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of certain (income) expense items that impact FFO attributable to common shareholders plus assumed conversions, net</w:t>
            </w: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(22,950)</w:t>
            </w: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Same Store Net Operating Income ("NOI") At Share</w:t>
      </w:r>
    </w:p>
    <w:p>
      <w:pPr>
        <w:spacing w:after="0" w:line="6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percentage increase (decrease) in same store NOI at share and same store NOI at share - cash basis of our New York segment, THE MART and 555 California Street are below.</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 compared to December 31, 2024:</w:t>
            </w:r>
          </w:p>
        </w:tc>
        <w:tc>
          <w:tcPr>
            <w:tcW w:w="13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400" w:type="dxa"/>
            <w:vAlign w:val="bottom"/>
          </w:tcPr>
          <w:p>
            <w:pPr>
              <w:spacing w:after="0"/>
              <w:rPr>
                <w:sz w:val="13"/>
                <w:szCs w:val="13"/>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THE MART</w:t>
            </w:r>
            <w:r>
              <w:rPr>
                <w:rFonts w:ascii="Times New Roman" w:cs="Times New Roman" w:eastAsia="Times New Roman" w:hAnsi="Times New Roman"/>
                <w:sz w:val="18"/>
                <w:szCs w:val="18"/>
                <w:b w:val="1"/>
                <w:bCs w:val="1"/>
                <w:color w:val="auto"/>
                <w:vertAlign w:val="superscript"/>
              </w:rPr>
              <w:t>(1)</w:t>
            </w: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555</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8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rPr>
              <w:t>(2)</w:t>
            </w:r>
          </w:p>
        </w:tc>
        <w:tc>
          <w:tcPr>
            <w:tcW w:w="1320" w:type="dxa"/>
            <w:vAlign w:val="bottom"/>
            <w:gridSpan w:val="2"/>
            <w:vMerge w:val="continue"/>
          </w:tcPr>
          <w:p>
            <w:pPr>
              <w:spacing w:after="0"/>
              <w:rPr>
                <w:sz w:val="17"/>
                <w:szCs w:val="17"/>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California Street</w:t>
            </w:r>
          </w:p>
        </w:tc>
        <w:tc>
          <w:tcPr>
            <w:tcW w:w="0" w:type="dxa"/>
            <w:vAlign w:val="bottom"/>
          </w:tcPr>
          <w:p>
            <w:pPr>
              <w:spacing w:after="0"/>
              <w:rPr>
                <w:sz w:val="1"/>
                <w:szCs w:val="1"/>
                <w:color w:val="auto"/>
              </w:rPr>
            </w:pPr>
          </w:p>
        </w:tc>
      </w:tr>
      <w:tr>
        <w:trPr>
          <w:trHeight w:val="149"/>
        </w:trPr>
        <w:tc>
          <w:tcPr>
            <w:tcW w:w="524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Same store NOI at share % increase</w:t>
            </w:r>
          </w:p>
        </w:tc>
        <w:tc>
          <w:tcPr>
            <w:tcW w:w="140" w:type="dxa"/>
            <w:vAlign w:val="bottom"/>
          </w:tcPr>
          <w:p>
            <w:pPr>
              <w:spacing w:after="0"/>
              <w:rPr>
                <w:sz w:val="12"/>
                <w:szCs w:val="12"/>
                <w:color w:val="auto"/>
              </w:rPr>
            </w:pPr>
          </w:p>
        </w:tc>
        <w:tc>
          <w:tcPr>
            <w:tcW w:w="12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5.4 %</w:t>
            </w:r>
          </w:p>
        </w:tc>
        <w:tc>
          <w:tcPr>
            <w:tcW w:w="140" w:type="dxa"/>
            <w:vAlign w:val="bottom"/>
          </w:tcPr>
          <w:p>
            <w:pPr>
              <w:spacing w:after="0"/>
              <w:rPr>
                <w:sz w:val="12"/>
                <w:szCs w:val="12"/>
                <w:color w:val="auto"/>
              </w:rPr>
            </w:pPr>
          </w:p>
        </w:tc>
        <w:tc>
          <w:tcPr>
            <w:tcW w:w="12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3.9 %</w:t>
            </w:r>
          </w:p>
        </w:tc>
        <w:tc>
          <w:tcPr>
            <w:tcW w:w="400" w:type="dxa"/>
            <w:vAlign w:val="bottom"/>
            <w:vMerge w:val="continue"/>
          </w:tcPr>
          <w:p>
            <w:pPr>
              <w:spacing w:after="0"/>
              <w:rPr>
                <w:sz w:val="12"/>
                <w:szCs w:val="12"/>
                <w:color w:val="auto"/>
              </w:rPr>
            </w:pPr>
          </w:p>
        </w:tc>
        <w:tc>
          <w:tcPr>
            <w:tcW w:w="12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34.3 %</w:t>
            </w:r>
          </w:p>
        </w:tc>
        <w:tc>
          <w:tcPr>
            <w:tcW w:w="100" w:type="dxa"/>
            <w:vAlign w:val="bottom"/>
          </w:tcPr>
          <w:p>
            <w:pPr>
              <w:spacing w:after="0"/>
              <w:rPr>
                <w:sz w:val="12"/>
                <w:szCs w:val="12"/>
                <w:color w:val="auto"/>
              </w:rPr>
            </w:pPr>
          </w:p>
        </w:tc>
        <w:tc>
          <w:tcPr>
            <w:tcW w:w="1260" w:type="dxa"/>
            <w:vAlign w:val="bottom"/>
            <w:tcBorders>
              <w:top w:val="single" w:sz="8" w:color="auto"/>
            </w:tcBorders>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Same store NOI at share - cash basis % (decrease) increase</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(3)(4)</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24.6 %</w:t>
            </w:r>
          </w:p>
        </w:tc>
        <w:tc>
          <w:tcPr>
            <w:tcW w:w="10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xml:space="preserve">(16.2%) </w:t>
            </w:r>
            <w:r>
              <w:rPr>
                <w:rFonts w:ascii="Times New Roman" w:cs="Times New Roman" w:eastAsia="Times New Roman" w:hAnsi="Times New Roman"/>
                <w:sz w:val="18"/>
                <w:szCs w:val="18"/>
                <w:b w:val="1"/>
                <w:bCs w:val="1"/>
                <w:color w:val="auto"/>
                <w:vertAlign w:val="superscript"/>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-259080</wp:posOffset>
            </wp:positionV>
            <wp:extent cx="7094855" cy="133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4855" cy="13335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22" w:lineRule="exact"/>
        <w:rPr>
          <w:sz w:val="20"/>
          <w:szCs w:val="20"/>
          <w:color w:val="auto"/>
        </w:rPr>
      </w:pPr>
    </w:p>
    <w:p>
      <w:pPr>
        <w:ind w:left="240" w:hanging="235"/>
        <w:spacing w:after="0" w:line="251" w:lineRule="auto"/>
        <w:tabs>
          <w:tab w:leader="none" w:pos="232"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2025 includes the impact of a reversal of a prior period tax accrual resulting from a property tax reassessment and 2024 includes a $4,560,000 write-off of a receivable arising from the straight-lining of rents due to the tenant being deemed uncollectible.</w:t>
      </w:r>
    </w:p>
    <w:p>
      <w:pPr>
        <w:ind w:left="240" w:hanging="235"/>
        <w:spacing w:after="0"/>
        <w:tabs>
          <w:tab w:leader="none" w:pos="24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the impact of the $17,240,000 reversal of previously accrued PENN 1 ground rent.</w:t>
      </w:r>
    </w:p>
    <w:p>
      <w:pPr>
        <w:ind w:left="240" w:hanging="235"/>
        <w:spacing w:after="0" w:line="250" w:lineRule="auto"/>
        <w:tabs>
          <w:tab w:leader="none" w:pos="232"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Decrease in same store NOI at share - cash basis vs. GAAP basis is primarily due to (i) current period PENN 1 ground rent increase and (ii) GAAP rent commencing on new leases with free rent periods.</w:t>
      </w:r>
    </w:p>
    <w:p>
      <w:pPr>
        <w:spacing w:after="0" w:line="1" w:lineRule="exact"/>
        <w:rPr>
          <w:rFonts w:ascii="Times New Roman" w:cs="Times New Roman" w:eastAsia="Times New Roman" w:hAnsi="Times New Roman"/>
          <w:sz w:val="14"/>
          <w:szCs w:val="14"/>
          <w:b w:val="1"/>
          <w:bCs w:val="1"/>
          <w:color w:val="auto"/>
        </w:rPr>
      </w:pPr>
    </w:p>
    <w:p>
      <w:pPr>
        <w:ind w:left="240" w:hanging="235"/>
        <w:spacing w:after="0" w:line="246" w:lineRule="auto"/>
        <w:tabs>
          <w:tab w:leader="none" w:pos="232"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the impact of the April 2025 $22,361,000 true-up payment for prior period PENN 1 ground rent owed based on the rent reset determination (which is subject to the ongoing litigation discussed on the following page).</w:t>
      </w:r>
    </w:p>
    <w:p>
      <w:pPr>
        <w:spacing w:after="0" w:line="1" w:lineRule="exact"/>
        <w:rPr>
          <w:rFonts w:ascii="Times New Roman" w:cs="Times New Roman" w:eastAsia="Times New Roman" w:hAnsi="Times New Roman"/>
          <w:sz w:val="14"/>
          <w:szCs w:val="14"/>
          <w:b w:val="1"/>
          <w:bCs w:val="1"/>
          <w:color w:val="auto"/>
        </w:rPr>
      </w:pPr>
    </w:p>
    <w:p>
      <w:pPr>
        <w:ind w:left="240" w:hanging="235"/>
        <w:spacing w:after="0"/>
        <w:tabs>
          <w:tab w:leader="none" w:pos="24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Decrease in same store NOI at share cash basis vs. GAAP basis is primarily due to GAAP rent commencing on new leases with free rent periods.</w:t>
      </w:r>
    </w:p>
    <w:p>
      <w:pPr>
        <w:spacing w:after="0" w:line="155" w:lineRule="exact"/>
        <w:rPr>
          <w:sz w:val="20"/>
          <w:szCs w:val="20"/>
          <w:color w:val="auto"/>
        </w:rPr>
      </w:pPr>
    </w:p>
    <w:p>
      <w:pPr>
        <w:jc w:val="both"/>
        <w:ind w:firstLine="354"/>
        <w:spacing w:after="0" w:line="276" w:lineRule="auto"/>
        <w:rPr>
          <w:sz w:val="20"/>
          <w:szCs w:val="20"/>
          <w:color w:val="auto"/>
        </w:rPr>
      </w:pPr>
      <w:r>
        <w:rPr>
          <w:rFonts w:ascii="Times New Roman" w:cs="Times New Roman" w:eastAsia="Times New Roman" w:hAnsi="Times New Roman"/>
          <w:sz w:val="17"/>
          <w:szCs w:val="17"/>
          <w:color w:val="auto"/>
        </w:rPr>
        <w:t>Calculations of same store NOI at share, reconciliations of our net income to NOI at share, NOI at share - cash basis and FFO and the reasons we consider these non-GAAP financial measures useful are provided in the following pages of Management’s Discussion and Analysis of Financial Condition and Results of Operations.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Dividends/Share Repurchase Program</w:t>
      </w:r>
    </w:p>
    <w:p>
      <w:pPr>
        <w:spacing w:after="0" w:line="68"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On December 8, 2025, Vornado’s Board of Trustees declared a dividend of $0.74 per common share for 2025. We anticipate that in 2026 we will continue our common share dividend policy of paying one common share dividend in the fourth quarter.</w:t>
      </w:r>
    </w:p>
    <w:p>
      <w:pPr>
        <w:spacing w:after="0" w:line="1"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During the year ended December 31, 2025, we repurchased 1,462,360 common shares for $50,962,000 at an average price per share of $34.85. Subsequent to December 31, 2025, we repurchased 889,566 common shares for $28,756,000, at an average price per share of $32.33.</w:t>
      </w:r>
    </w:p>
    <w:p>
      <w:pPr>
        <w:spacing w:after="0" w:line="1"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As of February 6, 2026, $91,140,000 remained available for repurchases under a $200,000,000 share repurchase plan authorized by Vornado's Board of Trustees in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Overview - continued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PENN 1 Ground Rent Reset Determination</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April 22, 2025, an arbitration panel (the “Panel”) appointed to determine the ground rent payable for the PENN 1 land parcel for the 25-year period beginning June 17, 2023 determined that the annual rent payable will be $15,000,000 or $20,220,000, depending on the outcome of litigation described in the following paragraph. On July 21, 2025, the ground lessor filed a motion in New York County Supreme Court to vacate the Panel’s ground rent determination. On October 31, 2025, the court granted the ground lessor’s motion. We believe the decision is without merit and are appealing the court’s decision.</w:t>
      </w:r>
    </w:p>
    <w:p>
      <w:pPr>
        <w:spacing w:after="0" w:line="11"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Further, litigation is currently pending between the parties in New York County Supreme Court regarding the existence of a sublease potentially affecting the value of the land parcel. The court denied our motion to dismiss that action and, in January 2026, the appellate court affirmed that decision. That sublease litigation is now continuing in front of the lower court. Under the Panel’s decision (assuming the aforementioned vacatur decision that we are appealing is reversed), if the fee owner prevails in a final judgment in that litigation, the annual rent for the 25-year term will be $20,220,000, retroactive to June 17, 2023.</w:t>
      </w:r>
    </w:p>
    <w:p>
      <w:pPr>
        <w:spacing w:after="0" w:line="1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were accruing $26,205,000 per annum of ground rent based on a previous estimate and therefore, in connection with the Panel’s determination (which is subject to the ongoing litigation described above), we reversed $17,240,000 of previously accrued rent expense during the year ended December 31, 2025, and are now paying based on a $15,000,000 annual rent amount.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350 Park Avenue</w:t>
      </w:r>
    </w:p>
    <w:p>
      <w:pPr>
        <w:spacing w:after="0" w:line="68" w:lineRule="exact"/>
        <w:rPr>
          <w:sz w:val="20"/>
          <w:szCs w:val="20"/>
          <w:color w:val="auto"/>
        </w:rPr>
      </w:pPr>
    </w:p>
    <w:p>
      <w:pPr>
        <w:jc w:val="both"/>
        <w:ind w:firstLine="314"/>
        <w:spacing w:after="0"/>
        <w:rPr>
          <w:sz w:val="20"/>
          <w:szCs w:val="20"/>
          <w:color w:val="auto"/>
        </w:rPr>
      </w:pPr>
      <w:r>
        <w:rPr>
          <w:rFonts w:ascii="Times New Roman" w:cs="Times New Roman" w:eastAsia="Times New Roman" w:hAnsi="Times New Roman"/>
          <w:sz w:val="17"/>
          <w:szCs w:val="17"/>
          <w:color w:val="auto"/>
        </w:rPr>
        <w:t>On December 18, 2025, an affiliate of Kenneth C. Griffin, Citadel Enterprise Americas LLC’s (“Citadel”) Founder and CEO (“KG”), exercised an option to acquire at least a 60% interest in a joint venture (the “350 Park JV”) that would develop the 350 Park Avenue site (the “Investment Option”). Vornado and the Rudin Family, via a joint venture (the “Vornado/Rudin JV”), have the option to acquire an interest between 23% and 40% in the 350 Park JV (with Vornado having an effective ownership ranging from 21% to 36%). 350 Park JV would combine 350 Park Avenue with 39 East 51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Street (owned by the Vornado/Rudin JV) and 40 East 52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xml:space="preserve"> Street (owned by the Rudin Family) to build a new 1,850,000 square foot office tower (the “350 Park Site”) with Citadel as the anchor tenant. The Vornado/Rudin JV has until July 2026 to determine whether to enter into the 350 Park JV with KG or to exercise the option to put the 350 Park Site to KG for $1.2 billion ($900,000,000 to Vornado). The Investment Option closing is subject to the satisfaction of certain conditions.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 Broadway</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May 5, 2025, we completed a master lease with New York University (“NYU”) to lease 1,076,000 square feet at 770 Broadway, on an “as is”, triple net basis for a 70-year lease term. Under the terms of the master lease, a rental agreement under Section 467 of the Internal Revenue Code, NYU made a prepaid lease payment of $935,000,000, and will also make annual lease payments of $9,281,000 during the lease term. NYU has an option to purchase the leased premises in both 2055 and at the end of the lease term in 2095. NYU assumed the existing office leases at the property.</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used a portion of the prepaid lease payment to repay the $700,000,000 mortgage loan which previously encumbered the property.</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Vornado retained the 92,000 square feet retail condominium leased to Wegmans.</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connection with the transaction, we recorded a gain on sales-type lease of $803,248,000.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in Loan</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July 24, 2025, we purchased the $35,000,000 A-Note secured by 3 East 54th Street at par plus accrued interest. The A-Note accrues interest at 4.89% plus 4.00% default interest. The A-Note was recorded to “other assets” on our consolidated balance sheets. We previously acquired the $50,000,000 B-Note secured by the property in August 2024. The A-Note and B-Note were in default. On January 7, 2026, we closed on the acquisition of the property for $141,000,000. The $107,000,000 loan balance, including default interest and advances, was credited towards the purchase price.</w:t>
      </w:r>
    </w:p>
    <w:p>
      <w:pPr>
        <w:spacing w:after="0" w:line="1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3 East 54th Street is a demolition-ready asset situated on 18,400 square feet of land and is located between Fifth Avenue and Madison Avenue on 54th Street, adjacent to the St. Regis Hotel and our Upper Fifth Avenue retail properties. The land is zoned for approximately 232,500 buildable square feet as-of-right, and we intend to promptly demolish the existing buildings on the site.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623 Fifth Avenue</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September 4, 2025, we purchased the 623 Fifth Avenue office condominium, a 36-story, 383,000 square foot building for $218,000,000, which is included in “Development costs and construction in progress” on our consolidated balance sheets. At closing, we borrowed $145,420,000 under our revolving credit facility to partially finance the acquisition. We are redeveloping the asset into a premier, boutique office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Overview - continued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Dispositions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666 Fifth Avenue (Fifth Avenue and Times Square JV)</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On January 8, 2025, the Fifth Avenue and Times Square JV completed the sale to UNIQLO of the portion of its U.S. flagship store at 666 Fifth Avenue owned by the joint venture for $350,000,000 and realized net proceeds of $342,000,000. The net proceeds were used to partially redeem Vornado’s preferred equity on the asset. The joint venture continues to own 23,832 square feet of retail space (7,416 square feet at grade) at 666 Fifth Avenue consisting of the Abercrombie &amp; Fitch and Tissot stores. We recognized a financial statement gain of $76,162,000, which is included in “income from partially owned entities” on our consolidated statements of income.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220 Central Park South</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2025, we closed on the sale of three condominium units and ancillary amenities at 220 Central Park South (“220 CPS”) for net proceeds of $37,374,000, resulting in a financial statement net gain of $21,080,000 which is included in "net gains on disposition of wholly owned and partially owned assets" on our consolidated statements of income. In connection with these sales, $4,051,000 of income tax expense was recognized on our consolidated statements of income. One unit remains unsold.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Canal Street Condominium Units</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During the year ended December 31, 2025, we closed on the sale of eight residential and two retail condominium units at 304-306 Canal Street and 334 Canal Street for net proceeds of $32,613,000, resulting in a financial statement net gain of $14,211,000 which is included in "net gains on disposition of wholly owned and partially owned assets" on our consolidated statements of income. All units have been sold.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49 West 57th Street</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June 26, 2025, a joint venture, in which we own a 50.0% interest, completed the sale of the 49 West 57th Street commercial condominium. We received net proceeds of $8,650,000 and recognized a financial statement net gain of $2,527,000 which is included in "income from partially owned entities" on our consolidated statements of income.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512 West 22nd Street</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August 14, 2025, a joint venture, in which we own a 55.0% interest, completed the sale of 512 West 22nd Street, a 173,000 square foot office building, for $205,000,000. The joint venture used a portion of the proceeds to repay the $122,930,000 mortgage loan encumbering the property. We received net proceeds of $37,900,000 and recognized a financial statement net gain of $11,002,000, which is included in “income from partially owned entities” on our consolidated statements of income.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Senior Unsecured Notes due 2025</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repaid our $450,000,000 3.50% senior unsecured notes on their January 15, 2025 maturity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1535 Broadway (Fifth Avenue and Times Square JV)</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April 14, 2025, the Fifth Avenue and Times Square JV completed a $450,000,000 financing of 1535 Broadway. The interest-only non-recourse loan bears interest at a fixed rate of 6.90% and matures in May 2030. After transaction costs and reserves, $407,000,000 of the net proceeds from the financing were used to partially redeem Vornado’s preferred equity on the asset.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Sustainability Margin Adjustment</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 April 2025, we qualified for a sustainability margin adjustment on our unsecured term loan and revolving credit facilities by achieving certain KPI metrics, which reduced our interest rate by 0.05% and 0.04%, respectively. Following the January 2026 refinancing of our 2031 revolving credit facility and unsecured term loan, we expect to requalify for this interest rate reduction in April 2026 and we continue to qualify for this interest rate reduction on our existing 2029 revolving credit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Independence Plaza</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June 5, 2025, a joint venture, in which we have a 50.1% interest, completed a $675,000,000 refinancing of Independence Plaza, a 1,328 unit residential complex in the Tribeca submarket of Manhattan. The interest-only non-recourse loan bears interest at a fixed rate of 5.84% and matures in June 2030. The loan replaced the previous $675,000,000 loan that was scheduled to mature in July 2025 and bore interest at 4.25%.</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11</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July 16, 2025, we completed a $450,000,000 refinancing of PENN 11, a 1,200,000 square foot Manhattan office building. The five-year interest-only loan matures in August 2030 and has a fixed rate of 6.35%. We paid down by $50,000,000 the prior $500,000,000 loan that bore interest at a rate of SOFR plus 2.06% (swapped to an all-in fixed rate of 6.28%) and was scheduled to mature in October 2025. The swap was terminated at the time of refinancing, and we received $130,000 of proceeds.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Overview - continued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Financings - continued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 Union Square South</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August 12, 2025, we completed a $120,000,000 refinancing of 4 Union Square South, a 204,000 square foot Manhattan retail property. The ten-year interest-only loan matures in September 2035 and has a fixed rate of 5.64%. The loan replaced the previous $120,000,000 loan that bore interest at SOFR plus 1.50% and was scheduled to mature in August 2025.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650 Madison Avenue</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 October 2025, a joint venture, in which we own a 22.2% interest, received a notice of default (the “Notice”) on the $800,000,000 non-recourse mortgage loan secured by 650 Madison Avenue, a 601,000 square foot Manhattan office and retail property. The Notice asserted that the joint venture was in default under the loan agreement due to its failure to pay the full interest and reserve amounts due and owing under the loan agreement and that the joint venture’s obligations became immediately due and payable. In November 2025, the joint venture cured the default and the loan is currently in good standing.</w:t>
      </w:r>
    </w:p>
    <w:p>
      <w:pPr>
        <w:spacing w:after="0" w:line="11" w:lineRule="exact"/>
        <w:rPr>
          <w:sz w:val="20"/>
          <w:szCs w:val="20"/>
          <w:color w:val="auto"/>
        </w:rPr>
      </w:pPr>
    </w:p>
    <w:p>
      <w:pPr>
        <w:jc w:val="both"/>
        <w:ind w:firstLine="314"/>
        <w:spacing w:after="0" w:line="288" w:lineRule="auto"/>
        <w:rPr>
          <w:sz w:val="20"/>
          <w:szCs w:val="20"/>
          <w:color w:val="auto"/>
        </w:rPr>
      </w:pPr>
      <w:r>
        <w:rPr>
          <w:rFonts w:ascii="Times New Roman" w:cs="Times New Roman" w:eastAsia="Times New Roman" w:hAnsi="Times New Roman"/>
          <w:sz w:val="17"/>
          <w:szCs w:val="17"/>
          <w:color w:val="auto"/>
        </w:rPr>
        <w:t>As previously announced in the fourth quarter of 2022, we wrote off our entire investment in 650 Madison Avenue and accordingly carry this investment at zero on our balance sheet and no longer record our share of net income (loss) from this investment.</w:t>
      </w:r>
    </w:p>
    <w:p>
      <w:pPr>
        <w:spacing w:after="0"/>
        <w:rPr>
          <w:sz w:val="20"/>
          <w:szCs w:val="20"/>
          <w:color w:val="auto"/>
        </w:rPr>
      </w:pPr>
      <w:r>
        <w:rPr>
          <w:rFonts w:ascii="Times New Roman" w:cs="Times New Roman" w:eastAsia="Times New Roman" w:hAnsi="Times New Roman"/>
          <w:sz w:val="17"/>
          <w:szCs w:val="17"/>
          <w:i w:val="1"/>
          <w:iCs w:val="1"/>
          <w:color w:val="auto"/>
        </w:rPr>
        <w:t>Alexander's Inc. ("Alexander's")</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December 5, 2025, Alexander’s completed a $175,000,000 refinancing of Rego Park II shopping center, located in Queens, New York. The five-year interest-only loan matures in December 2030 and bears interest at a rate of SOFR plus 2.00%. Alexander’s paid down by $23,544,000 the prior $198,544,000 loan that bore interest at a rate of SOFR plus 1.45% and was scheduled to mature in December 2025.</w:t>
      </w:r>
    </w:p>
    <w:p>
      <w:pPr>
        <w:spacing w:after="0" w:line="7"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On December 23, 2025, Alexander’s entered into an agreement to restructure the $300,000,000 mortgage loan on the retail condominium portion of 731 Lexington Avenue, which previously bore interest at SOFR plus 1.51%. The restructured loan was split into (i) a $132,500,000 senior A-Note that was purchased by a wholly owned subsidiary of Alexander’s, which bears interest at a fixed rate of 7.00% and (ii) a $167,500,000 junior C-Note held by the lenders of the original loan, which accrues PIK interest at 4.55%. In addition, Alexander’s has the right to fund operating shortfalls, interest on the A-Note and capital for re-leasing at the property through a B-Note, which will be junior to the A-Note and senior to the C-Note. The B-Note bears interest at a fixed rate of 13.50%, except for loan amounts above $65,000,000 used to pay interest on the A-Note, which will bear interest at a fixed rate of 7.00%. The restructured loan matures in December 2035.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888 Seventh Avenue</w:t>
      </w:r>
    </w:p>
    <w:p>
      <w:pPr>
        <w:spacing w:after="0" w:line="68"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On December 10, 2025, the $244,543,000 non-recourse mortgage loan on 888 Seventh Avenue matured and was not repaid, at which time the lenders declared an event of default. The loan currently bears interest at a rate of SOFR plus 1.80% and provides for additional default interest of 3.00%. The default interest was waived for a ninety-day period. We have executed a term sheet with the lenders pursuant to which the lenders will forebear from exercising their remedies and will waive default interest until February 2027, subject to certain conditions. There can be no assurance that the forbearance agreement will be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Overview - continued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Leasing Activity For the Year Ended December 31, 2025</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leasing activity and related statistics below are based on leases signed during the period and are not intended to coincide with the commencement of rental revenue in accordance with accounting principles generally accepted in the United States of America (“GAAP”). Second generation relet space represents square footage that has not been vacant for more than nine months and tenant improvements and leasing commissions are based on our share of square feet leased during the period.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(Square feet in thousands)</w:t>
            </w:r>
          </w:p>
        </w:tc>
        <w:tc>
          <w:tcPr>
            <w:tcW w:w="1120" w:type="dxa"/>
            <w:vAlign w:val="bottom"/>
          </w:tcPr>
          <w:p>
            <w:pPr>
              <w:spacing w:after="0"/>
              <w:rPr>
                <w:sz w:val="16"/>
                <w:szCs w:val="16"/>
                <w:color w:val="auto"/>
              </w:rPr>
            </w:pPr>
          </w:p>
        </w:tc>
        <w:tc>
          <w:tcPr>
            <w:tcW w:w="116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555 California Street</w:t>
            </w:r>
          </w:p>
        </w:tc>
        <w:tc>
          <w:tcPr>
            <w:tcW w:w="0" w:type="dxa"/>
            <w:vAlign w:val="bottom"/>
          </w:tcPr>
          <w:p>
            <w:pPr>
              <w:spacing w:after="0"/>
              <w:rPr>
                <w:sz w:val="1"/>
                <w:szCs w:val="1"/>
                <w:color w:val="auto"/>
              </w:rPr>
            </w:pPr>
          </w:p>
        </w:tc>
      </w:tr>
      <w:tr>
        <w:trPr>
          <w:trHeight w:val="190"/>
        </w:trPr>
        <w:tc>
          <w:tcPr>
            <w:tcW w:w="418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4"/>
                <w:szCs w:val="14"/>
                <w:b w:val="1"/>
                <w:bCs w:val="1"/>
                <w:color w:val="auto"/>
              </w:rPr>
              <w:t>Office</w:t>
            </w:r>
            <w:r>
              <w:rPr>
                <w:rFonts w:ascii="Times New Roman" w:cs="Times New Roman" w:eastAsia="Times New Roman" w:hAnsi="Times New Roman"/>
                <w:sz w:val="18"/>
                <w:szCs w:val="18"/>
                <w:b w:val="1"/>
                <w:bCs w:val="1"/>
                <w:color w:val="auto"/>
                <w:vertAlign w:val="superscript"/>
              </w:rPr>
              <w:t>(1)</w:t>
            </w:r>
          </w:p>
        </w:tc>
        <w:tc>
          <w:tcPr>
            <w:tcW w:w="5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square feet leased</w:t>
            </w: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3,742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130</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189"/>
        </w:trPr>
        <w:tc>
          <w:tcPr>
            <w:tcW w:w="4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Our share of square feet leased:</w:t>
            </w:r>
          </w:p>
        </w:tc>
        <w:tc>
          <w:tcPr>
            <w:tcW w:w="1120" w:type="dxa"/>
            <w:vAlign w:val="bottom"/>
          </w:tcPr>
          <w:p>
            <w:pPr>
              <w:spacing w:after="0"/>
              <w:rPr>
                <w:sz w:val="16"/>
                <w:szCs w:val="16"/>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3,510</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04"/>
        </w:trPr>
        <w:tc>
          <w:tcPr>
            <w:tcW w:w="4180" w:type="dxa"/>
            <w:vAlign w:val="bottom"/>
            <w:shd w:val="clear" w:color="auto" w:fill="CCEEFF"/>
          </w:tcPr>
          <w:p>
            <w:pPr>
              <w:ind w:left="660"/>
              <w:spacing w:after="0" w:line="203" w:lineRule="exact"/>
              <w:rPr>
                <w:sz w:val="20"/>
                <w:szCs w:val="20"/>
                <w:color w:val="auto"/>
              </w:rPr>
            </w:pPr>
            <w:r>
              <w:rPr>
                <w:rFonts w:ascii="Times New Roman" w:cs="Times New Roman" w:eastAsia="Times New Roman" w:hAnsi="Times New Roman"/>
                <w:sz w:val="14"/>
                <w:szCs w:val="14"/>
                <w:color w:val="auto"/>
              </w:rPr>
              <w:t>Initial rent</w:t>
            </w:r>
            <w:r>
              <w:rPr>
                <w:rFonts w:ascii="Times New Roman" w:cs="Times New Roman" w:eastAsia="Times New Roman" w:hAnsi="Times New Roman"/>
                <w:sz w:val="18"/>
                <w:szCs w:val="18"/>
                <w:b w:val="1"/>
                <w:bCs w:val="1"/>
                <w:color w:val="auto"/>
                <w:vertAlign w:val="superscript"/>
              </w:rPr>
              <w:t>(2)</w:t>
            </w:r>
          </w:p>
        </w:tc>
        <w:tc>
          <w:tcPr>
            <w:tcW w:w="11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97.86</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186.34</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50.93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117.28</w:t>
            </w:r>
          </w:p>
        </w:tc>
        <w:tc>
          <w:tcPr>
            <w:tcW w:w="0" w:type="dxa"/>
            <w:vAlign w:val="bottom"/>
          </w:tcPr>
          <w:p>
            <w:pPr>
              <w:spacing w:after="0"/>
              <w:rPr>
                <w:sz w:val="1"/>
                <w:szCs w:val="1"/>
                <w:color w:val="auto"/>
              </w:rPr>
            </w:pPr>
          </w:p>
        </w:tc>
      </w:tr>
      <w:tr>
        <w:trPr>
          <w:trHeight w:val="189"/>
        </w:trPr>
        <w:tc>
          <w:tcPr>
            <w:tcW w:w="4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Weighted average lease term (years)</w:t>
            </w:r>
          </w:p>
        </w:tc>
        <w:tc>
          <w:tcPr>
            <w:tcW w:w="1120" w:type="dxa"/>
            <w:vAlign w:val="bottom"/>
          </w:tcPr>
          <w:p>
            <w:pPr>
              <w:spacing w:after="0"/>
              <w:rPr>
                <w:sz w:val="16"/>
                <w:szCs w:val="16"/>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11.3</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04"/>
        </w:trPr>
        <w:tc>
          <w:tcPr>
            <w:tcW w:w="4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Second generation relet space:</w:t>
            </w: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Square feet</w:t>
            </w:r>
          </w:p>
        </w:tc>
        <w:tc>
          <w:tcPr>
            <w:tcW w:w="1120" w:type="dxa"/>
            <w:vAlign w:val="bottom"/>
          </w:tcPr>
          <w:p>
            <w:pPr>
              <w:spacing w:after="0"/>
              <w:rPr>
                <w:sz w:val="16"/>
                <w:szCs w:val="16"/>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1,104</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204"/>
        </w:trPr>
        <w:tc>
          <w:tcPr>
            <w:tcW w:w="4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GAAP basis:</w:t>
            </w: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Pr>
          <w:p>
            <w:pPr>
              <w:ind w:left="1280"/>
              <w:spacing w:after="0" w:line="196" w:lineRule="exact"/>
              <w:rPr>
                <w:sz w:val="20"/>
                <w:szCs w:val="20"/>
                <w:color w:val="auto"/>
              </w:rPr>
            </w:pPr>
            <w:r>
              <w:rPr>
                <w:rFonts w:ascii="Times New Roman" w:cs="Times New Roman" w:eastAsia="Times New Roman" w:hAnsi="Times New Roman"/>
                <w:sz w:val="14"/>
                <w:szCs w:val="14"/>
                <w:color w:val="auto"/>
              </w:rPr>
              <w:t>Straight-line rent</w:t>
            </w:r>
            <w:r>
              <w:rPr>
                <w:rFonts w:ascii="Times New Roman" w:cs="Times New Roman" w:eastAsia="Times New Roman" w:hAnsi="Times New Roman"/>
                <w:sz w:val="18"/>
                <w:szCs w:val="18"/>
                <w:b w:val="1"/>
                <w:bCs w:val="1"/>
                <w:color w:val="auto"/>
                <w:vertAlign w:val="superscript"/>
              </w:rPr>
              <w:t>(3)</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86.21</w:t>
            </w:r>
          </w:p>
        </w:tc>
        <w:tc>
          <w:tcPr>
            <w:tcW w:w="140" w:type="dxa"/>
            <w:vAlign w:val="bottom"/>
          </w:tcPr>
          <w:p>
            <w:pPr>
              <w:spacing w:after="0"/>
              <w:rPr>
                <w:sz w:val="17"/>
                <w:szCs w:val="17"/>
                <w:color w:val="auto"/>
              </w:rPr>
            </w:pPr>
          </w:p>
        </w:tc>
        <w:tc>
          <w:tcPr>
            <w:tcW w:w="4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151.71</w:t>
            </w:r>
          </w:p>
        </w:tc>
        <w:tc>
          <w:tcPr>
            <w:tcW w:w="140" w:type="dxa"/>
            <w:vAlign w:val="bottom"/>
          </w:tcPr>
          <w:p>
            <w:pPr>
              <w:spacing w:after="0"/>
              <w:rPr>
                <w:sz w:val="17"/>
                <w:szCs w:val="17"/>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49.37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133.94</w:t>
            </w: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Prior straight-line rent</w:t>
            </w:r>
          </w:p>
        </w:tc>
        <w:tc>
          <w:tcPr>
            <w:tcW w:w="11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78.12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137.23</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49.85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108.97</w:t>
            </w:r>
          </w:p>
        </w:tc>
        <w:tc>
          <w:tcPr>
            <w:tcW w:w="0" w:type="dxa"/>
            <w:vAlign w:val="bottom"/>
          </w:tcPr>
          <w:p>
            <w:pPr>
              <w:spacing w:after="0"/>
              <w:rPr>
                <w:sz w:val="1"/>
                <w:szCs w:val="1"/>
                <w:color w:val="auto"/>
              </w:rPr>
            </w:pPr>
          </w:p>
        </w:tc>
      </w:tr>
      <w:tr>
        <w:trPr>
          <w:trHeight w:val="189"/>
        </w:trPr>
        <w:tc>
          <w:tcPr>
            <w:tcW w:w="41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Percentage increase (decrease)</w:t>
            </w: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22.9 %</w:t>
            </w:r>
          </w:p>
        </w:tc>
        <w:tc>
          <w:tcPr>
            <w:tcW w:w="0" w:type="dxa"/>
            <w:vAlign w:val="bottom"/>
          </w:tcPr>
          <w:p>
            <w:pPr>
              <w:spacing w:after="0"/>
              <w:rPr>
                <w:sz w:val="1"/>
                <w:szCs w:val="1"/>
                <w:color w:val="auto"/>
              </w:rPr>
            </w:pPr>
          </w:p>
        </w:tc>
      </w:tr>
      <w:tr>
        <w:trPr>
          <w:trHeight w:val="204"/>
        </w:trPr>
        <w:tc>
          <w:tcPr>
            <w:tcW w:w="4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Cash basis (non-GAAP):</w:t>
            </w: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Pr>
          <w:p>
            <w:pPr>
              <w:ind w:left="1280"/>
              <w:spacing w:after="0" w:line="196" w:lineRule="exact"/>
              <w:rPr>
                <w:sz w:val="20"/>
                <w:szCs w:val="20"/>
                <w:color w:val="auto"/>
              </w:rPr>
            </w:pPr>
            <w:r>
              <w:rPr>
                <w:rFonts w:ascii="Times New Roman" w:cs="Times New Roman" w:eastAsia="Times New Roman" w:hAnsi="Times New Roman"/>
                <w:sz w:val="14"/>
                <w:szCs w:val="14"/>
                <w:color w:val="auto"/>
              </w:rPr>
              <w:t>Initial rent</w:t>
            </w:r>
            <w:r>
              <w:rPr>
                <w:rFonts w:ascii="Times New Roman" w:cs="Times New Roman" w:eastAsia="Times New Roman" w:hAnsi="Times New Roman"/>
                <w:sz w:val="18"/>
                <w:szCs w:val="18"/>
                <w:b w:val="1"/>
                <w:bCs w:val="1"/>
                <w:color w:val="auto"/>
                <w:vertAlign w:val="superscript"/>
              </w:rPr>
              <w:t>(2)</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90.69</w:t>
            </w:r>
          </w:p>
        </w:tc>
        <w:tc>
          <w:tcPr>
            <w:tcW w:w="140" w:type="dxa"/>
            <w:vAlign w:val="bottom"/>
          </w:tcPr>
          <w:p>
            <w:pPr>
              <w:spacing w:after="0"/>
              <w:rPr>
                <w:sz w:val="17"/>
                <w:szCs w:val="17"/>
                <w:color w:val="auto"/>
              </w:rPr>
            </w:pPr>
          </w:p>
        </w:tc>
        <w:tc>
          <w:tcPr>
            <w:tcW w:w="4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142.43</w:t>
            </w:r>
          </w:p>
        </w:tc>
        <w:tc>
          <w:tcPr>
            <w:tcW w:w="140" w:type="dxa"/>
            <w:vAlign w:val="bottom"/>
          </w:tcPr>
          <w:p>
            <w:pPr>
              <w:spacing w:after="0"/>
              <w:rPr>
                <w:sz w:val="17"/>
                <w:szCs w:val="17"/>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53.25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126.30</w:t>
            </w: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Prior escalated rent</w:t>
            </w:r>
          </w:p>
        </w:tc>
        <w:tc>
          <w:tcPr>
            <w:tcW w:w="11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84.10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143.94</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56.11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117.44</w:t>
            </w:r>
          </w:p>
        </w:tc>
        <w:tc>
          <w:tcPr>
            <w:tcW w:w="0" w:type="dxa"/>
            <w:vAlign w:val="bottom"/>
          </w:tcPr>
          <w:p>
            <w:pPr>
              <w:spacing w:after="0"/>
              <w:rPr>
                <w:sz w:val="1"/>
                <w:szCs w:val="1"/>
                <w:color w:val="auto"/>
              </w:rPr>
            </w:pPr>
          </w:p>
        </w:tc>
      </w:tr>
      <w:tr>
        <w:trPr>
          <w:trHeight w:val="189"/>
        </w:trPr>
        <w:tc>
          <w:tcPr>
            <w:tcW w:w="41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Percentage increase (decrease)</w:t>
            </w: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r>
        <w:trPr>
          <w:trHeight w:val="204"/>
        </w:trPr>
        <w:tc>
          <w:tcPr>
            <w:tcW w:w="4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Tenant improvements and leasing commissions:</w:t>
            </w: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Per square foot</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98"/>
              </w:rPr>
              <w:t>148.41</w:t>
            </w:r>
          </w:p>
        </w:tc>
        <w:tc>
          <w:tcPr>
            <w:tcW w:w="140" w:type="dxa"/>
            <w:vAlign w:val="bottom"/>
          </w:tcPr>
          <w:p>
            <w:pPr>
              <w:spacing w:after="0"/>
              <w:rPr>
                <w:sz w:val="16"/>
                <w:szCs w:val="16"/>
                <w:color w:val="auto"/>
              </w:rPr>
            </w:pPr>
          </w:p>
        </w:tc>
        <w:tc>
          <w:tcPr>
            <w:tcW w:w="4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146.78</w:t>
            </w:r>
          </w:p>
        </w:tc>
        <w:tc>
          <w:tcPr>
            <w:tcW w:w="14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97.66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192.27</w:t>
            </w:r>
          </w:p>
        </w:tc>
        <w:tc>
          <w:tcPr>
            <w:tcW w:w="0" w:type="dxa"/>
            <w:vAlign w:val="bottom"/>
          </w:tcPr>
          <w:p>
            <w:pPr>
              <w:spacing w:after="0"/>
              <w:rPr>
                <w:sz w:val="1"/>
                <w:szCs w:val="1"/>
                <w:color w:val="auto"/>
              </w:rPr>
            </w:pPr>
          </w:p>
        </w:tc>
      </w:tr>
      <w:tr>
        <w:trPr>
          <w:trHeight w:val="204"/>
        </w:trPr>
        <w:tc>
          <w:tcPr>
            <w:tcW w:w="41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Per square foot per annum</w:t>
            </w:r>
          </w:p>
        </w:tc>
        <w:tc>
          <w:tcPr>
            <w:tcW w:w="11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13.13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15.61</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12.21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17.80</w:t>
            </w:r>
          </w:p>
        </w:tc>
        <w:tc>
          <w:tcPr>
            <w:tcW w:w="0" w:type="dxa"/>
            <w:vAlign w:val="bottom"/>
          </w:tcPr>
          <w:p>
            <w:pPr>
              <w:spacing w:after="0"/>
              <w:rPr>
                <w:sz w:val="1"/>
                <w:szCs w:val="1"/>
                <w:color w:val="auto"/>
              </w:rPr>
            </w:pPr>
          </w:p>
        </w:tc>
      </w:tr>
      <w:tr>
        <w:trPr>
          <w:trHeight w:val="182"/>
        </w:trPr>
        <w:tc>
          <w:tcPr>
            <w:tcW w:w="41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Percentage of initial rent</w:t>
            </w: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w:t>
      </w:r>
    </w:p>
    <w:p>
      <w:pPr>
        <w:spacing w:after="0" w:line="40" w:lineRule="exact"/>
        <w:rPr>
          <w:sz w:val="20"/>
          <w:szCs w:val="20"/>
          <w:color w:val="auto"/>
        </w:rPr>
      </w:pPr>
    </w:p>
    <w:p>
      <w:pPr>
        <w:ind w:left="320" w:hanging="315"/>
        <w:spacing w:after="0"/>
        <w:tabs>
          <w:tab w:leader="none" w:pos="320"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leasing statistics other than square feet leased, exclude the impact of the 1,076 square foot master lease to NYU at 770 Broadway.</w:t>
      </w:r>
    </w:p>
    <w:p>
      <w:pPr>
        <w:spacing w:after="0" w:line="12" w:lineRule="exact"/>
        <w:rPr>
          <w:rFonts w:ascii="Times New Roman" w:cs="Times New Roman" w:eastAsia="Times New Roman" w:hAnsi="Times New Roman"/>
          <w:sz w:val="14"/>
          <w:szCs w:val="14"/>
          <w:b w:val="1"/>
          <w:bCs w:val="1"/>
          <w:color w:val="auto"/>
        </w:rPr>
      </w:pPr>
    </w:p>
    <w:p>
      <w:pPr>
        <w:ind w:left="320" w:hanging="315"/>
        <w:spacing w:after="0" w:line="250" w:lineRule="auto"/>
        <w:tabs>
          <w:tab w:leader="none" w:pos="312"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cash basis weighted average starting rent per square foot, which is generally indicative of market rents. Most leases include free rent and periodic step-ups in rent which are not included in the initial cash basis rent per square foot but are included in the GAAP basis straight-line rent per square foot.</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GAAP basis weighted average rent per square foot that is recognized over the term of the respective leases and includes the effect of free rent and periodic step-ups in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Overview - continued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Square footage (in service) and Occupancy as of December 31, 2025</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(Square feet in thousands)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8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Square Feet (in service)</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900" w:type="dxa"/>
            <w:vAlign w:val="bottom"/>
            <w:vMerge w:val="restart"/>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5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0" w:type="dxa"/>
            <w:vAlign w:val="bottom"/>
          </w:tcPr>
          <w:p>
            <w:pPr>
              <w:jc w:val="right"/>
              <w:ind w:right="410"/>
              <w:spacing w:after="0" w:line="126" w:lineRule="exact"/>
              <w:rPr>
                <w:sz w:val="20"/>
                <w:szCs w:val="20"/>
                <w:color w:val="auto"/>
              </w:rPr>
            </w:pPr>
            <w:r>
              <w:rPr>
                <w:rFonts w:ascii="Times New Roman" w:cs="Times New Roman" w:eastAsia="Times New Roman" w:hAnsi="Times New Roman"/>
                <w:sz w:val="14"/>
                <w:szCs w:val="14"/>
                <w:b w:val="1"/>
                <w:bCs w:val="1"/>
                <w:color w:val="auto"/>
              </w:rPr>
              <w:t>Our</w:t>
            </w:r>
          </w:p>
        </w:tc>
        <w:tc>
          <w:tcPr>
            <w:tcW w:w="100" w:type="dxa"/>
            <w:vAlign w:val="bottom"/>
          </w:tcPr>
          <w:p>
            <w:pPr>
              <w:spacing w:after="0"/>
              <w:rPr>
                <w:sz w:val="10"/>
                <w:szCs w:val="10"/>
                <w:color w:val="auto"/>
              </w:rPr>
            </w:pP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Occupancy %</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7"/>
              </w:rPr>
              <w:t>properties</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20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Office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26</w:t>
            </w:r>
          </w:p>
        </w:tc>
        <w:tc>
          <w:tcPr>
            <w:tcW w:w="40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0"/>
                <w:szCs w:val="10"/>
                <w:b w:val="1"/>
                <w:bCs w:val="1"/>
                <w:color w:val="auto"/>
              </w:rPr>
              <w:t>(1)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19,235</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Retail (includes retail properties that are in the base of our office properties)</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45</w:t>
            </w:r>
          </w:p>
        </w:tc>
        <w:tc>
          <w:tcPr>
            <w:tcW w:w="400" w:type="dxa"/>
            <w:vAlign w:val="bottom"/>
          </w:tcPr>
          <w:p>
            <w:pPr>
              <w:jc w:val="right"/>
              <w:ind w:right="208"/>
              <w:spacing w:after="0"/>
              <w:rPr>
                <w:sz w:val="20"/>
                <w:szCs w:val="20"/>
                <w:color w:val="auto"/>
              </w:rPr>
            </w:pPr>
            <w:r>
              <w:rPr>
                <w:rFonts w:ascii="Times New Roman" w:cs="Times New Roman" w:eastAsia="Times New Roman" w:hAnsi="Times New Roman"/>
                <w:sz w:val="10"/>
                <w:szCs w:val="10"/>
                <w:b w:val="1"/>
                <w:bCs w:val="1"/>
                <w:color w:val="auto"/>
              </w:rPr>
              <w:t>(1)</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04"/>
        </w:trPr>
        <w:tc>
          <w:tcPr>
            <w:tcW w:w="6440" w:type="dxa"/>
            <w:vAlign w:val="bottom"/>
            <w:gridSpan w:val="2"/>
            <w:shd w:val="clear" w:color="auto" w:fill="CCEEFF"/>
          </w:tcPr>
          <w:p>
            <w:pPr>
              <w:ind w:left="460"/>
              <w:spacing w:after="0" w:line="203" w:lineRule="exact"/>
              <w:rPr>
                <w:sz w:val="20"/>
                <w:szCs w:val="20"/>
                <w:color w:val="auto"/>
              </w:rPr>
            </w:pPr>
            <w:r>
              <w:rPr>
                <w:rFonts w:ascii="Times New Roman" w:cs="Times New Roman" w:eastAsia="Times New Roman" w:hAnsi="Times New Roman"/>
                <w:sz w:val="14"/>
                <w:szCs w:val="14"/>
                <w:color w:val="auto"/>
              </w:rPr>
              <w:t>Residential - 1,643 units</w:t>
            </w:r>
            <w:r>
              <w:rPr>
                <w:rFonts w:ascii="Times New Roman" w:cs="Times New Roman" w:eastAsia="Times New Roman" w:hAnsi="Times New Roman"/>
                <w:sz w:val="18"/>
                <w:szCs w:val="18"/>
                <w:b w:val="1"/>
                <w:bCs w:val="1"/>
                <w:color w:val="auto"/>
                <w:vertAlign w:val="superscript"/>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0"/>
                <w:szCs w:val="10"/>
                <w:b w:val="1"/>
                <w:bCs w:val="1"/>
                <w:color w:val="auto"/>
              </w:rPr>
              <w:t>(1)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7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xml:space="preserve">95.5% </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90"/>
        </w:trPr>
        <w:tc>
          <w:tcPr>
            <w:tcW w:w="644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4"/>
                <w:szCs w:val="14"/>
                <w:color w:val="auto"/>
              </w:rPr>
              <w:t>Alexander's</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740" w:type="dxa"/>
            <w:vAlign w:val="bottom"/>
            <w:tcBorders>
              <w:bottom w:val="single" w:sz="8" w:color="CCEEFF"/>
            </w:tcBorders>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 xml:space="preserve">94.6% </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90"/>
        </w:trPr>
        <w:tc>
          <w:tcPr>
            <w:tcW w:w="55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24,569</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THE MART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4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555 California Street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44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99"/>
              </w:rPr>
              <w:t>13</w:t>
            </w:r>
          </w:p>
        </w:tc>
        <w:tc>
          <w:tcPr>
            <w:tcW w:w="400" w:type="dxa"/>
            <w:vAlign w:val="bottom"/>
            <w:tcBorders>
              <w:bottom w:val="single" w:sz="8" w:color="CCEEFF"/>
            </w:tcBorders>
          </w:tcPr>
          <w:p>
            <w:pPr>
              <w:jc w:val="right"/>
              <w:ind w:right="208"/>
              <w:spacing w:after="0"/>
              <w:rPr>
                <w:sz w:val="20"/>
                <w:szCs w:val="20"/>
                <w:color w:val="auto"/>
              </w:rPr>
            </w:pPr>
            <w:r>
              <w:rPr>
                <w:rFonts w:ascii="Times New Roman" w:cs="Times New Roman" w:eastAsia="Times New Roman" w:hAnsi="Times New Roman"/>
                <w:sz w:val="10"/>
                <w:szCs w:val="10"/>
                <w:b w:val="1"/>
                <w:bCs w:val="1"/>
                <w:color w:val="auto"/>
              </w:rPr>
              <w:t>(4)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3,271</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8,788</w:t>
            </w:r>
          </w:p>
        </w:tc>
        <w:tc>
          <w:tcPr>
            <w:tcW w:w="10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6,439</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square feet as of December 31, 2025</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33,357</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26,463</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See notes below.</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Square footage (in service) and Occupancy as of December 31, 2024</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(Square feet in thousands)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Square Feet (in service)</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920" w:type="dxa"/>
            <w:vAlign w:val="bottom"/>
            <w:vMerge w:val="restart"/>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180" w:type="dxa"/>
            <w:vAlign w:val="bottom"/>
          </w:tcPr>
          <w:p>
            <w:pPr>
              <w:jc w:val="right"/>
              <w:ind w:right="390"/>
              <w:spacing w:after="0" w:line="126" w:lineRule="exact"/>
              <w:rPr>
                <w:sz w:val="20"/>
                <w:szCs w:val="20"/>
                <w:color w:val="auto"/>
              </w:rPr>
            </w:pPr>
            <w:r>
              <w:rPr>
                <w:rFonts w:ascii="Times New Roman" w:cs="Times New Roman" w:eastAsia="Times New Roman" w:hAnsi="Times New Roman"/>
                <w:sz w:val="14"/>
                <w:szCs w:val="14"/>
                <w:b w:val="1"/>
                <w:bCs w:val="1"/>
                <w:color w:val="auto"/>
              </w:rPr>
              <w:t>Our</w:t>
            </w:r>
          </w:p>
        </w:tc>
        <w:tc>
          <w:tcPr>
            <w:tcW w:w="100" w:type="dxa"/>
            <w:vAlign w:val="bottom"/>
          </w:tcPr>
          <w:p>
            <w:pPr>
              <w:spacing w:after="0"/>
              <w:rPr>
                <w:sz w:val="10"/>
                <w:szCs w:val="10"/>
                <w:color w:val="auto"/>
              </w:rPr>
            </w:pPr>
          </w:p>
        </w:tc>
        <w:tc>
          <w:tcPr>
            <w:tcW w:w="16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Occupancy %</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920" w:type="dxa"/>
            <w:vAlign w:val="bottom"/>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Portfolio</w:t>
            </w: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Office</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30</w:t>
            </w:r>
          </w:p>
        </w:tc>
        <w:tc>
          <w:tcPr>
            <w:tcW w:w="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18,714</w:t>
            </w:r>
          </w:p>
        </w:tc>
        <w:tc>
          <w:tcPr>
            <w:tcW w:w="10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16,024</w:t>
            </w:r>
          </w:p>
        </w:tc>
        <w:tc>
          <w:tcPr>
            <w:tcW w:w="14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color w:val="auto"/>
              </w:rPr>
              <w:t>88.8 %</w:t>
            </w: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8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Retail (includes retail properties that are in the base of our office properties)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49</w:t>
            </w:r>
          </w:p>
        </w:tc>
        <w:tc>
          <w:tcPr>
            <w:tcW w:w="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14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color w:val="auto"/>
              </w:rPr>
              <w:t>73.7 %</w:t>
            </w: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4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8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Residential - 1,642 units</w:t>
            </w:r>
            <w:r>
              <w:rPr>
                <w:rFonts w:ascii="Times New Roman" w:cs="Times New Roman" w:eastAsia="Times New Roman" w:hAnsi="Times New Roman"/>
                <w:sz w:val="18"/>
                <w:szCs w:val="18"/>
                <w:b w:val="1"/>
                <w:bCs w:val="1"/>
                <w:color w:val="auto"/>
                <w:vertAlign w:val="superscript"/>
              </w:rPr>
              <w:t>(3)</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10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720" w:type="dxa"/>
            <w:vAlign w:val="bottom"/>
            <w:gridSpan w:val="3"/>
            <w:vMerge w:val="restart"/>
          </w:tcPr>
          <w:p>
            <w:pPr>
              <w:ind w:left="1060"/>
              <w:spacing w:after="0"/>
              <w:rPr>
                <w:sz w:val="20"/>
                <w:szCs w:val="20"/>
                <w:color w:val="auto"/>
              </w:rPr>
            </w:pPr>
            <w:r>
              <w:rPr>
                <w:rFonts w:ascii="Times New Roman" w:cs="Times New Roman" w:eastAsia="Times New Roman" w:hAnsi="Times New Roman"/>
                <w:sz w:val="14"/>
                <w:szCs w:val="14"/>
                <w:color w:val="auto"/>
              </w:rPr>
              <w:t xml:space="preserve">96.6 % </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4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Alexander's</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720" w:type="dxa"/>
            <w:vAlign w:val="bottom"/>
            <w:tcBorders>
              <w:bottom w:val="single" w:sz="8" w:color="CCEEFF"/>
            </w:tcBorders>
            <w:gridSpan w:val="3"/>
          </w:tcPr>
          <w:p>
            <w:pPr>
              <w:ind w:left="1060"/>
              <w:spacing w:after="0"/>
              <w:rPr>
                <w:sz w:val="20"/>
                <w:szCs w:val="20"/>
                <w:color w:val="auto"/>
              </w:rPr>
            </w:pPr>
            <w:r>
              <w:rPr>
                <w:rFonts w:ascii="Times New Roman" w:cs="Times New Roman" w:eastAsia="Times New Roman" w:hAnsi="Times New Roman"/>
                <w:sz w:val="14"/>
                <w:szCs w:val="14"/>
                <w:color w:val="auto"/>
              </w:rPr>
              <w:t xml:space="preserve">99.1 % </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24,364</w:t>
            </w: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19,241</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THE MART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14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80.1 %</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555 California Street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48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92.0 %</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4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86.5 %</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8,061</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6,171</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square feet as of December 31, 2024</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32,425</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25,412</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40" w:type="dxa"/>
            <w:vAlign w:val="bottom"/>
            <w:gridSpan w:val="2"/>
            <w:vMerge w:val="restart"/>
          </w:tcPr>
          <w:p>
            <w:pPr>
              <w:jc w:val="right"/>
              <w:ind w:right="3370"/>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-1800225</wp:posOffset>
            </wp:positionV>
            <wp:extent cx="7119620" cy="124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9620" cy="12446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-1550670</wp:posOffset>
            </wp:positionV>
            <wp:extent cx="7119620" cy="1244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9620" cy="124460"/>
                    </a:xfrm>
                    <a:prstGeom prst="rect">
                      <a:avLst/>
                    </a:prstGeom>
                    <a:noFill/>
                  </pic:spPr>
                </pic:pic>
              </a:graphicData>
            </a:graphic>
          </wp:anchor>
        </w:drawing>
      </w:r>
    </w:p>
    <w:p>
      <w:pPr>
        <w:ind w:left="320" w:hanging="315"/>
        <w:spacing w:after="0"/>
        <w:tabs>
          <w:tab w:leader="none" w:pos="32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Reflects the Office, Retail and Residential space within our 56 and 61 total New York properties in service as of December 31, 2025 and 2024, respectively.</w:t>
      </w:r>
    </w:p>
    <w:p>
      <w:pPr>
        <w:spacing w:after="0" w:line="5"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Reflects the impact of the 100 West 33rd Street retail space coming out of service during 2025.</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Alexander Apartment Tower (312 units) is reflected in Residential unit count and occupancy.</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line="248" w:lineRule="auto"/>
        <w:tabs>
          <w:tab w:leader="none" w:pos="312"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Reflects the reclassification of our 22.2% interest in 650 Madison Avenue (see page 39 for further details) and our Paramus administrative headquarters from “Office” to “Other”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68" w:lineRule="exact"/>
        <w:rPr>
          <w:sz w:val="20"/>
          <w:szCs w:val="20"/>
          <w:color w:val="auto"/>
        </w:rPr>
      </w:pPr>
    </w:p>
    <w:p>
      <w:pPr>
        <w:jc w:val="both"/>
        <w:ind w:firstLine="314"/>
        <w:spacing w:after="0" w:line="266" w:lineRule="auto"/>
        <w:rPr>
          <w:sz w:val="20"/>
          <w:szCs w:val="20"/>
          <w:color w:val="auto"/>
        </w:rPr>
      </w:pPr>
      <w:r>
        <w:rPr>
          <w:rFonts w:ascii="Times New Roman" w:cs="Times New Roman" w:eastAsia="Times New Roman" w:hAnsi="Times New Roman"/>
          <w:sz w:val="17"/>
          <w:szCs w:val="17"/>
          <w:color w:val="auto"/>
        </w:rPr>
        <w:t xml:space="preserve">In preparing the consolidated financial statements we have made estimates and assumptions that affect the reported amounts of assets and liabilities at the date of the financial statements and the reported amounts of revenues and expenses during the reporting periods. Accounting estimates are deemed critical if they involve a significant level of estimation uncertainty and have had or are reasonably likely to have a material impact on our financial condition or results of operations. Below is a summary of the critical accounting estimates used in the preparation of our consolidated financial statements. A discussion of our accounting policies is included in Note 2 - </w:t>
      </w:r>
      <w:r>
        <w:rPr>
          <w:rFonts w:ascii="Times New Roman" w:cs="Times New Roman" w:eastAsia="Times New Roman" w:hAnsi="Times New Roman"/>
          <w:sz w:val="17"/>
          <w:szCs w:val="17"/>
          <w:i w:val="1"/>
          <w:iCs w:val="1"/>
          <w:color w:val="auto"/>
        </w:rPr>
        <w:t>Basis of Presentation and Significant Accounting Policies</w:t>
      </w:r>
      <w:r>
        <w:rPr>
          <w:rFonts w:ascii="Times New Roman" w:cs="Times New Roman" w:eastAsia="Times New Roman" w:hAnsi="Times New Roman"/>
          <w:sz w:val="17"/>
          <w:szCs w:val="17"/>
          <w:color w:val="auto"/>
        </w:rPr>
        <w:t xml:space="preserve"> to our consolidated financial statements in this Annual Report on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Acquisitions of Real Estate</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Upon the acquisition of real estate, we assess whether the transaction should be accounted for as an asset acquisition or as a business combination. Acquisitions of integrated sets of assets and activities that do not meet the definition of a business are accounted for as asset acquisitions. Our acquisitions of real estate generally will not meet the definition of a business because substantially all of the fair value is concentrated in a single identifiable asset or group of similar identifiable assets (i.e. land, buildings, and related identified intangible assets).</w:t>
      </w:r>
    </w:p>
    <w:p>
      <w:pPr>
        <w:spacing w:after="0" w:line="11"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We assess the fair value of acquired assets (including land, buildings and improvements, identified intangibles, such as acquired above and below-market leases, acquired in-place leases and tenant relationships) and acquired liabilities and we allocate the purchase price on a relative fair value basis. We assess fair value based on estimated cash flow projections based on a number of factors such as historical operating results, known trends, and market/economic conditions and make key assumptions regarding the discount and capitalization rates used in our analyses. The use of different assumptions to value the acquired properties and allocate value between land and building could affect the revenues recognized over the terms of the leases at our properties and the expenses recognized over the property's estimated remaining useful life on our consolidated statements of income.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Analyses for Investments in Real Estate and Unconsolidated Partially Owned Entities</w:t>
      </w:r>
    </w:p>
    <w:p>
      <w:pPr>
        <w:spacing w:after="0" w:line="68"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Our investments in consolidated properties, including any related right-of-use assets and intangible assets, and unconsolidated partially owned entities are individually reviewed for impairment whenever events or changes in circumstances indicate that the carrying amount may not be recoverable. For our unconsolidated partially owned entities, we consider various qualitative factors to determine if a decrease in the value of our investment is other-than-temporary during our intended holding period. Assessing impairment can be complex and involves a high degree of subjectivity in determining if impairment indicators are present and in estimating the future undiscounted cash flows or the fair value of an asset. In particular, these estimates are sensitive to significant assumptions, including the estimation of future rental revenues, operating expenses, capital expenditures, discount rates and capitalization rates and our intent and ability to hold the related asset, all of which could be affected by our expectations about future market or economic conditions. These estimates can have a significant impact on the undiscounted cash flows or estimated fair value of an asset and could thereby affect the value of our real estate investments on our consolidated balance sheets as well as any potential impairment losses recognized on our consolidated statements of income.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Collectability Assessments for Revenue Recognition</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evaluate on an individual lease basis whether it is probable that we will collect substantially all amounts due from our tenants and recognize changes in the collectability assessment of our operating leases as adjustments to rental revenue. Management exercises judgment in assessing collectability of tenant receivables and considers payment history, current credit status, publicly available information about the financial condition of the tenant, and other factors. Our assessment of the collectability of tenant receivables can have a significant impact on the rental revenue recognized in our consolidated statements of income.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66" w:lineRule="exact"/>
        <w:rPr>
          <w:sz w:val="20"/>
          <w:szCs w:val="20"/>
          <w:color w:val="auto"/>
        </w:rPr>
      </w:pPr>
    </w:p>
    <w:p>
      <w:pPr>
        <w:jc w:val="both"/>
        <w:ind w:firstLine="314"/>
        <w:spacing w:after="0" w:line="299" w:lineRule="auto"/>
        <w:rPr>
          <w:sz w:val="20"/>
          <w:szCs w:val="20"/>
          <w:color w:val="auto"/>
        </w:rPr>
      </w:pPr>
      <w:r>
        <w:rPr>
          <w:rFonts w:ascii="Times New Roman" w:cs="Times New Roman" w:eastAsia="Times New Roman" w:hAnsi="Times New Roman"/>
          <w:sz w:val="17"/>
          <w:szCs w:val="17"/>
          <w:color w:val="auto"/>
        </w:rPr>
        <w:t xml:space="preserve">See Note 2 – </w:t>
      </w:r>
      <w:r>
        <w:rPr>
          <w:rFonts w:ascii="Times New Roman" w:cs="Times New Roman" w:eastAsia="Times New Roman" w:hAnsi="Times New Roman"/>
          <w:sz w:val="17"/>
          <w:szCs w:val="17"/>
          <w:i w:val="1"/>
          <w:iCs w:val="1"/>
          <w:color w:val="auto"/>
        </w:rPr>
        <w:t>Basis of Presentation and Significant Accounting Policies</w:t>
      </w:r>
      <w:r>
        <w:rPr>
          <w:rFonts w:ascii="Times New Roman" w:cs="Times New Roman" w:eastAsia="Times New Roman" w:hAnsi="Times New Roman"/>
          <w:sz w:val="17"/>
          <w:szCs w:val="17"/>
          <w:color w:val="auto"/>
        </w:rPr>
        <w:t xml:space="preserve"> to our consolidated financial statements in this Annual Report on Form 10-K for a discussion concerning recent accounting pronouncements.</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NOI At Share by Segment for the Years Ended December 31, 2025 and 2024</w:t>
      </w:r>
    </w:p>
    <w:p>
      <w:pPr>
        <w:spacing w:after="0" w:line="6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NOI at share represents total revenues less operating expenses including our share of partially owned entities. NOI at share - cash basis represents NOI at share adjusted to exclude straight-line rental income and expense, amortization of acquired below and above market leases, accruals for ground rent resets yet to be determined, and other non-cash adjustments. We consider NOI at share to be the primary non-GAAP financial measure for making decisions and assessing the unlevered performance of our segments as it relates to the return on assets as opposed to the levered return on equity. As properties are bought and sold based on NOI at share - cash basis, we utilize this measure to make investment decisions as well as to compare the performance of our assets to that of our peers. NOI at share and NOI at share - cash basis should not be considered alternatives to net income or cash flow from operations and may not be comparable to similarly titled measures employed by other companies.</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summary of NOI at share and NOI at share - cash basis by segment for the years ended December 31, 2025 and 2024.</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6"/>
                <w:szCs w:val="16"/>
                <w:color w:val="auto"/>
              </w:rPr>
            </w:pPr>
          </w:p>
        </w:tc>
        <w:tc>
          <w:tcPr>
            <w:tcW w:w="3320" w:type="dxa"/>
            <w:vAlign w:val="bottom"/>
            <w:gridSpan w:val="6"/>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2025</w:t>
            </w:r>
          </w:p>
        </w:tc>
        <w:tc>
          <w:tcPr>
            <w:tcW w:w="106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New York</w:t>
            </w:r>
          </w:p>
        </w:tc>
        <w:tc>
          <w:tcPr>
            <w:tcW w:w="40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1,810,425</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1,476,522</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333,903</w:t>
            </w:r>
          </w:p>
        </w:tc>
      </w:tr>
      <w:tr>
        <w:trPr>
          <w:trHeight w:val="19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(919,959)</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(766,758)</w:t>
            </w: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(153,201)</w:t>
            </w:r>
          </w:p>
        </w:tc>
      </w:tr>
      <w:tr>
        <w:trPr>
          <w:trHeight w:val="19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NOI - consolidated</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890,466</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709,764</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180,702</w:t>
            </w: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(41,882)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(13,846)</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(28,036)</w:t>
            </w:r>
          </w:p>
        </w:tc>
      </w:tr>
      <w:tr>
        <w:trPr>
          <w:trHeight w:val="20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263,315</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253,504</w:t>
            </w:r>
          </w:p>
        </w:tc>
        <w:tc>
          <w:tcPr>
            <w:tcW w:w="1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9,811</w:t>
            </w:r>
          </w:p>
        </w:tc>
      </w:tr>
      <w:tr>
        <w:trPr>
          <w:trHeight w:val="183"/>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NOI at share</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1,111,899</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949,422</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162,477</w:t>
            </w:r>
          </w:p>
        </w:tc>
      </w:tr>
      <w:tr>
        <w:trPr>
          <w:trHeight w:val="19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adjustments for straight-line rents, amortization of acquired below-market leases, net and other</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(131,477)</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(130,602)</w:t>
            </w:r>
          </w:p>
        </w:tc>
        <w:tc>
          <w:tcPr>
            <w:tcW w:w="1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NOI at share - cash basis</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980,422</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818,820</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161,602</w:t>
            </w:r>
          </w:p>
        </w:tc>
      </w:tr>
      <w:tr>
        <w:trPr>
          <w:trHeight w:val="20"/>
        </w:trPr>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6"/>
                <w:szCs w:val="16"/>
                <w:color w:val="auto"/>
              </w:rPr>
            </w:pPr>
          </w:p>
        </w:tc>
        <w:tc>
          <w:tcPr>
            <w:tcW w:w="3320" w:type="dxa"/>
            <w:vAlign w:val="bottom"/>
            <w:gridSpan w:val="6"/>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2024</w:t>
            </w:r>
          </w:p>
        </w:tc>
        <w:tc>
          <w:tcPr>
            <w:tcW w:w="106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New York</w:t>
            </w:r>
          </w:p>
        </w:tc>
        <w:tc>
          <w:tcPr>
            <w:tcW w:w="40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1,787,686</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1,471,997</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315,689</w:t>
            </w:r>
          </w:p>
        </w:tc>
      </w:tr>
      <w:tr>
        <w:trPr>
          <w:trHeight w:val="19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(927,796)</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(766,347)</w:t>
            </w: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(161,449)</w:t>
            </w:r>
          </w:p>
        </w:tc>
      </w:tr>
      <w:tr>
        <w:trPr>
          <w:trHeight w:val="19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NOI - consolidated</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859,890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705,650</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154,240</w:t>
            </w: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(39,367)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(12,899)</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(26,468)</w:t>
            </w:r>
          </w:p>
        </w:tc>
      </w:tr>
      <w:tr>
        <w:trPr>
          <w:trHeight w:val="20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279,229</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269,159</w:t>
            </w:r>
          </w:p>
        </w:tc>
        <w:tc>
          <w:tcPr>
            <w:tcW w:w="1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10,070</w:t>
            </w:r>
          </w:p>
        </w:tc>
      </w:tr>
      <w:tr>
        <w:trPr>
          <w:trHeight w:val="183"/>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NOI at share</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1,099,752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961,910</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137,842</w:t>
            </w:r>
          </w:p>
        </w:tc>
      </w:tr>
      <w:tr>
        <w:trPr>
          <w:trHeight w:val="19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adjustments for straight-line rents, amortization of acquired below-market leases, net and other</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(17,888)</w:t>
            </w:r>
          </w:p>
        </w:tc>
        <w:tc>
          <w:tcPr>
            <w:tcW w:w="1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14,225</w:t>
            </w: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NOI at share - cash basis</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1,096,089</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944,022</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152,067</w:t>
            </w:r>
          </w:p>
        </w:tc>
      </w:tr>
      <w:tr>
        <w:trPr>
          <w:trHeight w:val="20"/>
        </w:trPr>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NOI At Share by Segment for the Years Ended December 31, 2025 and 2024 - continued</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elements of our New York and Other NOI at share for the years ended December 31, 2025 and 2024 are summarized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278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New York:</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Office</w:t>
            </w:r>
            <w:r>
              <w:rPr>
                <w:rFonts w:ascii="Times New Roman" w:cs="Times New Roman" w:eastAsia="Times New Roman" w:hAnsi="Times New Roman"/>
                <w:sz w:val="18"/>
                <w:szCs w:val="18"/>
                <w:b w:val="1"/>
                <w:bCs w:val="1"/>
                <w:color w:val="auto"/>
                <w:vertAlign w:val="superscript"/>
              </w:rPr>
              <w:t>(1)</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713,694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706,592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tcPr>
          <w:p>
            <w:pPr>
              <w:ind w:left="140"/>
              <w:spacing w:after="0" w:line="196" w:lineRule="exact"/>
              <w:rPr>
                <w:sz w:val="20"/>
                <w:szCs w:val="20"/>
                <w:color w:val="auto"/>
              </w:rPr>
            </w:pPr>
            <w:r>
              <w:rPr>
                <w:rFonts w:ascii="Times New Roman" w:cs="Times New Roman" w:eastAsia="Times New Roman" w:hAnsi="Times New Roman"/>
                <w:sz w:val="14"/>
                <w:szCs w:val="14"/>
                <w:color w:val="auto"/>
              </w:rPr>
              <w:t>Retail</w:t>
            </w:r>
            <w:r>
              <w:rPr>
                <w:rFonts w:ascii="Times New Roman" w:cs="Times New Roman" w:eastAsia="Times New Roman" w:hAnsi="Times New Roman"/>
                <w:sz w:val="18"/>
                <w:szCs w:val="18"/>
                <w:b w:val="1"/>
                <w:bCs w:val="1"/>
                <w:color w:val="auto"/>
                <w:vertAlign w:val="superscript"/>
              </w:rPr>
              <w:t>(2)</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175,694</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191,379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24,044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Alexander's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34,628</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39,895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New York</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949,422</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961,910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THE MART</w:t>
            </w:r>
            <w:r>
              <w:rPr>
                <w:rFonts w:ascii="Times New Roman" w:cs="Times New Roman" w:eastAsia="Times New Roman" w:hAnsi="Times New Roman"/>
                <w:sz w:val="18"/>
                <w:szCs w:val="18"/>
                <w:b w:val="1"/>
                <w:bCs w:val="1"/>
                <w:color w:val="auto"/>
                <w:vertAlign w:val="superscript"/>
              </w:rPr>
              <w:t>(3)</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51,686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555 California Street</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68,436</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64,963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investments</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24,845</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21,193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Other</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162,477</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137,842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1,111,899</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1,099,752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1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See notes below.</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elements of our New York and Other NOI at share - cash basis for the years ended December 31, 2025 and 2024 are summarized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278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New York:</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Office</w:t>
            </w:r>
            <w:r>
              <w:rPr>
                <w:rFonts w:ascii="Times New Roman" w:cs="Times New Roman" w:eastAsia="Times New Roman" w:hAnsi="Times New Roman"/>
                <w:sz w:val="9"/>
                <w:szCs w:val="9"/>
                <w:b w:val="1"/>
                <w:bCs w:val="1"/>
                <w:color w:val="auto"/>
              </w:rPr>
              <w:t>(4)</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595,926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698,138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Retail</w:t>
            </w:r>
            <w:r>
              <w:rPr>
                <w:rFonts w:ascii="Times New Roman" w:cs="Times New Roman" w:eastAsia="Times New Roman" w:hAnsi="Times New Roman"/>
                <w:sz w:val="9"/>
                <w:szCs w:val="9"/>
                <w:b w:val="1"/>
                <w:bCs w:val="1"/>
                <w:color w:val="auto"/>
              </w:rPr>
              <w:t>(2)</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160,779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176,798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22,914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Alexander's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38,319</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46,172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New York</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818,820</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944,022</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THE MART</w:t>
            </w:r>
            <w:r>
              <w:rPr>
                <w:rFonts w:ascii="Times New Roman" w:cs="Times New Roman" w:eastAsia="Times New Roman" w:hAnsi="Times New Roman"/>
                <w:sz w:val="9"/>
                <w:szCs w:val="9"/>
                <w:b w:val="1"/>
                <w:bCs w:val="1"/>
                <w:color w:val="auto"/>
              </w:rPr>
              <w:t>(3)</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71,219</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57,235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555 California Street</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65,655</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74,621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investments</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24,728</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20,211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Other</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161,602</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152,067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 cash basis</w:t>
            </w: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980,422</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1,096,089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60" w:type="dxa"/>
            <w:vAlign w:val="bottom"/>
            <w:gridSpan w:val="2"/>
            <w:vMerge w:val="restart"/>
          </w:tcPr>
          <w:p>
            <w:pPr>
              <w:jc w:val="right"/>
              <w:ind w:right="5990"/>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5"/>
        <w:spacing w:after="0" w:line="261" w:lineRule="auto"/>
        <w:tabs>
          <w:tab w:leader="none" w:pos="312"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Increase is primarily due to revenue recognition on new leases partially offset by the impact of the NYU master lease at 770 Broadway, which included a $935,000 rent prepayment (see page 37 for further details).</w:t>
      </w:r>
    </w:p>
    <w:p>
      <w:pPr>
        <w:ind w:left="320" w:hanging="315"/>
        <w:spacing w:after="0"/>
        <w:tabs>
          <w:tab w:leader="none" w:pos="3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2025 includes the impact of the sale of a portion of the 666 Fifth Avenue retail condominium (see page 38 for further details).</w:t>
      </w:r>
    </w:p>
    <w:p>
      <w:pPr>
        <w:ind w:left="320" w:hanging="315"/>
        <w:spacing w:after="0"/>
        <w:tabs>
          <w:tab w:leader="none" w:pos="3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2025 includes the impact of a reversal of a prior period tax accrual resulting from a property tax reassessment.</w:t>
      </w:r>
    </w:p>
    <w:p>
      <w:pPr>
        <w:spacing w:after="0" w:line="5" w:lineRule="exact"/>
        <w:rPr>
          <w:rFonts w:ascii="Times New Roman" w:cs="Times New Roman" w:eastAsia="Times New Roman" w:hAnsi="Times New Roman"/>
          <w:sz w:val="14"/>
          <w:szCs w:val="14"/>
          <w:b w:val="1"/>
          <w:bCs w:val="1"/>
          <w:color w:val="auto"/>
        </w:rPr>
      </w:pPr>
    </w:p>
    <w:p>
      <w:pPr>
        <w:jc w:val="both"/>
        <w:ind w:left="320" w:hanging="315"/>
        <w:spacing w:after="0" w:line="260" w:lineRule="auto"/>
        <w:tabs>
          <w:tab w:leader="none" w:pos="312"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Decrease is primarily due to (i) the impact of the NYU master lease at 770 Broadway, which included a $935,000 rent prepayment (see page 37 for further details), (ii) free rent periods on new leases commencing, and (iii) the April 2025 payment of $22,361 for prior period PENN 1 ground rent owed based on the rent reset determination (which is subject to the ongoing litigation described on page 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NOI At Share by Segment for the Years Ended December 31, 2025 and 2024 - continued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Net Income to NOI At Share and NOI At Share - Cash Basis for the Years Ended December 31, 2025 and 2024</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reconciliation of net income to NOI at share and NOI at share - cash basis for the years ended December 31, 2025 and 2024.</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278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8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937,204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20,116</w:t>
            </w:r>
          </w:p>
        </w:tc>
      </w:tr>
      <w:tr>
        <w:trPr>
          <w:trHeight w:val="189"/>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462,201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447,500</w:t>
            </w:r>
          </w:p>
        </w:tc>
      </w:tr>
      <w:tr>
        <w:trPr>
          <w:trHeight w:val="20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156,115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148,520</w:t>
            </w:r>
          </w:p>
        </w:tc>
      </w:tr>
      <w:tr>
        <w:trPr>
          <w:trHeight w:val="189"/>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 related costs, impairment losses and other</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5,242</w:t>
            </w:r>
          </w:p>
        </w:tc>
      </w:tr>
      <w:tr>
        <w:trPr>
          <w:trHeight w:val="20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partially owned entities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(141,310)</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(112,464)</w:t>
            </w:r>
          </w:p>
        </w:tc>
      </w:tr>
      <w:tr>
        <w:trPr>
          <w:trHeight w:val="189"/>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(55,113)</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(45,974)</w:t>
            </w:r>
          </w:p>
        </w:tc>
      </w:tr>
      <w:tr>
        <w:trPr>
          <w:trHeight w:val="20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sales-type lease</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(803,248)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353,868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390,269</w:t>
            </w:r>
          </w:p>
        </w:tc>
      </w:tr>
      <w:tr>
        <w:trPr>
          <w:trHeight w:val="20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(35,291)</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(16,048)</w:t>
            </w:r>
          </w:p>
        </w:tc>
      </w:tr>
      <w:tr>
        <w:trPr>
          <w:trHeight w:val="189"/>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22,729</w:t>
            </w:r>
          </w:p>
        </w:tc>
      </w:tr>
      <w:tr>
        <w:trPr>
          <w:trHeight w:val="20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from partially owned entities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263,315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279,229</w:t>
            </w:r>
          </w:p>
        </w:tc>
      </w:tr>
      <w:tr>
        <w:trPr>
          <w:trHeight w:val="19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NOI attributable to noncontrolling interests in consolidated subsidiaries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(41,882)</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(39,367)</w:t>
            </w:r>
          </w:p>
        </w:tc>
      </w:tr>
      <w:tr>
        <w:trPr>
          <w:trHeight w:val="19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1,111,899</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1,099,752</w:t>
            </w:r>
          </w:p>
        </w:tc>
      </w:tr>
      <w:tr>
        <w:trPr>
          <w:trHeight w:val="19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Non-cash adjustments for straight-line rents, amortization of acquired below-market leases, net, and other</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(131,477)</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(3,663)</w:t>
            </w:r>
          </w:p>
        </w:tc>
      </w:tr>
      <w:tr>
        <w:trPr>
          <w:trHeight w:val="221"/>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 cash basis</w:t>
            </w: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980,422</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1,096,089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NOI At Share by Region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326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79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3"/>
        </w:trPr>
        <w:tc>
          <w:tcPr>
            <w:tcW w:w="7960" w:type="dxa"/>
            <w:vAlign w:val="bottom"/>
          </w:tcPr>
          <w:p>
            <w:pPr>
              <w:spacing w:after="0"/>
              <w:rPr>
                <w:sz w:val="15"/>
                <w:szCs w:val="15"/>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5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0"/>
        </w:trPr>
        <w:tc>
          <w:tcPr>
            <w:tcW w:w="796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Region:</w:t>
            </w: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3"/>
        </w:trPr>
        <w:tc>
          <w:tcPr>
            <w:tcW w:w="7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 metropolitan area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9"/>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Chicago, IL</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 Francisco, CA</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0"/>
        </w:trPr>
        <w:tc>
          <w:tcPr>
            <w:tcW w:w="796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6"/>
        </w:trPr>
        <w:tc>
          <w:tcPr>
            <w:tcW w:w="79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45" w:name="page46"/>
    <w:bookmarkEnd w:id="45"/>
    <w:p>
      <w:pPr>
        <w:ind w:right="4640"/>
        <w:spacing w:after="0" w:line="322" w:lineRule="auto"/>
        <w:rPr>
          <w:sz w:val="20"/>
          <w:szCs w:val="20"/>
          <w:color w:val="auto"/>
        </w:rPr>
      </w:pPr>
      <w:r>
        <w:rPr>
          <w:rFonts w:ascii="Times New Roman" w:cs="Times New Roman" w:eastAsia="Times New Roman" w:hAnsi="Times New Roman"/>
          <w:sz w:val="17"/>
          <w:szCs w:val="17"/>
          <w:b w:val="1"/>
          <w:bCs w:val="1"/>
          <w:color w:val="auto"/>
        </w:rPr>
        <w:t xml:space="preserve">Results of Operations – Year Ended December 31, 2025 Compared to December 31, 2024 </w:t>
      </w:r>
      <w:r>
        <w:rPr>
          <w:rFonts w:ascii="Times New Roman" w:cs="Times New Roman" w:eastAsia="Times New Roman" w:hAnsi="Times New Roman"/>
          <w:sz w:val="17"/>
          <w:szCs w:val="17"/>
          <w:u w:val="single" w:color="auto"/>
          <w:color w:val="auto"/>
        </w:rPr>
        <w:t>Revenues</w:t>
      </w:r>
    </w:p>
    <w:p>
      <w:pPr>
        <w:spacing w:after="0" w:line="1" w:lineRule="exact"/>
        <w:rPr>
          <w:sz w:val="20"/>
          <w:szCs w:val="20"/>
          <w:color w:val="auto"/>
        </w:rPr>
      </w:pPr>
    </w:p>
    <w:p>
      <w:pPr>
        <w:ind w:firstLine="354"/>
        <w:spacing w:after="0" w:line="296" w:lineRule="auto"/>
        <w:rPr>
          <w:sz w:val="20"/>
          <w:szCs w:val="20"/>
          <w:color w:val="auto"/>
        </w:rPr>
      </w:pPr>
      <w:r>
        <w:rPr>
          <w:rFonts w:ascii="Times New Roman" w:cs="Times New Roman" w:eastAsia="Times New Roman" w:hAnsi="Times New Roman"/>
          <w:sz w:val="17"/>
          <w:szCs w:val="17"/>
          <w:color w:val="auto"/>
        </w:rPr>
        <w:t>Our revenues were $1,810,425,000 for the year ended December 31, 2025 compared to $1,787,686,000 in the prior year, an increase of $22,739,000. Below are the details of the increase by segment: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(Decrease) increase due to:</w:t>
            </w:r>
          </w:p>
        </w:tc>
        <w:tc>
          <w:tcPr>
            <w:tcW w:w="420" w:type="dxa"/>
            <w:vAlign w:val="bottom"/>
          </w:tcPr>
          <w:p>
            <w:pPr>
              <w:spacing w:after="0"/>
              <w:rPr>
                <w:sz w:val="17"/>
                <w:szCs w:val="17"/>
                <w:color w:val="auto"/>
              </w:rPr>
            </w:pP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7"/>
                <w:szCs w:val="17"/>
                <w:color w:val="auto"/>
              </w:rPr>
            </w:pPr>
          </w:p>
        </w:tc>
        <w:tc>
          <w:tcPr>
            <w:tcW w:w="16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420" w:type="dxa"/>
            <w:vAlign w:val="bottom"/>
          </w:tcPr>
          <w:p>
            <w:pPr>
              <w:spacing w:after="0"/>
              <w:rPr>
                <w:sz w:val="17"/>
                <w:szCs w:val="17"/>
                <w:color w:val="auto"/>
              </w:rPr>
            </w:pPr>
          </w:p>
        </w:tc>
        <w:tc>
          <w:tcPr>
            <w:tcW w:w="1480" w:type="dxa"/>
            <w:vAlign w:val="bottom"/>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3"/>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Rental revenues:</w:t>
            </w: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5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Acquisitions, dispositions and other</w:t>
            </w:r>
          </w:p>
        </w:tc>
        <w:tc>
          <w:tcPr>
            <w:tcW w:w="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(53,018)</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(56,897)</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3,879</w:t>
            </w:r>
          </w:p>
        </w:tc>
        <w:tc>
          <w:tcPr>
            <w:tcW w:w="0" w:type="dxa"/>
            <w:vAlign w:val="bottom"/>
          </w:tcPr>
          <w:p>
            <w:pPr>
              <w:spacing w:after="0"/>
              <w:rPr>
                <w:sz w:val="1"/>
                <w:szCs w:val="1"/>
                <w:color w:val="auto"/>
              </w:rPr>
            </w:pPr>
          </w:p>
        </w:tc>
      </w:tr>
      <w:tr>
        <w:trPr>
          <w:trHeight w:val="189"/>
        </w:trPr>
        <w:tc>
          <w:tcPr>
            <w:tcW w:w="53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Development and redevelopment</w:t>
            </w:r>
          </w:p>
        </w:tc>
        <w:tc>
          <w:tcPr>
            <w:tcW w:w="4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5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Trade shows</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90"/>
        </w:trPr>
        <w:tc>
          <w:tcPr>
            <w:tcW w:w="53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Same store operations</w:t>
            </w: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41,721</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39,505</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2,216</w:t>
            </w: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(10,565)</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(17,116)</w:t>
            </w:r>
          </w:p>
        </w:tc>
        <w:tc>
          <w:tcPr>
            <w:tcW w:w="1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6,551</w:t>
            </w:r>
          </w:p>
        </w:tc>
        <w:tc>
          <w:tcPr>
            <w:tcW w:w="0" w:type="dxa"/>
            <w:vAlign w:val="bottom"/>
          </w:tcPr>
          <w:p>
            <w:pPr>
              <w:spacing w:after="0"/>
              <w:rPr>
                <w:sz w:val="1"/>
                <w:szCs w:val="1"/>
                <w:color w:val="auto"/>
              </w:rPr>
            </w:pPr>
          </w:p>
        </w:tc>
      </w:tr>
      <w:tr>
        <w:trPr>
          <w:trHeight w:val="363"/>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and other income:</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BMS cleaning fees</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8,461</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6,623</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1,838</w:t>
            </w:r>
          </w:p>
        </w:tc>
        <w:tc>
          <w:tcPr>
            <w:tcW w:w="0" w:type="dxa"/>
            <w:vAlign w:val="bottom"/>
          </w:tcPr>
          <w:p>
            <w:pPr>
              <w:spacing w:after="0"/>
              <w:rPr>
                <w:sz w:val="1"/>
                <w:szCs w:val="1"/>
                <w:color w:val="auto"/>
              </w:rPr>
            </w:pPr>
          </w:p>
        </w:tc>
      </w:tr>
      <w:tr>
        <w:trPr>
          <w:trHeight w:val="189"/>
        </w:trPr>
        <w:tc>
          <w:tcPr>
            <w:tcW w:w="53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Management and leasing fees</w:t>
            </w:r>
          </w:p>
        </w:tc>
        <w:tc>
          <w:tcPr>
            <w:tcW w:w="4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97"/>
        </w:trPr>
        <w:tc>
          <w:tcPr>
            <w:tcW w:w="5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27,959</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18,304</w:t>
            </w:r>
          </w:p>
        </w:tc>
        <w:tc>
          <w:tcPr>
            <w:tcW w:w="14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9,655</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33,304</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21,641</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11,663</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increase in revenues</w:t>
            </w: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22,739</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4,525</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18,214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Expenses</w:t>
      </w:r>
    </w:p>
    <w:p>
      <w:pPr>
        <w:spacing w:after="0" w:line="66" w:lineRule="exact"/>
        <w:rPr>
          <w:sz w:val="20"/>
          <w:szCs w:val="20"/>
          <w:color w:val="auto"/>
        </w:rPr>
      </w:pPr>
    </w:p>
    <w:p>
      <w:pPr>
        <w:jc w:val="both"/>
        <w:ind w:firstLine="354"/>
        <w:spacing w:after="0" w:line="296" w:lineRule="auto"/>
        <w:rPr>
          <w:sz w:val="20"/>
          <w:szCs w:val="20"/>
          <w:color w:val="auto"/>
        </w:rPr>
      </w:pPr>
      <w:r>
        <w:rPr>
          <w:rFonts w:ascii="Times New Roman" w:cs="Times New Roman" w:eastAsia="Times New Roman" w:hAnsi="Times New Roman"/>
          <w:sz w:val="17"/>
          <w:szCs w:val="17"/>
          <w:color w:val="auto"/>
        </w:rPr>
        <w:t>Our expenses were $1,551,744,000 for the year ended December 31, 2025 compared to $1,541,696,000 in the prior year, an increase of $10,048,000. Below are the details of the increase (decrease) by segment: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increase due to:</w:t>
            </w:r>
          </w:p>
        </w:tc>
        <w:tc>
          <w:tcPr>
            <w:tcW w:w="440" w:type="dxa"/>
            <w:vAlign w:val="bottom"/>
          </w:tcPr>
          <w:p>
            <w:pPr>
              <w:spacing w:after="0"/>
              <w:rPr>
                <w:sz w:val="17"/>
                <w:szCs w:val="17"/>
                <w:color w:val="auto"/>
              </w:rPr>
            </w:pP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7"/>
                <w:szCs w:val="17"/>
                <w:color w:val="auto"/>
              </w:rPr>
            </w:pP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440" w:type="dxa"/>
            <w:vAlign w:val="bottom"/>
          </w:tcPr>
          <w:p>
            <w:pPr>
              <w:spacing w:after="0"/>
              <w:rPr>
                <w:sz w:val="17"/>
                <w:szCs w:val="17"/>
                <w:color w:val="auto"/>
              </w:rPr>
            </w:pPr>
          </w:p>
        </w:tc>
        <w:tc>
          <w:tcPr>
            <w:tcW w:w="176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Acquisitions, dispositions and other</w:t>
            </w:r>
          </w:p>
        </w:tc>
        <w:tc>
          <w:tcPr>
            <w:tcW w:w="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(17,615)</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(17,615)</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Development and redevelopment</w:t>
            </w: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Non-reimbursable expenses</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Trade shows</w:t>
            </w: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BMS expenses</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9,265</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Same store operations</w:t>
            </w: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xml:space="preserve">(10,676) </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(7,837)</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(8,248)</w:t>
            </w: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Acquisitions, dispositions and other</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(14,959)</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Same store operations</w:t>
            </w: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29,660</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27,682</w:t>
            </w:r>
          </w:p>
        </w:tc>
        <w:tc>
          <w:tcPr>
            <w:tcW w:w="1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14,701</w:t>
            </w:r>
          </w:p>
        </w:tc>
        <w:tc>
          <w:tcPr>
            <w:tcW w:w="14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11,739</w:t>
            </w:r>
          </w:p>
        </w:tc>
        <w:tc>
          <w:tcPr>
            <w:tcW w:w="1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General and administrative</w:t>
            </w:r>
          </w:p>
        </w:tc>
        <w:tc>
          <w:tcPr>
            <w:tcW w:w="4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7,595</w:t>
            </w:r>
          </w:p>
        </w:tc>
        <w:tc>
          <w:tcPr>
            <w:tcW w:w="14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2,810</w:t>
            </w:r>
          </w:p>
        </w:tc>
        <w:tc>
          <w:tcPr>
            <w:tcW w:w="1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deferred compensation plan liability</w:t>
            </w: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 related costs, impairment losses and other</w:t>
            </w:r>
          </w:p>
        </w:tc>
        <w:tc>
          <w:tcPr>
            <w:tcW w:w="4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w:t>
            </w:r>
          </w:p>
        </w:tc>
        <w:tc>
          <w:tcPr>
            <w:tcW w:w="14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1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increase (decrease) in expenses</w:t>
            </w:r>
          </w:p>
        </w:tc>
        <w:tc>
          <w:tcPr>
            <w:tcW w:w="4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10,048</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12,008</w:t>
            </w: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60" w:type="dxa"/>
            <w:vAlign w:val="bottom"/>
            <w:gridSpan w:val="2"/>
            <w:vMerge w:val="restart"/>
          </w:tcPr>
          <w:p>
            <w:pPr>
              <w:jc w:val="right"/>
              <w:ind w:right="2790"/>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9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320" w:hanging="315"/>
        <w:spacing w:after="0"/>
        <w:tabs>
          <w:tab w:leader="none" w:pos="32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2025 includes the impact of a reversal of a prior period tax accrual resulting from a property tax reassessment.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Results of Operations – Year Ended December 31, 2025 Compared to December 31, 2024 - continued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Income from Partially Owned Entities</w:t>
      </w:r>
    </w:p>
    <w:p>
      <w:pPr>
        <w:spacing w:after="0" w:line="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Below are the components of income from partially owned entities.</w:t>
      </w: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Ownership as</w:t>
            </w:r>
          </w:p>
        </w:tc>
        <w:tc>
          <w:tcPr>
            <w:tcW w:w="380" w:type="dxa"/>
            <w:vAlign w:val="bottom"/>
          </w:tcPr>
          <w:p>
            <w:pPr>
              <w:spacing w:after="0"/>
              <w:rPr>
                <w:sz w:val="16"/>
                <w:szCs w:val="16"/>
                <w:color w:val="auto"/>
              </w:rPr>
            </w:pPr>
          </w:p>
        </w:tc>
        <w:tc>
          <w:tcPr>
            <w:tcW w:w="3100" w:type="dxa"/>
            <w:vAlign w:val="bottom"/>
            <w:gridSpan w:val="4"/>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940" w:type="dxa"/>
            <w:vAlign w:val="bottom"/>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of December 31, 2025</w:t>
            </w:r>
          </w:p>
        </w:tc>
        <w:tc>
          <w:tcPr>
            <w:tcW w:w="380" w:type="dxa"/>
            <w:vAlign w:val="bottom"/>
          </w:tcPr>
          <w:p>
            <w:pPr>
              <w:spacing w:after="0"/>
              <w:rPr>
                <w:sz w:val="15"/>
                <w:szCs w:val="15"/>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Our share of net income (loss):</w:t>
            </w:r>
          </w:p>
        </w:tc>
        <w:tc>
          <w:tcPr>
            <w:tcW w:w="1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Fifth Avenue and Times Square JV:</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shd w:val="clear" w:color="auto" w:fill="CCEEFF"/>
          </w:tcPr>
          <w:p>
            <w:pPr>
              <w:ind w:left="260"/>
              <w:spacing w:after="0" w:line="196" w:lineRule="exact"/>
              <w:rPr>
                <w:sz w:val="20"/>
                <w:szCs w:val="20"/>
                <w:color w:val="auto"/>
              </w:rPr>
            </w:pPr>
            <w:r>
              <w:rPr>
                <w:rFonts w:ascii="Times New Roman" w:cs="Times New Roman" w:eastAsia="Times New Roman" w:hAnsi="Times New Roman"/>
                <w:sz w:val="14"/>
                <w:szCs w:val="14"/>
                <w:color w:val="auto"/>
              </w:rPr>
              <w:t>Equity in net income</w:t>
            </w:r>
            <w:r>
              <w:rPr>
                <w:rFonts w:ascii="Times New Roman" w:cs="Times New Roman" w:eastAsia="Times New Roman" w:hAnsi="Times New Roman"/>
                <w:sz w:val="18"/>
                <w:szCs w:val="18"/>
                <w:b w:val="1"/>
                <w:bCs w:val="1"/>
                <w:color w:val="auto"/>
                <w:vertAlign w:val="superscript"/>
              </w:rPr>
              <w:t>(1)</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14,716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43,451</w:t>
            </w:r>
          </w:p>
        </w:tc>
        <w:tc>
          <w:tcPr>
            <w:tcW w:w="0" w:type="dxa"/>
            <w:vAlign w:val="bottom"/>
          </w:tcPr>
          <w:p>
            <w:pPr>
              <w:spacing w:after="0"/>
              <w:rPr>
                <w:sz w:val="1"/>
                <w:szCs w:val="1"/>
                <w:color w:val="auto"/>
              </w:rPr>
            </w:pPr>
          </w:p>
        </w:tc>
      </w:tr>
      <w:tr>
        <w:trPr>
          <w:trHeight w:val="196"/>
        </w:trPr>
        <w:tc>
          <w:tcPr>
            <w:tcW w:w="5940" w:type="dxa"/>
            <w:vAlign w:val="bottom"/>
          </w:tcPr>
          <w:p>
            <w:pPr>
              <w:ind w:left="260"/>
              <w:spacing w:after="0" w:line="196" w:lineRule="exact"/>
              <w:rPr>
                <w:sz w:val="20"/>
                <w:szCs w:val="20"/>
                <w:color w:val="auto"/>
              </w:rPr>
            </w:pPr>
            <w:r>
              <w:rPr>
                <w:rFonts w:ascii="Times New Roman" w:cs="Times New Roman" w:eastAsia="Times New Roman" w:hAnsi="Times New Roman"/>
                <w:sz w:val="14"/>
                <w:szCs w:val="14"/>
                <w:color w:val="auto"/>
              </w:rPr>
              <w:t>Return on preferred equity, net of our share of the expense</w:t>
            </w:r>
            <w:r>
              <w:rPr>
                <w:rFonts w:ascii="Times New Roman" w:cs="Times New Roman" w:eastAsia="Times New Roman" w:hAnsi="Times New Roman"/>
                <w:sz w:val="18"/>
                <w:szCs w:val="18"/>
                <w:b w:val="1"/>
                <w:bCs w:val="1"/>
                <w:color w:val="auto"/>
                <w:vertAlign w:val="superscript"/>
              </w:rPr>
              <w:t>(2)</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27,528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40,668</w:t>
            </w:r>
          </w:p>
        </w:tc>
        <w:tc>
          <w:tcPr>
            <w:tcW w:w="0" w:type="dxa"/>
            <w:vAlign w:val="bottom"/>
          </w:tcPr>
          <w:p>
            <w:pPr>
              <w:spacing w:after="0"/>
              <w:rPr>
                <w:sz w:val="1"/>
                <w:szCs w:val="1"/>
                <w:color w:val="auto"/>
              </w:rPr>
            </w:pPr>
          </w:p>
        </w:tc>
      </w:tr>
      <w:tr>
        <w:trPr>
          <w:trHeight w:val="190"/>
        </w:trPr>
        <w:tc>
          <w:tcPr>
            <w:tcW w:w="5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gain on sale</w:t>
            </w: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76,162</w:t>
            </w:r>
          </w:p>
        </w:tc>
        <w:tc>
          <w:tcPr>
            <w:tcW w:w="1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118,406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84,119</w:t>
            </w:r>
          </w:p>
        </w:tc>
        <w:tc>
          <w:tcPr>
            <w:tcW w:w="0" w:type="dxa"/>
            <w:vAlign w:val="bottom"/>
          </w:tcPr>
          <w:p>
            <w:pPr>
              <w:spacing w:after="0"/>
              <w:rPr>
                <w:sz w:val="1"/>
                <w:szCs w:val="1"/>
                <w:color w:val="auto"/>
              </w:rPr>
            </w:pPr>
          </w:p>
        </w:tc>
      </w:tr>
      <w:tr>
        <w:trPr>
          <w:trHeight w:val="204"/>
        </w:trPr>
        <w:tc>
          <w:tcPr>
            <w:tcW w:w="59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Partially owned office buildings</w:t>
            </w:r>
            <w:r>
              <w:rPr>
                <w:rFonts w:ascii="Times New Roman" w:cs="Times New Roman" w:eastAsia="Times New Roman" w:hAnsi="Times New Roman"/>
                <w:sz w:val="18"/>
                <w:szCs w:val="18"/>
                <w:b w:val="1"/>
                <w:bCs w:val="1"/>
                <w:color w:val="auto"/>
                <w:vertAlign w:val="superscript"/>
              </w:rPr>
              <w:t>(3)(4)</w:t>
            </w:r>
          </w:p>
        </w:tc>
        <w:tc>
          <w:tcPr>
            <w:tcW w:w="1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4"/>
              </w:rPr>
              <w:t>Various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0" w:type="dxa"/>
            <w:vAlign w:val="bottom"/>
          </w:tcPr>
          <w:p>
            <w:pPr>
              <w:spacing w:after="0"/>
              <w:rPr>
                <w:sz w:val="1"/>
                <w:szCs w:val="1"/>
                <w:color w:val="auto"/>
              </w:rPr>
            </w:pPr>
          </w:p>
        </w:tc>
      </w:tr>
      <w:tr>
        <w:trPr>
          <w:trHeight w:val="189"/>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Alexander's Inc.</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14,632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19,076</w:t>
            </w:r>
          </w:p>
        </w:tc>
        <w:tc>
          <w:tcPr>
            <w:tcW w:w="0" w:type="dxa"/>
            <w:vAlign w:val="bottom"/>
          </w:tcPr>
          <w:p>
            <w:pPr>
              <w:spacing w:after="0"/>
              <w:rPr>
                <w:sz w:val="1"/>
                <w:szCs w:val="1"/>
                <w:color w:val="auto"/>
              </w:rPr>
            </w:pPr>
          </w:p>
        </w:tc>
      </w:tr>
      <w:tr>
        <w:trPr>
          <w:trHeight w:val="204"/>
        </w:trPr>
        <w:tc>
          <w:tcPr>
            <w:tcW w:w="59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Other investments</w:t>
            </w:r>
            <w:r>
              <w:rPr>
                <w:rFonts w:ascii="Times New Roman" w:cs="Times New Roman" w:eastAsia="Times New Roman" w:hAnsi="Times New Roman"/>
                <w:sz w:val="18"/>
                <w:szCs w:val="18"/>
                <w:b w:val="1"/>
                <w:bCs w:val="1"/>
                <w:color w:val="auto"/>
                <w:vertAlign w:val="superscript"/>
              </w:rPr>
              <w:t>(5)</w:t>
            </w:r>
          </w:p>
        </w:tc>
        <w:tc>
          <w:tcPr>
            <w:tcW w:w="1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4"/>
              </w:rPr>
              <w:t>Various</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10,977</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0" w:type="dxa"/>
            <w:vAlign w:val="bottom"/>
          </w:tcPr>
          <w:p>
            <w:pPr>
              <w:spacing w:after="0"/>
              <w:rPr>
                <w:sz w:val="1"/>
                <w:szCs w:val="1"/>
                <w:color w:val="auto"/>
              </w:rPr>
            </w:pPr>
          </w:p>
        </w:tc>
      </w:tr>
      <w:tr>
        <w:trPr>
          <w:trHeight w:val="183"/>
        </w:trPr>
        <w:tc>
          <w:tcPr>
            <w:tcW w:w="5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141,310</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112,464</w:t>
            </w:r>
          </w:p>
        </w:tc>
        <w:tc>
          <w:tcPr>
            <w:tcW w:w="0" w:type="dxa"/>
            <w:vAlign w:val="bottom"/>
          </w:tcPr>
          <w:p>
            <w:pPr>
              <w:spacing w:after="0"/>
              <w:rPr>
                <w:sz w:val="1"/>
                <w:szCs w:val="1"/>
                <w:color w:val="auto"/>
              </w:rPr>
            </w:pPr>
          </w:p>
        </w:tc>
      </w:tr>
      <w:tr>
        <w:trPr>
          <w:trHeight w:val="26"/>
        </w:trPr>
        <w:tc>
          <w:tcPr>
            <w:tcW w:w="59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33" w:lineRule="exact"/>
        <w:rPr>
          <w:sz w:val="20"/>
          <w:szCs w:val="20"/>
          <w:color w:val="auto"/>
        </w:rPr>
      </w:pPr>
    </w:p>
    <w:p>
      <w:pPr>
        <w:ind w:left="320" w:hanging="315"/>
        <w:spacing w:after="0"/>
        <w:tabs>
          <w:tab w:leader="none" w:pos="32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Decrease primarily due to the January 2025 sale of a portion of the 666 Fifth Avenue condominium and the April 2025 financing of 1535 Broadway, see page 38 for further details.</w:t>
      </w:r>
    </w:p>
    <w:p>
      <w:pPr>
        <w:spacing w:after="0" w:line="2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Decrease due to 2025 partial redemptions of our preferred equity interests.</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280 Park Avenue, 7 West 34th Street, 61 Ninth Avenue, 85 Tenth Avenue and others.</w:t>
      </w:r>
    </w:p>
    <w:p>
      <w:pPr>
        <w:ind w:left="320" w:hanging="315"/>
        <w:spacing w:after="0" w:line="250" w:lineRule="auto"/>
        <w:tabs>
          <w:tab w:leader="none" w:pos="312"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2025 includes the $11,002 gain associated with the sale of 512 West 22nd Street, see page 38 for further details. 2024 includes our $31,215 share of the debt extinguishment gain from the repayment of the 280 Park Avenue mezzanine loan.</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Independence Plaza, Sunset Pier 94 Joint Venture (“Pier 94 JV”), Rosslyn Plaza and others.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Interest and Other Investment Income, net</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details of interest and other investment income, net.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00" w:type="dxa"/>
            <w:vAlign w:val="bottom"/>
          </w:tcPr>
          <w:p>
            <w:pPr>
              <w:spacing w:after="0"/>
              <w:rPr>
                <w:sz w:val="16"/>
                <w:szCs w:val="16"/>
                <w:color w:val="auto"/>
              </w:rPr>
            </w:pPr>
          </w:p>
        </w:tc>
        <w:tc>
          <w:tcPr>
            <w:tcW w:w="306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77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cash and cash equivalents and restricted cash</w:t>
            </w: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42,571</w:t>
            </w:r>
          </w:p>
        </w:tc>
      </w:tr>
      <w:tr>
        <w:trPr>
          <w:trHeight w:val="189"/>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loans receivable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w:t>
            </w:r>
          </w:p>
        </w:tc>
      </w:tr>
      <w:tr>
        <w:trPr>
          <w:trHeight w:val="204"/>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real estate fund investments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9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 in fair value of marketable securities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5"/>
        </w:trPr>
        <w:tc>
          <w:tcPr>
            <w:tcW w:w="77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55,113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47" w:name="page48"/>
    <w:bookmarkEnd w:id="47"/>
    <w:p>
      <w:pPr>
        <w:ind w:right="3760"/>
        <w:spacing w:after="0" w:line="322" w:lineRule="auto"/>
        <w:rPr>
          <w:sz w:val="20"/>
          <w:szCs w:val="20"/>
          <w:color w:val="auto"/>
        </w:rPr>
      </w:pPr>
      <w:r>
        <w:rPr>
          <w:rFonts w:ascii="Times New Roman" w:cs="Times New Roman" w:eastAsia="Times New Roman" w:hAnsi="Times New Roman"/>
          <w:sz w:val="17"/>
          <w:szCs w:val="17"/>
          <w:b w:val="1"/>
          <w:bCs w:val="1"/>
          <w:color w:val="auto"/>
        </w:rPr>
        <w:t xml:space="preserve">Results of Operations – Year Ended December 31, 2025 Compared to December 31, 2024 - continued </w:t>
      </w:r>
      <w:r>
        <w:rPr>
          <w:rFonts w:ascii="Times New Roman" w:cs="Times New Roman" w:eastAsia="Times New Roman" w:hAnsi="Times New Roman"/>
          <w:sz w:val="17"/>
          <w:szCs w:val="17"/>
          <w:u w:val="single" w:color="auto"/>
          <w:color w:val="auto"/>
        </w:rPr>
        <w:t>Interest and Debt Expense</w:t>
      </w:r>
    </w:p>
    <w:p>
      <w:pPr>
        <w:spacing w:after="0" w:line="1"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Interest and debt expense was $353,868,000 for the year ended December 31, 2025, compared to $390,269,000 in the prior year, a decrease of $36,401,000. This was primarily due to (i) $38,690,000 of lower interest expense resulting from lower average debt balances, (ii) $18,279,000 of lower amortization of interest rate cap premiums and (iii) $2,667,000 of lower amortization of deferred financing costs, partially offset by (iv) $12,564,000 of lower capitalized interest expense and (v) $11,494,000 of higher interest expense resulting from higher average interest rates, inclusive of the impact of our interest rate hedging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Net Gains on Disposition of Wholly Owned and Partially Owned Assets</w:t>
      </w:r>
    </w:p>
    <w:p>
      <w:pPr>
        <w:spacing w:after="0" w:line="6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Net gains on disposition of wholly owned and partially owned assets of $35,291,000 for the year ended December 31, 2025, consists of (i) $21,080,000 from the sale of three condominium units and ancillary amenities at 220 CPS and (ii) $14,211,000 from the sale of eight Canal Street residential condominium units and two retail condominium units. Net gains on disposition of wholly owned and partially owned assets of $16,048,000 for the year ended December 31, 2024, consists of (i) $15,175,000 from the sale of two condominium units at 220 CPS and (ii) $873,000 from the sale of our 49.9% interest in 50-70 West 93rd Street to our joint venture partner.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Income Tax Expense</w:t>
      </w:r>
    </w:p>
    <w:p>
      <w:pPr>
        <w:spacing w:after="0" w:line="66"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Income tax expense was $13,509,000 for the year ended December 31, 2025, compared to $22,729,000 in the prior year, a decrease of $9,220,000. This was primarily due to lower income tax expense incurred by our taxable REIT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Net Loss Attributable to Noncontrolling Interests in Consolidated Subsidiaries</w:t>
      </w:r>
    </w:p>
    <w:p>
      <w:pPr>
        <w:spacing w:after="0" w:line="6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Net loss attributable to noncontrolling interests in consolidated subsidiaries was $41,622,000 for the year ended December 31, 2025, compared to $51,131,000 in the prior year, a decrease of $9,509,000.</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Same Store Net Operating Income At Share</w:t>
      </w:r>
    </w:p>
    <w:p>
      <w:pPr>
        <w:spacing w:after="0" w:line="66"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Same store NOI at share represents NOI at share from operations which are in service in both the current and prior year reporting periods. Same store NOI at share - cash basis is same store NOI at share adjusted to exclude straight-line rental income and expense, amortization of acquired below and above market leases, accruals for ground rent resets yet to be determined, and other non-cash adjustments. We use these non-GAAP measures to (i) facilitate meaningful comparisons of the operational performance of our properties and segments, (ii) make decisions on whether to buy, sell or refinance properties, and (iii) compare the performance of our properties and segments to those of our peers. Same store NOI at share and same store NOI at share - cash basis should not be considered alternatives to net income or cash flow from operations and may not be comparable to similarly titled measures employed by other companies.</w:t>
      </w:r>
    </w:p>
    <w:p>
      <w:pPr>
        <w:spacing w:after="0" w:line="15"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Below are reconciliations of NOI at share to same store NOI at share for our New York segment, THE MART, 555 California Street and other investments for the year ended December 31, 2025 compared to December 31, 2024.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8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555 California</w:t>
            </w:r>
          </w:p>
        </w:tc>
        <w:tc>
          <w:tcPr>
            <w:tcW w:w="260" w:type="dxa"/>
            <w:vAlign w:val="bottom"/>
          </w:tcPr>
          <w:p>
            <w:pPr>
              <w:spacing w:after="0"/>
              <w:rPr>
                <w:sz w:val="13"/>
                <w:szCs w:val="13"/>
                <w:color w:val="auto"/>
              </w:rPr>
            </w:pPr>
          </w:p>
        </w:tc>
        <w:tc>
          <w:tcPr>
            <w:tcW w:w="960" w:type="dxa"/>
            <w:vAlign w:val="bottom"/>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Street</w:t>
            </w: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for the year ended December 31, 2025</w:t>
            </w: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1,111,899</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949,422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69,196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68,436</w:t>
            </w: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24,845</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from:</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(4,953)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(4,691)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8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(17,127)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(17,127)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(61,565)</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(33,847)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(2,734)</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(24,845)</w:t>
            </w: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Same store NOI at share for the year ended December 31, 2025</w:t>
            </w: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1,028,254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893,757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68,795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65,702</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for the year ended December 31, 2024</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1,099,752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961,910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51,686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64,963</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21,193</w:t>
            </w:r>
          </w:p>
        </w:tc>
        <w:tc>
          <w:tcPr>
            <w:tcW w:w="0" w:type="dxa"/>
            <w:vAlign w:val="bottom"/>
          </w:tcPr>
          <w:p>
            <w:pPr>
              <w:spacing w:after="0"/>
              <w:rPr>
                <w:sz w:val="1"/>
                <w:szCs w:val="1"/>
                <w:color w:val="auto"/>
              </w:rPr>
            </w:pPr>
          </w:p>
        </w:tc>
      </w:tr>
      <w:tr>
        <w:trPr>
          <w:trHeight w:val="18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from:</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(19,813)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(19,347)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8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(33,914)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(33,914)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4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(70,025)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(48,706)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(126)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(21,193)</w:t>
            </w: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Same store NOI at share for the year ended December 31, 2024</w:t>
            </w: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976,000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859,943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51,220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64,837</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Increase in same store NOI at share</w:t>
            </w: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52,254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33,814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17,575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865</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 increase in same store NOI at share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34.3 %</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48" w:name="page49"/>
    <w:bookmarkEnd w:id="48"/>
    <w:p>
      <w:pPr>
        <w:ind w:right="3760"/>
        <w:spacing w:after="0" w:line="355" w:lineRule="auto"/>
        <w:rPr>
          <w:sz w:val="20"/>
          <w:szCs w:val="20"/>
          <w:color w:val="auto"/>
        </w:rPr>
      </w:pPr>
      <w:r>
        <w:rPr>
          <w:rFonts w:ascii="Times New Roman" w:cs="Times New Roman" w:eastAsia="Times New Roman" w:hAnsi="Times New Roman"/>
          <w:sz w:val="17"/>
          <w:szCs w:val="17"/>
          <w:b w:val="1"/>
          <w:bCs w:val="1"/>
          <w:color w:val="auto"/>
        </w:rPr>
        <w:t xml:space="preserve">Results of Operations – Year Ended December 31, 2025 Compared to December 31, 2024 - continued </w:t>
      </w:r>
      <w:r>
        <w:rPr>
          <w:rFonts w:ascii="Times New Roman" w:cs="Times New Roman" w:eastAsia="Times New Roman" w:hAnsi="Times New Roman"/>
          <w:sz w:val="17"/>
          <w:szCs w:val="17"/>
          <w:u w:val="single" w:color="auto"/>
          <w:color w:val="auto"/>
        </w:rPr>
        <w:t>Same Store Net Operating Income At Share - continued</w:t>
      </w:r>
    </w:p>
    <w:p>
      <w:pPr>
        <w:ind w:firstLine="314"/>
        <w:spacing w:after="0" w:line="296" w:lineRule="auto"/>
        <w:rPr>
          <w:sz w:val="20"/>
          <w:szCs w:val="20"/>
          <w:color w:val="auto"/>
        </w:rPr>
      </w:pPr>
      <w:r>
        <w:rPr>
          <w:rFonts w:ascii="Times New Roman" w:cs="Times New Roman" w:eastAsia="Times New Roman" w:hAnsi="Times New Roman"/>
          <w:sz w:val="17"/>
          <w:szCs w:val="17"/>
          <w:color w:val="auto"/>
        </w:rPr>
        <w:t>Below are reconciliations of NOI at share - cash basis to same store NOI at share - cash basis for our New York segment, THE MART, 555 California Street and other investments for the year ended December 31, 2025 compared to December 31, 2024.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3"/>
                <w:szCs w:val="13"/>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140" w:type="dxa"/>
            <w:vAlign w:val="bottom"/>
          </w:tcPr>
          <w:p>
            <w:pPr>
              <w:spacing w:after="0"/>
              <w:rPr>
                <w:sz w:val="13"/>
                <w:szCs w:val="13"/>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THE MART</w:t>
            </w:r>
          </w:p>
        </w:tc>
        <w:tc>
          <w:tcPr>
            <w:tcW w:w="12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555 California</w:t>
            </w:r>
          </w:p>
        </w:tc>
        <w:tc>
          <w:tcPr>
            <w:tcW w:w="260" w:type="dxa"/>
            <w:vAlign w:val="bottom"/>
          </w:tcPr>
          <w:p>
            <w:pPr>
              <w:spacing w:after="0"/>
              <w:rPr>
                <w:sz w:val="13"/>
                <w:szCs w:val="13"/>
                <w:color w:val="auto"/>
              </w:rPr>
            </w:pPr>
          </w:p>
        </w:tc>
        <w:tc>
          <w:tcPr>
            <w:tcW w:w="920" w:type="dxa"/>
            <w:vAlign w:val="bottom"/>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Street</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NOI at share - cash basis for the year ended December 31, 2025</w:t>
            </w: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980,422</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818,820</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71,219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65,655</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24,728</w:t>
            </w:r>
          </w:p>
        </w:tc>
        <w:tc>
          <w:tcPr>
            <w:tcW w:w="0" w:type="dxa"/>
            <w:vAlign w:val="bottom"/>
          </w:tcPr>
          <w:p>
            <w:pPr>
              <w:spacing w:after="0"/>
              <w:rPr>
                <w:sz w:val="1"/>
                <w:szCs w:val="1"/>
                <w:color w:val="auto"/>
              </w:rPr>
            </w:pPr>
          </w:p>
        </w:tc>
      </w:tr>
      <w:tr>
        <w:trPr>
          <w:trHeight w:val="189"/>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NOI at share - cash basis from:</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(5,304)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(5,040)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6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(16,167)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(16,167)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(35,208)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(7,067)</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(3,260)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(24,728)</w:t>
            </w:r>
          </w:p>
        </w:tc>
        <w:tc>
          <w:tcPr>
            <w:tcW w:w="0" w:type="dxa"/>
            <w:vAlign w:val="bottom"/>
          </w:tcPr>
          <w:p>
            <w:pPr>
              <w:spacing w:after="0"/>
              <w:rPr>
                <w:sz w:val="1"/>
                <w:szCs w:val="1"/>
                <w:color w:val="auto"/>
              </w:rPr>
            </w:pP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Same store NOI at share - cash basis for the year ended December 31, 2025</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923,743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790,546</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70,802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62,395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 at share - cash basis for the year ended December 31, 2024</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1,096,089</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944,022</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57,235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74,621</w:t>
            </w:r>
          </w:p>
        </w:tc>
        <w:tc>
          <w:tcPr>
            <w:tcW w:w="120" w:type="dxa"/>
            <w:vAlign w:val="bottom"/>
          </w:tcPr>
          <w:p>
            <w:pPr>
              <w:spacing w:after="0"/>
              <w:rPr>
                <w:sz w:val="16"/>
                <w:szCs w:val="16"/>
                <w:color w:val="auto"/>
              </w:rPr>
            </w:pP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20,211</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NOI at share - cash basis from:</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Dispositions</w:t>
            </w:r>
          </w:p>
        </w:tc>
        <w:tc>
          <w:tcPr>
            <w:tcW w:w="26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(16,942)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(16,524)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(418)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Development properties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(32,707)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(32,707)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non-same store income, net</w:t>
            </w:r>
          </w:p>
        </w:tc>
        <w:tc>
          <w:tcPr>
            <w:tcW w:w="26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(68,594)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(48,240)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(20,211)</w:t>
            </w:r>
          </w:p>
        </w:tc>
        <w:tc>
          <w:tcPr>
            <w:tcW w:w="0" w:type="dxa"/>
            <w:vAlign w:val="bottom"/>
          </w:tcPr>
          <w:p>
            <w:pPr>
              <w:spacing w:after="0"/>
              <w:rPr>
                <w:sz w:val="1"/>
                <w:szCs w:val="1"/>
                <w:color w:val="auto"/>
              </w:rPr>
            </w:pPr>
          </w:p>
        </w:tc>
      </w:tr>
      <w:tr>
        <w:trPr>
          <w:trHeight w:val="221"/>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Same store NOI at share - cash basis for the year ended December 31, 2024</w:t>
            </w: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977,846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846,551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56,817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74,478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increase in same store NOI at share - cash basis</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(54,103)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(56,005)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13,985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(12,083)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(decrease) increase in same store NOI at share - cash basis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24.6 %</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66" w:lineRule="exact"/>
        <w:rPr>
          <w:sz w:val="20"/>
          <w:szCs w:val="20"/>
          <w:color w:val="auto"/>
        </w:rPr>
      </w:pPr>
    </w:p>
    <w:p>
      <w:pPr>
        <w:ind w:firstLine="314"/>
        <w:spacing w:after="0" w:line="299" w:lineRule="auto"/>
        <w:rPr>
          <w:sz w:val="20"/>
          <w:szCs w:val="20"/>
          <w:color w:val="auto"/>
        </w:rPr>
      </w:pPr>
      <w:r>
        <w:rPr>
          <w:rFonts w:ascii="Times New Roman" w:cs="Times New Roman" w:eastAsia="Times New Roman" w:hAnsi="Times New Roman"/>
          <w:sz w:val="17"/>
          <w:szCs w:val="17"/>
          <w:color w:val="auto"/>
        </w:rPr>
        <w:t xml:space="preserve">See Note 22 -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 xml:space="preserve"> to our consolidated financial statements in this Annual Report on Form 10-K for a discussion concerning related party transactions.</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Our cash requirements include property operating expenses, capital improvements, tenant improvements, debt service, leasing commissions, dividends to our shareholders, distributions to unitholders of the Operating Partnership, as well as acquisition and development and redevelopment costs. The sources of liquidity to fund these cash requirements include rental revenue, which is our primary source of cash flow and is dependent upon the occupancy and rental rates of our properties; proceeds from debt financings, including mortgage loans, senior unsecured borrowings, unsecured term loans and unsecured revolving credit facilities; proceeds from the issuance of common and preferred equity; and asset sales.</w:t>
      </w:r>
    </w:p>
    <w:p>
      <w:pPr>
        <w:spacing w:after="0" w:line="13"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As of December 31, 2025, we had $2.4 billion of liquidity comprised of $978 million of cash and cash equivalents and restricted cash and $1.4 billion available on our $2.2 billion revolving credit facilities. The ongoing challenges posed by fluctuations in interest rates and the effects of inflation could adversely impact our cash flow from continuing operations but we anticipate that cash flow from continuing operations over the next twelve months together with cash balances on hand will be adequate to fund our business operations, cash distributions to unitholders of the Operating Partnership, cash dividends to our shareholders, debt amortization and recurring capital expenditures. Capital requirements for development and redevelopment expenditures and acquisitions may require funding from borrowings, equity offerings and/or asset sales.</w:t>
      </w:r>
    </w:p>
    <w:p>
      <w:pPr>
        <w:spacing w:after="0" w:line="15"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may from time to time repurchase or retire our outstanding debt securities or repurchase or redeem our equity securities. Such purchases, if any, will depend on prevailing market conditions, liquidity requirements and other factors. The amounts involved in connection with these transactions could be material to our consolidated financial statements.</w:t>
      </w:r>
    </w:p>
    <w:p>
      <w:pPr>
        <w:spacing w:after="0" w:line="7"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In April 2023, our Board of Trustees authorized the repurchase of up to $200,000,000 of our outstanding common shares under a share repurchase plan. As of December 31, 2025, $119,895,000 remained available and authorized for repurchases.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Summary of Cash Flows</w:t>
      </w:r>
    </w:p>
    <w:p>
      <w:pPr>
        <w:spacing w:after="0" w:line="66"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Cash and cash equivalents and restricted cash was $977,546,000 as of December 31, 2025, a $27,927,000 increase from the balance as of December 31, 2024.</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cash flow activities are summarized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60" w:type="dxa"/>
            <w:vAlign w:val="bottom"/>
          </w:tcPr>
          <w:p>
            <w:pPr>
              <w:spacing w:after="0"/>
              <w:rPr>
                <w:sz w:val="17"/>
                <w:szCs w:val="17"/>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Increase (Decrease) in</w:t>
            </w: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1,258,385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537,723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720,662</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115,507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(597,365)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712,872</w:t>
            </w: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(1,345,965)</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(252,323)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(1,093,642)</w:t>
            </w:r>
          </w:p>
        </w:tc>
        <w:tc>
          <w:tcPr>
            <w:tcW w:w="0" w:type="dxa"/>
            <w:vAlign w:val="bottom"/>
          </w:tcPr>
          <w:p>
            <w:pPr>
              <w:spacing w:after="0"/>
              <w:rPr>
                <w:sz w:val="1"/>
                <w:szCs w:val="1"/>
                <w:color w:val="auto"/>
              </w:rPr>
            </w:pPr>
          </w:p>
        </w:tc>
      </w:tr>
      <w:tr>
        <w:trPr>
          <w:trHeight w:val="190"/>
        </w:trPr>
        <w:tc>
          <w:tcPr>
            <w:tcW w:w="6300" w:type="dxa"/>
            <w:vAlign w:val="bottom"/>
          </w:tcPr>
          <w:p>
            <w:pPr>
              <w:spacing w:after="0"/>
              <w:rPr>
                <w:sz w:val="16"/>
                <w:szCs w:val="16"/>
                <w:color w:val="auto"/>
              </w:rPr>
            </w:pP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27,927</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(311,965)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339,892</w:t>
            </w:r>
          </w:p>
        </w:tc>
        <w:tc>
          <w:tcPr>
            <w:tcW w:w="0" w:type="dxa"/>
            <w:vAlign w:val="bottom"/>
          </w:tcPr>
          <w:p>
            <w:pPr>
              <w:spacing w:after="0"/>
              <w:rPr>
                <w:sz w:val="1"/>
                <w:szCs w:val="1"/>
                <w:color w:val="auto"/>
              </w:rPr>
            </w:pPr>
          </w:p>
        </w:tc>
      </w:tr>
      <w:tr>
        <w:trPr>
          <w:trHeight w:val="26"/>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Net cash provided by operating activities primarily consists of cash inflows from rental revenues and operating distributions from our unconsolidated partially owned entities less cash outflows for property expenses, general and administrative expenses and interest expense. For the year ended December 31, 2025, net cash provided by operating activities of $1,258,385,000 was comprised of $1,439,616,000 of cash from operations, including distributions of income from partially owned entities of $114,754,000 and a net decrease of $181,231,000 in cash due to the timing of cash receipts and payments related to changes in operating assets and liabilities.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 - continued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Summary of Cash Flows - continued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68"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Net cash flow provided by (used in) investing activities is impacted by the timing and extent of our development, capital improvement, acquisition and disposition activities during the year.</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details the net cash provided by (used in) investing activities: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7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Increase (Decrease) in</w:t>
            </w:r>
          </w:p>
        </w:tc>
        <w:tc>
          <w:tcPr>
            <w:tcW w:w="0" w:type="dxa"/>
            <w:vAlign w:val="bottom"/>
          </w:tcPr>
          <w:p>
            <w:pPr>
              <w:spacing w:after="0"/>
              <w:rPr>
                <w:sz w:val="1"/>
                <w:szCs w:val="1"/>
                <w:color w:val="auto"/>
              </w:rPr>
            </w:pPr>
          </w:p>
        </w:tc>
      </w:tr>
      <w:tr>
        <w:trPr>
          <w:trHeight w:val="65"/>
        </w:trPr>
        <w:tc>
          <w:tcPr>
            <w:tcW w:w="6300" w:type="dxa"/>
            <w:vAlign w:val="bottom"/>
          </w:tcPr>
          <w:p>
            <w:pPr>
              <w:spacing w:after="0"/>
              <w:rPr>
                <w:sz w:val="5"/>
                <w:szCs w:val="5"/>
                <w:color w:val="auto"/>
              </w:rPr>
            </w:pPr>
          </w:p>
        </w:tc>
        <w:tc>
          <w:tcPr>
            <w:tcW w:w="27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partial redemption of Fifth Avenue and Times Square JV preferred equity</w:t>
            </w:r>
          </w:p>
        </w:tc>
        <w:tc>
          <w:tcPr>
            <w:tcW w:w="9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749,000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749,000</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Acquisitions of real estate and other</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(296,681)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(296,681)</w:t>
            </w: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real estate</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(268,258)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(45,519)</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(144,609)</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98,265</w:t>
            </w: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sales of real estate and other</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58,339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56,339</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of capital from partially owned entities</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50,927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50,927</w:t>
            </w: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condominium units and ancillary amenities at 220 Central Park South</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37,374</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5,769</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9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79,772</w:t>
            </w: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loan receivable</w:t>
            </w:r>
          </w:p>
        </w:tc>
        <w:tc>
          <w:tcPr>
            <w:tcW w:w="9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96"/>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115,507</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(597,365)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712,872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68"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Net cash flow used in financing activities is impacted by the timing and extent of issuances of debt and equity securities, distributions paid to common shareholders and unitholders of the Operating Partnership as well as principal and other repayments associated with our outstanding debt.</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details the net cash used in financing activities: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7"/>
                <w:szCs w:val="17"/>
                <w:color w:val="auto"/>
              </w:rPr>
            </w:pPr>
          </w:p>
        </w:tc>
        <w:tc>
          <w:tcPr>
            <w:tcW w:w="30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 w:type="dxa"/>
            <w:vAlign w:val="bottom"/>
          </w:tcPr>
          <w:p>
            <w:pPr>
              <w:spacing w:after="0"/>
              <w:rPr>
                <w:sz w:val="17"/>
                <w:szCs w:val="17"/>
                <w:color w:val="auto"/>
              </w:rPr>
            </w:pPr>
          </w:p>
        </w:tc>
        <w:tc>
          <w:tcPr>
            <w:tcW w:w="148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(Decrease) Increase in</w:t>
            </w: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0" w:type="dxa"/>
            <w:vAlign w:val="bottom"/>
          </w:tcPr>
          <w:p>
            <w:pPr>
              <w:spacing w:after="0"/>
              <w:rPr>
                <w:sz w:val="1"/>
                <w:szCs w:val="1"/>
                <w:color w:val="auto"/>
              </w:rPr>
            </w:pPr>
          </w:p>
        </w:tc>
      </w:tr>
      <w:tr>
        <w:trPr>
          <w:trHeight w:val="19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 of borrowings</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(1,903,513)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(1,806,074)</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4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835,794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760,794</w:t>
            </w: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 on common shares/Distributions to Vornado</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(141,277)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 on preferred shares/Distributions to preferred unitholders</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shares/Class A units owned by Vornado</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(50,991)</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redeemable security holders and noncontrolling interests in consolidated subsidiaries</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6,392</w:t>
            </w:r>
          </w:p>
        </w:tc>
        <w:tc>
          <w:tcPr>
            <w:tcW w:w="0" w:type="dxa"/>
            <w:vAlign w:val="bottom"/>
          </w:tcPr>
          <w:p>
            <w:pPr>
              <w:spacing w:after="0"/>
              <w:rPr>
                <w:sz w:val="1"/>
                <w:szCs w:val="1"/>
                <w:color w:val="auto"/>
              </w:rPr>
            </w:pPr>
          </w:p>
        </w:tc>
      </w:tr>
      <w:tr>
        <w:trPr>
          <w:trHeight w:val="189"/>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noncontrolling interests in consolidated subsidiaries</w:t>
            </w:r>
          </w:p>
        </w:tc>
        <w:tc>
          <w:tcPr>
            <w:tcW w:w="34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1,412</w:t>
            </w: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financing activity, net</w:t>
            </w: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96"/>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(1,345,965)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(252,323)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(1,093,642)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Dividends</w:t>
      </w:r>
    </w:p>
    <w:p>
      <w:pPr>
        <w:spacing w:after="0" w:line="6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anticipate that our common share dividend policy for 2026 will be to pay one common share dividend in the fourth quarter. If Vornado’s Board of Trustees were to declare a dividend consistent with our 2025 common share dividend of $0.74, the Operating Partnership would be required to distribute approximately (i) $141,000,000 of cash to Vornado for distribution to its common shareholders and (ii) $12,300,000 of cash to third party Class A unitholders. Additionally, during 2026, Vornado expects to pay approximately $62,000,000 of cash dividends on preferred shares based on the number of preferred shares outstanding as of December 31,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 - continued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Debt</w:t>
      </w:r>
    </w:p>
    <w:p>
      <w:pPr>
        <w:spacing w:after="0" w:line="66"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We have an effective shelf registration for the offering of our equity and debt securities that is not limited in amount due to our status as a “well-known seasoned issuer.” We have issued senior unsecured notes from a shelf registration statement that contain financial covenants that restrict our ability to incur debt, and that require us to maintain a level of unencumbered assets based on the level of our secured debt. Our unsecured revolving credit facilities and unsecured term loan contain financial covenants that require us to maintain minimum interest coverage and maximum debt to market capitalization ratios, and provide for increased interest rates in the event of a decline in the credit rating assigned to our senior unsecured notes. Our unsecured revolving credit facilities and unsecured term loan also contain customary conditions precedent to borrowing, including representations and warranties, and contain customary events of default that could give rise to accelerated repayment, including such items as failure to pay interest or principal. As of December 31, 2025, we were in compliance with all of the financial covenants required by our senior unsecured notes, our unsecured revolving credit facilities and our unsecured term loan.</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our consolidated debt as of December 31, 2025 is presented below.</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80" w:type="dxa"/>
            <w:vAlign w:val="bottom"/>
          </w:tcPr>
          <w:p>
            <w:pPr>
              <w:spacing w:after="0"/>
              <w:rPr>
                <w:sz w:val="16"/>
                <w:szCs w:val="16"/>
                <w:color w:val="auto"/>
              </w:rPr>
            </w:pPr>
          </w:p>
        </w:tc>
        <w:tc>
          <w:tcPr>
            <w:tcW w:w="3320" w:type="dxa"/>
            <w:vAlign w:val="bottom"/>
            <w:gridSpan w:val="3"/>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7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2"/>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Consolidated debt:</w:t>
            </w:r>
          </w:p>
        </w:tc>
        <w:tc>
          <w:tcPr>
            <w:tcW w:w="380" w:type="dxa"/>
            <w:vAlign w:val="bottom"/>
          </w:tcPr>
          <w:p>
            <w:pPr>
              <w:spacing w:after="0"/>
              <w:rPr>
                <w:sz w:val="12"/>
                <w:szCs w:val="12"/>
                <w:color w:val="auto"/>
              </w:rPr>
            </w:pPr>
          </w:p>
        </w:tc>
        <w:tc>
          <w:tcPr>
            <w:tcW w:w="1420" w:type="dxa"/>
            <w:vAlign w:val="bottom"/>
            <w:vMerge w:val="restart"/>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2"/>
                <w:szCs w:val="12"/>
                <w:color w:val="auto"/>
              </w:rPr>
            </w:pPr>
          </w:p>
        </w:tc>
        <w:tc>
          <w:tcPr>
            <w:tcW w:w="18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90"/>
        </w:trPr>
        <w:tc>
          <w:tcPr>
            <w:tcW w:w="75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r>
              <w:rPr>
                <w:rFonts w:ascii="Times New Roman" w:cs="Times New Roman" w:eastAsia="Times New Roman" w:hAnsi="Times New Roman"/>
                <w:sz w:val="9"/>
                <w:szCs w:val="9"/>
                <w:b w:val="1"/>
                <w:bCs w:val="1"/>
                <w:color w:val="auto"/>
                <w:w w:val="99"/>
              </w:rPr>
              <w:t>(1)</w:t>
            </w:r>
          </w:p>
        </w:tc>
        <w:tc>
          <w:tcPr>
            <w:tcW w:w="0" w:type="dxa"/>
            <w:vAlign w:val="bottom"/>
          </w:tcPr>
          <w:p>
            <w:pPr>
              <w:spacing w:after="0"/>
              <w:rPr>
                <w:sz w:val="1"/>
                <w:szCs w:val="1"/>
                <w:color w:val="auto"/>
              </w:rPr>
            </w:pPr>
          </w:p>
        </w:tc>
      </w:tr>
      <w:tr>
        <w:trPr>
          <w:trHeight w:val="196"/>
        </w:trPr>
        <w:tc>
          <w:tcPr>
            <w:tcW w:w="7520" w:type="dxa"/>
            <w:vAlign w:val="bottom"/>
            <w:shd w:val="clear" w:color="auto" w:fill="CCEEFF"/>
          </w:tcPr>
          <w:p>
            <w:pPr>
              <w:ind w:left="440"/>
              <w:spacing w:after="0" w:line="195" w:lineRule="exact"/>
              <w:rPr>
                <w:sz w:val="20"/>
                <w:szCs w:val="20"/>
                <w:color w:val="auto"/>
              </w:rPr>
            </w:pPr>
            <w:r>
              <w:rPr>
                <w:rFonts w:ascii="Times New Roman" w:cs="Times New Roman" w:eastAsia="Times New Roman" w:hAnsi="Times New Roman"/>
                <w:sz w:val="14"/>
                <w:szCs w:val="14"/>
                <w:color w:val="auto"/>
              </w:rPr>
              <w:t>Fixed rate</w:t>
            </w:r>
            <w:r>
              <w:rPr>
                <w:rFonts w:ascii="Times New Roman" w:cs="Times New Roman" w:eastAsia="Times New Roman" w:hAnsi="Times New Roman"/>
                <w:sz w:val="18"/>
                <w:szCs w:val="18"/>
                <w:b w:val="1"/>
                <w:bCs w:val="1"/>
                <w:color w:val="auto"/>
                <w:vertAlign w:val="superscript"/>
              </w:rPr>
              <w:t>(2)</w:t>
            </w: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5,490,000</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4.49%</w:t>
            </w:r>
          </w:p>
        </w:tc>
        <w:tc>
          <w:tcPr>
            <w:tcW w:w="0" w:type="dxa"/>
            <w:vAlign w:val="bottom"/>
          </w:tcPr>
          <w:p>
            <w:pPr>
              <w:spacing w:after="0"/>
              <w:rPr>
                <w:sz w:val="1"/>
                <w:szCs w:val="1"/>
                <w:color w:val="auto"/>
              </w:rPr>
            </w:pPr>
          </w:p>
        </w:tc>
      </w:tr>
      <w:tr>
        <w:trPr>
          <w:trHeight w:val="196"/>
        </w:trPr>
        <w:tc>
          <w:tcPr>
            <w:tcW w:w="7520" w:type="dxa"/>
            <w:vAlign w:val="bottom"/>
            <w:tcBorders>
              <w:bottom w:val="single" w:sz="8" w:color="CCEEFF"/>
            </w:tcBorders>
          </w:tcPr>
          <w:p>
            <w:pPr>
              <w:ind w:left="440"/>
              <w:spacing w:after="0" w:line="196" w:lineRule="exact"/>
              <w:rPr>
                <w:sz w:val="20"/>
                <w:szCs w:val="20"/>
                <w:color w:val="auto"/>
              </w:rPr>
            </w:pPr>
            <w:r>
              <w:rPr>
                <w:rFonts w:ascii="Times New Roman" w:cs="Times New Roman" w:eastAsia="Times New Roman" w:hAnsi="Times New Roman"/>
                <w:sz w:val="14"/>
                <w:szCs w:val="14"/>
                <w:color w:val="auto"/>
              </w:rPr>
              <w:t>Variable rate</w:t>
            </w:r>
            <w:r>
              <w:rPr>
                <w:rFonts w:ascii="Times New Roman" w:cs="Times New Roman" w:eastAsia="Times New Roman" w:hAnsi="Times New Roman"/>
                <w:sz w:val="18"/>
                <w:szCs w:val="18"/>
                <w:b w:val="1"/>
                <w:bCs w:val="1"/>
                <w:color w:val="auto"/>
                <w:vertAlign w:val="superscript"/>
              </w:rPr>
              <w:t>(3)</w:t>
            </w: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1,724,457</w:t>
            </w:r>
          </w:p>
        </w:tc>
        <w:tc>
          <w:tcPr>
            <w:tcW w:w="1900" w:type="dxa"/>
            <w:vAlign w:val="bottom"/>
            <w:tcBorders>
              <w:bottom w:val="single" w:sz="8" w:color="CCEEFF"/>
            </w:tcBorders>
            <w:gridSpan w:val="2"/>
          </w:tcPr>
          <w:p>
            <w:pPr>
              <w:jc w:val="right"/>
              <w:ind w:right="570"/>
              <w:spacing w:after="0" w:line="196" w:lineRule="exact"/>
              <w:rPr>
                <w:sz w:val="20"/>
                <w:szCs w:val="20"/>
                <w:color w:val="auto"/>
              </w:rPr>
            </w:pPr>
            <w:r>
              <w:rPr>
                <w:rFonts w:ascii="Times New Roman" w:cs="Times New Roman" w:eastAsia="Times New Roman" w:hAnsi="Times New Roman"/>
                <w:sz w:val="14"/>
                <w:szCs w:val="14"/>
                <w:color w:val="auto"/>
              </w:rPr>
              <w:t>5.48%</w:t>
            </w:r>
            <w:r>
              <w:rPr>
                <w:rFonts w:ascii="Times New Roman" w:cs="Times New Roman" w:eastAsia="Times New Roman" w:hAnsi="Times New Roman"/>
                <w:sz w:val="18"/>
                <w:szCs w:val="18"/>
                <w:b w:val="1"/>
                <w:bCs w:val="1"/>
                <w:color w:val="auto"/>
                <w:vertAlign w:val="superscript"/>
              </w:rPr>
              <w:t>(4)</w:t>
            </w:r>
          </w:p>
        </w:tc>
        <w:tc>
          <w:tcPr>
            <w:tcW w:w="0" w:type="dxa"/>
            <w:vAlign w:val="bottom"/>
          </w:tcPr>
          <w:p>
            <w:pPr>
              <w:spacing w:after="0"/>
              <w:rPr>
                <w:sz w:val="1"/>
                <w:szCs w:val="1"/>
                <w:color w:val="auto"/>
              </w:rPr>
            </w:pPr>
          </w:p>
        </w:tc>
      </w:tr>
      <w:tr>
        <w:trPr>
          <w:trHeight w:val="190"/>
        </w:trPr>
        <w:tc>
          <w:tcPr>
            <w:tcW w:w="75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7,214,457</w:t>
            </w:r>
          </w:p>
        </w:tc>
        <w:tc>
          <w:tcPr>
            <w:tcW w:w="19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4.73%</w:t>
            </w:r>
          </w:p>
        </w:tc>
        <w:tc>
          <w:tcPr>
            <w:tcW w:w="0" w:type="dxa"/>
            <w:vAlign w:val="bottom"/>
          </w:tcPr>
          <w:p>
            <w:pPr>
              <w:spacing w:after="0"/>
              <w:rPr>
                <w:sz w:val="1"/>
                <w:szCs w:val="1"/>
                <w:color w:val="auto"/>
              </w:rPr>
            </w:pPr>
          </w:p>
        </w:tc>
      </w:tr>
      <w:tr>
        <w:trPr>
          <w:trHeight w:val="190"/>
        </w:trPr>
        <w:tc>
          <w:tcPr>
            <w:tcW w:w="7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Deferred financing costs, net and other</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(28,829)</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5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Total, net</w:t>
            </w: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7,185,628</w:t>
            </w:r>
          </w:p>
        </w:tc>
        <w:tc>
          <w:tcPr>
            <w:tcW w:w="1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w:t>
      </w:r>
    </w:p>
    <w:p>
      <w:pPr>
        <w:spacing w:after="0" w:line="46" w:lineRule="exact"/>
        <w:rPr>
          <w:sz w:val="20"/>
          <w:szCs w:val="20"/>
          <w:color w:val="auto"/>
        </w:rPr>
      </w:pPr>
    </w:p>
    <w:p>
      <w:pPr>
        <w:ind w:left="320" w:hanging="315"/>
        <w:spacing w:after="0"/>
        <w:tabs>
          <w:tab w:leader="none" w:pos="320" w:val="left"/>
        </w:tabs>
        <w:numPr>
          <w:ilvl w:val="0"/>
          <w:numId w:val="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Represents the interest rate in effect as of period end based on the appropriate reference rate as of the contractual reset date plus contractual spread, adjusted for hedging instruments, as applicable.</w:t>
      </w:r>
    </w:p>
    <w:p>
      <w:pPr>
        <w:spacing w:after="0" w:line="23" w:lineRule="exact"/>
        <w:rPr>
          <w:rFonts w:ascii="Times New Roman" w:cs="Times New Roman" w:eastAsia="Times New Roman" w:hAnsi="Times New Roman"/>
          <w:sz w:val="13"/>
          <w:szCs w:val="13"/>
          <w:b w:val="1"/>
          <w:bCs w:val="1"/>
          <w:color w:val="auto"/>
        </w:rPr>
      </w:pPr>
    </w:p>
    <w:p>
      <w:pPr>
        <w:ind w:left="320" w:hanging="315"/>
        <w:spacing w:after="0"/>
        <w:tabs>
          <w:tab w:leader="none" w:pos="32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debt with interest rates fixed by interest rate swap arrangements.</w:t>
      </w:r>
    </w:p>
    <w:p>
      <w:pPr>
        <w:spacing w:after="0" w:line="5" w:lineRule="exact"/>
        <w:rPr>
          <w:rFonts w:ascii="Times New Roman" w:cs="Times New Roman" w:eastAsia="Times New Roman" w:hAnsi="Times New Roman"/>
          <w:sz w:val="14"/>
          <w:szCs w:val="14"/>
          <w:b w:val="1"/>
          <w:bCs w:val="1"/>
          <w:color w:val="auto"/>
        </w:rPr>
      </w:pPr>
    </w:p>
    <w:p>
      <w:pPr>
        <w:ind w:left="320" w:hanging="315"/>
        <w:spacing w:after="0" w:line="253" w:lineRule="auto"/>
        <w:tabs>
          <w:tab w:leader="none" w:pos="312"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debt subject to interest rate cap arrangements with a total notional amount of $1,210,000, of which $645,000 is attributable to noncontrolling interests. The interest rate cap arrangements have a weighted average strike rate of 4.47% and a weighted average remaining term of eight months.</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additional 3.00% default interest on the 606 Broadway mortgage loan.</w:t>
      </w:r>
    </w:p>
    <w:p>
      <w:pPr>
        <w:spacing w:after="0" w:line="106"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During 2026 and 2027, $925,000,000 and $2,400,420,000, respectively, of our outstanding consolidated debt matures, assuming the exercise of as-of-right extension options. We may refinance this maturing debt as it comes due, repay it using cash and cash equivalents or our unsecured revolving credit facilities or seek to restructure the debt to reflect current market conditions. The 2026 and 2027 debt maturities disclosed above exclude the $244,543,000 888 Seventh Avenue mortgage loan and the $74,494,000 606 Broadway mortgage loan which are in maturity default</w:t>
      </w:r>
      <w:r>
        <w:rPr>
          <w:rFonts w:ascii="Times New Roman" w:cs="Times New Roman" w:eastAsia="Times New Roman" w:hAnsi="Times New Roman"/>
          <w:sz w:val="17"/>
          <w:szCs w:val="17"/>
          <w:color w:val="EE2724"/>
        </w:rPr>
        <w:t>.</w:t>
      </w:r>
      <w:r>
        <w:rPr>
          <w:rFonts w:ascii="Times New Roman" w:cs="Times New Roman" w:eastAsia="Times New Roman" w:hAnsi="Times New Roman"/>
          <w:sz w:val="17"/>
          <w:szCs w:val="17"/>
          <w:color w:val="auto"/>
        </w:rPr>
        <w:t xml:space="preserve"> We may also refinance or restructure other outstanding debt depending on prevailing market conditions, liquidity requirements and other factors. The amounts involved in connection with these transactions could be material to our consolidated financial statements.</w:t>
      </w:r>
    </w:p>
    <w:p>
      <w:pPr>
        <w:spacing w:after="0" w:line="15"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Details of 2025 financing activities are provided in the “Overview” of Management’s Discussion and Analysis of Financial Condition and Results of Operations.</w:t>
      </w:r>
    </w:p>
    <w:p>
      <w:pPr>
        <w:spacing w:after="0" w:line="1"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contractual principal and interest repayments schedule of our consolidated debt as of December 31, 2025 is presented below. The below excludes the $244,543,000 888 Seventh Avenue mortgage loan and the $74,494,000 606 Broadway mortgage loan which are in maturity default.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0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0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0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4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Notes and mortgages payable</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5,245,709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737,722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3,469,977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532,855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505,155</w:t>
            </w:r>
          </w:p>
        </w:tc>
      </w:tr>
      <w:tr>
        <w:trPr>
          <w:trHeight w:val="189"/>
        </w:trPr>
        <w:tc>
          <w:tcPr>
            <w:tcW w:w="43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Senior unsecured notes due 2026</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403,607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403,607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4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Senior unsecured notes due 2031</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414,491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354,991</w:t>
            </w:r>
          </w:p>
        </w:tc>
      </w:tr>
      <w:tr>
        <w:trPr>
          <w:trHeight w:val="196"/>
        </w:trPr>
        <w:tc>
          <w:tcPr>
            <w:tcW w:w="4300" w:type="dxa"/>
            <w:vAlign w:val="bottom"/>
          </w:tcPr>
          <w:p>
            <w:pPr>
              <w:ind w:left="460"/>
              <w:spacing w:after="0" w:line="196" w:lineRule="exact"/>
              <w:rPr>
                <w:sz w:val="20"/>
                <w:szCs w:val="20"/>
                <w:color w:val="auto"/>
              </w:rPr>
            </w:pPr>
            <w:r>
              <w:rPr>
                <w:rFonts w:ascii="Times New Roman" w:cs="Times New Roman" w:eastAsia="Times New Roman" w:hAnsi="Times New Roman"/>
                <w:sz w:val="14"/>
                <w:szCs w:val="14"/>
                <w:color w:val="auto"/>
              </w:rPr>
              <w:t>Unsecured term loan</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867,557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832,510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300" w:type="dxa"/>
            <w:vAlign w:val="bottom"/>
            <w:shd w:val="clear" w:color="auto" w:fill="CCEEFF"/>
          </w:tcPr>
          <w:p>
            <w:pPr>
              <w:ind w:left="460"/>
              <w:spacing w:after="0" w:line="196" w:lineRule="exact"/>
              <w:rPr>
                <w:sz w:val="20"/>
                <w:szCs w:val="20"/>
                <w:color w:val="auto"/>
              </w:rPr>
            </w:pPr>
            <w:r>
              <w:rPr>
                <w:rFonts w:ascii="Times New Roman" w:cs="Times New Roman" w:eastAsia="Times New Roman" w:hAnsi="Times New Roman"/>
                <w:sz w:val="14"/>
                <w:szCs w:val="14"/>
                <w:color w:val="auto"/>
              </w:rPr>
              <w:t>Revolving credit facilities</w:t>
            </w:r>
            <w:r>
              <w:rPr>
                <w:rFonts w:ascii="Times New Roman" w:cs="Times New Roman" w:eastAsia="Times New Roman" w:hAnsi="Times New Roman"/>
                <w:sz w:val="18"/>
                <w:szCs w:val="18"/>
                <w:b w:val="1"/>
                <w:bCs w:val="1"/>
                <w:color w:val="auto"/>
                <w:vertAlign w:val="superscript"/>
              </w:rPr>
              <w:t>(1)</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776,756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747,549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300" w:type="dxa"/>
            <w:vAlign w:val="bottom"/>
          </w:tcPr>
          <w:p>
            <w:pPr>
              <w:ind w:left="660"/>
              <w:spacing w:after="0" w:line="189" w:lineRule="exact"/>
              <w:rPr>
                <w:sz w:val="20"/>
                <w:szCs w:val="20"/>
                <w:color w:val="auto"/>
              </w:rPr>
            </w:pPr>
            <w:r>
              <w:rPr>
                <w:rFonts w:ascii="Times New Roman" w:cs="Times New Roman" w:eastAsia="Times New Roman" w:hAnsi="Times New Roman"/>
                <w:sz w:val="14"/>
                <w:szCs w:val="14"/>
                <w:color w:val="auto"/>
              </w:rPr>
              <w:t>Total contractual principal</w:t>
            </w:r>
            <w:r>
              <w:rPr>
                <w:rFonts w:ascii="Times New Roman" w:cs="Times New Roman" w:eastAsia="Times New Roman" w:hAnsi="Times New Roman"/>
                <w:sz w:val="18"/>
                <w:szCs w:val="18"/>
                <w:b w:val="1"/>
                <w:bCs w:val="1"/>
                <w:color w:val="auto"/>
                <w:vertAlign w:val="superscript"/>
              </w:rPr>
              <w:t>(2)</w:t>
            </w:r>
            <w:r>
              <w:rPr>
                <w:rFonts w:ascii="Times New Roman" w:cs="Times New Roman" w:eastAsia="Times New Roman" w:hAnsi="Times New Roman"/>
                <w:sz w:val="14"/>
                <w:szCs w:val="14"/>
                <w:color w:val="auto"/>
              </w:rPr>
              <w:t xml:space="preserve"> and interest</w:t>
            </w:r>
            <w:r>
              <w:rPr>
                <w:rFonts w:ascii="Times New Roman" w:cs="Times New Roman" w:eastAsia="Times New Roman" w:hAnsi="Times New Roman"/>
                <w:sz w:val="18"/>
                <w:szCs w:val="18"/>
                <w:b w:val="1"/>
                <w:bCs w:val="1"/>
                <w:color w:val="auto"/>
                <w:vertAlign w:val="superscript"/>
              </w:rPr>
              <w:t>(3)</w:t>
            </w:r>
            <w:r>
              <w:rPr>
                <w:rFonts w:ascii="Times New Roman" w:cs="Times New Roman" w:eastAsia="Times New Roman" w:hAnsi="Times New Roman"/>
                <w:sz w:val="14"/>
                <w:szCs w:val="14"/>
                <w:color w:val="auto"/>
              </w:rPr>
              <w:t xml:space="preserve"> repayments</w:t>
            </w: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7,708,120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1,217,483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5,073,836</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556,655</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860,146</w:t>
            </w: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ind w:left="320" w:hanging="315"/>
        <w:spacing w:after="0" w:line="250" w:lineRule="auto"/>
        <w:tabs>
          <w:tab w:leader="none" w:pos="312"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On January 7, 2026, we completed a refinancing of our $1,250,000 unsecured revolving credit facility ($720,420 drawn as of December 31, 2025) and our $800,000 unsecured term loan. See Note 24 -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for further details.</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Based on the contractual maturity of our loans, including as-of-right extension options, as of December 31, 2025.</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Estimated interest for variable rate debt based on the Term SOFR curve available as of December 31, 2025.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 - continued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Capital Expenditures</w:t>
      </w:r>
    </w:p>
    <w:p>
      <w:pPr>
        <w:spacing w:after="0" w:line="6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Capital expenditures consist of expenditures to maintain and improve assets, tenant improvement allowances and leasing commissions. During 2026, we expect to spend $440,000,000 of capital expenditures for our consolidated properties. We plan to fund these capital expenditures from operating cash flow, existing liquidity, and/or borrowings. Our partially owned non-consolidated subsidiaries typically fund their capital expenditures without any additional equity contribution from 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Development and Redevelopment Projects and Opportunities</w:t>
      </w:r>
    </w:p>
    <w:p>
      <w:pPr>
        <w:spacing w:after="0" w:line="6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Development and redevelopment expenditures consist of all hard and soft costs associated with the development and redevelopment of a property. We plan to fund these development and redevelopment expenditures from operating cash flow, existing liquidity, and/or borrowings. See detailed discussion below for our current development and redevelopment projects.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District</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PENN 2</w:t>
      </w:r>
    </w:p>
    <w:p>
      <w:pPr>
        <w:spacing w:after="0" w:line="68"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We are redeveloping PENN 2, a 1,825,000 square foot (as expanded) office building, located on the west side of Seventh Avenue between 31st and 33rd Street. The development cost of this project is estimated to be $750,000,000, of which $724,843,000 of cash has been expended as of December 31, 2025.</w:t>
      </w:r>
    </w:p>
    <w:p>
      <w:pPr>
        <w:spacing w:after="0" w:line="1"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are also making districtwide improvements within the PENN District. The development cost of these improvements is estimated to be $100,000,000, of which $80,196,000 of cash has been expended as of December 31, 2025.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Sunset Pier 94 Studios</w:t>
      </w:r>
    </w:p>
    <w:p>
      <w:pPr>
        <w:spacing w:after="0" w:line="6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On August 28, 2023, we, together with Hudson Pacific Properties and Blackstone Inc., formed a joint venture to develop Pier 94 into a 266,000 square foot purpose-built studio campus in Manhattan. We own a 49.9% equity interest in the joint venture. The development cost of the project is estimated to be $350,000,000, which will be funded with $183,200,000 of construction financing ($143,870,000 drawn as of December 31, 2025) and $166,800,000 of equity contributions. Our share of equity contributions was funded by (i) our $40,000,000 Pier 94 leasehold interest contribution and (ii) $34,000,000 of cash contributions, which are net of an estimated $9,000,000 for our share of development fees and reimbursement for overhead costs incurred by us. During 2024, we fully funded our share of equity and cash contributions.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623 Fifth Avenue Office Condominium</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are redeveloping the 623 Fifth Avenue office condominium, a 36-story, 383,000 square foot building situated above the flagship Saks Fifth Avenue department store, into a premier boutique office building. We purchased the property in September 2025 for $218,000,000 and at closing, borrowed $145,420,000 under our revolving credit facility to partially finance the acquisition. The development cost of this project, including the cost of acquiring the property, is estimated to be $450,000,000, of which $222,644,000 of cash has been expended as of December 31, 2025. We expect to complete the redevelopment for delivery to tenants in 2027.</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350 Park Avenue</w:t>
      </w:r>
    </w:p>
    <w:p>
      <w:pPr>
        <w:spacing w:after="0" w:line="68" w:lineRule="exact"/>
        <w:rPr>
          <w:sz w:val="20"/>
          <w:szCs w:val="20"/>
          <w:color w:val="auto"/>
        </w:rPr>
      </w:pPr>
    </w:p>
    <w:p>
      <w:pPr>
        <w:jc w:val="both"/>
        <w:ind w:firstLine="314"/>
        <w:spacing w:after="0"/>
        <w:rPr>
          <w:sz w:val="20"/>
          <w:szCs w:val="20"/>
          <w:color w:val="auto"/>
        </w:rPr>
      </w:pPr>
      <w:r>
        <w:rPr>
          <w:rFonts w:ascii="Times New Roman" w:cs="Times New Roman" w:eastAsia="Times New Roman" w:hAnsi="Times New Roman"/>
          <w:sz w:val="17"/>
          <w:szCs w:val="17"/>
          <w:color w:val="auto"/>
        </w:rPr>
        <w:t>On December 18, 2025, an affiliate of Kenneth C. Griffin, Citadel Enterprise Americas LLC’s (“Citadel”) Founder and CEO (“KG”), exercised an option to acquire at least a 60% interest in a joint venture (the “350 Park JV”) that would develop the 350 Park Avenue site (the “Investment Option”). Vornado and the Rudin Family, via a joint venture (the “Vornado/Rudin JV”), have the option to acquire an interest between 23% and 40% in the 350 Park JV (with Vornado having an effective ownership ranging from 21% to 36%). 350 Park JV would combine 350 Park Avenue with 39 East 51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Street (owned by the Vornado/Rudin JV) and 40 East 52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xml:space="preserve"> Street (owned by the Rudin Family) to build a new 1,850,000 square foot office tower (the “350 Park Site”) with Citadel as the anchor tenant. The Vornado/Rudin JV has until July 2026 to determine whether to enter into the 350 Park JV with KG or to exercise the option to put the 350 Park Site to KG for $1.2 billion ($900,000,000 to Vornado). The Investment Option closing is subject to the satisfaction of certain conditions.</w:t>
      </w:r>
    </w:p>
    <w:p>
      <w:pPr>
        <w:spacing w:after="0" w:line="246"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We are also evaluating other development and redevelopment opportunities at certain of our properties in Manhattan including, in particular, the PENN District.</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can be no assurance that the above projects will be completed, completed on schedule or within budget.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 - continued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Other Obligations</w:t>
      </w:r>
    </w:p>
    <w:p>
      <w:pPr>
        <w:spacing w:after="0" w:line="6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have contractual cash obligations for certain properties that are subject to long-term ground and building leases. During 2026, $47,205,000 of lease payments are due, including fair market rent resets accounted for as variable rent. For 2027 and thereafter, we have $1,784,297,667 of future lease payments. We believe that our operating cash flow will be adequate to fund these lease payments.</w:t>
      </w:r>
    </w:p>
    <w:p>
      <w:pPr>
        <w:spacing w:after="0" w:line="7"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Our future lease payments disclosed above include payments for our PENN 1 ground lease based on the April 2025 arbitration panel ruling. The PENN 1 ground lease is subject to fair market value resets at each of the three 25-year renewal periods. The first renewal period commenced June 2023 and, together with our second option exercise in January 2022, extends the lease term through June 2073. On April 22, 2025, an arbitration panel (the “Panel”) appointed to determine the ground rent payable for the 25-year period beginning June 17, 2023 determined that the annual rent payable will be $15,000,000 or $20,220,000, depending on the outcome of litigation described in the following paragraph. On July 21, 2025, the ground lessor filed a motion in New York County Supreme Court to vacate the Panel’s ground rent determination. On October 31, 2025, the court granted the ground lessor’s motion. We believe the decision is without merit and are appealing the court’s decision.</w:t>
      </w:r>
    </w:p>
    <w:p>
      <w:pPr>
        <w:spacing w:after="0" w:line="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Further, litigation is currently pending between the parties in New York County Supreme Court regarding the existence of a sublease potentially affecting the value of the land parcel. The court denied our motion to dismiss that action and, in January 2026, the appellate court affirmed that decision. That sublease litigation is now continuing in front of the lower court. Under the Panel’s decision (assuming the aforementioned vacatur decision that we are appealing is reversed), if the fee owner prevails in a final judgment in that litigation, the annual rent for the 25-year term will be $20,220,000, retroactive to June 17, 2023. We are paying based on the $15,000,000 annual rent.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Insurance</w:t>
      </w:r>
    </w:p>
    <w:p>
      <w:pPr>
        <w:spacing w:after="0" w:line="40"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For our properties, we maintain general liability insurance with limits of $300,000,000 per occurrence and per property, of which $275,000,000, includes communicable disease coverage, and we maintain all risk property and rental value insurance with limits of $2.0 billion per occurrence, with sub-limits for certain perils such as flood and earthquake, excluding communicable disease coverage. Our California properties have earthquake insurance with coverage of $350,000,000 per occurrence and in the aggregate, subject to a deductible in the amount of 5% of the value of the affected property. We maintain coverage for certified terrorism acts with limits of $6.0 billion per occurrence and in the aggregate (as listed below), $1.2 billion for non-certified acts of terrorism, and $5.0 billion per occurrence and in the aggregate for terrorism involving nuclear, biological, chemical and radiological (“NBCR”) terrorism events, as defined by the Terrorism Risk Insurance Act of 2002, as amended to date and which has been extended through December 2027.</w:t>
      </w:r>
    </w:p>
    <w:p>
      <w:pPr>
        <w:spacing w:after="0" w:line="20" w:lineRule="exact"/>
        <w:rPr>
          <w:sz w:val="20"/>
          <w:szCs w:val="20"/>
          <w:color w:val="auto"/>
        </w:rPr>
      </w:pPr>
    </w:p>
    <w:p>
      <w:pPr>
        <w:jc w:val="both"/>
        <w:ind w:firstLine="314"/>
        <w:spacing w:after="0" w:line="266" w:lineRule="auto"/>
        <w:rPr>
          <w:sz w:val="20"/>
          <w:szCs w:val="20"/>
          <w:color w:val="auto"/>
        </w:rPr>
      </w:pPr>
      <w:r>
        <w:rPr>
          <w:rFonts w:ascii="Times New Roman" w:cs="Times New Roman" w:eastAsia="Times New Roman" w:hAnsi="Times New Roman"/>
          <w:sz w:val="17"/>
          <w:szCs w:val="17"/>
          <w:color w:val="auto"/>
        </w:rPr>
        <w:t>Penn Plaza Insurance Company, LLC (“PPIC”), our wholly owned consolidated subsidiary, acts as a re-insurer with respect to a portion of all risk property and rental value insurance and a portion of our earthquake insurance coverage, and as a direct insurer for coverage for acts of terrorism including NBCR acts. Coverage for acts of terrorism (excluding NBCR acts) is fully reinsured by third party insurance companies and the Federal government with no exposure to PPIC. For NBCR acts, PPIC is responsible for a deductible of $2,424,264 and 20% of the balance of a covered loss and the Federal government is responsible for the remaining portion of a covered loss. We are ultimately responsible for any loss incurred by PPIC.</w:t>
      </w:r>
    </w:p>
    <w:p>
      <w:pPr>
        <w:spacing w:after="0" w:line="4" w:lineRule="exact"/>
        <w:rPr>
          <w:sz w:val="20"/>
          <w:szCs w:val="20"/>
          <w:color w:val="auto"/>
        </w:rPr>
      </w:pPr>
    </w:p>
    <w:p>
      <w:pPr>
        <w:jc w:val="both"/>
        <w:ind w:firstLine="314"/>
        <w:spacing w:after="0" w:line="281" w:lineRule="auto"/>
        <w:rPr>
          <w:sz w:val="20"/>
          <w:szCs w:val="20"/>
          <w:color w:val="auto"/>
        </w:rPr>
      </w:pPr>
      <w:r>
        <w:rPr>
          <w:rFonts w:ascii="Times New Roman" w:cs="Times New Roman" w:eastAsia="Times New Roman" w:hAnsi="Times New Roman"/>
          <w:sz w:val="17"/>
          <w:szCs w:val="17"/>
          <w:color w:val="auto"/>
        </w:rPr>
        <w:t>Certain condominiums in which we own an interest (including the Farley Condominiums) maintain insurance policies with different per occurrence and aggregate limits than our policies described above.</w:t>
      </w:r>
    </w:p>
    <w:p>
      <w:pPr>
        <w:spacing w:after="0" w:line="1"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We continue to monitor the state of the insurance market and the scope and costs of coverage for acts of terrorism and other events. However, we cannot anticipate what coverage will be available on commercially reasonable terms in the future. We are responsible for uninsured losses and for deductibles and losses in excess of our insurance coverage, which could be material.</w:t>
      </w: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debt instruments, consisting of mortgage loans secured by our properties, senior unsecured notes and revolving credit agreements contain customary covenants requiring us to maintain insurance. Although we believe that we have adequate insurance coverage for purposes of these agreements, we may not be able to obtain an equivalent amount of coverage at reasonable costs in the future. Further, if lenders insist on greater coverage than we are able to obtain it could adversely affect our ability to finance or refinance our properties and expand our portfolio.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Other Commitments and Contingencies</w:t>
      </w:r>
    </w:p>
    <w:p>
      <w:pPr>
        <w:spacing w:after="0" w:line="66"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We are from time to time involved in legal actions arising in the ordinary course of business. In our opinion, after consultation with legal counsel, the outcome of such matters is not currently expected to have a material adverse effect on our financial position, results of operations or cash flows.</w:t>
      </w:r>
    </w:p>
    <w:p>
      <w:pPr>
        <w:spacing w:after="0" w:line="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Each of our properties has been subjected to varying degrees of environmental assessment at various times. The environmental assessments did not reveal any material environmental contamination. However, there can be no assurance that the identification of new areas of contamination, changes in the extent or known scope of contamination, the discovery of additional sites, or changes in cleanup requirements would not result in significant costs to us.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 - continued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Other Commitments and Contingencies - continued</w:t>
      </w:r>
    </w:p>
    <w:p>
      <w:pPr>
        <w:spacing w:after="0" w:line="66"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We may, from time to time, enter into guarantees including, but not limited to, payment guarantees to lenders of unconsolidated joint ventures for tax purposes, completion guarantees for development and redevelopment projects, and guarantees to fund leasing costs. These agreements terminate either upon the satisfaction of specified obligations or repayment of the underlying loans. As of December 31, 2025, the aggregate dollar amount of these guarantees is approximately $438,194,000, including the $300,000,000 payment guarantee for the mortgage loan secured by 7 West 34th Street, which was extinguished in January 2026 when the mortgage loan was refinanced, and partial payment guarantees on 435 Seventh Avenue and 150 West 34th Street. Other than these loans, our mortgage loans are non-recourse to us.</w:t>
      </w:r>
    </w:p>
    <w:p>
      <w:pPr>
        <w:spacing w:after="0" w:line="15"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As of December 31, 2025, $25,769,000 of letters of credit were outstanding under our unsecured revolving credit facilities. Our unsecured revolving credit facilities contain financial covenants that require us to maintain minimum interest coverage and maximum debt to market capitalization ratios, and provide for increased interest rates in the event of a decline in the credit rating assigned to our senior unsecured notes. Our unsecured revolving credit facilities also contain customary conditions precedent to borrowing, including representations and warranties, and also contain customary events of default that could give rise to accelerated repayment, including such items as failure to pay interest or principal.</w:t>
      </w:r>
    </w:p>
    <w:p>
      <w:pPr>
        <w:spacing w:after="0" w:line="13"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Our 95% consolidated joint venture (5% is owned by Related Companies ("Related")) developed and owns the Farley Building. In connection with the development of the property, the joint venture admitted a historic Tax Credit Investor partner. Under the terms of the historic tax credit arrangement, the joint venture is required to comply with various laws, regulations, and contractual provisions. Non-compliance with applicable requirements could result in projected tax benefits not being realized and, therefore, may require a refund or reduction of the Tax Credit Investor’s capital contributions. As of December 31, 2025, the Tax Credit Investor has made $209,661,000 in capital contributions. Vornado and Related have guaranteed certain of the joint venture’s obligations to the Tax Credit Investor.</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2025, we had construction commitments aggregating approximately $11,471,000.</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Funds From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Vornado Realty Trust</w:t>
      </w:r>
    </w:p>
    <w:p>
      <w:pPr>
        <w:spacing w:after="0" w:line="70"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color w:val="auto"/>
        </w:rPr>
        <w:t xml:space="preserve">FFO is computed in accordance with the definition adopted by the Board of Governors of the National Association of Real Estate Investment Trusts (“NAREIT”). NAREIT defines FFO as GAAP net income or loss adjusted to exclude net gains from sales of certain real estate assets, impairment write-downs of certain real estate assets and investments in entities when the impairment is directly attributable to decreases in the value of depreciable real estate held by the entity, depreciation and amortization expense from real estate assets and other specified items, including the pro rata share of such adjustments of unconsolidated subsidiaries. FFO and FFO per diluted share are non-GAAP financial measures used by management, investors and analysts to facilitate meaningful comparisons of operating performance between periods and among our peers because it excludes the effect of real estate depreciation and amortization and net gains on sales, which are based on historical costs and implicitly assume that the value of real estate diminishes predictably over time, rather than fluctuating based on existing market conditions. FFO does not represent cash generated from operating activities and is not necessarily indicative of cash available to fund cash requirements and should not be considered as an alternative to net income as a performance measure or cash flow as a liquidity measure. FFO may not be comparable to similarly titled measures employed by other companies. The calculations of both the numerator and denominator used in the computation of income per share are disclosed in Note 13 – </w:t>
      </w:r>
      <w:r>
        <w:rPr>
          <w:rFonts w:ascii="Times New Roman" w:cs="Times New Roman" w:eastAsia="Times New Roman" w:hAnsi="Times New Roman"/>
          <w:sz w:val="17"/>
          <w:szCs w:val="17"/>
          <w:i w:val="1"/>
          <w:iCs w:val="1"/>
          <w:color w:val="auto"/>
        </w:rPr>
        <w:t>Income Per Share and Per Class A Unit</w:t>
      </w:r>
      <w:r>
        <w:rPr>
          <w:rFonts w:ascii="Times New Roman" w:cs="Times New Roman" w:eastAsia="Times New Roman" w:hAnsi="Times New Roman"/>
          <w:sz w:val="17"/>
          <w:szCs w:val="17"/>
          <w:color w:val="auto"/>
        </w:rPr>
        <w:t>, in our consolidated financial statements in Part II, Item 8 of this Annual Report on Form 10-K. Details of certain items that impact FFO are discussed in the financial results summary of our “Overview.”</w:t>
      </w:r>
    </w:p>
    <w:p>
      <w:pPr>
        <w:spacing w:after="0" w:line="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Below is a reconciliation of net income attributable to common shareholders to FFO attributable to common shareholders plus assumed conversions for the years ended December 31, 2025 and 2024.</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amounts)</w:t>
            </w:r>
          </w:p>
        </w:tc>
        <w:tc>
          <w:tcPr>
            <w:tcW w:w="400" w:type="dxa"/>
            <w:vAlign w:val="bottom"/>
          </w:tcPr>
          <w:p>
            <w:pPr>
              <w:spacing w:after="0"/>
              <w:rPr>
                <w:sz w:val="16"/>
                <w:szCs w:val="16"/>
                <w:color w:val="auto"/>
              </w:rPr>
            </w:pPr>
          </w:p>
        </w:tc>
        <w:tc>
          <w:tcPr>
            <w:tcW w:w="3060" w:type="dxa"/>
            <w:vAlign w:val="bottom"/>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6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20"/>
        </w:trPr>
        <w:tc>
          <w:tcPr>
            <w:tcW w:w="760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Reconciliation of net income attributable to common shareholders to FFO attributable to common shareholders plus assumed</w:t>
            </w: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conversions: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842,851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8,275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Per diluted share</w:t>
            </w: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FFO adjustments:</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76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of real property</w:t>
            </w: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411,114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399,694</w:t>
            </w: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impairment losses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sales-type lease</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(803,248)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gains on sale of real estate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0" w:type="dxa"/>
            <w:vAlign w:val="bottom"/>
          </w:tcPr>
          <w:p>
            <w:pPr>
              <w:spacing w:after="0"/>
              <w:rPr>
                <w:sz w:val="1"/>
                <w:szCs w:val="1"/>
                <w:color w:val="auto"/>
              </w:rPr>
            </w:pPr>
          </w:p>
        </w:tc>
      </w:tr>
      <w:tr>
        <w:trPr>
          <w:trHeight w:val="20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marketable securities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Our share of partially owned entities: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 of real property</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94,867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101,195</w:t>
            </w: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Net gains on sale of real estate</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(90,762)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FFO adjustments, net</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(389,704)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500,016</w:t>
            </w: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assumed conversion of dilutive convertible securities</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1,549</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 share of above adjustments on a dilutive basis</w:t>
            </w: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(39,819)</w:t>
            </w: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FFO attributable to common shareholders plus assumed conversions</w:t>
            </w: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486,826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470,021</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Per diluted share</w:t>
            </w: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weighted average shares outstanding:</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76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191,759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190,539</w:t>
            </w: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Share-based payment awards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6,087</w:t>
            </w: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Convertible securities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1,556</w:t>
            </w:r>
          </w:p>
        </w:tc>
        <w:tc>
          <w:tcPr>
            <w:tcW w:w="0" w:type="dxa"/>
            <w:vAlign w:val="bottom"/>
          </w:tcPr>
          <w:p>
            <w:pPr>
              <w:spacing w:after="0"/>
              <w:rPr>
                <w:sz w:val="1"/>
                <w:szCs w:val="1"/>
                <w:color w:val="auto"/>
              </w:rPr>
            </w:pPr>
          </w:p>
        </w:tc>
      </w:tr>
      <w:tr>
        <w:trPr>
          <w:trHeight w:val="221"/>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 for FFO per diluted share</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201,049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198,182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56" w:name="page57"/>
    <w:bookmarkEnd w:id="56"/>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68"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We have exposure to fluctuations in market interest rates. Market interest rates are sensitive to many factors that are beyond our control. Our exposure to a change in interest rates on our consolidated and non-consolidated debt (all of which arises out of non-trading activity) is as follows:</w:t>
      </w:r>
    </w:p>
    <w:p>
      <w:pPr>
        <w:spacing w:after="0" w:line="64" w:lineRule="exact"/>
        <w:rPr>
          <w:sz w:val="20"/>
          <w:szCs w:val="20"/>
          <w:color w:val="auto"/>
        </w:rPr>
      </w:pPr>
    </w:p>
    <w:tbl>
      <w:tblPr>
        <w:tblLayout w:type="fixed"/>
        <w:tblInd w:w="140" w:type="dxa"/>
        <w:tblCellMar>
          <w:top w:w="0" w:type="dxa"/>
          <w:left w:w="0" w:type="dxa"/>
          <w:bottom w:w="0" w:type="dxa"/>
          <w:right w:w="0" w:type="dxa"/>
        </w:tblCellMar>
      </w:tblPr>
      <w:tr>
        <w:trPr>
          <w:trHeight w:val="182"/>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and unit amounts)</w:t>
            </w: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As of December 31, 2025</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5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5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vMerge w:val="restart"/>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3"/>
                <w:szCs w:val="13"/>
                <w:color w:val="auto"/>
              </w:rPr>
            </w:pPr>
          </w:p>
        </w:tc>
        <w:tc>
          <w:tcPr>
            <w:tcW w:w="192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00" w:type="dxa"/>
            <w:vAlign w:val="bottom"/>
          </w:tcPr>
          <w:p>
            <w:pPr>
              <w:spacing w:after="0"/>
              <w:rPr>
                <w:sz w:val="13"/>
                <w:szCs w:val="13"/>
                <w:color w:val="auto"/>
              </w:rPr>
            </w:pPr>
          </w:p>
        </w:tc>
        <w:tc>
          <w:tcPr>
            <w:tcW w:w="1540" w:type="dxa"/>
            <w:vAlign w:val="bottom"/>
          </w:tcPr>
          <w:p>
            <w:pPr>
              <w:jc w:val="right"/>
              <w:ind w:right="50"/>
              <w:spacing w:after="0" w:line="151" w:lineRule="exact"/>
              <w:rPr>
                <w:sz w:val="20"/>
                <w:szCs w:val="20"/>
                <w:color w:val="auto"/>
              </w:rPr>
            </w:pPr>
            <w:r>
              <w:rPr>
                <w:rFonts w:ascii="Times New Roman" w:cs="Times New Roman" w:eastAsia="Times New Roman" w:hAnsi="Times New Roman"/>
                <w:sz w:val="14"/>
                <w:szCs w:val="14"/>
                <w:b w:val="1"/>
                <w:bCs w:val="1"/>
                <w:color w:val="auto"/>
                <w:w w:val="98"/>
              </w:rPr>
              <w:t>Effect of 1% Change In</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Interest Rate</w:t>
            </w:r>
            <w:r>
              <w:rPr>
                <w:rFonts w:ascii="Times New Roman" w:cs="Times New Roman" w:eastAsia="Times New Roman" w:hAnsi="Times New Roman"/>
                <w:sz w:val="9"/>
                <w:szCs w:val="9"/>
                <w:b w:val="1"/>
                <w:bCs w:val="1"/>
                <w:color w:val="auto"/>
                <w:w w:val="99"/>
              </w:rPr>
              <w:t>(1)</w:t>
            </w:r>
          </w:p>
        </w:tc>
        <w:tc>
          <w:tcPr>
            <w:tcW w:w="100" w:type="dxa"/>
            <w:vAlign w:val="bottom"/>
          </w:tcPr>
          <w:p>
            <w:pPr>
              <w:spacing w:after="0"/>
              <w:rPr>
                <w:sz w:val="16"/>
                <w:szCs w:val="16"/>
                <w:color w:val="auto"/>
              </w:rPr>
            </w:pP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Base Rates</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17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debt:</w:t>
            </w:r>
          </w:p>
        </w:tc>
        <w:tc>
          <w:tcPr>
            <w:tcW w:w="3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shd w:val="clear" w:color="auto" w:fill="CCEEFF"/>
          </w:tcPr>
          <w:p>
            <w:pPr>
              <w:ind w:left="440"/>
              <w:spacing w:after="0" w:line="196" w:lineRule="exact"/>
              <w:rPr>
                <w:sz w:val="20"/>
                <w:szCs w:val="20"/>
                <w:color w:val="auto"/>
              </w:rPr>
            </w:pPr>
            <w:r>
              <w:rPr>
                <w:rFonts w:ascii="Times New Roman" w:cs="Times New Roman" w:eastAsia="Times New Roman" w:hAnsi="Times New Roman"/>
                <w:sz w:val="14"/>
                <w:szCs w:val="14"/>
                <w:color w:val="auto"/>
              </w:rPr>
              <w:t>Fixed rate</w:t>
            </w:r>
            <w:r>
              <w:rPr>
                <w:rFonts w:ascii="Times New Roman" w:cs="Times New Roman" w:eastAsia="Times New Roman" w:hAnsi="Times New Roman"/>
                <w:sz w:val="18"/>
                <w:szCs w:val="18"/>
                <w:b w:val="1"/>
                <w:bCs w:val="1"/>
                <w:color w:val="auto"/>
                <w:vertAlign w:val="superscript"/>
              </w:rPr>
              <w:t>(3)</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5,490,000</w:t>
            </w:r>
          </w:p>
        </w:tc>
        <w:tc>
          <w:tcPr>
            <w:tcW w:w="1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4.49%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CCEEFF"/>
            </w:tcBorders>
          </w:tcPr>
          <w:p>
            <w:pPr>
              <w:ind w:left="440"/>
              <w:spacing w:after="0" w:line="196" w:lineRule="exact"/>
              <w:rPr>
                <w:sz w:val="20"/>
                <w:szCs w:val="20"/>
                <w:color w:val="auto"/>
              </w:rPr>
            </w:pPr>
            <w:r>
              <w:rPr>
                <w:rFonts w:ascii="Times New Roman" w:cs="Times New Roman" w:eastAsia="Times New Roman" w:hAnsi="Times New Roman"/>
                <w:sz w:val="14"/>
                <w:szCs w:val="14"/>
                <w:color w:val="auto"/>
              </w:rPr>
              <w:t>Variable rate</w:t>
            </w:r>
            <w:r>
              <w:rPr>
                <w:rFonts w:ascii="Times New Roman" w:cs="Times New Roman" w:eastAsia="Times New Roman" w:hAnsi="Times New Roman"/>
                <w:sz w:val="18"/>
                <w:szCs w:val="18"/>
                <w:b w:val="1"/>
                <w:bCs w:val="1"/>
                <w:color w:val="auto"/>
                <w:vertAlign w:val="superscript"/>
              </w:rPr>
              <w:t>(4)</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1,724,457</w:t>
            </w:r>
          </w:p>
        </w:tc>
        <w:tc>
          <w:tcPr>
            <w:tcW w:w="1740" w:type="dxa"/>
            <w:vAlign w:val="bottom"/>
            <w:tcBorders>
              <w:bottom w:val="single" w:sz="8" w:color="CCEEFF"/>
            </w:tcBorders>
            <w:gridSpan w:val="2"/>
          </w:tcPr>
          <w:p>
            <w:pPr>
              <w:jc w:val="center"/>
              <w:ind w:right="430"/>
              <w:spacing w:after="0" w:line="196" w:lineRule="exact"/>
              <w:rPr>
                <w:sz w:val="20"/>
                <w:szCs w:val="20"/>
                <w:color w:val="auto"/>
              </w:rPr>
            </w:pPr>
            <w:r>
              <w:rPr>
                <w:rFonts w:ascii="Times New Roman" w:cs="Times New Roman" w:eastAsia="Times New Roman" w:hAnsi="Times New Roman"/>
                <w:sz w:val="14"/>
                <w:szCs w:val="14"/>
                <w:color w:val="auto"/>
              </w:rPr>
              <w:t>5.48%</w:t>
            </w:r>
            <w:r>
              <w:rPr>
                <w:rFonts w:ascii="Times New Roman" w:cs="Times New Roman" w:eastAsia="Times New Roman" w:hAnsi="Times New Roman"/>
                <w:sz w:val="18"/>
                <w:szCs w:val="18"/>
                <w:b w:val="1"/>
                <w:bCs w:val="1"/>
                <w:color w:val="auto"/>
                <w:vertAlign w:val="superscript"/>
              </w:rPr>
              <w:t>(5)</w:t>
            </w: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11,530</w:t>
            </w:r>
          </w:p>
        </w:tc>
        <w:tc>
          <w:tcPr>
            <w:tcW w:w="0" w:type="dxa"/>
            <w:vAlign w:val="bottom"/>
          </w:tcPr>
          <w:p>
            <w:pPr>
              <w:spacing w:after="0"/>
              <w:rPr>
                <w:sz w:val="1"/>
                <w:szCs w:val="1"/>
                <w:color w:val="auto"/>
              </w:rPr>
            </w:pPr>
          </w:p>
        </w:tc>
      </w:tr>
      <w:tr>
        <w:trPr>
          <w:trHeight w:val="255"/>
        </w:trPr>
        <w:tc>
          <w:tcPr>
            <w:tcW w:w="5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7,214,457</w:t>
            </w:r>
          </w:p>
        </w:tc>
        <w:tc>
          <w:tcPr>
            <w:tcW w:w="17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4.73%</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11,530</w:t>
            </w:r>
          </w:p>
        </w:tc>
        <w:tc>
          <w:tcPr>
            <w:tcW w:w="0" w:type="dxa"/>
            <w:vAlign w:val="bottom"/>
          </w:tcPr>
          <w:p>
            <w:pPr>
              <w:spacing w:after="0"/>
              <w:rPr>
                <w:sz w:val="1"/>
                <w:szCs w:val="1"/>
                <w:color w:val="auto"/>
              </w:rPr>
            </w:pPr>
          </w:p>
        </w:tc>
      </w:tr>
      <w:tr>
        <w:trPr>
          <w:trHeight w:val="136"/>
        </w:trPr>
        <w:tc>
          <w:tcPr>
            <w:tcW w:w="5680" w:type="dxa"/>
            <w:vAlign w:val="bottom"/>
            <w:tcBorders>
              <w:top w:val="single" w:sz="8" w:color="CCEEFF"/>
            </w:tcBorders>
          </w:tcPr>
          <w:p>
            <w:pPr>
              <w:ind w:left="20"/>
              <w:spacing w:after="0" w:line="136" w:lineRule="exact"/>
              <w:rPr>
                <w:sz w:val="20"/>
                <w:szCs w:val="20"/>
                <w:color w:val="auto"/>
              </w:rPr>
            </w:pPr>
            <w:r>
              <w:rPr>
                <w:rFonts w:ascii="Times New Roman" w:cs="Times New Roman" w:eastAsia="Times New Roman" w:hAnsi="Times New Roman"/>
                <w:sz w:val="14"/>
                <w:szCs w:val="14"/>
                <w:color w:val="auto"/>
              </w:rPr>
              <w:t>Pro rata share of debt of non-consolidated entities:</w:t>
            </w:r>
          </w:p>
        </w:tc>
        <w:tc>
          <w:tcPr>
            <w:tcW w:w="3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40" w:type="dxa"/>
            <w:vAlign w:val="bottom"/>
            <w:tcBorders>
              <w:top w:val="single" w:sz="8" w:color="CCEEFF"/>
            </w:tcBorders>
          </w:tcPr>
          <w:p>
            <w:pPr>
              <w:spacing w:after="0"/>
              <w:rPr>
                <w:sz w:val="11"/>
                <w:szCs w:val="11"/>
                <w:color w:val="auto"/>
              </w:rPr>
            </w:pPr>
          </w:p>
        </w:tc>
        <w:tc>
          <w:tcPr>
            <w:tcW w:w="2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5680" w:type="dxa"/>
            <w:vAlign w:val="bottom"/>
            <w:shd w:val="clear" w:color="auto" w:fill="CCEEFF"/>
          </w:tcPr>
          <w:p>
            <w:pPr>
              <w:ind w:left="440"/>
              <w:spacing w:after="0" w:line="203" w:lineRule="exact"/>
              <w:rPr>
                <w:sz w:val="20"/>
                <w:szCs w:val="20"/>
                <w:color w:val="auto"/>
              </w:rPr>
            </w:pPr>
            <w:r>
              <w:rPr>
                <w:rFonts w:ascii="Times New Roman" w:cs="Times New Roman" w:eastAsia="Times New Roman" w:hAnsi="Times New Roman"/>
                <w:sz w:val="14"/>
                <w:szCs w:val="14"/>
                <w:color w:val="auto"/>
              </w:rPr>
              <w:t>Fixed rate</w:t>
            </w:r>
            <w:r>
              <w:rPr>
                <w:rFonts w:ascii="Times New Roman" w:cs="Times New Roman" w:eastAsia="Times New Roman" w:hAnsi="Times New Roman"/>
                <w:sz w:val="18"/>
                <w:szCs w:val="18"/>
                <w:b w:val="1"/>
                <w:bCs w:val="1"/>
                <w:color w:val="auto"/>
                <w:vertAlign w:val="superscript"/>
              </w:rPr>
              <w:t>(3)</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2,056,151</w:t>
            </w:r>
          </w:p>
        </w:tc>
        <w:tc>
          <w:tcPr>
            <w:tcW w:w="17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5.58%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CCEEFF"/>
            </w:tcBorders>
          </w:tcPr>
          <w:p>
            <w:pPr>
              <w:ind w:left="440"/>
              <w:spacing w:after="0" w:line="196" w:lineRule="exact"/>
              <w:rPr>
                <w:sz w:val="20"/>
                <w:szCs w:val="20"/>
                <w:color w:val="auto"/>
              </w:rPr>
            </w:pPr>
            <w:r>
              <w:rPr>
                <w:rFonts w:ascii="Times New Roman" w:cs="Times New Roman" w:eastAsia="Times New Roman" w:hAnsi="Times New Roman"/>
                <w:sz w:val="14"/>
                <w:szCs w:val="14"/>
                <w:color w:val="auto"/>
              </w:rPr>
              <w:t>Variable rate</w:t>
            </w:r>
            <w:r>
              <w:rPr>
                <w:rFonts w:ascii="Times New Roman" w:cs="Times New Roman" w:eastAsia="Times New Roman" w:hAnsi="Times New Roman"/>
                <w:sz w:val="18"/>
                <w:szCs w:val="18"/>
                <w:b w:val="1"/>
                <w:bCs w:val="1"/>
                <w:color w:val="auto"/>
                <w:vertAlign w:val="superscript"/>
              </w:rPr>
              <w:t>(6)</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422,393</w:t>
            </w:r>
          </w:p>
        </w:tc>
        <w:tc>
          <w:tcPr>
            <w:tcW w:w="174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4"/>
                <w:szCs w:val="14"/>
                <w:color w:val="auto"/>
                <w:w w:val="99"/>
              </w:rPr>
              <w:t>6.31%</w:t>
            </w: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2,974</w:t>
            </w:r>
          </w:p>
        </w:tc>
        <w:tc>
          <w:tcPr>
            <w:tcW w:w="0" w:type="dxa"/>
            <w:vAlign w:val="bottom"/>
          </w:tcPr>
          <w:p>
            <w:pPr>
              <w:spacing w:after="0"/>
              <w:rPr>
                <w:sz w:val="1"/>
                <w:szCs w:val="1"/>
                <w:color w:val="auto"/>
              </w:rPr>
            </w:pPr>
          </w:p>
        </w:tc>
      </w:tr>
      <w:tr>
        <w:trPr>
          <w:trHeight w:val="255"/>
        </w:trPr>
        <w:tc>
          <w:tcPr>
            <w:tcW w:w="5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2,478,544</w:t>
            </w:r>
          </w:p>
        </w:tc>
        <w:tc>
          <w:tcPr>
            <w:tcW w:w="17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9"/>
              </w:rPr>
              <w:t>5.71%</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w:t>
            </w:r>
          </w:p>
        </w:tc>
        <w:tc>
          <w:tcPr>
            <w:tcW w:w="0" w:type="dxa"/>
            <w:vAlign w:val="bottom"/>
          </w:tcPr>
          <w:p>
            <w:pPr>
              <w:spacing w:after="0"/>
              <w:rPr>
                <w:sz w:val="1"/>
                <w:szCs w:val="1"/>
                <w:color w:val="auto"/>
              </w:rPr>
            </w:pPr>
          </w:p>
        </w:tc>
      </w:tr>
      <w:tr>
        <w:trPr>
          <w:trHeight w:val="149"/>
        </w:trPr>
        <w:tc>
          <w:tcPr>
            <w:tcW w:w="5680" w:type="dxa"/>
            <w:vAlign w:val="bottom"/>
            <w:tcBorders>
              <w:top w:val="single" w:sz="8" w:color="CCEEFF"/>
              <w:bottom w:val="single" w:sz="8" w:color="CCEEFF"/>
            </w:tcBorders>
          </w:tcPr>
          <w:p>
            <w:pPr>
              <w:ind w:left="180"/>
              <w:spacing w:after="0" w:line="143" w:lineRule="exact"/>
              <w:rPr>
                <w:sz w:val="20"/>
                <w:szCs w:val="20"/>
                <w:color w:val="auto"/>
              </w:rPr>
            </w:pPr>
            <w:r>
              <w:rPr>
                <w:rFonts w:ascii="Times New Roman" w:cs="Times New Roman" w:eastAsia="Times New Roman" w:hAnsi="Times New Roman"/>
                <w:sz w:val="14"/>
                <w:szCs w:val="14"/>
                <w:color w:val="auto"/>
              </w:rPr>
              <w:t>Noncontrolling interests’ share of consolidated subsidiaries</w:t>
            </w:r>
          </w:p>
        </w:tc>
        <w:tc>
          <w:tcPr>
            <w:tcW w:w="340" w:type="dxa"/>
            <w:vAlign w:val="bottom"/>
            <w:tcBorders>
              <w:top w:val="single" w:sz="8" w:color="auto"/>
              <w:bottom w:val="single" w:sz="8" w:color="CCEEFF"/>
            </w:tcBorders>
          </w:tcPr>
          <w:p>
            <w:pPr>
              <w:spacing w:after="0"/>
              <w:rPr>
                <w:sz w:val="12"/>
                <w:szCs w:val="12"/>
                <w:color w:val="auto"/>
              </w:rPr>
            </w:pPr>
          </w:p>
        </w:tc>
        <w:tc>
          <w:tcPr>
            <w:tcW w:w="1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640" w:type="dxa"/>
            <w:vAlign w:val="bottom"/>
            <w:tcBorders>
              <w:top w:val="single" w:sz="8" w:color="CCEEFF"/>
              <w:bottom w:val="single" w:sz="8" w:color="CCEEFF"/>
            </w:tcBorders>
          </w:tcPr>
          <w:p>
            <w:pPr>
              <w:spacing w:after="0"/>
              <w:rPr>
                <w:sz w:val="12"/>
                <w:szCs w:val="12"/>
                <w:color w:val="auto"/>
              </w:rPr>
            </w:pPr>
          </w:p>
        </w:tc>
        <w:tc>
          <w:tcPr>
            <w:tcW w:w="28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(4,685)</w:t>
            </w:r>
          </w:p>
        </w:tc>
        <w:tc>
          <w:tcPr>
            <w:tcW w:w="0" w:type="dxa"/>
            <w:vAlign w:val="bottom"/>
          </w:tcPr>
          <w:p>
            <w:pPr>
              <w:spacing w:after="0"/>
              <w:rPr>
                <w:sz w:val="1"/>
                <w:szCs w:val="1"/>
                <w:color w:val="auto"/>
              </w:rPr>
            </w:pPr>
          </w:p>
        </w:tc>
      </w:tr>
      <w:tr>
        <w:trPr>
          <w:trHeight w:val="19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change in annual net income attributable to the Operating Partnership</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w:t>
            </w:r>
          </w:p>
        </w:tc>
        <w:tc>
          <w:tcPr>
            <w:tcW w:w="0" w:type="dxa"/>
            <w:vAlign w:val="bottom"/>
          </w:tcPr>
          <w:p>
            <w:pPr>
              <w:spacing w:after="0"/>
              <w:rPr>
                <w:sz w:val="1"/>
                <w:szCs w:val="1"/>
                <w:color w:val="auto"/>
              </w:rPr>
            </w:pPr>
          </w:p>
        </w:tc>
      </w:tr>
      <w:tr>
        <w:trPr>
          <w:trHeight w:val="190"/>
        </w:trPr>
        <w:tc>
          <w:tcPr>
            <w:tcW w:w="5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Noncontrolling interests’ share of the Operating Partnership</w:t>
            </w:r>
          </w:p>
        </w:tc>
        <w:tc>
          <w:tcPr>
            <w:tcW w:w="34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221"/>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change in annual net income attributable to Vornado</w:t>
            </w:r>
          </w:p>
        </w:tc>
        <w:tc>
          <w:tcPr>
            <w:tcW w:w="3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180"/>
              <w:spacing w:after="0" w:line="118" w:lineRule="exact"/>
              <w:rPr>
                <w:sz w:val="20"/>
                <w:szCs w:val="20"/>
                <w:color w:val="auto"/>
              </w:rPr>
            </w:pPr>
            <w:r>
              <w:rPr>
                <w:rFonts w:ascii="Times New Roman" w:cs="Times New Roman" w:eastAsia="Times New Roman" w:hAnsi="Times New Roman"/>
                <w:sz w:val="13"/>
                <w:szCs w:val="13"/>
                <w:color w:val="auto"/>
              </w:rPr>
              <w:t>Total change in annual net income attributable to the</w:t>
            </w:r>
          </w:p>
        </w:tc>
        <w:tc>
          <w:tcPr>
            <w:tcW w:w="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56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75"/>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Partnership per diluted Class A unit</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680" w:type="dxa"/>
            <w:vAlign w:val="bottom"/>
            <w:shd w:val="clear" w:color="auto" w:fill="CCEEFF"/>
          </w:tcPr>
          <w:p>
            <w:pPr>
              <w:ind w:left="180"/>
              <w:spacing w:after="0" w:line="97" w:lineRule="exact"/>
              <w:rPr>
                <w:sz w:val="20"/>
                <w:szCs w:val="20"/>
                <w:color w:val="auto"/>
              </w:rPr>
            </w:pPr>
            <w:r>
              <w:rPr>
                <w:rFonts w:ascii="Times New Roman" w:cs="Times New Roman" w:eastAsia="Times New Roman" w:hAnsi="Times New Roman"/>
                <w:sz w:val="10"/>
                <w:szCs w:val="10"/>
                <w:color w:val="auto"/>
              </w:rPr>
              <w:t>Total change in annual net income attributable to Vornado</w:t>
            </w:r>
          </w:p>
        </w:tc>
        <w:tc>
          <w:tcPr>
            <w:tcW w:w="3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90"/>
        </w:trPr>
        <w:tc>
          <w:tcPr>
            <w:tcW w:w="5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per diluted common share</w:t>
            </w:r>
          </w:p>
        </w:tc>
        <w:tc>
          <w:tcPr>
            <w:tcW w:w="3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5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w:t>
      </w:r>
    </w:p>
    <w:p>
      <w:pPr>
        <w:spacing w:after="0" w:line="22" w:lineRule="exact"/>
        <w:rPr>
          <w:sz w:val="20"/>
          <w:szCs w:val="20"/>
          <w:color w:val="auto"/>
        </w:rPr>
      </w:pPr>
    </w:p>
    <w:p>
      <w:pPr>
        <w:ind w:left="320" w:hanging="315"/>
        <w:spacing w:after="0"/>
        <w:tabs>
          <w:tab w:leader="none" w:pos="320" w:val="left"/>
        </w:tabs>
        <w:numPr>
          <w:ilvl w:val="0"/>
          <w:numId w:val="3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Represents the interest rate in effect as of period end based on the appropriate reference rate as of the contractual reset date plus contractual spread, adjusted for hedging instruments, as applicable.</w:t>
      </w:r>
    </w:p>
    <w:p>
      <w:pPr>
        <w:spacing w:after="0" w:line="30" w:lineRule="exact"/>
        <w:rPr>
          <w:rFonts w:ascii="Times New Roman" w:cs="Times New Roman" w:eastAsia="Times New Roman" w:hAnsi="Times New Roman"/>
          <w:sz w:val="13"/>
          <w:szCs w:val="13"/>
          <w:b w:val="1"/>
          <w:bCs w:val="1"/>
          <w:color w:val="auto"/>
        </w:rPr>
      </w:pPr>
    </w:p>
    <w:p>
      <w:pPr>
        <w:ind w:left="320" w:hanging="315"/>
        <w:spacing w:after="0"/>
        <w:tabs>
          <w:tab w:leader="none" w:pos="32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impact of the interest rate cap arrangements discussed on the following page is reflected in our calculation of the effect of 1% change in base rates.</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debt with interest rates fixed by interest rate swap arrangements.</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line="244" w:lineRule="auto"/>
        <w:tabs>
          <w:tab w:leader="none" w:pos="312"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debt subject to interest rate cap arrangements with a total notional amount of $1,210,000, of which $645,000 is attributable to noncontrolling interests. The interest rate cap arrangements have a weighted average strike rate of 4.47% and a weighted average remaining term of eight months.</w:t>
      </w:r>
    </w:p>
    <w:p>
      <w:pPr>
        <w:ind w:left="320" w:hanging="315"/>
        <w:spacing w:after="0"/>
        <w:tabs>
          <w:tab w:leader="none" w:pos="32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additional 3.00% default interest on the 606 Broadway mortgage loan.</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line="267" w:lineRule="auto"/>
        <w:tabs>
          <w:tab w:leader="none" w:pos="312"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debt subject to interest rate cap arrangements with a total notional amount of $238,159 at our pro rata share. The interest rate cap arrangements have a weighted average strike rate of 4.23% and a weighted average remaining term of six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Debt</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estimated fair value of our consolidated debt is calculated based on current market prices and discounted cash flows at the current rate at which similar loans would be made to borrowers with similar credit ratings for the remaining term of such debt. As of December 31, 2025, the estimated fair value of our consolidated debt was $6,988,000,000.</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7" w:name="page58"/>
    <w:bookmarkEnd w:id="57"/>
    <w:p>
      <w:pPr>
        <w:ind w:right="3240"/>
        <w:spacing w:after="0" w:line="322" w:lineRule="auto"/>
        <w:rPr>
          <w:sz w:val="20"/>
          <w:szCs w:val="20"/>
          <w:color w:val="auto"/>
        </w:rPr>
      </w:pPr>
      <w:r>
        <w:rPr>
          <w:rFonts w:ascii="Times New Roman" w:cs="Times New Roman" w:eastAsia="Times New Roman" w:hAnsi="Times New Roman"/>
          <w:sz w:val="17"/>
          <w:szCs w:val="17"/>
          <w:b w:val="1"/>
          <w:bCs w:val="1"/>
          <w:color w:val="auto"/>
        </w:rPr>
        <w:t xml:space="preserve">ITEM 7A. QUANTITATIVE AND QUALITATIVE DISCLOSURES ABOUT MARKET RISK - continued </w:t>
      </w:r>
      <w:r>
        <w:rPr>
          <w:rFonts w:ascii="Times New Roman" w:cs="Times New Roman" w:eastAsia="Times New Roman" w:hAnsi="Times New Roman"/>
          <w:sz w:val="17"/>
          <w:szCs w:val="17"/>
          <w:i w:val="1"/>
          <w:iCs w:val="1"/>
          <w:color w:val="auto"/>
        </w:rPr>
        <w:t>Derivatives and Hedging</w:t>
      </w:r>
    </w:p>
    <w:p>
      <w:pPr>
        <w:spacing w:after="0" w:line="1" w:lineRule="exact"/>
        <w:rPr>
          <w:sz w:val="20"/>
          <w:szCs w:val="20"/>
          <w:color w:val="auto"/>
        </w:rPr>
      </w:pPr>
    </w:p>
    <w:p>
      <w:pPr>
        <w:ind w:right="100" w:firstLine="314"/>
        <w:spacing w:after="0" w:line="268" w:lineRule="auto"/>
        <w:rPr>
          <w:sz w:val="20"/>
          <w:szCs w:val="20"/>
          <w:color w:val="auto"/>
        </w:rPr>
      </w:pPr>
      <w:r>
        <w:rPr>
          <w:rFonts w:ascii="Times New Roman" w:cs="Times New Roman" w:eastAsia="Times New Roman" w:hAnsi="Times New Roman"/>
          <w:sz w:val="17"/>
          <w:szCs w:val="17"/>
          <w:color w:val="auto"/>
        </w:rPr>
        <w:t>We utilize various financial instruments to mitigate the impact of interest rate fluctuations on our cash flows and earnings, including hedging strategies, depending on our analysis of the interest rate environment and the costs and risks of such strategies. The following table summarizes our consolidated hedging</w:t>
      </w:r>
    </w:p>
    <w:p>
      <w:pPr>
        <w:spacing w:after="0" w:line="1" w:lineRule="exact"/>
        <w:rPr>
          <w:sz w:val="20"/>
          <w:szCs w:val="20"/>
          <w:color w:val="auto"/>
        </w:rPr>
      </w:pPr>
    </w:p>
    <w:p>
      <w:pPr>
        <w:spacing w:after="0"/>
        <w:tabs>
          <w:tab w:leader="none" w:pos="1380" w:val="left"/>
          <w:tab w:leader="none" w:pos="2080" w:val="left"/>
          <w:tab w:leader="none" w:pos="2760" w:val="left"/>
          <w:tab w:leader="none" w:pos="3720" w:val="left"/>
          <w:tab w:leader="none" w:pos="4680" w:val="left"/>
          <w:tab w:leader="none" w:pos="5780" w:val="left"/>
          <w:tab w:leader="none" w:pos="6580" w:val="left"/>
          <w:tab w:leader="none" w:pos="7460" w:val="left"/>
          <w:tab w:leader="none" w:pos="8140" w:val="left"/>
          <w:tab w:leader="none" w:pos="8820" w:val="left"/>
          <w:tab w:leader="none" w:pos="10060" w:val="left"/>
          <w:tab w:leader="none" w:pos="10820" w:val="left"/>
        </w:tabs>
        <w:rPr>
          <w:sz w:val="20"/>
          <w:szCs w:val="20"/>
          <w:color w:val="auto"/>
        </w:rPr>
      </w:pPr>
      <w:r>
        <w:rPr>
          <w:rFonts w:ascii="Times New Roman" w:cs="Times New Roman" w:eastAsia="Times New Roman" w:hAnsi="Times New Roman"/>
          <w:sz w:val="17"/>
          <w:szCs w:val="17"/>
          <w:color w:val="auto"/>
        </w:rPr>
        <w:t>instruments,</w:t>
      </w:r>
      <w:r>
        <w:rPr>
          <w:sz w:val="20"/>
          <w:szCs w:val="20"/>
          <w:color w:val="auto"/>
        </w:rPr>
        <w:tab/>
      </w:r>
      <w:r>
        <w:rPr>
          <w:rFonts w:ascii="Times New Roman" w:cs="Times New Roman" w:eastAsia="Times New Roman" w:hAnsi="Times New Roman"/>
          <w:sz w:val="17"/>
          <w:szCs w:val="17"/>
          <w:color w:val="auto"/>
        </w:rPr>
        <w:t>all</w:t>
      </w:r>
      <w:r>
        <w:rPr>
          <w:sz w:val="20"/>
          <w:szCs w:val="20"/>
          <w:color w:val="auto"/>
        </w:rPr>
        <w:tab/>
      </w:r>
      <w:r>
        <w:rPr>
          <w:rFonts w:ascii="Times New Roman" w:cs="Times New Roman" w:eastAsia="Times New Roman" w:hAnsi="Times New Roman"/>
          <w:sz w:val="17"/>
          <w:szCs w:val="17"/>
          <w:color w:val="auto"/>
        </w:rPr>
        <w:t>of</w:t>
      </w:r>
      <w:r>
        <w:rPr>
          <w:sz w:val="20"/>
          <w:szCs w:val="20"/>
          <w:color w:val="auto"/>
        </w:rPr>
        <w:tab/>
      </w:r>
      <w:r>
        <w:rPr>
          <w:rFonts w:ascii="Times New Roman" w:cs="Times New Roman" w:eastAsia="Times New Roman" w:hAnsi="Times New Roman"/>
          <w:sz w:val="17"/>
          <w:szCs w:val="17"/>
          <w:color w:val="auto"/>
        </w:rPr>
        <w:t>which</w:t>
      </w:r>
      <w:r>
        <w:rPr>
          <w:sz w:val="20"/>
          <w:szCs w:val="20"/>
          <w:color w:val="auto"/>
        </w:rPr>
        <w:tab/>
      </w:r>
      <w:r>
        <w:rPr>
          <w:rFonts w:ascii="Times New Roman" w:cs="Times New Roman" w:eastAsia="Times New Roman" w:hAnsi="Times New Roman"/>
          <w:sz w:val="17"/>
          <w:szCs w:val="17"/>
          <w:color w:val="auto"/>
        </w:rPr>
        <w:t>hedge</w:t>
      </w:r>
      <w:r>
        <w:rPr>
          <w:sz w:val="20"/>
          <w:szCs w:val="20"/>
          <w:color w:val="auto"/>
        </w:rPr>
        <w:tab/>
      </w:r>
      <w:r>
        <w:rPr>
          <w:rFonts w:ascii="Times New Roman" w:cs="Times New Roman" w:eastAsia="Times New Roman" w:hAnsi="Times New Roman"/>
          <w:sz w:val="17"/>
          <w:szCs w:val="17"/>
          <w:color w:val="auto"/>
        </w:rPr>
        <w:t>variable</w:t>
      </w:r>
      <w:r>
        <w:rPr>
          <w:sz w:val="20"/>
          <w:szCs w:val="20"/>
          <w:color w:val="auto"/>
        </w:rPr>
        <w:tab/>
      </w:r>
      <w:r>
        <w:rPr>
          <w:rFonts w:ascii="Times New Roman" w:cs="Times New Roman" w:eastAsia="Times New Roman" w:hAnsi="Times New Roman"/>
          <w:sz w:val="17"/>
          <w:szCs w:val="17"/>
          <w:color w:val="auto"/>
        </w:rPr>
        <w:t>rate</w:t>
      </w:r>
      <w:r>
        <w:rPr>
          <w:sz w:val="20"/>
          <w:szCs w:val="20"/>
          <w:color w:val="auto"/>
        </w:rPr>
        <w:tab/>
      </w:r>
      <w:r>
        <w:rPr>
          <w:rFonts w:ascii="Times New Roman" w:cs="Times New Roman" w:eastAsia="Times New Roman" w:hAnsi="Times New Roman"/>
          <w:sz w:val="17"/>
          <w:szCs w:val="17"/>
          <w:color w:val="auto"/>
        </w:rPr>
        <w:t>debt,</w:t>
      </w:r>
      <w:r>
        <w:rPr>
          <w:sz w:val="20"/>
          <w:szCs w:val="20"/>
          <w:color w:val="auto"/>
        </w:rPr>
        <w:tab/>
      </w:r>
      <w:r>
        <w:rPr>
          <w:rFonts w:ascii="Times New Roman" w:cs="Times New Roman" w:eastAsia="Times New Roman" w:hAnsi="Times New Roman"/>
          <w:sz w:val="17"/>
          <w:szCs w:val="17"/>
          <w:color w:val="auto"/>
        </w:rPr>
        <w:t>as</w:t>
      </w:r>
      <w:r>
        <w:rPr>
          <w:sz w:val="20"/>
          <w:szCs w:val="20"/>
          <w:color w:val="auto"/>
        </w:rPr>
        <w:tab/>
      </w:r>
      <w:r>
        <w:rPr>
          <w:rFonts w:ascii="Times New Roman" w:cs="Times New Roman" w:eastAsia="Times New Roman" w:hAnsi="Times New Roman"/>
          <w:sz w:val="17"/>
          <w:szCs w:val="17"/>
          <w:color w:val="auto"/>
        </w:rPr>
        <w:t>of</w:t>
      </w:r>
      <w:r>
        <w:rPr>
          <w:sz w:val="20"/>
          <w:szCs w:val="20"/>
          <w:color w:val="auto"/>
        </w:rPr>
        <w:tab/>
      </w:r>
      <w:r>
        <w:rPr>
          <w:rFonts w:ascii="Times New Roman" w:cs="Times New Roman" w:eastAsia="Times New Roman" w:hAnsi="Times New Roman"/>
          <w:sz w:val="17"/>
          <w:szCs w:val="17"/>
          <w:color w:val="auto"/>
        </w:rPr>
        <w:t>December</w:t>
      </w:r>
      <w:r>
        <w:rPr>
          <w:sz w:val="20"/>
          <w:szCs w:val="20"/>
          <w:color w:val="auto"/>
        </w:rPr>
        <w:tab/>
      </w: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color w:val="auto"/>
        </w:rPr>
        <w:t>2025.</w:t>
      </w:r>
    </w:p>
    <w:p>
      <w:pPr>
        <w:sectPr>
          <w:pgSz w:w="11900" w:h="16838" w:orient="portrait"/>
          <w:cols w:equalWidth="0" w:num="1">
            <w:col w:w="11340"/>
          </w:cols>
          <w:pgMar w:left="320" w:top="957" w:right="239" w:bottom="1440" w:gutter="0" w:footer="0" w:header="0"/>
        </w:sectPr>
      </w:pP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Debt Balance</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Variable Rate</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Spread</w:t>
            </w: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6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5"/>
              </w:rPr>
              <w:t>555</w:t>
            </w:r>
          </w:p>
        </w:tc>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California Street mortgage loan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10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S+205</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0" w:type="dxa"/>
            <w:vAlign w:val="bottom"/>
          </w:tcPr>
          <w:p>
            <w:pPr>
              <w:spacing w:after="0"/>
              <w:rPr>
                <w:sz w:val="1"/>
                <w:szCs w:val="1"/>
                <w:color w:val="auto"/>
              </w:rPr>
            </w:pPr>
          </w:p>
        </w:tc>
      </w:tr>
      <w:tr>
        <w:trPr>
          <w:trHeight w:val="196"/>
        </w:trPr>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Forward swap (effective 05/26)</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0" w:type="dxa"/>
            <w:vAlign w:val="bottom"/>
          </w:tcPr>
          <w:p>
            <w:pPr>
              <w:spacing w:after="0"/>
              <w:rPr>
                <w:sz w:val="1"/>
                <w:szCs w:val="1"/>
                <w:color w:val="auto"/>
              </w:rPr>
            </w:pPr>
          </w:p>
        </w:tc>
      </w:tr>
      <w:tr>
        <w:trPr>
          <w:trHeight w:val="196"/>
        </w:trPr>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1290 Avenue of the Americas mortgage loan</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950,000</w:t>
            </w:r>
          </w:p>
        </w:tc>
        <w:tc>
          <w:tcPr>
            <w:tcW w:w="10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S+162</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196"/>
        </w:trPr>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Unsecured term loan:</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10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S+125</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In-place swap through 10/26</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In-place swap through 7/27</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In-place swap through 8/27</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96"/>
        </w:trPr>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Unsecured revolving credit facility</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720,420</w:t>
            </w:r>
          </w:p>
        </w:tc>
        <w:tc>
          <w:tcPr>
            <w:tcW w:w="1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S+111</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0" w:type="dxa"/>
            <w:vAlign w:val="bottom"/>
          </w:tcPr>
          <w:p>
            <w:pPr>
              <w:spacing w:after="0"/>
              <w:rPr>
                <w:sz w:val="1"/>
                <w:szCs w:val="1"/>
                <w:color w:val="auto"/>
              </w:rPr>
            </w:pPr>
          </w:p>
        </w:tc>
      </w:tr>
      <w:tr>
        <w:trPr>
          <w:trHeight w:val="196"/>
        </w:trPr>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One Park Avenue mortgage loan</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10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S+122</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96"/>
        </w:trPr>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5"/>
              </w:rPr>
              <w:t>100</w:t>
            </w:r>
          </w:p>
        </w:tc>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West 33rd Street mortgage loan</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10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S+185</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0" w:type="dxa"/>
            <w:vAlign w:val="bottom"/>
          </w:tcPr>
          <w:p>
            <w:pPr>
              <w:spacing w:after="0"/>
              <w:rPr>
                <w:sz w:val="1"/>
                <w:szCs w:val="1"/>
                <w:color w:val="auto"/>
              </w:rPr>
            </w:pPr>
          </w:p>
        </w:tc>
      </w:tr>
      <w:tr>
        <w:trPr>
          <w:trHeight w:val="196"/>
        </w:trPr>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5"/>
              </w:rPr>
              <w:t>435</w:t>
            </w:r>
          </w:p>
        </w:tc>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Seventh Avenue mortgage loan</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S+210</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498"/>
        </w:trPr>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rate caps: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5"/>
              </w:rPr>
              <w:t>150</w:t>
            </w:r>
          </w:p>
        </w:tc>
        <w:tc>
          <w:tcPr>
            <w:tcW w:w="4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West 34th Street mortgage loan</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S+215</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-1797685</wp:posOffset>
            </wp:positionV>
            <wp:extent cx="7136130" cy="1244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-1548130</wp:posOffset>
            </wp:positionV>
            <wp:extent cx="7136130" cy="1244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-1298575</wp:posOffset>
            </wp:positionV>
            <wp:extent cx="7136130" cy="1244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-1049020</wp:posOffset>
            </wp:positionV>
            <wp:extent cx="7136130" cy="1244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-799465</wp:posOffset>
            </wp:positionV>
            <wp:extent cx="7136130" cy="1244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-549910</wp:posOffset>
            </wp:positionV>
            <wp:extent cx="7136130" cy="1244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-109220</wp:posOffset>
            </wp:positionV>
            <wp:extent cx="7136130" cy="1244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130" cy="12446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w:t>
      </w:r>
    </w:p>
    <w:p>
      <w:pPr>
        <w:spacing w:after="0" w:line="46" w:lineRule="exact"/>
        <w:rPr>
          <w:sz w:val="20"/>
          <w:szCs w:val="20"/>
          <w:color w:val="auto"/>
        </w:rPr>
      </w:pPr>
    </w:p>
    <w:p>
      <w:pPr>
        <w:ind w:left="320" w:hanging="315"/>
        <w:spacing w:after="0"/>
        <w:tabs>
          <w:tab w:leader="none" w:pos="32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our 70.0% share of the $1.2 billion mortgage loan. In June 2025, we entered into the forward swap arrangement detailed above.</w:t>
      </w:r>
    </w:p>
    <w:p>
      <w:pPr>
        <w:spacing w:after="0" w:line="2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Reflects the May 2026 increase in variable rate spread to S+230. The variable rate spread will further increase to S+255 in May 2027.</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remaining $750,000 mortgage loan balance has a 4.00% SOFR strike rate cap in place.</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remaining $25,000 mortgage loan balance has a 4.39% SOFR strike rate cap in place.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All-In Swapped</w:t>
            </w:r>
          </w:p>
        </w:tc>
        <w:tc>
          <w:tcPr>
            <w:tcW w:w="18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8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80" w:type="dxa"/>
            <w:vAlign w:val="bottom"/>
          </w:tcPr>
          <w:p>
            <w:pPr>
              <w:jc w:val="right"/>
              <w:ind w:right="115"/>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6.03%</w:t>
            </w:r>
          </w:p>
        </w:tc>
        <w:tc>
          <w:tcPr>
            <w:tcW w:w="134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4"/>
                <w:szCs w:val="14"/>
                <w:color w:val="auto"/>
              </w:rPr>
              <w:t>05/26</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8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b w:val="1"/>
                <w:bCs w:val="1"/>
                <w:color w:val="auto"/>
                <w:w w:val="94"/>
              </w:rPr>
              <w:t>(3)</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5.56%</w:t>
            </w:r>
            <w:r>
              <w:rPr>
                <w:rFonts w:ascii="Times New Roman" w:cs="Times New Roman" w:eastAsia="Times New Roman" w:hAnsi="Times New Roman"/>
                <w:sz w:val="18"/>
                <w:szCs w:val="18"/>
                <w:b w:val="1"/>
                <w:bCs w:val="1"/>
                <w:color w:val="auto"/>
                <w:vertAlign w:val="superscript"/>
              </w:rPr>
              <w:t>(2)</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05/28</w:t>
            </w:r>
          </w:p>
        </w:tc>
        <w:tc>
          <w:tcPr>
            <w:tcW w:w="0" w:type="dxa"/>
            <w:vAlign w:val="bottom"/>
          </w:tcPr>
          <w:p>
            <w:pPr>
              <w:spacing w:after="0"/>
              <w:rPr>
                <w:sz w:val="1"/>
                <w:szCs w:val="1"/>
                <w:color w:val="auto"/>
              </w:rPr>
            </w:pPr>
          </w:p>
        </w:tc>
      </w:tr>
      <w:tr>
        <w:trPr>
          <w:trHeight w:val="88"/>
        </w:trPr>
        <w:tc>
          <w:tcPr>
            <w:tcW w:w="280" w:type="dxa"/>
            <w:vAlign w:val="bottom"/>
            <w:vMerge w:val="continue"/>
          </w:tcPr>
          <w:p>
            <w:pPr>
              <w:spacing w:after="0"/>
              <w:rPr>
                <w:sz w:val="7"/>
                <w:szCs w:val="7"/>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4.58%</w:t>
            </w:r>
          </w:p>
        </w:tc>
        <w:tc>
          <w:tcPr>
            <w:tcW w:w="134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4"/>
                <w:szCs w:val="14"/>
                <w:color w:val="auto"/>
              </w:rPr>
              <w:t>09/27</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4.22%</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10/26</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3.99%</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07/27</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3.99%</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08/27</w:t>
            </w:r>
          </w:p>
        </w:tc>
        <w:tc>
          <w:tcPr>
            <w:tcW w:w="0" w:type="dxa"/>
            <w:vAlign w:val="bottom"/>
          </w:tcPr>
          <w:p>
            <w:pPr>
              <w:spacing w:after="0"/>
              <w:rPr>
                <w:sz w:val="1"/>
                <w:szCs w:val="1"/>
                <w:color w:val="auto"/>
              </w:rPr>
            </w:pPr>
          </w:p>
        </w:tc>
      </w:tr>
      <w:tr>
        <w:trPr>
          <w:trHeight w:val="196"/>
        </w:trPr>
        <w:tc>
          <w:tcPr>
            <w:tcW w:w="28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b w:val="1"/>
                <w:bCs w:val="1"/>
                <w:color w:val="auto"/>
                <w:w w:val="94"/>
              </w:rPr>
              <w:t>(4)</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3.84%</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08/27</w:t>
            </w:r>
          </w:p>
        </w:tc>
        <w:tc>
          <w:tcPr>
            <w:tcW w:w="0" w:type="dxa"/>
            <w:vAlign w:val="bottom"/>
          </w:tcPr>
          <w:p>
            <w:pPr>
              <w:spacing w:after="0"/>
              <w:rPr>
                <w:sz w:val="1"/>
                <w:szCs w:val="1"/>
                <w:color w:val="auto"/>
              </w:rPr>
            </w:pPr>
          </w:p>
        </w:tc>
      </w:tr>
      <w:tr>
        <w:trPr>
          <w:trHeight w:val="102"/>
        </w:trPr>
        <w:tc>
          <w:tcPr>
            <w:tcW w:w="280" w:type="dxa"/>
            <w:vAlign w:val="bottom"/>
            <w:vMerge w:val="continue"/>
          </w:tcPr>
          <w:p>
            <w:pPr>
              <w:spacing w:after="0"/>
              <w:rPr>
                <w:sz w:val="8"/>
                <w:szCs w:val="8"/>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3.95%</w:t>
            </w:r>
          </w:p>
        </w:tc>
        <w:tc>
          <w:tcPr>
            <w:tcW w:w="134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4"/>
                <w:szCs w:val="14"/>
                <w:color w:val="auto"/>
              </w:rPr>
              <w:t>07/27</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5.26%</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06/27</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6.96%</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04/26</w:t>
            </w:r>
          </w:p>
        </w:tc>
        <w:tc>
          <w:tcPr>
            <w:tcW w:w="0" w:type="dxa"/>
            <w:vAlign w:val="bottom"/>
          </w:tcPr>
          <w:p>
            <w:pPr>
              <w:spacing w:after="0"/>
              <w:rPr>
                <w:sz w:val="1"/>
                <w:szCs w:val="1"/>
                <w:color w:val="auto"/>
              </w:rPr>
            </w:pPr>
          </w:p>
        </w:tc>
      </w:tr>
      <w:tr>
        <w:trPr>
          <w:trHeight w:val="301"/>
        </w:trPr>
        <w:tc>
          <w:tcPr>
            <w:tcW w:w="2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Index Strike Rate</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9"/>
        </w:trPr>
        <w:tc>
          <w:tcPr>
            <w:tcW w:w="2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02/26</w:t>
            </w:r>
          </w:p>
        </w:tc>
        <w:tc>
          <w:tcPr>
            <w:tcW w:w="0" w:type="dxa"/>
            <w:vAlign w:val="bottom"/>
          </w:tcPr>
          <w:p>
            <w:pPr>
              <w:spacing w:after="0"/>
              <w:rPr>
                <w:sz w:val="1"/>
                <w:szCs w:val="1"/>
                <w:color w:val="auto"/>
              </w:rPr>
            </w:pPr>
          </w:p>
        </w:tc>
      </w:tr>
    </w:tbl>
    <w:p>
      <w:pPr>
        <w:spacing w:after="0" w:line="1197" w:lineRule="exact"/>
        <w:rPr>
          <w:sz w:val="20"/>
          <w:szCs w:val="20"/>
          <w:color w:val="auto"/>
        </w:rPr>
      </w:pPr>
    </w:p>
    <w:p>
      <w:pPr>
        <w:sectPr>
          <w:pgSz w:w="11900" w:h="16838" w:orient="portrait"/>
          <w:cols w:equalWidth="0" w:num="2">
            <w:col w:w="8420" w:space="20"/>
            <w:col w:w="2900"/>
          </w:cols>
          <w:pgMar w:left="320" w:top="957" w:right="239" w:bottom="1440" w:gutter="0" w:footer="0" w:header="0"/>
          <w:type w:val="continuous"/>
        </w:sectPr>
      </w:pPr>
    </w:p>
    <w:p>
      <w:pPr>
        <w:ind w:right="100" w:firstLine="314"/>
        <w:spacing w:after="0" w:line="296" w:lineRule="auto"/>
        <w:rPr>
          <w:sz w:val="20"/>
          <w:szCs w:val="20"/>
          <w:color w:val="auto"/>
        </w:rPr>
      </w:pPr>
      <w:r>
        <w:rPr>
          <w:rFonts w:ascii="Times New Roman" w:cs="Times New Roman" w:eastAsia="Times New Roman" w:hAnsi="Times New Roman"/>
          <w:sz w:val="17"/>
          <w:szCs w:val="17"/>
          <w:color w:val="auto"/>
        </w:rPr>
        <w:t>The following table summarizes our hedging instruments of our unconsolidated subsidiaries (shown at our pro rata ownership interest) as of December 31, 2025.</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and at share)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Debt Balance</w:t>
            </w:r>
          </w:p>
        </w:tc>
        <w:tc>
          <w:tcPr>
            <w:tcW w:w="128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w w:val="98"/>
              </w:rPr>
              <w:t>Variable Rate</w:t>
            </w: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18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All-In Swapped</w:t>
            </w: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 Da</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Spread</w:t>
            </w:r>
          </w:p>
        </w:tc>
        <w:tc>
          <w:tcPr>
            <w:tcW w:w="1460" w:type="dxa"/>
            <w:vAlign w:val="bottom"/>
            <w:gridSpan w:val="3"/>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72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Interest rate swaps: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280 Park Avenue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537,500</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S+178</w:t>
            </w: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537,500</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5.84%</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09/28</w:t>
            </w:r>
          </w:p>
        </w:tc>
        <w:tc>
          <w:tcPr>
            <w:tcW w:w="0" w:type="dxa"/>
            <w:vAlign w:val="bottom"/>
          </w:tcPr>
          <w:p>
            <w:pPr>
              <w:spacing w:after="0"/>
              <w:rPr>
                <w:sz w:val="1"/>
                <w:szCs w:val="1"/>
                <w:color w:val="auto"/>
              </w:rPr>
            </w:pPr>
          </w:p>
        </w:tc>
      </w:tr>
      <w:tr>
        <w:trPr>
          <w:trHeight w:val="278"/>
        </w:trPr>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Index Strike Rate</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4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61 Ninth Avenue</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75,543</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S+146</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75,543</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4.39%</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01/26</w:t>
            </w:r>
          </w:p>
        </w:tc>
        <w:tc>
          <w:tcPr>
            <w:tcW w:w="0" w:type="dxa"/>
            <w:vAlign w:val="bottom"/>
          </w:tcPr>
          <w:p>
            <w:pPr>
              <w:spacing w:after="0"/>
              <w:rPr>
                <w:sz w:val="1"/>
                <w:szCs w:val="1"/>
                <w:color w:val="auto"/>
              </w:rPr>
            </w:pPr>
          </w:p>
        </w:tc>
      </w:tr>
      <w:tr>
        <w:trPr>
          <w:trHeight w:val="189"/>
        </w:trPr>
        <w:tc>
          <w:tcPr>
            <w:tcW w:w="4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Sunset Pier 94 Studios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71,791</w:t>
            </w:r>
          </w:p>
        </w:tc>
        <w:tc>
          <w:tcPr>
            <w:tcW w:w="8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S+478</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71,791</w:t>
            </w:r>
          </w:p>
        </w:tc>
        <w:tc>
          <w:tcPr>
            <w:tcW w:w="2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4.00%</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09/26</w:t>
            </w:r>
          </w:p>
        </w:tc>
        <w:tc>
          <w:tcPr>
            <w:tcW w:w="0" w:type="dxa"/>
            <w:vAlign w:val="bottom"/>
          </w:tcPr>
          <w:p>
            <w:pPr>
              <w:spacing w:after="0"/>
              <w:rPr>
                <w:sz w:val="1"/>
                <w:szCs w:val="1"/>
                <w:color w:val="auto"/>
              </w:rPr>
            </w:pPr>
          </w:p>
        </w:tc>
      </w:tr>
      <w:tr>
        <w:trPr>
          <w:trHeight w:val="204"/>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Rego Park II</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56,700</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S+200</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56,700</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12/26</w:t>
            </w:r>
          </w:p>
        </w:tc>
        <w:tc>
          <w:tcPr>
            <w:tcW w:w="0" w:type="dxa"/>
            <w:vAlign w:val="bottom"/>
          </w:tcPr>
          <w:p>
            <w:pPr>
              <w:spacing w:after="0"/>
              <w:rPr>
                <w:sz w:val="1"/>
                <w:szCs w:val="1"/>
                <w:color w:val="auto"/>
              </w:rPr>
            </w:pPr>
          </w:p>
        </w:tc>
      </w:tr>
      <w:tr>
        <w:trPr>
          <w:trHeight w:val="182"/>
        </w:trPr>
        <w:tc>
          <w:tcPr>
            <w:tcW w:w="4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Fashion Centre/Washington Tower</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34,125</w:t>
            </w:r>
          </w:p>
        </w:tc>
        <w:tc>
          <w:tcPr>
            <w:tcW w:w="80" w:type="dxa"/>
            <w:vAlign w:val="bottom"/>
          </w:tcPr>
          <w:p>
            <w:pPr>
              <w:spacing w:after="0"/>
              <w:rPr>
                <w:sz w:val="15"/>
                <w:szCs w:val="15"/>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S+305</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34,125</w:t>
            </w:r>
          </w:p>
        </w:tc>
        <w:tc>
          <w:tcPr>
            <w:tcW w:w="2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3.89%</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05/26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957" w:right="2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9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1360" w:type="dxa"/>
            <w:vAlign w:val="bottom"/>
          </w:tcPr>
          <w:p>
            <w:pPr>
              <w:spacing w:after="0"/>
              <w:rPr>
                <w:sz w:val="19"/>
                <w:szCs w:val="19"/>
                <w:color w:val="auto"/>
              </w:rPr>
            </w:pPr>
          </w:p>
        </w:tc>
      </w:tr>
      <w:tr>
        <w:trPr>
          <w:trHeight w:val="629"/>
        </w:trPr>
        <w:tc>
          <w:tcPr>
            <w:tcW w:w="9880" w:type="dxa"/>
            <w:vAlign w:val="bottom"/>
          </w:tcPr>
          <w:p>
            <w:pPr>
              <w:ind w:left="4240"/>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tc>
        <w:tc>
          <w:tcPr>
            <w:tcW w:w="1360" w:type="dxa"/>
            <w:vAlign w:val="bottom"/>
          </w:tcPr>
          <w:p>
            <w:pPr>
              <w:spacing w:after="0"/>
              <w:rPr>
                <w:sz w:val="24"/>
                <w:szCs w:val="24"/>
                <w:color w:val="auto"/>
              </w:rPr>
            </w:pPr>
          </w:p>
        </w:tc>
      </w:tr>
      <w:tr>
        <w:trPr>
          <w:trHeight w:val="289"/>
        </w:trPr>
        <w:tc>
          <w:tcPr>
            <w:tcW w:w="98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30"/>
        </w:trPr>
        <w:tc>
          <w:tcPr>
            <w:tcW w:w="988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r>
      <w:tr>
        <w:trPr>
          <w:trHeight w:val="222"/>
        </w:trPr>
        <w:tc>
          <w:tcPr>
            <w:tcW w:w="9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Vornado Realty Trust</w:t>
            </w: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No. 34)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60</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Balance Sheets as of December 31, 2025 and 2024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Statements of Income for the years ended December 31, 2025, 2024 and 2023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63</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Statements of Comprehensive Income for the years ended December 31, 2025, 2024 and 2023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64</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Statements of Changes in Equity for the years ended December 31, 2025, 2024 and 2023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65</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2025, 2024 and 2023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68</w:t>
            </w:r>
          </w:p>
        </w:tc>
      </w:tr>
      <w:tr>
        <w:trPr>
          <w:trHeight w:val="471"/>
        </w:trPr>
        <w:tc>
          <w:tcPr>
            <w:tcW w:w="9880" w:type="dxa"/>
            <w:vAlign w:val="bottom"/>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Vornado Realty L.P.</w:t>
            </w:r>
          </w:p>
        </w:tc>
        <w:tc>
          <w:tcPr>
            <w:tcW w:w="1360" w:type="dxa"/>
            <w:vAlign w:val="bottom"/>
          </w:tcPr>
          <w:p>
            <w:pPr>
              <w:spacing w:after="0"/>
              <w:rPr>
                <w:sz w:val="24"/>
                <w:szCs w:val="24"/>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No. 34)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70</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Balance Sheets as of December 31, 2025 and 2024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72</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Statements of Income for the years ended December 31, 2025, 2024 and 2023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73</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Statements of Comprehensive Income for the years ended December 31, 2025, 2024 and 2023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74</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Statements of Changes in Equity for the years ended December 31, 2025, 2024 and 2023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75</w:t>
            </w:r>
          </w:p>
        </w:tc>
      </w:tr>
      <w:tr>
        <w:trPr>
          <w:trHeight w:val="223"/>
        </w:trPr>
        <w:tc>
          <w:tcPr>
            <w:tcW w:w="98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2025, 2024 and 2023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78</w:t>
            </w:r>
          </w:p>
        </w:tc>
      </w:tr>
      <w:tr>
        <w:trPr>
          <w:trHeight w:val="471"/>
        </w:trPr>
        <w:tc>
          <w:tcPr>
            <w:tcW w:w="9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Vornado Realty Trust and Vornado Realty L.P.</w:t>
            </w:r>
          </w:p>
        </w:tc>
        <w:tc>
          <w:tcPr>
            <w:tcW w:w="1360" w:type="dxa"/>
            <w:vAlign w:val="bottom"/>
          </w:tcPr>
          <w:p>
            <w:pPr>
              <w:spacing w:after="0"/>
              <w:rPr>
                <w:sz w:val="24"/>
                <w:szCs w:val="24"/>
                <w:color w:val="auto"/>
              </w:rPr>
            </w:pPr>
          </w:p>
        </w:tc>
      </w:tr>
      <w:tr>
        <w:trPr>
          <w:trHeight w:val="223"/>
        </w:trPr>
        <w:tc>
          <w:tcPr>
            <w:tcW w:w="9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80</w:t>
            </w:r>
          </w:p>
        </w:tc>
      </w:tr>
      <w:tr>
        <w:trPr>
          <w:trHeight w:val="943"/>
        </w:trPr>
        <w:tc>
          <w:tcPr>
            <w:tcW w:w="9880" w:type="dxa"/>
            <w:vAlign w:val="bottom"/>
          </w:tcPr>
          <w:p>
            <w:pPr>
              <w:ind w:left="5700"/>
              <w:spacing w:after="0"/>
              <w:rPr>
                <w:sz w:val="20"/>
                <w:szCs w:val="20"/>
                <w:color w:val="auto"/>
              </w:rPr>
            </w:pPr>
            <w:r>
              <w:rPr>
                <w:rFonts w:ascii="Times New Roman" w:cs="Times New Roman" w:eastAsia="Times New Roman" w:hAnsi="Times New Roman"/>
                <w:sz w:val="17"/>
                <w:szCs w:val="17"/>
                <w:color w:val="auto"/>
              </w:rPr>
              <w:t>59</w:t>
            </w:r>
          </w:p>
        </w:tc>
        <w:tc>
          <w:tcPr>
            <w:tcW w:w="1360" w:type="dxa"/>
            <w:vAlign w:val="bottom"/>
          </w:tcPr>
          <w:p>
            <w:pPr>
              <w:spacing w:after="0"/>
              <w:rPr>
                <w:sz w:val="24"/>
                <w:szCs w:val="24"/>
                <w:color w:val="auto"/>
              </w:rPr>
            </w:pPr>
          </w:p>
        </w:tc>
      </w:tr>
      <w:tr>
        <w:trPr>
          <w:trHeight w:val="111"/>
        </w:trPr>
        <w:tc>
          <w:tcPr>
            <w:tcW w:w="98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9" w:name="page60"/>
    <w:bookmarkEnd w:id="59"/>
    <w:p>
      <w:pPr>
        <w:ind w:right="2460" w:firstLine="2787"/>
        <w:spacing w:after="0" w:line="548"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Shareholders and the Board of Trustees of Vornado Realty Trust </w:t>
      </w:r>
      <w:r>
        <w:rPr>
          <w:rFonts w:ascii="Times New Roman" w:cs="Times New Roman" w:eastAsia="Times New Roman" w:hAnsi="Times New Roman"/>
          <w:sz w:val="17"/>
          <w:szCs w:val="17"/>
          <w:b w:val="1"/>
          <w:bCs w:val="1"/>
          <w:color w:val="auto"/>
        </w:rPr>
        <w:t>Opinion on the Financial Statements</w:t>
      </w:r>
    </w:p>
    <w:p>
      <w:pPr>
        <w:spacing w:after="0" w:line="10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Vornado Realty Trust and subsidiaries (the “Company”) as of December 31, 2025 and 2024, the related consolidated statements of income, comprehensive income, changes in equity, and cash flows, for each of the three years in the period ended December 31, 2025, and the related notes and the schedule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9, 2026, expressed an unqualified opinion on the Company’s internal control over financial reporting.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6" w:lineRule="exact"/>
        <w:rPr>
          <w:sz w:val="20"/>
          <w:szCs w:val="20"/>
          <w:color w:val="auto"/>
        </w:rPr>
      </w:pPr>
    </w:p>
    <w:p>
      <w:pPr>
        <w:ind w:right="5060"/>
        <w:spacing w:after="0" w:line="322" w:lineRule="auto"/>
        <w:rPr>
          <w:sz w:val="20"/>
          <w:szCs w:val="20"/>
          <w:color w:val="auto"/>
        </w:rPr>
      </w:pPr>
      <w:r>
        <w:rPr>
          <w:rFonts w:ascii="Times New Roman" w:cs="Times New Roman" w:eastAsia="Times New Roman" w:hAnsi="Times New Roman"/>
          <w:sz w:val="17"/>
          <w:szCs w:val="17"/>
          <w:b w:val="1"/>
          <w:bCs w:val="1"/>
          <w:color w:val="auto"/>
        </w:rPr>
        <w:t xml:space="preserve">Real Estate Recoverability Assessment – Refer to Note 2 to the financial statements </w:t>
      </w:r>
      <w:r>
        <w:rPr>
          <w:rFonts w:ascii="Times New Roman" w:cs="Times New Roman" w:eastAsia="Times New Roman" w:hAnsi="Times New Roman"/>
          <w:sz w:val="17"/>
          <w:szCs w:val="17"/>
          <w:i w:val="1"/>
          <w:iCs w:val="1"/>
          <w:color w:val="auto"/>
        </w:rPr>
        <w:t>Critical Audit Matter Description</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Company’s real estate properties are individually reviewed for impairment whenever events or changes in circumstances indicate that the carrying amount may not be recoverable. An impairment exists when the carrying amount of an asset exceeds the aggregate projected future cash flows over the anticipated holding period on an undiscounted basis. The recoverability assessment is determined based on projected future cash flows that utilize capitalization rates and available market information. Preparation of the Company’s undiscounted cash flows requires management to make significant estimates and assumptions related to future market rental rates and capitalization rates.</w:t>
      </w:r>
    </w:p>
    <w:p>
      <w:pPr>
        <w:spacing w:after="0" w:line="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identified the recoverability assessment of certain real estate properties as a critical audit matter because of the significant estimates and assumptions related to future market rental rates and capitalization rates. Performing audit procedures to evaluate the reasonableness of these estimates and assumptions required a high degree of auditor judgment and an increased extent of effort, including the need to involve our fair value specialists.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recoverability assessment of real estate properties included the following, among others:</w:t>
      </w:r>
    </w:p>
    <w:p>
      <w:pPr>
        <w:spacing w:after="0" w:line="66" w:lineRule="exact"/>
        <w:rPr>
          <w:sz w:val="20"/>
          <w:szCs w:val="20"/>
          <w:color w:val="auto"/>
        </w:rPr>
      </w:pPr>
    </w:p>
    <w:p>
      <w:pPr>
        <w:ind w:left="640" w:hanging="321"/>
        <w:spacing w:after="0" w:line="268"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evaluation of recoverability of its real estate properties, including those over future market rental rates and capitalization rates used in the assessment.</w:t>
      </w:r>
    </w:p>
    <w:p>
      <w:pPr>
        <w:jc w:val="both"/>
        <w:ind w:left="640" w:hanging="321"/>
        <w:spacing w:after="0" w:line="257"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reasonableness of future market rental rates and capitalization rates used by management against independent market data, focusing on geographical location and property type. In addition, we developed ranges of independent estimates of future market rental rates and capitalization rates and compared those to the amounts used by management.</w:t>
      </w:r>
    </w:p>
    <w:p>
      <w:pPr>
        <w:ind w:left="640" w:hanging="321"/>
        <w:spacing w:after="0" w:line="257"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involved our fair value specialists in providing comparable market transaction details to further evaluate management’s selected future market rental rates and capitalization rates, as applicable.</w:t>
      </w:r>
    </w:p>
    <w:p>
      <w:pPr>
        <w:ind w:left="640" w:hanging="321"/>
        <w:spacing w:after="0" w:line="257"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reasonableness of management’s assumptions and estimates by performing a retrospective analysis of the Company’s actual results compared to the prior projected future cash flow analyses.</w:t>
      </w:r>
    </w:p>
    <w:p>
      <w:pPr>
        <w:ind w:left="620" w:hanging="301"/>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whether the assumptions and estimates were consistent with evidence obtained in other areas of the audit.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9, 2026</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1976.</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61" w:name="page62"/>
    <w:bookmarkEnd w:id="61"/>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unit, share and per share amounts)</w:t>
            </w:r>
          </w:p>
        </w:tc>
        <w:tc>
          <w:tcPr>
            <w:tcW w:w="380" w:type="dxa"/>
            <w:vAlign w:val="bottom"/>
          </w:tcPr>
          <w:p>
            <w:pPr>
              <w:spacing w:after="0"/>
              <w:rPr>
                <w:sz w:val="16"/>
                <w:szCs w:val="16"/>
                <w:color w:val="auto"/>
              </w:rPr>
            </w:pPr>
          </w:p>
        </w:tc>
        <w:tc>
          <w:tcPr>
            <w:tcW w:w="19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7840" w:type="dxa"/>
            <w:vAlign w:val="bottom"/>
          </w:tcPr>
          <w:p>
            <w:pPr>
              <w:ind w:left="36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at cost:</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Land</w:t>
            </w: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2,408,914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2,434,209</w:t>
            </w:r>
          </w:p>
        </w:tc>
        <w:tc>
          <w:tcPr>
            <w:tcW w:w="0" w:type="dxa"/>
            <w:vAlign w:val="bottom"/>
          </w:tcPr>
          <w:p>
            <w:pPr>
              <w:spacing w:after="0"/>
              <w:rPr>
                <w:sz w:val="1"/>
                <w:szCs w:val="1"/>
                <w:color w:val="auto"/>
              </w:rPr>
            </w:pPr>
          </w:p>
        </w:tc>
      </w:tr>
      <w:tr>
        <w:trPr>
          <w:trHeight w:val="189"/>
        </w:trPr>
        <w:tc>
          <w:tcPr>
            <w:tcW w:w="78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10,942,418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10,439,113</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890,143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1,097,395</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Leasehold improvements and equipment</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105,080</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120,915</w:t>
            </w: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14,346,555</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14,091,632</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(4,191,075)</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(4,025,349)</w:t>
            </w: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net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10,155,480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10,066,283</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671,308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678,804</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 lease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166,024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840,850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733,947</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136,696</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215,672</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77,137</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58,853</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1,941,278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2,691,478</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arising from the straight-lining of rents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752,545</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707,020</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leasing costs, net of accumulated amortization of $233,448 and $268,532</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374,620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354,882</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Identified intangible assets, net of accumulated amortization of $81,962 and $75,002</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110,593</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118,215</w:t>
            </w:r>
          </w:p>
        </w:tc>
        <w:tc>
          <w:tcPr>
            <w:tcW w:w="0" w:type="dxa"/>
            <w:vAlign w:val="bottom"/>
          </w:tcPr>
          <w:p>
            <w:pPr>
              <w:spacing w:after="0"/>
              <w:rPr>
                <w:sz w:val="1"/>
                <w:szCs w:val="1"/>
                <w:color w:val="auto"/>
              </w:rPr>
            </w:pPr>
          </w:p>
        </w:tc>
      </w:tr>
      <w:tr>
        <w:trPr>
          <w:trHeight w:val="19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294,587</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373,454</w:t>
            </w: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15,521,118</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15,998,608</w:t>
            </w:r>
          </w:p>
        </w:tc>
        <w:tc>
          <w:tcPr>
            <w:tcW w:w="0" w:type="dxa"/>
            <w:vAlign w:val="bottom"/>
          </w:tcPr>
          <w:p>
            <w:pPr>
              <w:spacing w:after="0"/>
              <w:rPr>
                <w:sz w:val="1"/>
                <w:szCs w:val="1"/>
                <w:color w:val="auto"/>
              </w:rPr>
            </w:pPr>
          </w:p>
        </w:tc>
      </w:tr>
      <w:tr>
        <w:trPr>
          <w:trHeight w:val="26"/>
        </w:trPr>
        <w:tc>
          <w:tcPr>
            <w:tcW w:w="784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7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Mortgages payable, net</w:t>
            </w: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4,920,669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5,676,014</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unsecured notes, net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747,202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1,195,914</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term loan, net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797,337</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795,948</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Unsecured revolving credit facilities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720,420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575,000</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699,640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749,759</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376,190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374,013</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plan</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113,778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114,580</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341,359</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345,511</w:t>
            </w: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8,716,595</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9,826,739</w:t>
            </w:r>
          </w:p>
        </w:tc>
        <w:tc>
          <w:tcPr>
            <w:tcW w:w="0" w:type="dxa"/>
            <w:vAlign w:val="bottom"/>
          </w:tcPr>
          <w:p>
            <w:pPr>
              <w:spacing w:after="0"/>
              <w:rPr>
                <w:sz w:val="1"/>
                <w:szCs w:val="1"/>
                <w:color w:val="auto"/>
              </w:rPr>
            </w:pPr>
          </w:p>
        </w:tc>
      </w:tr>
      <w:tr>
        <w:trPr>
          <w:trHeight w:val="16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Class A units - 16,650,713 and 16,850,803 units outstanding</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554,136</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708,408</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Series D cumulative redeemable preferred units - 141,400 units outstanding</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3,535</w:t>
            </w:r>
          </w:p>
        </w:tc>
        <w:tc>
          <w:tcPr>
            <w:tcW w:w="0" w:type="dxa"/>
            <w:vAlign w:val="bottom"/>
          </w:tcPr>
          <w:p>
            <w:pPr>
              <w:spacing w:after="0"/>
              <w:rPr>
                <w:sz w:val="1"/>
                <w:szCs w:val="1"/>
                <w:color w:val="auto"/>
              </w:rPr>
            </w:pPr>
          </w:p>
        </w:tc>
      </w:tr>
      <w:tr>
        <w:trPr>
          <w:trHeight w:val="183"/>
        </w:trPr>
        <w:tc>
          <w:tcPr>
            <w:tcW w:w="784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Total redeemable noncontrolling partnership units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557,671</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711,943</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Redeemable noncontrolling interest in a consolidated subsidiary</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90,280</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122,715</w:t>
            </w:r>
          </w:p>
        </w:tc>
        <w:tc>
          <w:tcPr>
            <w:tcW w:w="0" w:type="dxa"/>
            <w:vAlign w:val="bottom"/>
          </w:tcPr>
          <w:p>
            <w:pPr>
              <w:spacing w:after="0"/>
              <w:rPr>
                <w:sz w:val="1"/>
                <w:szCs w:val="1"/>
                <w:color w:val="auto"/>
              </w:rPr>
            </w:pPr>
          </w:p>
        </w:tc>
      </w:tr>
      <w:tr>
        <w:trPr>
          <w:trHeight w:val="183"/>
        </w:trPr>
        <w:tc>
          <w:tcPr>
            <w:tcW w:w="784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4"/>
                <w:szCs w:val="14"/>
                <w:color w:val="auto"/>
              </w:rPr>
              <w:t>Total redeemable noncontrolling interests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647,951</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834,658</w:t>
            </w:r>
          </w:p>
        </w:tc>
        <w:tc>
          <w:tcPr>
            <w:tcW w:w="0" w:type="dxa"/>
            <w:vAlign w:val="bottom"/>
          </w:tcPr>
          <w:p>
            <w:pPr>
              <w:spacing w:after="0"/>
              <w:rPr>
                <w:sz w:val="1"/>
                <w:szCs w:val="1"/>
                <w:color w:val="auto"/>
              </w:rPr>
            </w:pPr>
          </w:p>
        </w:tc>
      </w:tr>
      <w:tr>
        <w:trPr>
          <w:trHeight w:val="18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840" w:type="dxa"/>
            <w:vAlign w:val="bottom"/>
          </w:tcPr>
          <w:p>
            <w:pPr>
              <w:ind w:left="320"/>
              <w:spacing w:after="0" w:line="135" w:lineRule="exact"/>
              <w:rPr>
                <w:sz w:val="20"/>
                <w:szCs w:val="20"/>
                <w:color w:val="auto"/>
              </w:rPr>
            </w:pPr>
            <w:r>
              <w:rPr>
                <w:rFonts w:ascii="Times New Roman" w:cs="Times New Roman" w:eastAsia="Times New Roman" w:hAnsi="Times New Roman"/>
                <w:sz w:val="14"/>
                <w:szCs w:val="14"/>
                <w:color w:val="auto"/>
              </w:rPr>
              <w:t>Preferred shares of beneficial interest: no par value per share; authorized 110,000,000 shares; issued and outstanding 48,788,450 and</w:t>
            </w:r>
          </w:p>
        </w:tc>
        <w:tc>
          <w:tcPr>
            <w:tcW w:w="3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1,182,345</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1,182,364</w:t>
            </w:r>
          </w:p>
        </w:tc>
        <w:tc>
          <w:tcPr>
            <w:tcW w:w="0" w:type="dxa"/>
            <w:vAlign w:val="bottom"/>
          </w:tcPr>
          <w:p>
            <w:pPr>
              <w:spacing w:after="0"/>
              <w:rPr>
                <w:sz w:val="1"/>
                <w:szCs w:val="1"/>
                <w:color w:val="auto"/>
              </w:rPr>
            </w:pPr>
          </w:p>
        </w:tc>
      </w:tr>
      <w:tr>
        <w:trPr>
          <w:trHeight w:val="188"/>
        </w:trPr>
        <w:tc>
          <w:tcPr>
            <w:tcW w:w="78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48,789,180 shares</w:t>
            </w:r>
          </w:p>
        </w:tc>
        <w:tc>
          <w:tcPr>
            <w:tcW w:w="3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7840" w:type="dxa"/>
            <w:vAlign w:val="bottom"/>
            <w:shd w:val="clear" w:color="auto" w:fill="CCEEFF"/>
          </w:tcPr>
          <w:p>
            <w:pPr>
              <w:ind w:left="320"/>
              <w:spacing w:after="0" w:line="140" w:lineRule="exact"/>
              <w:rPr>
                <w:sz w:val="20"/>
                <w:szCs w:val="20"/>
                <w:color w:val="auto"/>
              </w:rPr>
            </w:pPr>
            <w:r>
              <w:rPr>
                <w:rFonts w:ascii="Times New Roman" w:cs="Times New Roman" w:eastAsia="Times New Roman" w:hAnsi="Times New Roman"/>
                <w:sz w:val="14"/>
                <w:szCs w:val="14"/>
                <w:color w:val="auto"/>
              </w:rPr>
              <w:t>Common shares of beneficial interest: $0.04 par value per share; authorized 250,000,000 shares; issued and outstanding 190,666,367</w:t>
            </w:r>
          </w:p>
        </w:tc>
        <w:tc>
          <w:tcPr>
            <w:tcW w:w="3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7,634</w:t>
            </w:r>
          </w:p>
        </w:tc>
        <w:tc>
          <w:tcPr>
            <w:tcW w:w="0" w:type="dxa"/>
            <w:vAlign w:val="bottom"/>
          </w:tcPr>
          <w:p>
            <w:pPr>
              <w:spacing w:after="0"/>
              <w:rPr>
                <w:sz w:val="1"/>
                <w:szCs w:val="1"/>
                <w:color w:val="auto"/>
              </w:rPr>
            </w:pPr>
          </w:p>
        </w:tc>
      </w:tr>
      <w:tr>
        <w:trPr>
          <w:trHeight w:val="193"/>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and 190,846,580 shares</w:t>
            </w:r>
          </w:p>
        </w:tc>
        <w:tc>
          <w:tcPr>
            <w:tcW w:w="38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Additional capital</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8,288,363</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8,052,793</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Earnings less than distributions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(3,491,603)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(4,142,249)</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57,700</w:t>
            </w: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5,986,727</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5,158,242</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 in consolidated subsidiaries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169,845</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178,969</w:t>
            </w:r>
          </w:p>
        </w:tc>
        <w:tc>
          <w:tcPr>
            <w:tcW w:w="0" w:type="dxa"/>
            <w:vAlign w:val="bottom"/>
          </w:tcPr>
          <w:p>
            <w:pPr>
              <w:spacing w:after="0"/>
              <w:rPr>
                <w:sz w:val="1"/>
                <w:szCs w:val="1"/>
                <w:color w:val="auto"/>
              </w:rPr>
            </w:pPr>
          </w:p>
        </w:tc>
      </w:tr>
      <w:tr>
        <w:trPr>
          <w:trHeight w:val="190"/>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equity</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6,156,572</w:t>
            </w:r>
          </w:p>
        </w:tc>
        <w:tc>
          <w:tcPr>
            <w:tcW w:w="1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5,337,211</w:t>
            </w: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15,521,118</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15,998,608</w:t>
            </w:r>
          </w:p>
        </w:tc>
        <w:tc>
          <w:tcPr>
            <w:tcW w:w="0" w:type="dxa"/>
            <w:vAlign w:val="bottom"/>
          </w:tcPr>
          <w:p>
            <w:pPr>
              <w:spacing w:after="0"/>
              <w:rPr>
                <w:sz w:val="1"/>
                <w:szCs w:val="1"/>
                <w:color w:val="auto"/>
              </w:rPr>
            </w:pPr>
          </w:p>
        </w:tc>
      </w:tr>
      <w:tr>
        <w:trPr>
          <w:trHeight w:val="26"/>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591" w:right="339" w:bottom="1440" w:gutter="0" w:footer="0" w:header="0"/>
        </w:sectPr>
      </w:pPr>
    </w:p>
    <w:bookmarkStart w:id="62" w:name="page63"/>
    <w:bookmarkEnd w:id="62"/>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amounts)</w:t>
            </w:r>
          </w:p>
        </w:tc>
        <w:tc>
          <w:tcPr>
            <w:tcW w:w="360" w:type="dxa"/>
            <w:vAlign w:val="bottom"/>
          </w:tcPr>
          <w:p>
            <w:pPr>
              <w:spacing w:after="0"/>
              <w:rPr>
                <w:sz w:val="16"/>
                <w:szCs w:val="16"/>
                <w:color w:val="auto"/>
              </w:rPr>
            </w:pPr>
          </w:p>
        </w:tc>
        <w:tc>
          <w:tcPr>
            <w:tcW w:w="332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Rental revenues</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1,558,241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1,568,806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1,607,486</w:t>
            </w:r>
          </w:p>
        </w:tc>
        <w:tc>
          <w:tcPr>
            <w:tcW w:w="0" w:type="dxa"/>
            <w:vAlign w:val="bottom"/>
          </w:tcPr>
          <w:p>
            <w:pPr>
              <w:spacing w:after="0"/>
              <w:rPr>
                <w:sz w:val="1"/>
                <w:szCs w:val="1"/>
                <w:color w:val="auto"/>
              </w:rPr>
            </w:pPr>
          </w:p>
        </w:tc>
      </w:tr>
      <w:tr>
        <w:trPr>
          <w:trHeight w:val="190"/>
        </w:trPr>
        <w:tc>
          <w:tcPr>
            <w:tcW w:w="6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Fee and other income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252,184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218,880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203,677</w:t>
            </w: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1,810,425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1,787,686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1,811,163</w:t>
            </w:r>
          </w:p>
        </w:tc>
        <w:tc>
          <w:tcPr>
            <w:tcW w:w="0" w:type="dxa"/>
            <w:vAlign w:val="bottom"/>
          </w:tcPr>
          <w:p>
            <w:pPr>
              <w:spacing w:after="0"/>
              <w:rPr>
                <w:sz w:val="1"/>
                <w:szCs w:val="1"/>
                <w:color w:val="auto"/>
              </w:rPr>
            </w:pPr>
          </w:p>
        </w:tc>
      </w:tr>
      <w:tr>
        <w:trPr>
          <w:trHeight w:val="17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Operating</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(919,959)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(927,796)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(905,158)</w:t>
            </w:r>
          </w:p>
        </w:tc>
        <w:tc>
          <w:tcPr>
            <w:tcW w:w="0" w:type="dxa"/>
            <w:vAlign w:val="bottom"/>
          </w:tcPr>
          <w:p>
            <w:pPr>
              <w:spacing w:after="0"/>
              <w:rPr>
                <w:sz w:val="1"/>
                <w:szCs w:val="1"/>
                <w:color w:val="auto"/>
              </w:rPr>
            </w:pPr>
          </w:p>
        </w:tc>
      </w:tr>
      <w:tr>
        <w:trPr>
          <w:trHeight w:val="189"/>
        </w:trPr>
        <w:tc>
          <w:tcPr>
            <w:tcW w:w="6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(462,201)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(434,273)</w:t>
            </w:r>
          </w:p>
        </w:tc>
        <w:tc>
          <w:tcPr>
            <w:tcW w:w="0" w:type="dxa"/>
            <w:vAlign w:val="bottom"/>
          </w:tcPr>
          <w:p>
            <w:pPr>
              <w:spacing w:after="0"/>
              <w:rPr>
                <w:sz w:val="1"/>
                <w:szCs w:val="1"/>
                <w:color w:val="auto"/>
              </w:rPr>
            </w:pPr>
          </w:p>
        </w:tc>
      </w:tr>
      <w:tr>
        <w:trPr>
          <w:trHeight w:val="204"/>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(162,883)</w:t>
            </w:r>
          </w:p>
        </w:tc>
        <w:tc>
          <w:tcPr>
            <w:tcW w:w="0" w:type="dxa"/>
            <w:vAlign w:val="bottom"/>
          </w:tcPr>
          <w:p>
            <w:pPr>
              <w:spacing w:after="0"/>
              <w:rPr>
                <w:sz w:val="1"/>
                <w:szCs w:val="1"/>
                <w:color w:val="auto"/>
              </w:rPr>
            </w:pPr>
          </w:p>
        </w:tc>
      </w:tr>
      <w:tr>
        <w:trPr>
          <w:trHeight w:val="189"/>
        </w:trPr>
        <w:tc>
          <w:tcPr>
            <w:tcW w:w="6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Expense from deferred compensation plan liability</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(12,162)</w:t>
            </w:r>
          </w:p>
        </w:tc>
        <w:tc>
          <w:tcPr>
            <w:tcW w:w="0" w:type="dxa"/>
            <w:vAlign w:val="bottom"/>
          </w:tcPr>
          <w:p>
            <w:pPr>
              <w:spacing w:after="0"/>
              <w:rPr>
                <w:sz w:val="1"/>
                <w:szCs w:val="1"/>
                <w:color w:val="auto"/>
              </w:rPr>
            </w:pPr>
          </w:p>
        </w:tc>
      </w:tr>
      <w:tr>
        <w:trPr>
          <w:trHeight w:val="204"/>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Transaction related costs, impairment losses and other</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(50,691)</w:t>
            </w:r>
          </w:p>
        </w:tc>
        <w:tc>
          <w:tcPr>
            <w:tcW w:w="0" w:type="dxa"/>
            <w:vAlign w:val="bottom"/>
          </w:tcPr>
          <w:p>
            <w:pPr>
              <w:spacing w:after="0"/>
              <w:rPr>
                <w:sz w:val="1"/>
                <w:szCs w:val="1"/>
                <w:color w:val="auto"/>
              </w:rPr>
            </w:pPr>
          </w:p>
        </w:tc>
      </w:tr>
      <w:tr>
        <w:trPr>
          <w:trHeight w:val="183"/>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(1,551,744)</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(1,541,696)</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(1,565,167)</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partially owned entities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141,310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112,464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38,689</w:t>
            </w:r>
          </w:p>
        </w:tc>
        <w:tc>
          <w:tcPr>
            <w:tcW w:w="0" w:type="dxa"/>
            <w:vAlign w:val="bottom"/>
          </w:tcPr>
          <w:p>
            <w:pPr>
              <w:spacing w:after="0"/>
              <w:rPr>
                <w:sz w:val="1"/>
                <w:szCs w:val="1"/>
                <w:color w:val="auto"/>
              </w:rPr>
            </w:pPr>
          </w:p>
        </w:tc>
      </w:tr>
      <w:tr>
        <w:trPr>
          <w:trHeight w:val="189"/>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43,287</w:t>
            </w:r>
          </w:p>
        </w:tc>
        <w:tc>
          <w:tcPr>
            <w:tcW w:w="0" w:type="dxa"/>
            <w:vAlign w:val="bottom"/>
          </w:tcPr>
          <w:p>
            <w:pPr>
              <w:spacing w:after="0"/>
              <w:rPr>
                <w:sz w:val="1"/>
                <w:szCs w:val="1"/>
                <w:color w:val="auto"/>
              </w:rPr>
            </w:pPr>
          </w:p>
        </w:tc>
      </w:tr>
      <w:tr>
        <w:trPr>
          <w:trHeight w:val="20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deferred compensation plan assets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12,162</w:t>
            </w:r>
          </w:p>
        </w:tc>
        <w:tc>
          <w:tcPr>
            <w:tcW w:w="0" w:type="dxa"/>
            <w:vAlign w:val="bottom"/>
          </w:tcPr>
          <w:p>
            <w:pPr>
              <w:spacing w:after="0"/>
              <w:rPr>
                <w:sz w:val="1"/>
                <w:szCs w:val="1"/>
                <w:color w:val="auto"/>
              </w:rPr>
            </w:pPr>
          </w:p>
        </w:tc>
      </w:tr>
      <w:tr>
        <w:trPr>
          <w:trHeight w:val="189"/>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(390,269)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(349,223)</w:t>
            </w:r>
          </w:p>
        </w:tc>
        <w:tc>
          <w:tcPr>
            <w:tcW w:w="0" w:type="dxa"/>
            <w:vAlign w:val="bottom"/>
          </w:tcPr>
          <w:p>
            <w:pPr>
              <w:spacing w:after="0"/>
              <w:rPr>
                <w:sz w:val="1"/>
                <w:szCs w:val="1"/>
                <w:color w:val="auto"/>
              </w:rPr>
            </w:pPr>
          </w:p>
        </w:tc>
      </w:tr>
      <w:tr>
        <w:trPr>
          <w:trHeight w:val="20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sales-type lease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803,248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35,291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16,048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71,199</w:t>
            </w: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950,713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62,110</w:t>
            </w:r>
          </w:p>
        </w:tc>
        <w:tc>
          <w:tcPr>
            <w:tcW w:w="0" w:type="dxa"/>
            <w:vAlign w:val="bottom"/>
          </w:tcPr>
          <w:p>
            <w:pPr>
              <w:spacing w:after="0"/>
              <w:rPr>
                <w:sz w:val="1"/>
                <w:szCs w:val="1"/>
                <w:color w:val="auto"/>
              </w:rPr>
            </w:pPr>
          </w:p>
        </w:tc>
      </w:tr>
      <w:tr>
        <w:trPr>
          <w:trHeight w:val="19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(22,729)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(29,222)</w:t>
            </w: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937,204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32,888</w:t>
            </w:r>
          </w:p>
        </w:tc>
        <w:tc>
          <w:tcPr>
            <w:tcW w:w="0" w:type="dxa"/>
            <w:vAlign w:val="bottom"/>
          </w:tcPr>
          <w:p>
            <w:pPr>
              <w:spacing w:after="0"/>
              <w:rPr>
                <w:sz w:val="1"/>
                <w:szCs w:val="1"/>
                <w:color w:val="auto"/>
              </w:rPr>
            </w:pPr>
          </w:p>
        </w:tc>
      </w:tr>
      <w:tr>
        <w:trPr>
          <w:trHeight w:val="189"/>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interests in:</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Consolidated subsidiaries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51,131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75,967</w:t>
            </w:r>
          </w:p>
        </w:tc>
        <w:tc>
          <w:tcPr>
            <w:tcW w:w="0" w:type="dxa"/>
            <w:vAlign w:val="bottom"/>
          </w:tcPr>
          <w:p>
            <w:pPr>
              <w:spacing w:after="0"/>
              <w:rPr>
                <w:sz w:val="1"/>
                <w:szCs w:val="1"/>
                <w:color w:val="auto"/>
              </w:rPr>
            </w:pPr>
          </w:p>
        </w:tc>
      </w:tr>
      <w:tr>
        <w:trPr>
          <w:trHeight w:val="190"/>
        </w:trPr>
        <w:tc>
          <w:tcPr>
            <w:tcW w:w="6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Operating Partnership</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(73,871)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Vornado</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904,955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70,387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105,494</w:t>
            </w:r>
          </w:p>
        </w:tc>
        <w:tc>
          <w:tcPr>
            <w:tcW w:w="0" w:type="dxa"/>
            <w:vAlign w:val="bottom"/>
          </w:tcPr>
          <w:p>
            <w:pPr>
              <w:spacing w:after="0"/>
              <w:rPr>
                <w:sz w:val="1"/>
                <w:szCs w:val="1"/>
                <w:color w:val="auto"/>
              </w:rPr>
            </w:pPr>
          </w:p>
        </w:tc>
      </w:tr>
      <w:tr>
        <w:trPr>
          <w:trHeight w:val="19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Preferred share dividends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(62,104)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(62,112)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(62,116)</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common shareholders</w:t>
            </w: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842,851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PER COMMON SHARE - BASIC: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6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191,759</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190,539</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191,005</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PER COMMON SHARE - DILUTED:</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201,049</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196,626</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191,856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63" w:name="page64"/>
    <w:bookmarkEnd w:id="63"/>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960" w:type="dxa"/>
            <w:vAlign w:val="bottom"/>
          </w:tcPr>
          <w:p>
            <w:pPr>
              <w:spacing w:after="0"/>
              <w:rPr>
                <w:sz w:val="16"/>
                <w:szCs w:val="16"/>
                <w:color w:val="auto"/>
              </w:rPr>
            </w:pPr>
          </w:p>
        </w:tc>
        <w:tc>
          <w:tcPr>
            <w:tcW w:w="272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6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937,204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32,888</w:t>
            </w:r>
          </w:p>
        </w:tc>
      </w:tr>
      <w:tr>
        <w:trPr>
          <w:trHeight w:val="189"/>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4"/>
        </w:trPr>
        <w:tc>
          <w:tcPr>
            <w:tcW w:w="6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comprehensive loss of nonconsolidated subsidiaries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(10,386)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(8,286)</w:t>
            </w:r>
          </w:p>
        </w:tc>
      </w:tr>
      <w:tr>
        <w:trPr>
          <w:trHeight w:val="190"/>
        </w:trPr>
        <w:tc>
          <w:tcPr>
            <w:tcW w:w="64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Change in fair value of consolidated interest rate hedges and other</w:t>
            </w: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(53,452)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(112,051)</w:t>
            </w: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873,366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(87,449)</w:t>
            </w:r>
          </w:p>
        </w:tc>
      </w:tr>
      <w:tr>
        <w:trPr>
          <w:trHeight w:val="19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comprehensive (income) loss attributable to noncontrolling interests</w:t>
            </w: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(26,087)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48,876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85,665</w:t>
            </w:r>
          </w:p>
        </w:tc>
      </w:tr>
      <w:tr>
        <w:trPr>
          <w:trHeight w:val="22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Vornado</w:t>
            </w:r>
          </w:p>
        </w:tc>
        <w:tc>
          <w:tcPr>
            <w:tcW w:w="96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847,279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62,947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64" w:name="page65"/>
    <w:bookmarkEnd w:id="64"/>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(Amounts in thousands, except per share amount)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31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restart"/>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8"/>
                <w:szCs w:val="8"/>
                <w:color w:val="auto"/>
              </w:rPr>
            </w:pPr>
          </w:p>
        </w:tc>
        <w:tc>
          <w:tcPr>
            <w:tcW w:w="1000" w:type="dxa"/>
            <w:vAlign w:val="bottom"/>
            <w:gridSpan w:val="2"/>
            <w:vMerge w:val="restart"/>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260" w:type="dxa"/>
            <w:vAlign w:val="bottom"/>
          </w:tcPr>
          <w:p>
            <w:pPr>
              <w:spacing w:after="0"/>
              <w:rPr>
                <w:sz w:val="11"/>
                <w:szCs w:val="11"/>
                <w:color w:val="auto"/>
              </w:rPr>
            </w:pPr>
          </w:p>
        </w:tc>
        <w:tc>
          <w:tcPr>
            <w:tcW w:w="1680" w:type="dxa"/>
            <w:vAlign w:val="bottom"/>
            <w:gridSpan w:val="4"/>
            <w:vMerge w:val="restart"/>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120" w:type="dxa"/>
            <w:vAlign w:val="bottom"/>
            <w:vMerge w:val="restart"/>
          </w:tcPr>
          <w:p>
            <w:pPr>
              <w:spacing w:after="0"/>
              <w:rPr>
                <w:sz w:val="11"/>
                <w:szCs w:val="11"/>
                <w:color w:val="auto"/>
              </w:rPr>
            </w:pPr>
          </w:p>
        </w:tc>
        <w:tc>
          <w:tcPr>
            <w:tcW w:w="1660" w:type="dxa"/>
            <w:vAlign w:val="bottom"/>
            <w:gridSpan w:val="4"/>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9"/>
              </w:rPr>
              <w:t>Interests in</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260" w:type="dxa"/>
            <w:vAlign w:val="bottom"/>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8"/>
                <w:szCs w:val="8"/>
                <w:color w:val="auto"/>
              </w:rPr>
            </w:pPr>
          </w:p>
        </w:tc>
        <w:tc>
          <w:tcPr>
            <w:tcW w:w="100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100" w:type="dxa"/>
            <w:vAlign w:val="bottom"/>
          </w:tcPr>
          <w:p>
            <w:pPr>
              <w:spacing w:after="0"/>
              <w:rPr>
                <w:sz w:val="8"/>
                <w:szCs w:val="8"/>
                <w:color w:val="auto"/>
              </w:rPr>
            </w:pPr>
          </w:p>
        </w:tc>
        <w:tc>
          <w:tcPr>
            <w:tcW w:w="116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8"/>
                <w:szCs w:val="8"/>
                <w:color w:val="auto"/>
              </w:rPr>
            </w:pPr>
          </w:p>
        </w:tc>
        <w:tc>
          <w:tcPr>
            <w:tcW w:w="100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1"/>
                <w:szCs w:val="11"/>
                <w:b w:val="1"/>
                <w:bCs w:val="1"/>
                <w:color w:val="auto"/>
              </w:rPr>
              <w:t>Consolidated</w:t>
            </w:r>
          </w:p>
        </w:tc>
        <w:tc>
          <w:tcPr>
            <w:tcW w:w="180" w:type="dxa"/>
            <w:vAlign w:val="bottom"/>
          </w:tcPr>
          <w:p>
            <w:pPr>
              <w:spacing w:after="0"/>
              <w:rPr>
                <w:sz w:val="8"/>
                <w:szCs w:val="8"/>
                <w:color w:val="auto"/>
              </w:rPr>
            </w:pPr>
          </w:p>
        </w:tc>
        <w:tc>
          <w:tcPr>
            <w:tcW w:w="760" w:type="dxa"/>
            <w:vAlign w:val="bottom"/>
          </w:tcPr>
          <w:p>
            <w:pPr>
              <w:jc w:val="right"/>
              <w:ind w:right="275"/>
              <w:spacing w:after="0" w:line="99"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Income (Loss)</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80" w:type="dxa"/>
            <w:vAlign w:val="bottom"/>
          </w:tcPr>
          <w:p>
            <w:pPr>
              <w:spacing w:after="0"/>
              <w:rPr>
                <w:sz w:val="16"/>
                <w:szCs w:val="16"/>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2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7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48,789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1,182,364</w:t>
            </w: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190,847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8,052,793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(4,142,249)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57,700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178,969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5,337,211</w:t>
            </w:r>
          </w:p>
        </w:tc>
        <w:tc>
          <w:tcPr>
            <w:tcW w:w="0" w:type="dxa"/>
            <w:vAlign w:val="bottom"/>
          </w:tcPr>
          <w:p>
            <w:pPr>
              <w:spacing w:after="0"/>
              <w:rPr>
                <w:sz w:val="1"/>
                <w:szCs w:val="1"/>
                <w:color w:val="auto"/>
              </w:rPr>
            </w:pPr>
          </w:p>
        </w:tc>
      </w:tr>
      <w:tr>
        <w:trPr>
          <w:trHeight w:val="177"/>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Vornado</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904,955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904,955</w:t>
            </w: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loss attributable to nonredeemable</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60" w:type="dxa"/>
            <w:vAlign w:val="bottom"/>
            <w:shd w:val="clear" w:color="auto" w:fill="CCEEFF"/>
          </w:tcPr>
          <w:p>
            <w:pPr>
              <w:ind w:left="160"/>
              <w:spacing w:after="0" w:line="131" w:lineRule="exact"/>
              <w:rPr>
                <w:sz w:val="20"/>
                <w:szCs w:val="20"/>
                <w:color w:val="auto"/>
              </w:rPr>
            </w:pPr>
            <w:r>
              <w:rPr>
                <w:rFonts w:ascii="Times New Roman" w:cs="Times New Roman" w:eastAsia="Times New Roman" w:hAnsi="Times New Roman"/>
                <w:sz w:val="13"/>
                <w:szCs w:val="13"/>
                <w:color w:val="auto"/>
              </w:rPr>
              <w:t>noncontrolling interests in</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(12,768)</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Dividends on common shares ($0.74 per</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(141,277)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(141,277)</w:t>
            </w:r>
          </w:p>
        </w:tc>
        <w:tc>
          <w:tcPr>
            <w:tcW w:w="0" w:type="dxa"/>
            <w:vAlign w:val="bottom"/>
          </w:tcPr>
          <w:p>
            <w:pPr>
              <w:spacing w:after="0"/>
              <w:rPr>
                <w:sz w:val="1"/>
                <w:szCs w:val="1"/>
                <w:color w:val="auto"/>
              </w:rPr>
            </w:pPr>
          </w:p>
        </w:tc>
      </w:tr>
      <w:tr>
        <w:trPr>
          <w:trHeight w:val="177"/>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w:t>
            </w: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Dividends on preferred shares (see Note</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(62,104)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(62,104)</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11 for dividends per share amounts)</w:t>
            </w: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Common shares issued:</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ind w:left="160"/>
              <w:spacing w:after="0" w:line="138" w:lineRule="exact"/>
              <w:rPr>
                <w:sz w:val="20"/>
                <w:szCs w:val="20"/>
                <w:color w:val="auto"/>
              </w:rPr>
            </w:pPr>
            <w:r>
              <w:rPr>
                <w:rFonts w:ascii="Times New Roman" w:cs="Times New Roman" w:eastAsia="Times New Roman" w:hAnsi="Times New Roman"/>
                <w:sz w:val="13"/>
                <w:szCs w:val="13"/>
                <w:color w:val="auto"/>
              </w:rPr>
              <w:t>Upon redemption of Class A units, at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51,901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51,952</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redemption value</w:t>
            </w: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Under employees' share option plan</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Conversion of Series A preferred shares</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 common shares</w:t>
            </w: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Contributions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10,138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10,138</w:t>
            </w:r>
          </w:p>
        </w:tc>
        <w:tc>
          <w:tcPr>
            <w:tcW w:w="0" w:type="dxa"/>
            <w:vAlign w:val="bottom"/>
          </w:tcPr>
          <w:p>
            <w:pPr>
              <w:spacing w:after="0"/>
              <w:rPr>
                <w:sz w:val="1"/>
                <w:szCs w:val="1"/>
                <w:color w:val="auto"/>
              </w:rPr>
            </w:pPr>
          </w:p>
        </w:tc>
      </w:tr>
      <w:tr>
        <w:trPr>
          <w:trHeight w:val="19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(5,339)</w:t>
            </w:r>
          </w:p>
        </w:tc>
        <w:tc>
          <w:tcPr>
            <w:tcW w:w="0" w:type="dxa"/>
            <w:vAlign w:val="bottom"/>
          </w:tcPr>
          <w:p>
            <w:pPr>
              <w:spacing w:after="0"/>
              <w:rPr>
                <w:sz w:val="1"/>
                <w:szCs w:val="1"/>
                <w:color w:val="auto"/>
              </w:rPr>
            </w:pPr>
          </w:p>
        </w:tc>
      </w:tr>
      <w:tr>
        <w:trPr>
          <w:trHeight w:val="177"/>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Repurchase of common shares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(50,990)</w:t>
            </w: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Other comprehensive loss of</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(10,386)</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nonconsolidated subsidiaries</w:t>
            </w: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Change in fair value of consolidated</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(53,452)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(53,452)</w:t>
            </w:r>
          </w:p>
        </w:tc>
        <w:tc>
          <w:tcPr>
            <w:tcW w:w="0" w:type="dxa"/>
            <w:vAlign w:val="bottom"/>
          </w:tcPr>
          <w:p>
            <w:pPr>
              <w:spacing w:after="0"/>
              <w:rPr>
                <w:sz w:val="1"/>
                <w:szCs w:val="1"/>
                <w:color w:val="auto"/>
              </w:rPr>
            </w:pPr>
          </w:p>
        </w:tc>
      </w:tr>
      <w:tr>
        <w:trPr>
          <w:trHeight w:val="177"/>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rate hedges and other</w:t>
            </w: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Redeemable Class A unit measurement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183,608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183,578</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adjustment</w:t>
            </w: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Other comprehensive loss attributable to</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noncontrolling interests in:</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Operating Partnership</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5,126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5,126</w:t>
            </w:r>
          </w:p>
        </w:tc>
        <w:tc>
          <w:tcPr>
            <w:tcW w:w="0" w:type="dxa"/>
            <w:vAlign w:val="bottom"/>
          </w:tcPr>
          <w:p>
            <w:pPr>
              <w:spacing w:after="0"/>
              <w:rPr>
                <w:sz w:val="1"/>
                <w:szCs w:val="1"/>
                <w:color w:val="auto"/>
              </w:rPr>
            </w:pPr>
          </w:p>
        </w:tc>
      </w:tr>
      <w:tr>
        <w:trPr>
          <w:trHeight w:val="177"/>
        </w:trPr>
        <w:tc>
          <w:tcPr>
            <w:tcW w:w="2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1,037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83"/>
        </w:trPr>
        <w:tc>
          <w:tcPr>
            <w:tcW w:w="2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48,788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1,182,345</w:t>
            </w:r>
          </w:p>
        </w:tc>
        <w:tc>
          <w:tcPr>
            <w:tcW w:w="1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190,666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7,627</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8,288,363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(3,491,603)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169,845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6,156,572</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591" w:right="339" w:bottom="1440" w:gutter="0" w:footer="0" w:header="0"/>
        </w:sectPr>
      </w:pPr>
    </w:p>
    <w:bookmarkStart w:id="65" w:name="page66"/>
    <w:bookmarkEnd w:id="65"/>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 - CONTINUED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(Amounts in thousands, except per share amount)</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1680" w:type="dxa"/>
            <w:vAlign w:val="bottom"/>
            <w:gridSpan w:val="4"/>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100" w:type="dxa"/>
            <w:vAlign w:val="bottom"/>
            <w:vMerge w:val="restart"/>
          </w:tcPr>
          <w:p>
            <w:pPr>
              <w:spacing w:after="0"/>
              <w:rPr>
                <w:sz w:val="11"/>
                <w:szCs w:val="11"/>
                <w:color w:val="auto"/>
              </w:rPr>
            </w:pPr>
          </w:p>
        </w:tc>
        <w:tc>
          <w:tcPr>
            <w:tcW w:w="1680" w:type="dxa"/>
            <w:vAlign w:val="bottom"/>
            <w:gridSpan w:val="4"/>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10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9"/>
              </w:rPr>
              <w:t>Interests in</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60" w:type="dxa"/>
            <w:vAlign w:val="bottom"/>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9"/>
                <w:szCs w:val="9"/>
                <w:color w:val="auto"/>
              </w:rPr>
            </w:pPr>
          </w:p>
        </w:tc>
        <w:tc>
          <w:tcPr>
            <w:tcW w:w="100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Less Than</w:t>
            </w:r>
          </w:p>
        </w:tc>
        <w:tc>
          <w:tcPr>
            <w:tcW w:w="100" w:type="dxa"/>
            <w:vAlign w:val="bottom"/>
          </w:tcPr>
          <w:p>
            <w:pPr>
              <w:spacing w:after="0"/>
              <w:rPr>
                <w:sz w:val="9"/>
                <w:szCs w:val="9"/>
                <w:color w:val="auto"/>
              </w:rPr>
            </w:pPr>
          </w:p>
        </w:tc>
        <w:tc>
          <w:tcPr>
            <w:tcW w:w="116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9"/>
                <w:szCs w:val="9"/>
                <w:color w:val="auto"/>
              </w:rPr>
            </w:pPr>
          </w:p>
        </w:tc>
        <w:tc>
          <w:tcPr>
            <w:tcW w:w="100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180" w:type="dxa"/>
            <w:vAlign w:val="bottom"/>
          </w:tcPr>
          <w:p>
            <w:pPr>
              <w:spacing w:after="0"/>
              <w:rPr>
                <w:sz w:val="9"/>
                <w:szCs w:val="9"/>
                <w:color w:val="auto"/>
              </w:rPr>
            </w:pPr>
          </w:p>
        </w:tc>
        <w:tc>
          <w:tcPr>
            <w:tcW w:w="760" w:type="dxa"/>
            <w:vAlign w:val="bottom"/>
          </w:tcPr>
          <w:p>
            <w:pPr>
              <w:jc w:val="right"/>
              <w:ind w:right="275"/>
              <w:spacing w:after="0" w:line="111"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7"/>
        </w:trPr>
        <w:tc>
          <w:tcPr>
            <w:tcW w:w="226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80" w:type="dxa"/>
            <w:vAlign w:val="bottom"/>
          </w:tcPr>
          <w:p>
            <w:pPr>
              <w:spacing w:after="0"/>
              <w:rPr>
                <w:sz w:val="15"/>
                <w:szCs w:val="15"/>
                <w:color w:val="auto"/>
              </w:rPr>
            </w:pPr>
          </w:p>
        </w:tc>
        <w:tc>
          <w:tcPr>
            <w:tcW w:w="760" w:type="dxa"/>
            <w:vAlign w:val="bottom"/>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2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1,182,459</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190,391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8,263,291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(4,009,395)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65,115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196,222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5,705,286</w:t>
            </w:r>
          </w:p>
        </w:tc>
        <w:tc>
          <w:tcPr>
            <w:tcW w:w="0" w:type="dxa"/>
            <w:vAlign w:val="bottom"/>
          </w:tcPr>
          <w:p>
            <w:pPr>
              <w:spacing w:after="0"/>
              <w:rPr>
                <w:sz w:val="1"/>
                <w:szCs w:val="1"/>
                <w:color w:val="auto"/>
              </w:rPr>
            </w:pPr>
          </w:p>
        </w:tc>
      </w:tr>
      <w:tr>
        <w:trPr>
          <w:trHeight w:val="177"/>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Vornado</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70,387</w:t>
            </w: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loss attributable to nonredeemable</w:t>
            </w: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60" w:type="dxa"/>
            <w:vAlign w:val="bottom"/>
            <w:shd w:val="clear" w:color="auto" w:fill="CCEEFF"/>
          </w:tcPr>
          <w:p>
            <w:pPr>
              <w:ind w:left="160"/>
              <w:spacing w:after="0" w:line="131" w:lineRule="exact"/>
              <w:rPr>
                <w:sz w:val="20"/>
                <w:szCs w:val="20"/>
                <w:color w:val="auto"/>
              </w:rPr>
            </w:pPr>
            <w:r>
              <w:rPr>
                <w:rFonts w:ascii="Times New Roman" w:cs="Times New Roman" w:eastAsia="Times New Roman" w:hAnsi="Times New Roman"/>
                <w:sz w:val="13"/>
                <w:szCs w:val="13"/>
                <w:color w:val="auto"/>
              </w:rPr>
              <w:t>noncontrolling interests in</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(19,964)</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Dividends on common shares ($0.74 per</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(141,103)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(141,103)</w:t>
            </w:r>
          </w:p>
        </w:tc>
        <w:tc>
          <w:tcPr>
            <w:tcW w:w="0" w:type="dxa"/>
            <w:vAlign w:val="bottom"/>
          </w:tcPr>
          <w:p>
            <w:pPr>
              <w:spacing w:after="0"/>
              <w:rPr>
                <w:sz w:val="1"/>
                <w:szCs w:val="1"/>
                <w:color w:val="auto"/>
              </w:rPr>
            </w:pPr>
          </w:p>
        </w:tc>
      </w:tr>
      <w:tr>
        <w:trPr>
          <w:trHeight w:val="177"/>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Dividends on preferred shares (see Note</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(62,112)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(62,112)</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11 for dividends per share amounts)</w:t>
            </w: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Common shares issued:</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ind w:left="160"/>
              <w:spacing w:after="0" w:line="138" w:lineRule="exact"/>
              <w:rPr>
                <w:sz w:val="20"/>
                <w:szCs w:val="20"/>
                <w:color w:val="auto"/>
              </w:rPr>
            </w:pPr>
            <w:r>
              <w:rPr>
                <w:rFonts w:ascii="Times New Roman" w:cs="Times New Roman" w:eastAsia="Times New Roman" w:hAnsi="Times New Roman"/>
                <w:sz w:val="13"/>
                <w:szCs w:val="13"/>
                <w:color w:val="auto"/>
              </w:rPr>
              <w:t>Upon redemption of Class A units, at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449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15,894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15,912</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redemption value</w:t>
            </w: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Conversion of Series A preferred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1"/>
                <w:szCs w:val="11"/>
                <w:color w:val="auto"/>
              </w:rPr>
            </w:pPr>
          </w:p>
        </w:tc>
        <w:tc>
          <w:tcPr>
            <w:tcW w:w="74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22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shares to common shares</w:t>
            </w: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Contributions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1,961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1,961</w:t>
            </w:r>
          </w:p>
        </w:tc>
        <w:tc>
          <w:tcPr>
            <w:tcW w:w="0" w:type="dxa"/>
            <w:vAlign w:val="bottom"/>
          </w:tcPr>
          <w:p>
            <w:pPr>
              <w:spacing w:after="0"/>
              <w:rPr>
                <w:sz w:val="1"/>
                <w:szCs w:val="1"/>
                <w:color w:val="auto"/>
              </w:rPr>
            </w:pPr>
          </w:p>
        </w:tc>
      </w:tr>
      <w:tr>
        <w:trPr>
          <w:trHeight w:val="177"/>
        </w:trPr>
        <w:tc>
          <w:tcPr>
            <w:tcW w:w="2260" w:type="dxa"/>
            <w:vAlign w:val="bottom"/>
          </w:tcPr>
          <w:p>
            <w:pPr>
              <w:spacing w:after="0"/>
              <w:rPr>
                <w:sz w:val="20"/>
                <w:szCs w:val="20"/>
                <w:color w:val="auto"/>
              </w:rPr>
            </w:pPr>
            <w:r>
              <w:rPr>
                <w:rFonts w:ascii="Times New Roman" w:cs="Times New Roman" w:eastAsia="Times New Roman" w:hAnsi="Times New Roman"/>
                <w:sz w:val="13"/>
                <w:szCs w:val="13"/>
                <w:color w:val="auto"/>
              </w:rPr>
              <w:t>Distributions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Other comprehensive loss of</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(6,992)</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nonconsolidated subsidiaries</w:t>
            </w: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Change in fair value of consolidated</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947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947</w:t>
            </w:r>
          </w:p>
        </w:tc>
        <w:tc>
          <w:tcPr>
            <w:tcW w:w="0" w:type="dxa"/>
            <w:vAlign w:val="bottom"/>
          </w:tcPr>
          <w:p>
            <w:pPr>
              <w:spacing w:after="0"/>
              <w:rPr>
                <w:sz w:val="1"/>
                <w:szCs w:val="1"/>
                <w:color w:val="auto"/>
              </w:rPr>
            </w:pPr>
          </w:p>
        </w:tc>
      </w:tr>
      <w:tr>
        <w:trPr>
          <w:trHeight w:val="177"/>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rate hedges and other</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2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Redeemable Class A unit measurement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(226,612)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(226,586)</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adjustment</w:t>
            </w: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Other comprehensive loss (income)</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60" w:type="dxa"/>
            <w:vAlign w:val="bottom"/>
          </w:tcPr>
          <w:p>
            <w:pPr>
              <w:ind w:left="160"/>
              <w:spacing w:after="0" w:line="131" w:lineRule="exact"/>
              <w:rPr>
                <w:sz w:val="20"/>
                <w:szCs w:val="20"/>
                <w:color w:val="auto"/>
              </w:rPr>
            </w:pPr>
            <w:r>
              <w:rPr>
                <w:rFonts w:ascii="Times New Roman" w:cs="Times New Roman" w:eastAsia="Times New Roman" w:hAnsi="Times New Roman"/>
                <w:sz w:val="13"/>
                <w:szCs w:val="13"/>
                <w:color w:val="auto"/>
              </w:rPr>
              <w:t>attributable to noncontrolling</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interests in:</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Operating Partnership</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693</w:t>
            </w:r>
          </w:p>
        </w:tc>
        <w:tc>
          <w:tcPr>
            <w:tcW w:w="0" w:type="dxa"/>
            <w:vAlign w:val="bottom"/>
          </w:tcPr>
          <w:p>
            <w:pPr>
              <w:spacing w:after="0"/>
              <w:rPr>
                <w:sz w:val="1"/>
                <w:szCs w:val="1"/>
                <w:color w:val="auto"/>
              </w:rPr>
            </w:pPr>
          </w:p>
        </w:tc>
      </w:tr>
      <w:tr>
        <w:trPr>
          <w:trHeight w:val="177"/>
        </w:trPr>
        <w:tc>
          <w:tcPr>
            <w:tcW w:w="2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2,087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83"/>
        </w:trPr>
        <w:tc>
          <w:tcPr>
            <w:tcW w:w="2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48,789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1,182,364</w:t>
            </w: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190,847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7,634</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8,052,793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(4,142,249)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57,700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178,969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5,337,211</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591" w:right="339" w:bottom="1440" w:gutter="0" w:footer="0" w:header="0"/>
        </w:sectPr>
      </w:pPr>
    </w:p>
    <w:bookmarkStart w:id="66" w:name="page67"/>
    <w:bookmarkEnd w:id="66"/>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 - CONTINUED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auto"/>
              </w:rPr>
              <w:t>(Amounts in thousands, except per share amounts)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1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1680" w:type="dxa"/>
            <w:vAlign w:val="bottom"/>
            <w:gridSpan w:val="4"/>
            <w:vMerge w:val="restart"/>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Preferred Shares</w:t>
            </w:r>
          </w:p>
        </w:tc>
        <w:tc>
          <w:tcPr>
            <w:tcW w:w="120" w:type="dxa"/>
            <w:vAlign w:val="bottom"/>
            <w:vMerge w:val="restart"/>
          </w:tcPr>
          <w:p>
            <w:pPr>
              <w:spacing w:after="0"/>
              <w:rPr>
                <w:sz w:val="11"/>
                <w:szCs w:val="11"/>
                <w:color w:val="auto"/>
              </w:rPr>
            </w:pPr>
          </w:p>
        </w:tc>
        <w:tc>
          <w:tcPr>
            <w:tcW w:w="1660" w:type="dxa"/>
            <w:vAlign w:val="bottom"/>
            <w:gridSpan w:val="4"/>
            <w:vMerge w:val="restart"/>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9"/>
              </w:rPr>
              <w:t>Interests in</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00" w:type="dxa"/>
            <w:vAlign w:val="bottom"/>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66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9"/>
                <w:szCs w:val="9"/>
                <w:color w:val="auto"/>
              </w:rPr>
            </w:pPr>
          </w:p>
        </w:tc>
        <w:tc>
          <w:tcPr>
            <w:tcW w:w="100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Less Than</w:t>
            </w:r>
          </w:p>
        </w:tc>
        <w:tc>
          <w:tcPr>
            <w:tcW w:w="120" w:type="dxa"/>
            <w:vAlign w:val="bottom"/>
          </w:tcPr>
          <w:p>
            <w:pPr>
              <w:spacing w:after="0"/>
              <w:rPr>
                <w:sz w:val="9"/>
                <w:szCs w:val="9"/>
                <w:color w:val="auto"/>
              </w:rPr>
            </w:pPr>
          </w:p>
        </w:tc>
        <w:tc>
          <w:tcPr>
            <w:tcW w:w="11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9"/>
                <w:szCs w:val="9"/>
                <w:color w:val="auto"/>
              </w:rPr>
            </w:pPr>
          </w:p>
        </w:tc>
        <w:tc>
          <w:tcPr>
            <w:tcW w:w="102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2"/>
                <w:szCs w:val="12"/>
                <w:b w:val="1"/>
                <w:bCs w:val="1"/>
                <w:color w:val="auto"/>
              </w:rPr>
              <w:t>Consolidated</w:t>
            </w:r>
          </w:p>
        </w:tc>
        <w:tc>
          <w:tcPr>
            <w:tcW w:w="180" w:type="dxa"/>
            <w:vAlign w:val="bottom"/>
          </w:tcPr>
          <w:p>
            <w:pPr>
              <w:spacing w:after="0"/>
              <w:rPr>
                <w:sz w:val="9"/>
                <w:szCs w:val="9"/>
                <w:color w:val="auto"/>
              </w:rPr>
            </w:pPr>
          </w:p>
        </w:tc>
        <w:tc>
          <w:tcPr>
            <w:tcW w:w="740" w:type="dxa"/>
            <w:vAlign w:val="bottom"/>
          </w:tcPr>
          <w:p>
            <w:pPr>
              <w:jc w:val="right"/>
              <w:ind w:right="255"/>
              <w:spacing w:after="0" w:line="111"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7"/>
        </w:trPr>
        <w:tc>
          <w:tcPr>
            <w:tcW w:w="230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80" w:type="dxa"/>
            <w:vAlign w:val="bottom"/>
          </w:tcPr>
          <w:p>
            <w:pPr>
              <w:spacing w:after="0"/>
              <w:rPr>
                <w:sz w:val="15"/>
                <w:szCs w:val="15"/>
                <w:color w:val="auto"/>
              </w:rPr>
            </w:pPr>
          </w:p>
        </w:tc>
        <w:tc>
          <w:tcPr>
            <w:tcW w:w="740" w:type="dxa"/>
            <w:vAlign w:val="bottom"/>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1,182,459</w:t>
            </w: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191,867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8,369,228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(3,894,580)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174,967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236,652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6,076,380</w:t>
            </w:r>
          </w:p>
        </w:tc>
        <w:tc>
          <w:tcPr>
            <w:tcW w:w="0" w:type="dxa"/>
            <w:vAlign w:val="bottom"/>
          </w:tcPr>
          <w:p>
            <w:pPr>
              <w:spacing w:after="0"/>
              <w:rPr>
                <w:sz w:val="1"/>
                <w:szCs w:val="1"/>
                <w:color w:val="auto"/>
              </w:rPr>
            </w:pPr>
          </w:p>
        </w:tc>
      </w:tr>
      <w:tr>
        <w:trPr>
          <w:trHeight w:val="177"/>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Vornado</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105,494</w:t>
            </w:r>
          </w:p>
        </w:tc>
        <w:tc>
          <w:tcPr>
            <w:tcW w:w="0" w:type="dxa"/>
            <w:vAlign w:val="bottom"/>
          </w:tcPr>
          <w:p>
            <w:pPr>
              <w:spacing w:after="0"/>
              <w:rPr>
                <w:sz w:val="1"/>
                <w:szCs w:val="1"/>
                <w:color w:val="auto"/>
              </w:rPr>
            </w:pPr>
          </w:p>
        </w:tc>
      </w:tr>
      <w:tr>
        <w:trPr>
          <w:trHeight w:val="137"/>
        </w:trPr>
        <w:tc>
          <w:tcPr>
            <w:tcW w:w="23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Net loss attributable to nonredeemable</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noncontrolling interests in</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(36,582)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(36,582)</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Dividends on common shares ($0.675</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(129,066)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(129,066)</w:t>
            </w:r>
          </w:p>
        </w:tc>
        <w:tc>
          <w:tcPr>
            <w:tcW w:w="0" w:type="dxa"/>
            <w:vAlign w:val="bottom"/>
          </w:tcPr>
          <w:p>
            <w:pPr>
              <w:spacing w:after="0"/>
              <w:rPr>
                <w:sz w:val="1"/>
                <w:szCs w:val="1"/>
                <w:color w:val="auto"/>
              </w:rPr>
            </w:pPr>
          </w:p>
        </w:tc>
      </w:tr>
      <w:tr>
        <w:trPr>
          <w:trHeight w:val="177"/>
        </w:trPr>
        <w:tc>
          <w:tcPr>
            <w:tcW w:w="2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per share)</w:t>
            </w: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3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Dividends on preferred shares (see Note</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(62,116)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(62,116)</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11 for dividends per share amounts)</w:t>
            </w: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shares issued:</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30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Upon redemption of Class A units, at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8,489</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redemption value</w:t>
            </w: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Under dividend reinvestment plan</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9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24,033</w:t>
            </w:r>
          </w:p>
        </w:tc>
        <w:tc>
          <w:tcPr>
            <w:tcW w:w="0" w:type="dxa"/>
            <w:vAlign w:val="bottom"/>
          </w:tcPr>
          <w:p>
            <w:pPr>
              <w:spacing w:after="0"/>
              <w:rPr>
                <w:sz w:val="1"/>
                <w:szCs w:val="1"/>
                <w:color w:val="auto"/>
              </w:rPr>
            </w:pPr>
          </w:p>
        </w:tc>
      </w:tr>
      <w:tr>
        <w:trPr>
          <w:trHeight w:val="177"/>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(21,526)</w:t>
            </w:r>
          </w:p>
        </w:tc>
        <w:tc>
          <w:tcPr>
            <w:tcW w:w="0" w:type="dxa"/>
            <w:vAlign w:val="bottom"/>
          </w:tcPr>
          <w:p>
            <w:pPr>
              <w:spacing w:after="0"/>
              <w:rPr>
                <w:sz w:val="1"/>
                <w:szCs w:val="1"/>
                <w:color w:val="auto"/>
              </w:rPr>
            </w:pPr>
          </w:p>
        </w:tc>
      </w:tr>
      <w:tr>
        <w:trPr>
          <w:trHeight w:val="137"/>
        </w:trPr>
        <w:tc>
          <w:tcPr>
            <w:tcW w:w="23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Deferred compensation shares and</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common shares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(29,183)</w:t>
            </w:r>
          </w:p>
        </w:tc>
        <w:tc>
          <w:tcPr>
            <w:tcW w:w="0" w:type="dxa"/>
            <w:vAlign w:val="bottom"/>
          </w:tcPr>
          <w:p>
            <w:pPr>
              <w:spacing w:after="0"/>
              <w:rPr>
                <w:sz w:val="1"/>
                <w:szCs w:val="1"/>
                <w:color w:val="auto"/>
              </w:rPr>
            </w:pPr>
          </w:p>
        </w:tc>
      </w:tr>
      <w:tr>
        <w:trPr>
          <w:trHeight w:val="137"/>
        </w:trPr>
        <w:tc>
          <w:tcPr>
            <w:tcW w:w="23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Other comprehensive loss of</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(8,286)</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nonconsolidated subsidiaries</w:t>
            </w: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Change in fair value of interest rate</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(112,051)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(112,051)</w:t>
            </w:r>
          </w:p>
        </w:tc>
        <w:tc>
          <w:tcPr>
            <w:tcW w:w="0" w:type="dxa"/>
            <w:vAlign w:val="bottom"/>
          </w:tcPr>
          <w:p>
            <w:pPr>
              <w:spacing w:after="0"/>
              <w:rPr>
                <w:sz w:val="1"/>
                <w:szCs w:val="1"/>
                <w:color w:val="auto"/>
              </w:rPr>
            </w:pPr>
          </w:p>
        </w:tc>
      </w:tr>
      <w:tr>
        <w:trPr>
          <w:trHeight w:val="177"/>
        </w:trPr>
        <w:tc>
          <w:tcPr>
            <w:tcW w:w="2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swaps and other</w:t>
            </w: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3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Unearned 2020 Out-Performance Plan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and 2019 Performance AO LTIP</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20,668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20,668</w:t>
            </w: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awards</w:t>
            </w: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Redeemable Class A unit measurement</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(135,540)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(2,574)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(138,114)</w:t>
            </w:r>
          </w:p>
        </w:tc>
        <w:tc>
          <w:tcPr>
            <w:tcW w:w="0" w:type="dxa"/>
            <w:vAlign w:val="bottom"/>
          </w:tcPr>
          <w:p>
            <w:pPr>
              <w:spacing w:after="0"/>
              <w:rPr>
                <w:sz w:val="1"/>
                <w:szCs w:val="1"/>
                <w:color w:val="auto"/>
              </w:rPr>
            </w:pPr>
          </w:p>
        </w:tc>
      </w:tr>
      <w:tr>
        <w:trPr>
          <w:trHeight w:val="177"/>
        </w:trPr>
        <w:tc>
          <w:tcPr>
            <w:tcW w:w="23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adjustment</w:t>
            </w: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3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Other comprehensive loss attributable to</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interests in:</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Operating Partnership</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9,340</w:t>
            </w:r>
          </w:p>
        </w:tc>
        <w:tc>
          <w:tcPr>
            <w:tcW w:w="0" w:type="dxa"/>
            <w:vAlign w:val="bottom"/>
          </w:tcPr>
          <w:p>
            <w:pPr>
              <w:spacing w:after="0"/>
              <w:rPr>
                <w:sz w:val="1"/>
                <w:szCs w:val="1"/>
                <w:color w:val="auto"/>
              </w:rPr>
            </w:pPr>
          </w:p>
        </w:tc>
      </w:tr>
      <w:tr>
        <w:trPr>
          <w:trHeight w:val="190"/>
        </w:trPr>
        <w:tc>
          <w:tcPr>
            <w:tcW w:w="2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1"/>
        </w:trPr>
        <w:tc>
          <w:tcPr>
            <w:tcW w:w="23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Deconsolidation of partially owned</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(2,636)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(2,636)</w:t>
            </w:r>
          </w:p>
        </w:tc>
        <w:tc>
          <w:tcPr>
            <w:tcW w:w="0" w:type="dxa"/>
            <w:vAlign w:val="bottom"/>
          </w:tcPr>
          <w:p>
            <w:pPr>
              <w:spacing w:after="0"/>
              <w:rPr>
                <w:sz w:val="1"/>
                <w:szCs w:val="1"/>
                <w:color w:val="auto"/>
              </w:rPr>
            </w:pPr>
          </w:p>
        </w:tc>
      </w:tr>
      <w:tr>
        <w:trPr>
          <w:trHeight w:val="177"/>
        </w:trPr>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entity</w:t>
            </w: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1,182,459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190,391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8,263,291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(4,009,395)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196,222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5,705,286</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67" w:name="page68"/>
    <w:bookmarkEnd w:id="67"/>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20" w:type="dxa"/>
            <w:vAlign w:val="bottom"/>
          </w:tcPr>
          <w:p>
            <w:pPr>
              <w:spacing w:after="0"/>
              <w:rPr>
                <w:sz w:val="16"/>
                <w:szCs w:val="16"/>
                <w:color w:val="auto"/>
              </w:rPr>
            </w:pPr>
          </w:p>
        </w:tc>
        <w:tc>
          <w:tcPr>
            <w:tcW w:w="30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6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69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937,204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32,888</w:t>
            </w:r>
          </w:p>
        </w:tc>
      </w:tr>
      <w:tr>
        <w:trPr>
          <w:trHeight w:val="18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lease payment (net of initial direct costs)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901,409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sales-type lease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(803,248)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(including amortization of deferred financing costs)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481,456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469,423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457,574</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in net income of partially owned entities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(112,464)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(38,689)</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 of income from partially owned entities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142,880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172,873</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Straight-lining of rents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(71,960)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(8,808)</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43,201</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interest rate cap premiums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deferred tax liability</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17,020</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below-market leases, net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Real estate impairment losses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45,007</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Credit losses on investments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realized and unrealized gain on real estate fund investments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Return of capital from real estate fund investments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non-cash adjustments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9,874</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9,379</w:t>
            </w: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Prepaid 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(12,854)</w:t>
            </w: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(133,058)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(79,110)</w:t>
            </w: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Lease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(43,352)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17,582</w:t>
            </w: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10,723</w:t>
            </w: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28,701</w:t>
            </w:r>
          </w:p>
        </w:tc>
      </w:tr>
      <w:tr>
        <w:trPr>
          <w:trHeight w:val="183"/>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1,258,385</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537,723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648,152</w:t>
            </w:r>
          </w:p>
        </w:tc>
      </w:tr>
      <w:tr>
        <w:trPr>
          <w:trHeight w:val="422"/>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partial redemption of Fifth Avenue and Times Square JV preferred equity</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Acquisitions of real estate and other</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(296,681)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(33,145)</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Additions to real estate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(268,258)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(222,739)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(211,899)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(144,609)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(242,874)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(552,701)</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real estate and other</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58,339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123,519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of capital from partially owned entities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18,869</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of condominium units and ancillary amenities at 220 Central Park South</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24,484</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(115,357)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(57,297)</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loan receivable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of U.S. Treasury bills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468,598</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repayment of participation in 150 West 34th Street mortgage loan</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105,000</w:t>
            </w:r>
          </w:p>
        </w:tc>
      </w:tr>
      <w:tr>
        <w:trPr>
          <w:trHeight w:val="190"/>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Deconsolidation of cash and restricted cash held by a previously consolidated entity</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(14,216)</w:t>
            </w:r>
          </w:p>
        </w:tc>
      </w:tr>
      <w:tr>
        <w:trPr>
          <w:trHeight w:val="190"/>
        </w:trPr>
        <w:tc>
          <w:tcPr>
            <w:tcW w:w="69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115,507</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(597,365)</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(128,788)</w:t>
            </w:r>
          </w:p>
        </w:tc>
      </w:tr>
    </w:tbl>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68" w:name="page69"/>
    <w:bookmarkEnd w:id="68"/>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20" w:type="dxa"/>
            <w:vAlign w:val="bottom"/>
          </w:tcPr>
          <w:p>
            <w:pPr>
              <w:spacing w:after="0"/>
              <w:rPr>
                <w:sz w:val="16"/>
                <w:szCs w:val="16"/>
                <w:color w:val="auto"/>
              </w:rPr>
            </w:pPr>
          </w:p>
        </w:tc>
        <w:tc>
          <w:tcPr>
            <w:tcW w:w="30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69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Repayments of borrowings</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(1,903,513)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(97,439)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(148,000)</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835,794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paid on common shares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(141,277)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(141,103)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(129,066)</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paid on preferred shares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(62,116)</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common shares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(29,183)</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(38,970)</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financing costs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132,701</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financing activity, net</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83"/>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(1,345,965)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(278,937)</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 and restricted cash</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240,427</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1,261,584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1,021,157</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977,546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1,261,584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733,947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997,002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889,689</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Restricted cash at beginning of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215,672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264,582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131,468</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1,261,584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1,021,157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840,850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997,002</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Restricted cash at end of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136,696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215,672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264,582</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977,546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1,261,584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payments for interest (excluding capitalized interest) and interest rate cap premiums</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313,093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322,774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381,410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payments for income taxes</w:t>
            </w: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5,201</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7,608</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10,365</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Information:</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assets and liabilities resulting from the derecognition of 770 Broadway:</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Real estate</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172,120</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Receivable arising from the straight-lining of rents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leasing costs, net of accumulated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60,308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Redeemable Class A unit measurement adjustment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183,578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(226,586)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(138,114)</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Write-off of fully depreciated 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(115,939)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(122,548)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(82,343)</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 of consolidated interest rate hedges and other</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(53,452)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(112,051)</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capital expenditures included in accounts payable and accrued expenses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43,875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52,091</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of assets held for sale (included in "other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Initial investment in Sunset Pier 94 Joint Venture upon contribution of leasehold interest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50,090</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 in assets and liabilities resulting from the deconsolidation of Pier 94:</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Real estate</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21,693</w:t>
            </w:r>
          </w:p>
        </w:tc>
        <w:tc>
          <w:tcPr>
            <w:tcW w:w="0" w:type="dxa"/>
            <w:vAlign w:val="bottom"/>
          </w:tcPr>
          <w:p>
            <w:pPr>
              <w:spacing w:after="0"/>
              <w:rPr>
                <w:sz w:val="1"/>
                <w:szCs w:val="1"/>
                <w:color w:val="auto"/>
              </w:rPr>
            </w:pP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Right-of-use assets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7,081</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Lease liabilities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(20,692)</w:t>
            </w:r>
          </w:p>
        </w:tc>
        <w:tc>
          <w:tcPr>
            <w:tcW w:w="0" w:type="dxa"/>
            <w:vAlign w:val="bottom"/>
          </w:tcPr>
          <w:p>
            <w:pPr>
              <w:spacing w:after="0"/>
              <w:rPr>
                <w:sz w:val="1"/>
                <w:szCs w:val="1"/>
                <w:color w:val="auto"/>
              </w:rPr>
            </w:pPr>
          </w:p>
        </w:tc>
      </w:tr>
    </w:tbl>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69" w:name="page70"/>
    <w:bookmarkEnd w:id="69"/>
    <w:p>
      <w:pPr>
        <w:ind w:right="2620" w:firstLine="2630"/>
        <w:spacing w:after="0" w:line="408"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Partners of Vornado Realty L.P. and the Board of Trustees of Vornado Realty Trust </w:t>
      </w:r>
      <w:r>
        <w:rPr>
          <w:rFonts w:ascii="Times New Roman" w:cs="Times New Roman" w:eastAsia="Times New Roman" w:hAnsi="Times New Roman"/>
          <w:sz w:val="17"/>
          <w:szCs w:val="17"/>
          <w:b w:val="1"/>
          <w:bCs w:val="1"/>
          <w:color w:val="auto"/>
        </w:rPr>
        <w:t>Opinion on the Financial Statements</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Vornado Realty L.P. and subsidiaries (the “Partnership”) as of December 31, 2025 and 2024, the related consolidated statements of income, comprehensive income, changes in equity, and cash flows, for each of the three years in the period ended December 31, 2025, and the related notes and the schedule listed in the Index at Item 15 (collectively referred to as the “financial statements”). In our opinion, the financial statements present fairly, in all material respects, the financial position of the Partnership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Partnership’s internal control over financial reporting as of December 31, 2025, based on criteria established in Internal Control — Integrated Framework (2013) issued by the Committee of Sponsoring Organizations of the Treadway Commission and our report dated February 9, 2026, expressed an unqualified opinion on the Partnership’s internal control over financial reporting.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6" w:lineRule="exact"/>
        <w:rPr>
          <w:sz w:val="20"/>
          <w:szCs w:val="20"/>
          <w:color w:val="auto"/>
        </w:rPr>
      </w:pPr>
    </w:p>
    <w:p>
      <w:pPr>
        <w:ind w:right="5060"/>
        <w:spacing w:after="0" w:line="322" w:lineRule="auto"/>
        <w:rPr>
          <w:sz w:val="20"/>
          <w:szCs w:val="20"/>
          <w:color w:val="auto"/>
        </w:rPr>
      </w:pPr>
      <w:r>
        <w:rPr>
          <w:rFonts w:ascii="Times New Roman" w:cs="Times New Roman" w:eastAsia="Times New Roman" w:hAnsi="Times New Roman"/>
          <w:sz w:val="17"/>
          <w:szCs w:val="17"/>
          <w:b w:val="1"/>
          <w:bCs w:val="1"/>
          <w:color w:val="auto"/>
        </w:rPr>
        <w:t xml:space="preserve">Real Estate Recoverability Assessment – Refer to Note 2 to the financial statements </w:t>
      </w:r>
      <w:r>
        <w:rPr>
          <w:rFonts w:ascii="Times New Roman" w:cs="Times New Roman" w:eastAsia="Times New Roman" w:hAnsi="Times New Roman"/>
          <w:sz w:val="17"/>
          <w:szCs w:val="17"/>
          <w:i w:val="1"/>
          <w:iCs w:val="1"/>
          <w:color w:val="auto"/>
        </w:rPr>
        <w:t>Critical Audit Matter Description</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Partnership’s real estate properties are individually reviewed for impairment whenever events or changes in circumstances indicate that the carrying amount may not be recoverable. An impairment exists when the carrying amount of an asset exceeds the aggregate projected future cash flows over the anticipated holding period on an undiscounted basis. The recoverability assessment is determined based on projected future cash flows that utilize capitalization rates and available market information. Preparation of the Partnership’s undiscounted cash flows requires management to make significant estimates and assumptions related to future market rental rates and capitalization rates.</w:t>
      </w:r>
    </w:p>
    <w:p>
      <w:pPr>
        <w:spacing w:after="0" w:line="1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identified the recoverability assessment of certain real estate properties as a critical audit matter because of the significant estimates and assumptions related to future market rental rates and capitalization rates. Performing audit procedures to evaluate the reasonableness of these estimates and assumptions required a high degree of auditor judgment and an increased extent of effort, including the need to involve our fair value specialists.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recoverability assessment of real estate properties included the following, among others:</w:t>
      </w:r>
    </w:p>
    <w:p>
      <w:pPr>
        <w:spacing w:after="0" w:line="66" w:lineRule="exact"/>
        <w:rPr>
          <w:sz w:val="20"/>
          <w:szCs w:val="20"/>
          <w:color w:val="auto"/>
        </w:rPr>
      </w:pPr>
    </w:p>
    <w:p>
      <w:pPr>
        <w:ind w:left="640" w:hanging="321"/>
        <w:spacing w:after="0" w:line="268" w:lineRule="auto"/>
        <w:tabs>
          <w:tab w:leader="none" w:pos="6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evaluation of recoverability of its real estate properties, including those over future market rental rates and capitalization rates used in the assessment.</w:t>
      </w:r>
    </w:p>
    <w:p>
      <w:pPr>
        <w:jc w:val="both"/>
        <w:ind w:left="640" w:hanging="321"/>
        <w:spacing w:after="0" w:line="257" w:lineRule="auto"/>
        <w:tabs>
          <w:tab w:leader="none" w:pos="6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reasonableness of future market rental rates and capitalization rates used by management against independent market data, focusing on geographical location and property type. In addition, we developed ranges of independent estimates of future market rental rates and capitalization rates and compared those to the amounts used by management.</w:t>
      </w:r>
    </w:p>
    <w:p>
      <w:pPr>
        <w:ind w:left="640" w:hanging="321"/>
        <w:spacing w:after="0" w:line="257" w:lineRule="auto"/>
        <w:tabs>
          <w:tab w:leader="none" w:pos="6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involved our fair value specialists in providing comparable market transaction details to further evaluate management’s selected future market rental rates and capitalization rates, as applicable.</w:t>
      </w:r>
    </w:p>
    <w:p>
      <w:pPr>
        <w:ind w:left="640" w:hanging="321"/>
        <w:spacing w:after="0" w:line="257" w:lineRule="auto"/>
        <w:tabs>
          <w:tab w:leader="none" w:pos="6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reasonableness of management’s assumptions and estimates by performing a retrospective analysis of the Partnership’s actual results compared to the prior projected future cash flow analyses.</w:t>
      </w:r>
    </w:p>
    <w:p>
      <w:pPr>
        <w:ind w:left="620" w:hanging="30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whether the assumptions and estimates were consistent with evidence obtained in other areas of the audit.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9, 2026</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Partnership’s auditor since 1997.</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71" w:name="page72"/>
    <w:bookmarkEnd w:id="71"/>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unit amounts)</w:t>
            </w:r>
          </w:p>
        </w:tc>
        <w:tc>
          <w:tcPr>
            <w:tcW w:w="380" w:type="dxa"/>
            <w:vAlign w:val="bottom"/>
          </w:tcPr>
          <w:p>
            <w:pPr>
              <w:spacing w:after="0"/>
              <w:rPr>
                <w:sz w:val="16"/>
                <w:szCs w:val="16"/>
                <w:color w:val="auto"/>
              </w:rPr>
            </w:pPr>
          </w:p>
        </w:tc>
        <w:tc>
          <w:tcPr>
            <w:tcW w:w="19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7840" w:type="dxa"/>
            <w:vAlign w:val="bottom"/>
          </w:tcPr>
          <w:p>
            <w:pPr>
              <w:ind w:left="36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at cost:</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Land</w:t>
            </w: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2,408,914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2,434,209</w:t>
            </w:r>
          </w:p>
        </w:tc>
        <w:tc>
          <w:tcPr>
            <w:tcW w:w="0" w:type="dxa"/>
            <w:vAlign w:val="bottom"/>
          </w:tcPr>
          <w:p>
            <w:pPr>
              <w:spacing w:after="0"/>
              <w:rPr>
                <w:sz w:val="1"/>
                <w:szCs w:val="1"/>
                <w:color w:val="auto"/>
              </w:rPr>
            </w:pPr>
          </w:p>
        </w:tc>
      </w:tr>
      <w:tr>
        <w:trPr>
          <w:trHeight w:val="189"/>
        </w:trPr>
        <w:tc>
          <w:tcPr>
            <w:tcW w:w="78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10,942,418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10,439,113</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890,143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1,097,395</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Leasehold improvements and equipment</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105,080</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120,915</w:t>
            </w: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14,346,555</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14,091,632</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(4,191,075)</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(4,025,349)</w:t>
            </w: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net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10,155,480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10,066,283</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671,308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678,804</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 lease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166,024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840,850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733,947</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136,696</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215,672</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77,137</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58,853</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1,941,278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2,691,478</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arising from the straight-lining of rents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752,545</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707,020</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leasing costs, net of accumulated amortization of $233,448 and $268,532</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374,620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354,882</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Identified intangible assets, net of accumulated amortization of $81,962 and $75,002</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110,593</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118,215</w:t>
            </w:r>
          </w:p>
        </w:tc>
        <w:tc>
          <w:tcPr>
            <w:tcW w:w="0" w:type="dxa"/>
            <w:vAlign w:val="bottom"/>
          </w:tcPr>
          <w:p>
            <w:pPr>
              <w:spacing w:after="0"/>
              <w:rPr>
                <w:sz w:val="1"/>
                <w:szCs w:val="1"/>
                <w:color w:val="auto"/>
              </w:rPr>
            </w:pPr>
          </w:p>
        </w:tc>
      </w:tr>
      <w:tr>
        <w:trPr>
          <w:trHeight w:val="19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294,587</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373,454</w:t>
            </w: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15,521,118</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15,998,608</w:t>
            </w:r>
          </w:p>
        </w:tc>
        <w:tc>
          <w:tcPr>
            <w:tcW w:w="0" w:type="dxa"/>
            <w:vAlign w:val="bottom"/>
          </w:tcPr>
          <w:p>
            <w:pPr>
              <w:spacing w:after="0"/>
              <w:rPr>
                <w:sz w:val="1"/>
                <w:szCs w:val="1"/>
                <w:color w:val="auto"/>
              </w:rPr>
            </w:pPr>
          </w:p>
        </w:tc>
      </w:tr>
      <w:tr>
        <w:trPr>
          <w:trHeight w:val="26"/>
        </w:trPr>
        <w:tc>
          <w:tcPr>
            <w:tcW w:w="784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7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Mortgages payable, net</w:t>
            </w: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4,920,669</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5,676,014</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unsecured notes, net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747,202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1,195,914</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term loan, net</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797,337</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795,948</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Unsecured revolving credit facilities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720,420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575,000</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699,640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749,759</w:t>
            </w:r>
          </w:p>
        </w:tc>
        <w:tc>
          <w:tcPr>
            <w:tcW w:w="0" w:type="dxa"/>
            <w:vAlign w:val="bottom"/>
          </w:tcPr>
          <w:p>
            <w:pPr>
              <w:spacing w:after="0"/>
              <w:rPr>
                <w:sz w:val="1"/>
                <w:szCs w:val="1"/>
                <w:color w:val="auto"/>
              </w:rPr>
            </w:pPr>
          </w:p>
        </w:tc>
      </w:tr>
      <w:tr>
        <w:trPr>
          <w:trHeight w:val="18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376,190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374,013</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plan</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113,778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114,580</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341,359</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345,511</w:t>
            </w: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liabilities</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8,716,595</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9,826,739</w:t>
            </w:r>
          </w:p>
        </w:tc>
        <w:tc>
          <w:tcPr>
            <w:tcW w:w="0" w:type="dxa"/>
            <w:vAlign w:val="bottom"/>
          </w:tcPr>
          <w:p>
            <w:pPr>
              <w:spacing w:after="0"/>
              <w:rPr>
                <w:sz w:val="1"/>
                <w:szCs w:val="1"/>
                <w:color w:val="auto"/>
              </w:rPr>
            </w:pPr>
          </w:p>
        </w:tc>
      </w:tr>
      <w:tr>
        <w:trPr>
          <w:trHeight w:val="169"/>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Class A units - 16,650,713 and 16,850,803 units outstanding</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554,136</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708,408</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Series D cumulative redeemable preferred units - 141,400 units outstanding</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3,535</w:t>
            </w:r>
          </w:p>
        </w:tc>
        <w:tc>
          <w:tcPr>
            <w:tcW w:w="0" w:type="dxa"/>
            <w:vAlign w:val="bottom"/>
          </w:tcPr>
          <w:p>
            <w:pPr>
              <w:spacing w:after="0"/>
              <w:rPr>
                <w:sz w:val="1"/>
                <w:szCs w:val="1"/>
                <w:color w:val="auto"/>
              </w:rPr>
            </w:pPr>
          </w:p>
        </w:tc>
      </w:tr>
      <w:tr>
        <w:trPr>
          <w:trHeight w:val="183"/>
        </w:trPr>
        <w:tc>
          <w:tcPr>
            <w:tcW w:w="7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redeemable noncontrolling partnership units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557,671</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711,943</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Redeemable noncontrolling interest in a consolidated subsidiary</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90,280</w:t>
            </w: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122,715</w:t>
            </w:r>
          </w:p>
        </w:tc>
        <w:tc>
          <w:tcPr>
            <w:tcW w:w="0" w:type="dxa"/>
            <w:vAlign w:val="bottom"/>
          </w:tcPr>
          <w:p>
            <w:pPr>
              <w:spacing w:after="0"/>
              <w:rPr>
                <w:sz w:val="1"/>
                <w:szCs w:val="1"/>
                <w:color w:val="auto"/>
              </w:rPr>
            </w:pPr>
          </w:p>
        </w:tc>
      </w:tr>
      <w:tr>
        <w:trPr>
          <w:trHeight w:val="183"/>
        </w:trPr>
        <w:tc>
          <w:tcPr>
            <w:tcW w:w="7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Total redeemable noncontrolling interests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647,951</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834,658</w:t>
            </w:r>
          </w:p>
        </w:tc>
        <w:tc>
          <w:tcPr>
            <w:tcW w:w="0" w:type="dxa"/>
            <w:vAlign w:val="bottom"/>
          </w:tcPr>
          <w:p>
            <w:pPr>
              <w:spacing w:after="0"/>
              <w:rPr>
                <w:sz w:val="1"/>
                <w:szCs w:val="1"/>
                <w:color w:val="auto"/>
              </w:rPr>
            </w:pPr>
          </w:p>
        </w:tc>
      </w:tr>
      <w:tr>
        <w:trPr>
          <w:trHeight w:val="18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Partners' equity:</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Partners' capital</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9,478,335</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9,242,791</w:t>
            </w: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Earnings less than distributions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(3,491,603)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(4,142,249)</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57,700</w:t>
            </w: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partners' equity</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5,986,727</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5,158,242</w:t>
            </w:r>
          </w:p>
        </w:tc>
        <w:tc>
          <w:tcPr>
            <w:tcW w:w="0" w:type="dxa"/>
            <w:vAlign w:val="bottom"/>
          </w:tcPr>
          <w:p>
            <w:pPr>
              <w:spacing w:after="0"/>
              <w:rPr>
                <w:sz w:val="1"/>
                <w:szCs w:val="1"/>
                <w:color w:val="auto"/>
              </w:rPr>
            </w:pPr>
          </w:p>
        </w:tc>
      </w:tr>
      <w:tr>
        <w:trPr>
          <w:trHeight w:val="19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 in consolidated subsidiaries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169,845</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178,969</w:t>
            </w:r>
          </w:p>
        </w:tc>
        <w:tc>
          <w:tcPr>
            <w:tcW w:w="0" w:type="dxa"/>
            <w:vAlign w:val="bottom"/>
          </w:tcPr>
          <w:p>
            <w:pPr>
              <w:spacing w:after="0"/>
              <w:rPr>
                <w:sz w:val="1"/>
                <w:szCs w:val="1"/>
                <w:color w:val="auto"/>
              </w:rPr>
            </w:pPr>
          </w:p>
        </w:tc>
      </w:tr>
      <w:tr>
        <w:trPr>
          <w:trHeight w:val="190"/>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equity</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6,156,572</w:t>
            </w:r>
          </w:p>
        </w:tc>
        <w:tc>
          <w:tcPr>
            <w:tcW w:w="1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5,337,211</w:t>
            </w: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15,521,118</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15,998,608</w:t>
            </w:r>
          </w:p>
        </w:tc>
        <w:tc>
          <w:tcPr>
            <w:tcW w:w="0" w:type="dxa"/>
            <w:vAlign w:val="bottom"/>
          </w:tcPr>
          <w:p>
            <w:pPr>
              <w:spacing w:after="0"/>
              <w:rPr>
                <w:sz w:val="1"/>
                <w:szCs w:val="1"/>
                <w:color w:val="auto"/>
              </w:rPr>
            </w:pPr>
          </w:p>
        </w:tc>
      </w:tr>
      <w:tr>
        <w:trPr>
          <w:trHeight w:val="26"/>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643" w:right="339" w:bottom="1440" w:gutter="0" w:footer="0" w:header="0"/>
        </w:sectPr>
      </w:pPr>
    </w:p>
    <w:bookmarkStart w:id="72" w:name="page73"/>
    <w:bookmarkEnd w:id="72"/>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unit amounts)</w:t>
            </w:r>
          </w:p>
        </w:tc>
        <w:tc>
          <w:tcPr>
            <w:tcW w:w="360" w:type="dxa"/>
            <w:vAlign w:val="bottom"/>
          </w:tcPr>
          <w:p>
            <w:pPr>
              <w:spacing w:after="0"/>
              <w:rPr>
                <w:sz w:val="16"/>
                <w:szCs w:val="16"/>
                <w:color w:val="auto"/>
              </w:rPr>
            </w:pPr>
          </w:p>
        </w:tc>
        <w:tc>
          <w:tcPr>
            <w:tcW w:w="332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Rental revenues</w:t>
            </w: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1,558,241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1,568,806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1,607,486</w:t>
            </w: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Fee and other income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252,184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218,880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203,677</w:t>
            </w: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1,810,425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1,787,686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1,811,163</w:t>
            </w:r>
          </w:p>
        </w:tc>
        <w:tc>
          <w:tcPr>
            <w:tcW w:w="0" w:type="dxa"/>
            <w:vAlign w:val="bottom"/>
          </w:tcPr>
          <w:p>
            <w:pPr>
              <w:spacing w:after="0"/>
              <w:rPr>
                <w:sz w:val="1"/>
                <w:szCs w:val="1"/>
                <w:color w:val="auto"/>
              </w:rPr>
            </w:pPr>
          </w:p>
        </w:tc>
      </w:tr>
      <w:tr>
        <w:trPr>
          <w:trHeight w:val="170"/>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(919,959)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(927,796)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(905,158)</w:t>
            </w:r>
          </w:p>
        </w:tc>
        <w:tc>
          <w:tcPr>
            <w:tcW w:w="0" w:type="dxa"/>
            <w:vAlign w:val="bottom"/>
          </w:tcPr>
          <w:p>
            <w:pPr>
              <w:spacing w:after="0"/>
              <w:rPr>
                <w:sz w:val="1"/>
                <w:szCs w:val="1"/>
                <w:color w:val="auto"/>
              </w:rPr>
            </w:pPr>
          </w:p>
        </w:tc>
      </w:tr>
      <w:tr>
        <w:trPr>
          <w:trHeight w:val="189"/>
        </w:trPr>
        <w:tc>
          <w:tcPr>
            <w:tcW w:w="6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(462,201)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(434,273)</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(156,115)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(162,883)</w:t>
            </w:r>
          </w:p>
        </w:tc>
        <w:tc>
          <w:tcPr>
            <w:tcW w:w="0" w:type="dxa"/>
            <w:vAlign w:val="bottom"/>
          </w:tcPr>
          <w:p>
            <w:pPr>
              <w:spacing w:after="0"/>
              <w:rPr>
                <w:sz w:val="1"/>
                <w:szCs w:val="1"/>
                <w:color w:val="auto"/>
              </w:rPr>
            </w:pPr>
          </w:p>
        </w:tc>
      </w:tr>
      <w:tr>
        <w:trPr>
          <w:trHeight w:val="189"/>
        </w:trPr>
        <w:tc>
          <w:tcPr>
            <w:tcW w:w="6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Expense from deferred compensation plan liability</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(12,162)</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Transaction related costs, impairment losses and other</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(50,691)</w:t>
            </w:r>
          </w:p>
        </w:tc>
        <w:tc>
          <w:tcPr>
            <w:tcW w:w="0" w:type="dxa"/>
            <w:vAlign w:val="bottom"/>
          </w:tcPr>
          <w:p>
            <w:pPr>
              <w:spacing w:after="0"/>
              <w:rPr>
                <w:sz w:val="1"/>
                <w:szCs w:val="1"/>
                <w:color w:val="auto"/>
              </w:rPr>
            </w:pPr>
          </w:p>
        </w:tc>
      </w:tr>
      <w:tr>
        <w:trPr>
          <w:trHeight w:val="183"/>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(1,551,744)</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(1,541,696)</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(1,565,167)</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partially owned entities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141,310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112,464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38,689</w:t>
            </w:r>
          </w:p>
        </w:tc>
        <w:tc>
          <w:tcPr>
            <w:tcW w:w="0" w:type="dxa"/>
            <w:vAlign w:val="bottom"/>
          </w:tcPr>
          <w:p>
            <w:pPr>
              <w:spacing w:after="0"/>
              <w:rPr>
                <w:sz w:val="1"/>
                <w:szCs w:val="1"/>
                <w:color w:val="auto"/>
              </w:rPr>
            </w:pPr>
          </w:p>
        </w:tc>
      </w:tr>
      <w:tr>
        <w:trPr>
          <w:trHeight w:val="189"/>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55,113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43,287</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deferred compensation plan assets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12,162</w:t>
            </w:r>
          </w:p>
        </w:tc>
        <w:tc>
          <w:tcPr>
            <w:tcW w:w="0" w:type="dxa"/>
            <w:vAlign w:val="bottom"/>
          </w:tcPr>
          <w:p>
            <w:pPr>
              <w:spacing w:after="0"/>
              <w:rPr>
                <w:sz w:val="1"/>
                <w:szCs w:val="1"/>
                <w:color w:val="auto"/>
              </w:rPr>
            </w:pPr>
          </w:p>
        </w:tc>
      </w:tr>
      <w:tr>
        <w:trPr>
          <w:trHeight w:val="189"/>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(353,868)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(390,269)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(349,223)</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sales-type lease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803,248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35,291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16,048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71,199</w:t>
            </w: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950,713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62,110</w:t>
            </w: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(22,729)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(29,222)</w:t>
            </w: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937,204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32,888</w:t>
            </w: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 in consolidated subsidiaries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51,131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75,967</w:t>
            </w: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Vornado Realty L.P.</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978,826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108,855</w:t>
            </w: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Preferred unit distributions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(62,227)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(62,231)</w:t>
            </w:r>
          </w:p>
        </w:tc>
        <w:tc>
          <w:tcPr>
            <w:tcW w:w="0" w:type="dxa"/>
            <w:vAlign w:val="bottom"/>
          </w:tcPr>
          <w:p>
            <w:pPr>
              <w:spacing w:after="0"/>
              <w:rPr>
                <w:sz w:val="1"/>
                <w:szCs w:val="1"/>
                <w:color w:val="auto"/>
              </w:rPr>
            </w:pPr>
          </w:p>
        </w:tc>
      </w:tr>
      <w:tr>
        <w:trPr>
          <w:trHeight w:val="195"/>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Class A unitholders</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916,607</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46,624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PER CLASS A UNIT - BASIC: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income per Class A unit</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Weighted average units outstanding</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205,697</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204,981</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205,105</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PER CLASS A UNIT - DILUTED:</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income per Class A unit</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3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Weighted average units outstanding</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214,987</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211,068</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205,956</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643" w:right="339" w:bottom="1440" w:gutter="0" w:footer="0" w:header="0"/>
        </w:sectPr>
      </w:pPr>
    </w:p>
    <w:bookmarkStart w:id="73" w:name="page74"/>
    <w:bookmarkEnd w:id="73"/>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960" w:type="dxa"/>
            <w:vAlign w:val="bottom"/>
          </w:tcPr>
          <w:p>
            <w:pPr>
              <w:spacing w:after="0"/>
              <w:rPr>
                <w:sz w:val="16"/>
                <w:szCs w:val="16"/>
                <w:color w:val="auto"/>
              </w:rPr>
            </w:pPr>
          </w:p>
        </w:tc>
        <w:tc>
          <w:tcPr>
            <w:tcW w:w="272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937,204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32,888</w:t>
            </w:r>
          </w:p>
        </w:tc>
        <w:tc>
          <w:tcPr>
            <w:tcW w:w="0" w:type="dxa"/>
            <w:vAlign w:val="bottom"/>
          </w:tcPr>
          <w:p>
            <w:pPr>
              <w:spacing w:after="0"/>
              <w:rPr>
                <w:sz w:val="1"/>
                <w:szCs w:val="1"/>
                <w:color w:val="auto"/>
              </w:rPr>
            </w:pPr>
          </w:p>
        </w:tc>
      </w:tr>
      <w:tr>
        <w:trPr>
          <w:trHeight w:val="189"/>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comprehensive loss of nonconsolidated subsidiaries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(8,286)</w:t>
            </w:r>
          </w:p>
        </w:tc>
        <w:tc>
          <w:tcPr>
            <w:tcW w:w="0" w:type="dxa"/>
            <w:vAlign w:val="bottom"/>
          </w:tcPr>
          <w:p>
            <w:pPr>
              <w:spacing w:after="0"/>
              <w:rPr>
                <w:sz w:val="1"/>
                <w:szCs w:val="1"/>
                <w:color w:val="auto"/>
              </w:rPr>
            </w:pPr>
          </w:p>
        </w:tc>
      </w:tr>
      <w:tr>
        <w:trPr>
          <w:trHeight w:val="190"/>
        </w:trPr>
        <w:tc>
          <w:tcPr>
            <w:tcW w:w="64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Change in fair value of consolidated interest rate hedges and other</w:t>
            </w: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(53,452)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(112,051)</w:t>
            </w: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873,366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(87,449)</w:t>
            </w:r>
          </w:p>
        </w:tc>
        <w:tc>
          <w:tcPr>
            <w:tcW w:w="0" w:type="dxa"/>
            <w:vAlign w:val="bottom"/>
          </w:tcPr>
          <w:p>
            <w:pPr>
              <w:spacing w:after="0"/>
              <w:rPr>
                <w:sz w:val="1"/>
                <w:szCs w:val="1"/>
                <w:color w:val="auto"/>
              </w:rPr>
            </w:pPr>
          </w:p>
        </w:tc>
      </w:tr>
      <w:tr>
        <w:trPr>
          <w:trHeight w:val="135"/>
        </w:trPr>
        <w:tc>
          <w:tcPr>
            <w:tcW w:w="64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Less comprehensive loss attributable to noncontrolling interests in consolidated</w:t>
            </w:r>
          </w:p>
        </w:tc>
        <w:tc>
          <w:tcPr>
            <w:tcW w:w="9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42,658</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49,043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79,686</w:t>
            </w:r>
          </w:p>
        </w:tc>
        <w:tc>
          <w:tcPr>
            <w:tcW w:w="0" w:type="dxa"/>
            <w:vAlign w:val="bottom"/>
          </w:tcPr>
          <w:p>
            <w:pPr>
              <w:spacing w:after="0"/>
              <w:rPr>
                <w:sz w:val="1"/>
                <w:szCs w:val="1"/>
                <w:color w:val="auto"/>
              </w:rPr>
            </w:pPr>
          </w:p>
        </w:tc>
      </w:tr>
      <w:tr>
        <w:trPr>
          <w:trHeight w:val="188"/>
        </w:trPr>
        <w:tc>
          <w:tcPr>
            <w:tcW w:w="6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subsidiaries</w:t>
            </w: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Vornado Realty L.P.</w:t>
            </w:r>
          </w:p>
        </w:tc>
        <w:tc>
          <w:tcPr>
            <w:tcW w:w="96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916,024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63,114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4" w:name="page75"/>
    <w:bookmarkEnd w:id="74"/>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 except per unit amount)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Non-</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Class A Units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3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4"/>
                <w:szCs w:val="4"/>
                <w:color w:val="auto"/>
              </w:rPr>
            </w:pPr>
          </w:p>
        </w:tc>
        <w:tc>
          <w:tcPr>
            <w:tcW w:w="110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9"/>
              </w:rPr>
              <w:t>Interests in</w:t>
            </w: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180" w:type="dxa"/>
            <w:vAlign w:val="bottom"/>
          </w:tcPr>
          <w:p>
            <w:pPr>
              <w:spacing w:after="0"/>
              <w:rPr>
                <w:sz w:val="6"/>
                <w:szCs w:val="6"/>
                <w:color w:val="auto"/>
              </w:rPr>
            </w:pPr>
          </w:p>
        </w:tc>
        <w:tc>
          <w:tcPr>
            <w:tcW w:w="1560" w:type="dxa"/>
            <w:vAlign w:val="bottom"/>
            <w:gridSpan w:val="4"/>
            <w:vMerge w:val="restart"/>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Preferred Units</w:t>
            </w:r>
          </w:p>
        </w:tc>
        <w:tc>
          <w:tcPr>
            <w:tcW w:w="120" w:type="dxa"/>
            <w:vAlign w:val="bottom"/>
            <w:vMerge w:val="restart"/>
          </w:tcPr>
          <w:p>
            <w:pPr>
              <w:spacing w:after="0"/>
              <w:rPr>
                <w:sz w:val="6"/>
                <w:szCs w:val="6"/>
                <w:color w:val="auto"/>
              </w:rPr>
            </w:pPr>
          </w:p>
        </w:tc>
        <w:tc>
          <w:tcPr>
            <w:tcW w:w="16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Owned by Vornado</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180" w:type="dxa"/>
            <w:vAlign w:val="bottom"/>
          </w:tcPr>
          <w:p>
            <w:pPr>
              <w:spacing w:after="0"/>
              <w:rPr>
                <w:sz w:val="8"/>
                <w:szCs w:val="8"/>
                <w:color w:val="auto"/>
              </w:rPr>
            </w:pPr>
          </w:p>
        </w:tc>
        <w:tc>
          <w:tcPr>
            <w:tcW w:w="156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120" w:type="dxa"/>
            <w:vAlign w:val="bottom"/>
          </w:tcPr>
          <w:p>
            <w:pPr>
              <w:spacing w:after="0"/>
              <w:rPr>
                <w:sz w:val="8"/>
                <w:szCs w:val="8"/>
                <w:color w:val="auto"/>
              </w:rPr>
            </w:pPr>
          </w:p>
        </w:tc>
        <w:tc>
          <w:tcPr>
            <w:tcW w:w="118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40" w:type="dxa"/>
            <w:vAlign w:val="bottom"/>
          </w:tcPr>
          <w:p>
            <w:pPr>
              <w:spacing w:after="0"/>
              <w:rPr>
                <w:sz w:val="8"/>
                <w:szCs w:val="8"/>
                <w:color w:val="auto"/>
              </w:rPr>
            </w:pPr>
          </w:p>
        </w:tc>
        <w:tc>
          <w:tcPr>
            <w:tcW w:w="1100" w:type="dxa"/>
            <w:vAlign w:val="bottom"/>
            <w:gridSpan w:val="2"/>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rPr>
              <w:t>Consolidated</w:t>
            </w:r>
          </w:p>
        </w:tc>
        <w:tc>
          <w:tcPr>
            <w:tcW w:w="160" w:type="dxa"/>
            <w:vAlign w:val="bottom"/>
          </w:tcPr>
          <w:p>
            <w:pPr>
              <w:spacing w:after="0"/>
              <w:rPr>
                <w:sz w:val="8"/>
                <w:szCs w:val="8"/>
                <w:color w:val="auto"/>
              </w:rPr>
            </w:pPr>
          </w:p>
        </w:tc>
        <w:tc>
          <w:tcPr>
            <w:tcW w:w="720" w:type="dxa"/>
            <w:vAlign w:val="bottom"/>
          </w:tcPr>
          <w:p>
            <w:pPr>
              <w:jc w:val="right"/>
              <w:ind w:right="235"/>
              <w:spacing w:after="0" w:line="100"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1,182,364</w:t>
            </w: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190,847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8,060,427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(4,142,249)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57,700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178,969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5,337,211</w:t>
            </w:r>
          </w:p>
        </w:tc>
        <w:tc>
          <w:tcPr>
            <w:tcW w:w="0" w:type="dxa"/>
            <w:vAlign w:val="bottom"/>
          </w:tcPr>
          <w:p>
            <w:pPr>
              <w:spacing w:after="0"/>
              <w:rPr>
                <w:sz w:val="1"/>
                <w:szCs w:val="1"/>
                <w:color w:val="auto"/>
              </w:rPr>
            </w:pPr>
          </w:p>
        </w:tc>
      </w:tr>
      <w:tr>
        <w:trPr>
          <w:trHeight w:val="177"/>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Vornado Realty L.P.</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978,826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978,826</w:t>
            </w:r>
          </w:p>
        </w:tc>
        <w:tc>
          <w:tcPr>
            <w:tcW w:w="0" w:type="dxa"/>
            <w:vAlign w:val="bottom"/>
          </w:tcPr>
          <w:p>
            <w:pPr>
              <w:spacing w:after="0"/>
              <w:rPr>
                <w:sz w:val="1"/>
                <w:szCs w:val="1"/>
                <w:color w:val="auto"/>
              </w:rPr>
            </w:pPr>
          </w:p>
        </w:tc>
      </w:tr>
      <w:tr>
        <w:trPr>
          <w:trHeight w:val="19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redeemable partnership units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(73,871)</w:t>
            </w:r>
          </w:p>
        </w:tc>
        <w:tc>
          <w:tcPr>
            <w:tcW w:w="0" w:type="dxa"/>
            <w:vAlign w:val="bottom"/>
          </w:tcPr>
          <w:p>
            <w:pPr>
              <w:spacing w:after="0"/>
              <w:rPr>
                <w:sz w:val="1"/>
                <w:szCs w:val="1"/>
                <w:color w:val="auto"/>
              </w:rPr>
            </w:pPr>
          </w:p>
        </w:tc>
      </w:tr>
      <w:tr>
        <w:trPr>
          <w:trHeight w:val="131"/>
        </w:trPr>
        <w:tc>
          <w:tcPr>
            <w:tcW w:w="31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Net loss attributable to nonredeemable noncontrolling</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(12,768)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(12,768)</w:t>
            </w:r>
          </w:p>
        </w:tc>
        <w:tc>
          <w:tcPr>
            <w:tcW w:w="0" w:type="dxa"/>
            <w:vAlign w:val="bottom"/>
          </w:tcPr>
          <w:p>
            <w:pPr>
              <w:spacing w:after="0"/>
              <w:rPr>
                <w:sz w:val="1"/>
                <w:szCs w:val="1"/>
                <w:color w:val="auto"/>
              </w:rPr>
            </w:pPr>
          </w:p>
        </w:tc>
      </w:tr>
      <w:tr>
        <w:trPr>
          <w:trHeight w:val="177"/>
        </w:trPr>
        <w:tc>
          <w:tcPr>
            <w:tcW w:w="3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interests in consolidated subsidiaries</w:t>
            </w: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Vornado ($0.74 per unit)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(141,277)</w:t>
            </w:r>
          </w:p>
        </w:tc>
        <w:tc>
          <w:tcPr>
            <w:tcW w:w="0" w:type="dxa"/>
            <w:vAlign w:val="bottom"/>
          </w:tcPr>
          <w:p>
            <w:pPr>
              <w:spacing w:after="0"/>
              <w:rPr>
                <w:sz w:val="1"/>
                <w:szCs w:val="1"/>
                <w:color w:val="auto"/>
              </w:rPr>
            </w:pPr>
          </w:p>
        </w:tc>
      </w:tr>
      <w:tr>
        <w:trPr>
          <w:trHeight w:val="131"/>
        </w:trPr>
        <w:tc>
          <w:tcPr>
            <w:tcW w:w="31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Distributions to preferred unitholders (see Note 11 for</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(62,104)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(62,104)</w:t>
            </w:r>
          </w:p>
        </w:tc>
        <w:tc>
          <w:tcPr>
            <w:tcW w:w="0" w:type="dxa"/>
            <w:vAlign w:val="bottom"/>
          </w:tcPr>
          <w:p>
            <w:pPr>
              <w:spacing w:after="0"/>
              <w:rPr>
                <w:sz w:val="1"/>
                <w:szCs w:val="1"/>
                <w:color w:val="auto"/>
              </w:rPr>
            </w:pPr>
          </w:p>
        </w:tc>
      </w:tr>
      <w:tr>
        <w:trPr>
          <w:trHeight w:val="177"/>
        </w:trPr>
        <w:tc>
          <w:tcPr>
            <w:tcW w:w="3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 per unit amounts)</w:t>
            </w: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A units issued to Vornado:</w:t>
            </w: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18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Upon redemption of redeemable Class A units, at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1,280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51,952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51,952</w:t>
            </w:r>
          </w:p>
        </w:tc>
        <w:tc>
          <w:tcPr>
            <w:tcW w:w="0" w:type="dxa"/>
            <w:vAlign w:val="bottom"/>
          </w:tcPr>
          <w:p>
            <w:pPr>
              <w:spacing w:after="0"/>
              <w:rPr>
                <w:sz w:val="1"/>
                <w:szCs w:val="1"/>
                <w:color w:val="auto"/>
              </w:rPr>
            </w:pPr>
          </w:p>
        </w:tc>
      </w:tr>
      <w:tr>
        <w:trPr>
          <w:trHeight w:val="177"/>
        </w:trPr>
        <w:tc>
          <w:tcPr>
            <w:tcW w:w="3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redemption value</w:t>
            </w: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Under Vornado's employees' share option plan</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31"/>
        </w:trPr>
        <w:tc>
          <w:tcPr>
            <w:tcW w:w="31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Conversion of Series A preferred units to</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3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common shares</w:t>
            </w: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10,138</w:t>
            </w:r>
          </w:p>
        </w:tc>
        <w:tc>
          <w:tcPr>
            <w:tcW w:w="0" w:type="dxa"/>
            <w:vAlign w:val="bottom"/>
          </w:tcPr>
          <w:p>
            <w:pPr>
              <w:spacing w:after="0"/>
              <w:rPr>
                <w:sz w:val="1"/>
                <w:szCs w:val="1"/>
                <w:color w:val="auto"/>
              </w:rPr>
            </w:pPr>
          </w:p>
        </w:tc>
      </w:tr>
      <w:tr>
        <w:trPr>
          <w:trHeight w:val="177"/>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(5,339)</w:t>
            </w:r>
          </w:p>
        </w:tc>
        <w:tc>
          <w:tcPr>
            <w:tcW w:w="0" w:type="dxa"/>
            <w:vAlign w:val="bottom"/>
          </w:tcPr>
          <w:p>
            <w:pPr>
              <w:spacing w:after="0"/>
              <w:rPr>
                <w:sz w:val="1"/>
                <w:szCs w:val="1"/>
                <w:color w:val="auto"/>
              </w:rPr>
            </w:pPr>
          </w:p>
        </w:tc>
      </w:tr>
      <w:tr>
        <w:trPr>
          <w:trHeight w:val="19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of Class A units owned by Vornado</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(50,990)</w:t>
            </w:r>
          </w:p>
        </w:tc>
        <w:tc>
          <w:tcPr>
            <w:tcW w:w="0" w:type="dxa"/>
            <w:vAlign w:val="bottom"/>
          </w:tcPr>
          <w:p>
            <w:pPr>
              <w:spacing w:after="0"/>
              <w:rPr>
                <w:sz w:val="1"/>
                <w:szCs w:val="1"/>
                <w:color w:val="auto"/>
              </w:rPr>
            </w:pPr>
          </w:p>
        </w:tc>
      </w:tr>
      <w:tr>
        <w:trPr>
          <w:trHeight w:val="131"/>
        </w:trPr>
        <w:tc>
          <w:tcPr>
            <w:tcW w:w="318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Other comprehensive loss of nonconsolidated</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(10,386)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(10,386)</w:t>
            </w:r>
          </w:p>
        </w:tc>
        <w:tc>
          <w:tcPr>
            <w:tcW w:w="0" w:type="dxa"/>
            <w:vAlign w:val="bottom"/>
          </w:tcPr>
          <w:p>
            <w:pPr>
              <w:spacing w:after="0"/>
              <w:rPr>
                <w:sz w:val="1"/>
                <w:szCs w:val="1"/>
                <w:color w:val="auto"/>
              </w:rPr>
            </w:pPr>
          </w:p>
        </w:tc>
      </w:tr>
      <w:tr>
        <w:trPr>
          <w:trHeight w:val="177"/>
        </w:trPr>
        <w:tc>
          <w:tcPr>
            <w:tcW w:w="3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1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Change in fair value of consolidated interest rate hedges</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(53,452)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(53,452)</w:t>
            </w:r>
          </w:p>
        </w:tc>
        <w:tc>
          <w:tcPr>
            <w:tcW w:w="0" w:type="dxa"/>
            <w:vAlign w:val="bottom"/>
          </w:tcPr>
          <w:p>
            <w:pPr>
              <w:spacing w:after="0"/>
              <w:rPr>
                <w:sz w:val="1"/>
                <w:szCs w:val="1"/>
                <w:color w:val="auto"/>
              </w:rPr>
            </w:pPr>
          </w:p>
        </w:tc>
      </w:tr>
      <w:tr>
        <w:trPr>
          <w:trHeight w:val="183"/>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and other</w:t>
            </w: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Class A unit measurement adjustment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183,578</w:t>
            </w:r>
          </w:p>
        </w:tc>
        <w:tc>
          <w:tcPr>
            <w:tcW w:w="0" w:type="dxa"/>
            <w:vAlign w:val="bottom"/>
          </w:tcPr>
          <w:p>
            <w:pPr>
              <w:spacing w:after="0"/>
              <w:rPr>
                <w:sz w:val="1"/>
                <w:szCs w:val="1"/>
                <w:color w:val="auto"/>
              </w:rPr>
            </w:pPr>
          </w:p>
        </w:tc>
      </w:tr>
      <w:tr>
        <w:trPr>
          <w:trHeight w:val="137"/>
        </w:trPr>
        <w:tc>
          <w:tcPr>
            <w:tcW w:w="31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Other comprehensive loss attributable to noncontrolling</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interests in:</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Redeemable partnership units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5,126</w:t>
            </w:r>
          </w:p>
        </w:tc>
        <w:tc>
          <w:tcPr>
            <w:tcW w:w="0" w:type="dxa"/>
            <w:vAlign w:val="bottom"/>
          </w:tcPr>
          <w:p>
            <w:pPr>
              <w:spacing w:after="0"/>
              <w:rPr>
                <w:sz w:val="1"/>
                <w:szCs w:val="1"/>
                <w:color w:val="auto"/>
              </w:rPr>
            </w:pPr>
          </w:p>
        </w:tc>
      </w:tr>
      <w:tr>
        <w:trPr>
          <w:trHeight w:val="190"/>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208"/>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48,788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1,182,345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190,666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8,295,990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(3,491,603)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6,156,572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5" w:name="page76"/>
    <w:bookmarkEnd w:id="75"/>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(Amounts in thousands, except per unit amount)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Class A Units</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3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9"/>
              </w:rPr>
              <w:t>Interests in</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100" w:type="dxa"/>
            <w:vAlign w:val="bottom"/>
          </w:tcPr>
          <w:p>
            <w:pPr>
              <w:spacing w:after="0"/>
              <w:rPr>
                <w:sz w:val="6"/>
                <w:szCs w:val="6"/>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Preferred Units</w:t>
            </w:r>
          </w:p>
        </w:tc>
        <w:tc>
          <w:tcPr>
            <w:tcW w:w="100" w:type="dxa"/>
            <w:vAlign w:val="bottom"/>
            <w:vMerge w:val="restart"/>
          </w:tcPr>
          <w:p>
            <w:pPr>
              <w:spacing w:after="0"/>
              <w:rPr>
                <w:sz w:val="6"/>
                <w:szCs w:val="6"/>
                <w:color w:val="auto"/>
              </w:rPr>
            </w:pPr>
          </w:p>
        </w:tc>
        <w:tc>
          <w:tcPr>
            <w:tcW w:w="1700" w:type="dxa"/>
            <w:vAlign w:val="bottom"/>
            <w:gridSpan w:val="4"/>
            <w:vMerge w:val="restart"/>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Owned by Vornado</w:t>
            </w:r>
          </w:p>
        </w:tc>
        <w:tc>
          <w:tcPr>
            <w:tcW w:w="10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100" w:type="dxa"/>
            <w:vAlign w:val="bottom"/>
          </w:tcPr>
          <w:p>
            <w:pPr>
              <w:spacing w:after="0"/>
              <w:rPr>
                <w:sz w:val="8"/>
                <w:szCs w:val="8"/>
                <w:color w:val="auto"/>
              </w:rPr>
            </w:pPr>
          </w:p>
        </w:tc>
        <w:tc>
          <w:tcPr>
            <w:tcW w:w="15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7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120" w:type="dxa"/>
            <w:vAlign w:val="bottom"/>
          </w:tcPr>
          <w:p>
            <w:pPr>
              <w:spacing w:after="0"/>
              <w:rPr>
                <w:sz w:val="8"/>
                <w:szCs w:val="8"/>
                <w:color w:val="auto"/>
              </w:rPr>
            </w:pPr>
          </w:p>
        </w:tc>
        <w:tc>
          <w:tcPr>
            <w:tcW w:w="1160" w:type="dxa"/>
            <w:vAlign w:val="bottom"/>
            <w:gridSpan w:val="2"/>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8"/>
                <w:szCs w:val="8"/>
                <w:color w:val="auto"/>
              </w:rPr>
            </w:pPr>
          </w:p>
        </w:tc>
        <w:tc>
          <w:tcPr>
            <w:tcW w:w="1100" w:type="dxa"/>
            <w:vAlign w:val="bottom"/>
            <w:gridSpan w:val="2"/>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rPr>
              <w:t>Consolidated</w:t>
            </w:r>
          </w:p>
        </w:tc>
        <w:tc>
          <w:tcPr>
            <w:tcW w:w="200" w:type="dxa"/>
            <w:vAlign w:val="bottom"/>
          </w:tcPr>
          <w:p>
            <w:pPr>
              <w:spacing w:after="0"/>
              <w:rPr>
                <w:sz w:val="8"/>
                <w:szCs w:val="8"/>
                <w:color w:val="auto"/>
              </w:rPr>
            </w:pPr>
          </w:p>
        </w:tc>
        <w:tc>
          <w:tcPr>
            <w:tcW w:w="800" w:type="dxa"/>
            <w:vAlign w:val="bottom"/>
          </w:tcPr>
          <w:p>
            <w:pPr>
              <w:jc w:val="right"/>
              <w:ind w:right="295"/>
              <w:spacing w:after="0" w:line="100"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90"/>
        </w:trPr>
        <w:tc>
          <w:tcPr>
            <w:tcW w:w="3100" w:type="dxa"/>
            <w:vAlign w:val="bottom"/>
          </w:tcPr>
          <w:p>
            <w:pPr>
              <w:spacing w:after="0"/>
              <w:rPr>
                <w:sz w:val="16"/>
                <w:szCs w:val="16"/>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2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200" w:type="dxa"/>
            <w:vAlign w:val="bottom"/>
          </w:tcPr>
          <w:p>
            <w:pPr>
              <w:spacing w:after="0"/>
              <w:rPr>
                <w:sz w:val="16"/>
                <w:szCs w:val="16"/>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1,182,459</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190,391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8,270,885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(4,009,395)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65,115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196,222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5,705,286</w:t>
            </w:r>
          </w:p>
        </w:tc>
        <w:tc>
          <w:tcPr>
            <w:tcW w:w="0" w:type="dxa"/>
            <w:vAlign w:val="bottom"/>
          </w:tcPr>
          <w:p>
            <w:pPr>
              <w:spacing w:after="0"/>
              <w:rPr>
                <w:sz w:val="1"/>
                <w:szCs w:val="1"/>
                <w:color w:val="auto"/>
              </w:rPr>
            </w:pPr>
          </w:p>
        </w:tc>
      </w:tr>
      <w:tr>
        <w:trPr>
          <w:trHeight w:val="177"/>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Vornado Realty L.P.</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71,247</w:t>
            </w: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redeemable partnership units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0" w:type="dxa"/>
            <w:vAlign w:val="bottom"/>
          </w:tcPr>
          <w:p>
            <w:pPr>
              <w:spacing w:after="0"/>
              <w:rPr>
                <w:sz w:val="1"/>
                <w:szCs w:val="1"/>
                <w:color w:val="auto"/>
              </w:rPr>
            </w:pPr>
          </w:p>
        </w:tc>
      </w:tr>
      <w:tr>
        <w:trPr>
          <w:trHeight w:val="131"/>
        </w:trPr>
        <w:tc>
          <w:tcPr>
            <w:tcW w:w="31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Net loss attributable to nonredeemable noncontrolling</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(19,964)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(19,964)</w:t>
            </w:r>
          </w:p>
        </w:tc>
        <w:tc>
          <w:tcPr>
            <w:tcW w:w="0" w:type="dxa"/>
            <w:vAlign w:val="bottom"/>
          </w:tcPr>
          <w:p>
            <w:pPr>
              <w:spacing w:after="0"/>
              <w:rPr>
                <w:sz w:val="1"/>
                <w:szCs w:val="1"/>
                <w:color w:val="auto"/>
              </w:rPr>
            </w:pPr>
          </w:p>
        </w:tc>
      </w:tr>
      <w:tr>
        <w:trPr>
          <w:trHeight w:val="177"/>
        </w:trPr>
        <w:tc>
          <w:tcPr>
            <w:tcW w:w="3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interests in consolidated subsidiaries</w:t>
            </w: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Distributions to Vornado ($0.74 per unit)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(141,103)</w:t>
            </w:r>
          </w:p>
        </w:tc>
        <w:tc>
          <w:tcPr>
            <w:tcW w:w="0" w:type="dxa"/>
            <w:vAlign w:val="bottom"/>
          </w:tcPr>
          <w:p>
            <w:pPr>
              <w:spacing w:after="0"/>
              <w:rPr>
                <w:sz w:val="1"/>
                <w:szCs w:val="1"/>
                <w:color w:val="auto"/>
              </w:rPr>
            </w:pPr>
          </w:p>
        </w:tc>
      </w:tr>
      <w:tr>
        <w:trPr>
          <w:trHeight w:val="131"/>
        </w:trPr>
        <w:tc>
          <w:tcPr>
            <w:tcW w:w="31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Distributions to preferred unitholders (see Note 11 for</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(62,112)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(62,112)</w:t>
            </w:r>
          </w:p>
        </w:tc>
        <w:tc>
          <w:tcPr>
            <w:tcW w:w="0" w:type="dxa"/>
            <w:vAlign w:val="bottom"/>
          </w:tcPr>
          <w:p>
            <w:pPr>
              <w:spacing w:after="0"/>
              <w:rPr>
                <w:sz w:val="1"/>
                <w:szCs w:val="1"/>
                <w:color w:val="auto"/>
              </w:rPr>
            </w:pPr>
          </w:p>
        </w:tc>
      </w:tr>
      <w:tr>
        <w:trPr>
          <w:trHeight w:val="177"/>
        </w:trPr>
        <w:tc>
          <w:tcPr>
            <w:tcW w:w="3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distributions per unit amounts)</w:t>
            </w: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A units redeemed for common shares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449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15,912</w:t>
            </w:r>
          </w:p>
        </w:tc>
        <w:tc>
          <w:tcPr>
            <w:tcW w:w="0" w:type="dxa"/>
            <w:vAlign w:val="bottom"/>
          </w:tcPr>
          <w:p>
            <w:pPr>
              <w:spacing w:after="0"/>
              <w:rPr>
                <w:sz w:val="1"/>
                <w:szCs w:val="1"/>
                <w:color w:val="auto"/>
              </w:rPr>
            </w:pPr>
          </w:p>
        </w:tc>
      </w:tr>
      <w:tr>
        <w:trPr>
          <w:trHeight w:val="131"/>
        </w:trPr>
        <w:tc>
          <w:tcPr>
            <w:tcW w:w="31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Conversion of Series A preferred units to common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1"/>
                <w:szCs w:val="11"/>
                <w:color w:val="auto"/>
              </w:rPr>
            </w:pPr>
          </w:p>
        </w:tc>
        <w:tc>
          <w:tcPr>
            <w:tcW w:w="74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7"/>
        </w:trPr>
        <w:tc>
          <w:tcPr>
            <w:tcW w:w="3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shares</w:t>
            </w: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Contributions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1,961</w:t>
            </w:r>
          </w:p>
        </w:tc>
        <w:tc>
          <w:tcPr>
            <w:tcW w:w="0" w:type="dxa"/>
            <w:vAlign w:val="bottom"/>
          </w:tcPr>
          <w:p>
            <w:pPr>
              <w:spacing w:after="0"/>
              <w:rPr>
                <w:sz w:val="1"/>
                <w:szCs w:val="1"/>
                <w:color w:val="auto"/>
              </w:rPr>
            </w:pPr>
          </w:p>
        </w:tc>
      </w:tr>
      <w:tr>
        <w:trPr>
          <w:trHeight w:val="177"/>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Distributions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0" w:type="dxa"/>
            <w:vAlign w:val="bottom"/>
          </w:tcPr>
          <w:p>
            <w:pPr>
              <w:spacing w:after="0"/>
              <w:rPr>
                <w:sz w:val="1"/>
                <w:szCs w:val="1"/>
                <w:color w:val="auto"/>
              </w:rPr>
            </w:pPr>
          </w:p>
        </w:tc>
      </w:tr>
      <w:tr>
        <w:trPr>
          <w:trHeight w:val="137"/>
        </w:trPr>
        <w:tc>
          <w:tcPr>
            <w:tcW w:w="31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Other comprehensive loss of nonconsolidated</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(6,992)</w:t>
            </w:r>
          </w:p>
        </w:tc>
        <w:tc>
          <w:tcPr>
            <w:tcW w:w="0" w:type="dxa"/>
            <w:vAlign w:val="bottom"/>
          </w:tcPr>
          <w:p>
            <w:pPr>
              <w:spacing w:after="0"/>
              <w:rPr>
                <w:sz w:val="1"/>
                <w:szCs w:val="1"/>
                <w:color w:val="auto"/>
              </w:rPr>
            </w:pPr>
          </w:p>
        </w:tc>
      </w:tr>
      <w:tr>
        <w:trPr>
          <w:trHeight w:val="183"/>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subsidiaries</w:t>
            </w: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Change in fair value of consolidated interest rate hedges</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6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947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0" w:type="dxa"/>
            <w:vAlign w:val="bottom"/>
            <w:vMerge w:val="restart"/>
          </w:tcPr>
          <w:p>
            <w:pPr>
              <w:jc w:val="right"/>
              <w:ind w:right="15"/>
              <w:spacing w:after="0"/>
              <w:rPr>
                <w:sz w:val="20"/>
                <w:szCs w:val="20"/>
                <w:color w:val="auto"/>
              </w:rPr>
            </w:pPr>
            <w:r>
              <w:rPr>
                <w:rFonts w:ascii="Times New Roman" w:cs="Times New Roman" w:eastAsia="Times New Roman" w:hAnsi="Times New Roman"/>
                <w:sz w:val="13"/>
                <w:szCs w:val="13"/>
                <w:color w:val="auto"/>
              </w:rPr>
              <w:t>947</w:t>
            </w:r>
          </w:p>
        </w:tc>
        <w:tc>
          <w:tcPr>
            <w:tcW w:w="0" w:type="dxa"/>
            <w:vAlign w:val="bottom"/>
          </w:tcPr>
          <w:p>
            <w:pPr>
              <w:spacing w:after="0"/>
              <w:rPr>
                <w:sz w:val="1"/>
                <w:szCs w:val="1"/>
                <w:color w:val="auto"/>
              </w:rPr>
            </w:pPr>
          </w:p>
        </w:tc>
      </w:tr>
      <w:tr>
        <w:trPr>
          <w:trHeight w:val="177"/>
        </w:trPr>
        <w:tc>
          <w:tcPr>
            <w:tcW w:w="3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and other</w:t>
            </w: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Redeemable Class A unit measurement adjustment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(226,612)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(226,586)</w:t>
            </w:r>
          </w:p>
        </w:tc>
        <w:tc>
          <w:tcPr>
            <w:tcW w:w="0" w:type="dxa"/>
            <w:vAlign w:val="bottom"/>
          </w:tcPr>
          <w:p>
            <w:pPr>
              <w:spacing w:after="0"/>
              <w:rPr>
                <w:sz w:val="1"/>
                <w:szCs w:val="1"/>
                <w:color w:val="auto"/>
              </w:rPr>
            </w:pPr>
          </w:p>
        </w:tc>
      </w:tr>
      <w:tr>
        <w:trPr>
          <w:trHeight w:val="131"/>
        </w:trPr>
        <w:tc>
          <w:tcPr>
            <w:tcW w:w="31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Other comprehensive loss (income) attributable to</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noncontrolling interests in:</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Redeemable partnership units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693</w:t>
            </w:r>
          </w:p>
        </w:tc>
        <w:tc>
          <w:tcPr>
            <w:tcW w:w="0" w:type="dxa"/>
            <w:vAlign w:val="bottom"/>
          </w:tcPr>
          <w:p>
            <w:pPr>
              <w:spacing w:after="0"/>
              <w:rPr>
                <w:sz w:val="1"/>
                <w:szCs w:val="1"/>
                <w:color w:val="auto"/>
              </w:rPr>
            </w:pPr>
          </w:p>
        </w:tc>
      </w:tr>
      <w:tr>
        <w:trPr>
          <w:trHeight w:val="177"/>
        </w:trPr>
        <w:tc>
          <w:tcPr>
            <w:tcW w:w="3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7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48,789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1,182,364</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190,847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8,060,427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(4,142,249)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57,700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178,969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5,337,211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591" w:right="339" w:bottom="1440" w:gutter="0" w:footer="0" w:header="0"/>
        </w:sectPr>
      </w:pPr>
    </w:p>
    <w:bookmarkStart w:id="76" w:name="page77"/>
    <w:bookmarkEnd w:id="76"/>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 – CONTINUED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in thousands, except per unit amounts)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Non-</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Class A Units</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3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4"/>
                <w:szCs w:val="4"/>
                <w:color w:val="auto"/>
              </w:rPr>
            </w:pPr>
          </w:p>
        </w:tc>
        <w:tc>
          <w:tcPr>
            <w:tcW w:w="1140" w:type="dxa"/>
            <w:vAlign w:val="bottom"/>
            <w:gridSpan w:val="2"/>
            <w:vMerge w:val="restart"/>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4"/>
                <w:szCs w:val="4"/>
                <w:color w:val="auto"/>
              </w:rPr>
            </w:pPr>
          </w:p>
        </w:tc>
        <w:tc>
          <w:tcPr>
            <w:tcW w:w="1080" w:type="dxa"/>
            <w:vAlign w:val="bottom"/>
            <w:gridSpan w:val="2"/>
            <w:vMerge w:val="restart"/>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rPr>
              <w:t>Interests in</w:t>
            </w: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200" w:type="dxa"/>
            <w:vAlign w:val="bottom"/>
          </w:tcPr>
          <w:p>
            <w:pPr>
              <w:spacing w:after="0"/>
              <w:rPr>
                <w:sz w:val="6"/>
                <w:szCs w:val="6"/>
                <w:color w:val="auto"/>
              </w:rPr>
            </w:pPr>
          </w:p>
        </w:tc>
        <w:tc>
          <w:tcPr>
            <w:tcW w:w="16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Preferred Units</w:t>
            </w:r>
          </w:p>
        </w:tc>
        <w:tc>
          <w:tcPr>
            <w:tcW w:w="100" w:type="dxa"/>
            <w:vAlign w:val="bottom"/>
            <w:vMerge w:val="restart"/>
          </w:tcPr>
          <w:p>
            <w:pPr>
              <w:spacing w:after="0"/>
              <w:rPr>
                <w:sz w:val="6"/>
                <w:szCs w:val="6"/>
                <w:color w:val="auto"/>
              </w:rPr>
            </w:pPr>
          </w:p>
        </w:tc>
        <w:tc>
          <w:tcPr>
            <w:tcW w:w="16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Owned by Vornado</w:t>
            </w:r>
          </w:p>
        </w:tc>
        <w:tc>
          <w:tcPr>
            <w:tcW w:w="12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200" w:type="dxa"/>
            <w:vAlign w:val="bottom"/>
          </w:tcPr>
          <w:p>
            <w:pPr>
              <w:spacing w:after="0"/>
              <w:rPr>
                <w:sz w:val="8"/>
                <w:szCs w:val="8"/>
                <w:color w:val="auto"/>
              </w:rPr>
            </w:pPr>
          </w:p>
        </w:tc>
        <w:tc>
          <w:tcPr>
            <w:tcW w:w="160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4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120" w:type="dxa"/>
            <w:vAlign w:val="bottom"/>
          </w:tcPr>
          <w:p>
            <w:pPr>
              <w:spacing w:after="0"/>
              <w:rPr>
                <w:sz w:val="8"/>
                <w:szCs w:val="8"/>
                <w:color w:val="auto"/>
              </w:rPr>
            </w:pPr>
          </w:p>
        </w:tc>
        <w:tc>
          <w:tcPr>
            <w:tcW w:w="114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40" w:type="dxa"/>
            <w:vAlign w:val="bottom"/>
          </w:tcPr>
          <w:p>
            <w:pPr>
              <w:spacing w:after="0"/>
              <w:rPr>
                <w:sz w:val="8"/>
                <w:szCs w:val="8"/>
                <w:color w:val="auto"/>
              </w:rPr>
            </w:pPr>
          </w:p>
        </w:tc>
        <w:tc>
          <w:tcPr>
            <w:tcW w:w="1080" w:type="dxa"/>
            <w:vAlign w:val="bottom"/>
            <w:gridSpan w:val="2"/>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rPr>
              <w:t>Consolidated</w:t>
            </w:r>
          </w:p>
        </w:tc>
        <w:tc>
          <w:tcPr>
            <w:tcW w:w="160" w:type="dxa"/>
            <w:vAlign w:val="bottom"/>
          </w:tcPr>
          <w:p>
            <w:pPr>
              <w:spacing w:after="0"/>
              <w:rPr>
                <w:sz w:val="8"/>
                <w:szCs w:val="8"/>
                <w:color w:val="auto"/>
              </w:rPr>
            </w:pPr>
          </w:p>
        </w:tc>
        <w:tc>
          <w:tcPr>
            <w:tcW w:w="760" w:type="dxa"/>
            <w:vAlign w:val="bottom"/>
          </w:tcPr>
          <w:p>
            <w:pPr>
              <w:jc w:val="right"/>
              <w:ind w:right="255"/>
              <w:spacing w:after="0" w:line="100"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Distributions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60" w:type="dxa"/>
            <w:vAlign w:val="bottom"/>
          </w:tcPr>
          <w:p>
            <w:pPr>
              <w:spacing w:after="0"/>
              <w:rPr>
                <w:sz w:val="16"/>
                <w:szCs w:val="16"/>
                <w:color w:val="auto"/>
              </w:rPr>
            </w:pPr>
          </w:p>
        </w:tc>
        <w:tc>
          <w:tcPr>
            <w:tcW w:w="760" w:type="dxa"/>
            <w:vAlign w:val="bottom"/>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2"/>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1,182,459</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191,867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8,376,882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(3,894,580)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174,967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236,652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6,076,380</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Vornado Realty L.P.</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108,855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108,855</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redeemable partnership units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(3,361)</w:t>
            </w:r>
          </w:p>
        </w:tc>
        <w:tc>
          <w:tcPr>
            <w:tcW w:w="0" w:type="dxa"/>
            <w:vAlign w:val="bottom"/>
          </w:tcPr>
          <w:p>
            <w:pPr>
              <w:spacing w:after="0"/>
              <w:rPr>
                <w:sz w:val="1"/>
                <w:szCs w:val="1"/>
                <w:color w:val="auto"/>
              </w:rPr>
            </w:pPr>
          </w:p>
        </w:tc>
      </w:tr>
      <w:tr>
        <w:trPr>
          <w:trHeight w:val="131"/>
        </w:trPr>
        <w:tc>
          <w:tcPr>
            <w:tcW w:w="32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Net loss attributable to nonredeemable noncontrolling</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(36,582)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(36,582)</w:t>
            </w:r>
          </w:p>
        </w:tc>
        <w:tc>
          <w:tcPr>
            <w:tcW w:w="0" w:type="dxa"/>
            <w:vAlign w:val="bottom"/>
          </w:tcPr>
          <w:p>
            <w:pPr>
              <w:spacing w:after="0"/>
              <w:rPr>
                <w:sz w:val="1"/>
                <w:szCs w:val="1"/>
                <w:color w:val="auto"/>
              </w:rPr>
            </w:pPr>
          </w:p>
        </w:tc>
      </w:tr>
      <w:tr>
        <w:trPr>
          <w:trHeight w:val="177"/>
        </w:trPr>
        <w:tc>
          <w:tcPr>
            <w:tcW w:w="3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interests in consolidated subsidiaries</w:t>
            </w: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Vornado ($0.675 per unit)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(129,066)</w:t>
            </w:r>
          </w:p>
        </w:tc>
        <w:tc>
          <w:tcPr>
            <w:tcW w:w="0" w:type="dxa"/>
            <w:vAlign w:val="bottom"/>
          </w:tcPr>
          <w:p>
            <w:pPr>
              <w:spacing w:after="0"/>
              <w:rPr>
                <w:sz w:val="1"/>
                <w:szCs w:val="1"/>
                <w:color w:val="auto"/>
              </w:rPr>
            </w:pPr>
          </w:p>
        </w:tc>
      </w:tr>
      <w:tr>
        <w:trPr>
          <w:trHeight w:val="131"/>
        </w:trPr>
        <w:tc>
          <w:tcPr>
            <w:tcW w:w="32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Distributions to preferred unitholders (see Note 11 for</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(62,116)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(62,116)</w:t>
            </w:r>
          </w:p>
        </w:tc>
        <w:tc>
          <w:tcPr>
            <w:tcW w:w="0" w:type="dxa"/>
            <w:vAlign w:val="bottom"/>
          </w:tcPr>
          <w:p>
            <w:pPr>
              <w:spacing w:after="0"/>
              <w:rPr>
                <w:sz w:val="1"/>
                <w:szCs w:val="1"/>
                <w:color w:val="auto"/>
              </w:rPr>
            </w:pPr>
          </w:p>
        </w:tc>
      </w:tr>
      <w:tr>
        <w:trPr>
          <w:trHeight w:val="177"/>
        </w:trPr>
        <w:tc>
          <w:tcPr>
            <w:tcW w:w="3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 per unit amounts)</w:t>
            </w: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A units issued to Vornado:</w:t>
            </w: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20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rPr>
              <w:t>Upon redemption of redeemable Class A units, at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8,489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8,489</w:t>
            </w:r>
          </w:p>
        </w:tc>
        <w:tc>
          <w:tcPr>
            <w:tcW w:w="0" w:type="dxa"/>
            <w:vAlign w:val="bottom"/>
          </w:tcPr>
          <w:p>
            <w:pPr>
              <w:spacing w:after="0"/>
              <w:rPr>
                <w:sz w:val="1"/>
                <w:szCs w:val="1"/>
                <w:color w:val="auto"/>
              </w:rPr>
            </w:pPr>
          </w:p>
        </w:tc>
      </w:tr>
      <w:tr>
        <w:trPr>
          <w:trHeight w:val="177"/>
        </w:trPr>
        <w:tc>
          <w:tcPr>
            <w:tcW w:w="32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redemption value</w:t>
            </w: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Under Vornado's dividend reinvestment plan</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24,033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24,033</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(21,526)</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compensation units and options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 of Class A units owned by Vornado</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(29,183)</w:t>
            </w:r>
          </w:p>
        </w:tc>
        <w:tc>
          <w:tcPr>
            <w:tcW w:w="0" w:type="dxa"/>
            <w:vAlign w:val="bottom"/>
          </w:tcPr>
          <w:p>
            <w:pPr>
              <w:spacing w:after="0"/>
              <w:rPr>
                <w:sz w:val="1"/>
                <w:szCs w:val="1"/>
                <w:color w:val="auto"/>
              </w:rPr>
            </w:pPr>
          </w:p>
        </w:tc>
      </w:tr>
      <w:tr>
        <w:trPr>
          <w:trHeight w:val="177"/>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of nonconsolidated subsidiaries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(8,286)</w:t>
            </w: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fair value of interest rate swaps and other</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(112,051)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(112,051)</w:t>
            </w:r>
          </w:p>
        </w:tc>
        <w:tc>
          <w:tcPr>
            <w:tcW w:w="0" w:type="dxa"/>
            <w:vAlign w:val="bottom"/>
          </w:tcPr>
          <w:p>
            <w:pPr>
              <w:spacing w:after="0"/>
              <w:rPr>
                <w:sz w:val="1"/>
                <w:szCs w:val="1"/>
                <w:color w:val="auto"/>
              </w:rPr>
            </w:pPr>
          </w:p>
        </w:tc>
      </w:tr>
      <w:tr>
        <w:trPr>
          <w:trHeight w:val="131"/>
        </w:trPr>
        <w:tc>
          <w:tcPr>
            <w:tcW w:w="32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Unearned 2020 Out-Performance Plan and 2019</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20,668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20,668</w:t>
            </w:r>
          </w:p>
        </w:tc>
        <w:tc>
          <w:tcPr>
            <w:tcW w:w="0" w:type="dxa"/>
            <w:vAlign w:val="bottom"/>
          </w:tcPr>
          <w:p>
            <w:pPr>
              <w:spacing w:after="0"/>
              <w:rPr>
                <w:sz w:val="1"/>
                <w:szCs w:val="1"/>
                <w:color w:val="auto"/>
              </w:rPr>
            </w:pPr>
          </w:p>
        </w:tc>
      </w:tr>
      <w:tr>
        <w:trPr>
          <w:trHeight w:val="177"/>
        </w:trPr>
        <w:tc>
          <w:tcPr>
            <w:tcW w:w="3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Performance AO LTIP awards</w:t>
            </w: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Redeemable Class A unit measurement adjustment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(138,114)</w:t>
            </w:r>
          </w:p>
        </w:tc>
        <w:tc>
          <w:tcPr>
            <w:tcW w:w="0" w:type="dxa"/>
            <w:vAlign w:val="bottom"/>
          </w:tcPr>
          <w:p>
            <w:pPr>
              <w:spacing w:after="0"/>
              <w:rPr>
                <w:sz w:val="1"/>
                <w:szCs w:val="1"/>
                <w:color w:val="auto"/>
              </w:rPr>
            </w:pPr>
          </w:p>
        </w:tc>
      </w:tr>
      <w:tr>
        <w:trPr>
          <w:trHeight w:val="131"/>
        </w:trPr>
        <w:tc>
          <w:tcPr>
            <w:tcW w:w="32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Other comprehensive income attributable to</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 in:</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Redeemable partnership units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9,340</w:t>
            </w:r>
          </w:p>
        </w:tc>
        <w:tc>
          <w:tcPr>
            <w:tcW w:w="0" w:type="dxa"/>
            <w:vAlign w:val="bottom"/>
          </w:tcPr>
          <w:p>
            <w:pPr>
              <w:spacing w:after="0"/>
              <w:rPr>
                <w:sz w:val="1"/>
                <w:szCs w:val="1"/>
                <w:color w:val="auto"/>
              </w:rPr>
            </w:pPr>
          </w:p>
        </w:tc>
      </w:tr>
      <w:tr>
        <w:trPr>
          <w:trHeight w:val="177"/>
        </w:trPr>
        <w:tc>
          <w:tcPr>
            <w:tcW w:w="3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Consolidated subsidiaries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Deconsolidation of partially owned entity</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(2,636)</w:t>
            </w:r>
          </w:p>
        </w:tc>
        <w:tc>
          <w:tcPr>
            <w:tcW w:w="0" w:type="dxa"/>
            <w:vAlign w:val="bottom"/>
          </w:tcPr>
          <w:p>
            <w:pPr>
              <w:spacing w:after="0"/>
              <w:rPr>
                <w:sz w:val="1"/>
                <w:szCs w:val="1"/>
                <w:color w:val="auto"/>
              </w:rPr>
            </w:pPr>
          </w:p>
        </w:tc>
      </w:tr>
      <w:tr>
        <w:trPr>
          <w:trHeight w:val="183"/>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48,793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1,182,459</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190,391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8,270,885</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(4,009,395)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65,115</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196,222</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5,705,286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591" w:right="339" w:bottom="1440" w:gutter="0" w:footer="0" w:header="0"/>
        </w:sectPr>
      </w:pPr>
    </w:p>
    <w:bookmarkStart w:id="77" w:name="page78"/>
    <w:bookmarkEnd w:id="77"/>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20" w:type="dxa"/>
            <w:vAlign w:val="bottom"/>
          </w:tcPr>
          <w:p>
            <w:pPr>
              <w:spacing w:after="0"/>
              <w:rPr>
                <w:sz w:val="16"/>
                <w:szCs w:val="16"/>
                <w:color w:val="auto"/>
              </w:rPr>
            </w:pPr>
          </w:p>
        </w:tc>
        <w:tc>
          <w:tcPr>
            <w:tcW w:w="30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6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69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937,204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32,888</w:t>
            </w:r>
          </w:p>
        </w:tc>
      </w:tr>
      <w:tr>
        <w:trPr>
          <w:trHeight w:val="18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lease payment (net of initial direct costs)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901,409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sales-type lease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(803,248)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(including amortization of deferred financing costs)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481,456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469,423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457,574</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in net income of partially owned entities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(112,464)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(38,689)</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 of income from partially owned entities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142,880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172,873</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Straight-lining of rents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(71,960)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(8,808)</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43,201</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interest rate cap premiums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deferred tax liability</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17,020</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below-market leases, net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Real estate impairment losses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45,007</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Credit losses on investments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realized and unrealized gain on real estate fund investments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Return of capital from real estate fund investments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non-cash adjustments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9,874</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Tenant and other receivables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9,379</w:t>
            </w: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Prepaid 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(12,854)</w:t>
            </w: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(133,058)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(79,110)</w:t>
            </w: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Lease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(43,352)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17,582</w:t>
            </w:r>
          </w:p>
        </w:tc>
      </w:tr>
      <w:tr>
        <w:trPr>
          <w:trHeight w:val="189"/>
        </w:trPr>
        <w:tc>
          <w:tcPr>
            <w:tcW w:w="69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10,723</w:t>
            </w:r>
          </w:p>
        </w:tc>
      </w:tr>
      <w:tr>
        <w:trPr>
          <w:trHeight w:val="204"/>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28,701</w:t>
            </w:r>
          </w:p>
        </w:tc>
      </w:tr>
      <w:tr>
        <w:trPr>
          <w:trHeight w:val="183"/>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1,258,385</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537,723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648,152</w:t>
            </w:r>
          </w:p>
        </w:tc>
      </w:tr>
      <w:tr>
        <w:trPr>
          <w:trHeight w:val="422"/>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partial redemption of Fifth Avenue and Times Square JV preferred equity</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Acquisitions of real estate and other</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(296,681)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(33,145)</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Additions to real estate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(268,258)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(222,739)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(211,899)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Development costs and construction in progress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(144,609)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(242,874)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(552,701)</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real estate and other</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58,339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123,519</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of capital from partially owned entities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18,869</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of condominium units and ancillary amenities at 220 Central Park South</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24,484</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Investments in partially owned entities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(115,357)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(57,297)</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loan receivable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of U.S. Treasury bills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468,598</w:t>
            </w: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repayment of participation in 150 West 34th Street mortgage loan</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105,000</w:t>
            </w:r>
          </w:p>
        </w:tc>
      </w:tr>
      <w:tr>
        <w:trPr>
          <w:trHeight w:val="190"/>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Deconsolidation of cash and restricted cash held by a previously consolidated entity</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(14,216)</w:t>
            </w:r>
          </w:p>
        </w:tc>
      </w:tr>
      <w:tr>
        <w:trPr>
          <w:trHeight w:val="190"/>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115,507</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(597,365)</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(128,788)</w:t>
            </w:r>
          </w:p>
        </w:tc>
      </w:tr>
    </w:tbl>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8" w:name="page79"/>
    <w:bookmarkEnd w:id="78"/>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20" w:type="dxa"/>
            <w:vAlign w:val="bottom"/>
          </w:tcPr>
          <w:p>
            <w:pPr>
              <w:spacing w:after="0"/>
              <w:rPr>
                <w:sz w:val="16"/>
                <w:szCs w:val="16"/>
                <w:color w:val="auto"/>
              </w:rPr>
            </w:pPr>
          </w:p>
        </w:tc>
        <w:tc>
          <w:tcPr>
            <w:tcW w:w="30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694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Repayments of borrowings</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(1,903,513)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(97,439)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(148,000)</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835,794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 to Vornado</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(141,277)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(141,103)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(129,066)</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to preferred unitholders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(62,116)</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Class A units owned by Vornado</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(29,183)</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 to redeemable security holders and noncontrolling interests in consolidated subsidiaries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(38,970)</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financing costs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Contributions from noncontrolling interests in consolidated subsidiaries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132,701</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financing activity, net</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8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(1,345,965)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(252,323)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(278,937)</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 and restricted cash</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240,427</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1,261,584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1,021,157</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977,546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1,261,584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733,947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997,002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889,689</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Restricted cash at beginning of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215,672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264,582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131,468</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1,261,584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1,021,157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840,850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733,947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997,002</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Restricted cash at end of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136,696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215,672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264,582</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977,546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949,619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1,261,584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payments for interest (excluding capitalized interest) and interest rate cap premiums</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313,093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322,774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381,410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payments for income taxes</w:t>
            </w: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5,201</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7,608</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10,365</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Information:</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6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assets and liabilities resulting from the derecognition of 770 Broadway:</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Real estate</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172,120</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Receivable arising from the straight-lining of rents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9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Deferred leasing costs, net of accumulated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60,308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Redeemable Class A unit measurement adjustment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183,578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(226,586)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(138,114)</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Write-off of fully depreciated 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(115,939)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(122,548)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(82,343)</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 of consolidated interest rate hedges and other</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(53,452)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(112,051)</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capital expenditures included in accounts payable and accrued expenses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43,875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52,091</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of assets held for sale (included in "other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Initial investment in Sunset Pier 94 Joint Venture upon contribution of leasehold interest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50,090</w:t>
            </w:r>
          </w:p>
        </w:tc>
        <w:tc>
          <w:tcPr>
            <w:tcW w:w="0" w:type="dxa"/>
            <w:vAlign w:val="bottom"/>
          </w:tcPr>
          <w:p>
            <w:pPr>
              <w:spacing w:after="0"/>
              <w:rPr>
                <w:sz w:val="1"/>
                <w:szCs w:val="1"/>
                <w:color w:val="auto"/>
              </w:rPr>
            </w:pPr>
          </w:p>
        </w:tc>
      </w:tr>
      <w:tr>
        <w:trPr>
          <w:trHeight w:val="189"/>
        </w:trPr>
        <w:tc>
          <w:tcPr>
            <w:tcW w:w="6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 in assets and liabilities resulting from the deconsolidation of Pier 94:</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Real estate</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21,693</w:t>
            </w:r>
          </w:p>
        </w:tc>
        <w:tc>
          <w:tcPr>
            <w:tcW w:w="0" w:type="dxa"/>
            <w:vAlign w:val="bottom"/>
          </w:tcPr>
          <w:p>
            <w:pPr>
              <w:spacing w:after="0"/>
              <w:rPr>
                <w:sz w:val="1"/>
                <w:szCs w:val="1"/>
                <w:color w:val="auto"/>
              </w:rPr>
            </w:pPr>
          </w:p>
        </w:tc>
      </w:tr>
      <w:tr>
        <w:trPr>
          <w:trHeight w:val="189"/>
        </w:trPr>
        <w:tc>
          <w:tcPr>
            <w:tcW w:w="69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Right-of-use assets</w:t>
            </w:r>
          </w:p>
        </w:tc>
        <w:tc>
          <w:tcPr>
            <w:tcW w:w="3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7,081</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Lease liabilities</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(20,692)</w:t>
            </w:r>
          </w:p>
        </w:tc>
        <w:tc>
          <w:tcPr>
            <w:tcW w:w="0" w:type="dxa"/>
            <w:vAlign w:val="bottom"/>
          </w:tcPr>
          <w:p>
            <w:pPr>
              <w:spacing w:after="0"/>
              <w:rPr>
                <w:sz w:val="1"/>
                <w:szCs w:val="1"/>
                <w:color w:val="auto"/>
              </w:rPr>
            </w:pPr>
          </w:p>
        </w:tc>
      </w:tr>
    </w:tbl>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79" w:name="page80"/>
    <w:bookmarkEnd w:id="79"/>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1.</w:t>
        <w:tab/>
        <w:t>Organization and Business</w:t>
      </w:r>
    </w:p>
    <w:p>
      <w:pPr>
        <w:spacing w:after="0" w:line="34" w:lineRule="exact"/>
        <w:rPr>
          <w:sz w:val="20"/>
          <w:szCs w:val="20"/>
          <w:color w:val="auto"/>
        </w:rPr>
      </w:pPr>
    </w:p>
    <w:p>
      <w:pPr>
        <w:jc w:val="both"/>
        <w:ind w:firstLine="314"/>
        <w:spacing w:after="0" w:line="219" w:lineRule="exact"/>
        <w:rPr>
          <w:sz w:val="20"/>
          <w:szCs w:val="20"/>
          <w:color w:val="auto"/>
        </w:rPr>
      </w:pPr>
      <w:r>
        <w:rPr>
          <w:rFonts w:ascii="Times New Roman" w:cs="Times New Roman" w:eastAsia="Times New Roman" w:hAnsi="Times New Roman"/>
          <w:sz w:val="17"/>
          <w:szCs w:val="17"/>
          <w:color w:val="auto"/>
        </w:rPr>
        <w:t>Vornado Realty Trust (“Vornado”) is a fully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integrated real estate investment trust (“REIT”) and conducts its business through, and substantially all of its interests in properties are held by, Vornado Realty L.P. (the “Operating Partnership”), a Delaware limited partnership. Accordingly, Vornado’s cash flow and ability to pay dividends to its shareholders are dependent upon the cash flow of the Operating Partnership and the ability of its direct and indirect subsidiaries to first satisfy their obligations to creditors. Vornado is the sole general partner of and owned approximately 91.3% of the common limited partnership interest in the Operating Partnership as of December 31, 2025. All references to the “Company,” “we,” “us” and “our” mean, collectively, Vornado, the Operating Partnership and those subsidiaries consolidated by Vornado.</w:t>
      </w:r>
    </w:p>
    <w:p>
      <w:pPr>
        <w:spacing w:after="0" w:line="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currently own all or portions of:</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u w:val="single" w:color="auto"/>
          <w:color w:val="auto"/>
        </w:rPr>
        <w:t>New York:</w:t>
      </w:r>
    </w:p>
    <w:p>
      <w:pPr>
        <w:spacing w:after="0" w:line="68" w:lineRule="exact"/>
        <w:rPr>
          <w:sz w:val="20"/>
          <w:szCs w:val="20"/>
          <w:color w:val="auto"/>
        </w:rPr>
      </w:pPr>
    </w:p>
    <w:p>
      <w:pPr>
        <w:ind w:left="620" w:hanging="301"/>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 Manhattan operating properties consisting of:</w:t>
      </w:r>
    </w:p>
    <w:p>
      <w:pPr>
        <w:spacing w:after="0" w:line="32" w:lineRule="exact"/>
        <w:rPr>
          <w:rFonts w:ascii="Times New Roman" w:cs="Times New Roman" w:eastAsia="Times New Roman" w:hAnsi="Times New Roman"/>
          <w:sz w:val="17"/>
          <w:szCs w:val="17"/>
          <w:color w:val="auto"/>
        </w:rPr>
      </w:pPr>
    </w:p>
    <w:p>
      <w:pPr>
        <w:ind w:left="1260" w:hanging="391"/>
        <w:spacing w:after="0"/>
        <w:tabs>
          <w:tab w:leader="none" w:pos="12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19.2 million square feet of office space in 26 of the properties;</w:t>
      </w:r>
    </w:p>
    <w:p>
      <w:pPr>
        <w:spacing w:after="0" w:line="14" w:lineRule="exact"/>
        <w:rPr>
          <w:rFonts w:ascii="Times New Roman" w:cs="Times New Roman" w:eastAsia="Times New Roman" w:hAnsi="Times New Roman"/>
          <w:sz w:val="17"/>
          <w:szCs w:val="17"/>
          <w:color w:val="auto"/>
        </w:rPr>
      </w:pPr>
    </w:p>
    <w:p>
      <w:pPr>
        <w:ind w:left="1260" w:hanging="391"/>
        <w:spacing w:after="0"/>
        <w:tabs>
          <w:tab w:leader="none" w:pos="12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 million square feet of street retail space in 45 of the properties;</w:t>
      </w:r>
    </w:p>
    <w:p>
      <w:pPr>
        <w:spacing w:after="0" w:line="14" w:lineRule="exact"/>
        <w:rPr>
          <w:rFonts w:ascii="Times New Roman" w:cs="Times New Roman" w:eastAsia="Times New Roman" w:hAnsi="Times New Roman"/>
          <w:sz w:val="17"/>
          <w:szCs w:val="17"/>
          <w:color w:val="auto"/>
        </w:rPr>
      </w:pPr>
    </w:p>
    <w:p>
      <w:pPr>
        <w:ind w:left="1260" w:hanging="391"/>
        <w:spacing w:after="0"/>
        <w:tabs>
          <w:tab w:leader="none" w:pos="12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1,331 units in two Manhattan residential properties;</w:t>
      </w:r>
    </w:p>
    <w:p>
      <w:pPr>
        <w:spacing w:after="0" w:line="14"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development sites and redevelopment projects, including 350 Park Avenue, Sunset Pier 94 Studios, 623 Fifth Avenue, the Hotel Pennsylvania site (PENN 15) and other PENN District sites;</w:t>
      </w:r>
    </w:p>
    <w:p>
      <w:pPr>
        <w:ind w:left="640" w:hanging="321"/>
        <w:spacing w:after="0" w:line="257" w:lineRule="auto"/>
        <w:tabs>
          <w:tab w:leader="none" w:pos="6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32.4% interest in Alexander’s, Inc. (“Alexander’s”) (NYSE: ALX), which owns five properties in the greater New York metropolitan area, including 731 Lexington Avenue, the 1.1 million square foot Bloomberg, L.P. headquarters building, and The Alexander, a 312-unit apartment tower in Queens;</w:t>
      </w:r>
    </w:p>
    <w:p>
      <w:pPr>
        <w:ind w:left="620" w:hanging="301"/>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Signage throughout the PENN District and Times Square; and</w:t>
      </w:r>
    </w:p>
    <w:p>
      <w:pPr>
        <w:spacing w:after="0" w:line="14" w:lineRule="exact"/>
        <w:rPr>
          <w:rFonts w:ascii="Times New Roman" w:cs="Times New Roman" w:eastAsia="Times New Roman" w:hAnsi="Times New Roman"/>
          <w:sz w:val="17"/>
          <w:szCs w:val="17"/>
          <w:color w:val="auto"/>
        </w:rPr>
      </w:pPr>
    </w:p>
    <w:p>
      <w:pPr>
        <w:ind w:left="640" w:hanging="321"/>
        <w:spacing w:after="0" w:line="274" w:lineRule="auto"/>
        <w:tabs>
          <w:tab w:leader="none" w:pos="6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Building Maintenance Services LLC ("BMS"), a wholly owned subsidiary, which provides cleaning and security services for our buildings and third parties.</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u w:val="single" w:color="auto"/>
          <w:color w:val="auto"/>
        </w:rPr>
        <w:t>Other Real Estate and Investments:</w:t>
      </w:r>
    </w:p>
    <w:p>
      <w:pPr>
        <w:spacing w:after="0" w:line="68" w:lineRule="exact"/>
        <w:rPr>
          <w:sz w:val="20"/>
          <w:szCs w:val="20"/>
          <w:color w:val="auto"/>
        </w:rPr>
      </w:pPr>
    </w:p>
    <w:p>
      <w:pPr>
        <w:ind w:left="620" w:hanging="301"/>
        <w:spacing w:after="0"/>
        <w:tabs>
          <w:tab w:leader="none" w:pos="62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3.7 million square foot THE MART in Chicago;</w:t>
      </w:r>
    </w:p>
    <w:p>
      <w:pPr>
        <w:spacing w:after="0" w:line="32" w:lineRule="exact"/>
        <w:rPr>
          <w:rFonts w:ascii="Times New Roman" w:cs="Times New Roman" w:eastAsia="Times New Roman" w:hAnsi="Times New Roman"/>
          <w:sz w:val="17"/>
          <w:szCs w:val="17"/>
          <w:color w:val="auto"/>
        </w:rPr>
      </w:pPr>
    </w:p>
    <w:p>
      <w:pPr>
        <w:ind w:left="640" w:hanging="321"/>
        <w:spacing w:after="0" w:line="257" w:lineRule="auto"/>
        <w:tabs>
          <w:tab w:leader="none" w:pos="635"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70% controlling interest in 555 California Street, a three-building office complex in San Francisco’s financial district aggregating 1.8 million square feet; and</w:t>
      </w:r>
    </w:p>
    <w:p>
      <w:pPr>
        <w:ind w:left="620" w:hanging="301"/>
        <w:spacing w:after="0"/>
        <w:tabs>
          <w:tab w:leader="none" w:pos="62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real estate and investments.</w:t>
      </w:r>
    </w:p>
    <w:p>
      <w:pPr>
        <w:spacing w:after="0" w:line="98" w:lineRule="exact"/>
        <w:rPr>
          <w:rFonts w:ascii="Times New Roman" w:cs="Times New Roman" w:eastAsia="Times New Roman" w:hAnsi="Times New Roman"/>
          <w:sz w:val="17"/>
          <w:szCs w:val="17"/>
          <w:color w:val="auto"/>
        </w:rPr>
      </w:pPr>
    </w:p>
    <w:p>
      <w:pPr>
        <w:ind w:left="360" w:hanging="355"/>
        <w:spacing w:after="0"/>
        <w:tabs>
          <w:tab w:leader="none" w:pos="36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and Significant Accounting Policies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70" w:lineRule="exact"/>
        <w:rPr>
          <w:sz w:val="20"/>
          <w:szCs w:val="20"/>
          <w:color w:val="auto"/>
        </w:rPr>
      </w:pPr>
    </w:p>
    <w:p>
      <w:pPr>
        <w:jc w:val="both"/>
        <w:ind w:firstLine="314"/>
        <w:spacing w:after="0" w:line="266"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Vornado and the Operating Partnership and their consolidated subsidiaries. All inter-company amounts have been eliminated. Our consolidated financial statements are prepared in accordance with accounting principles generally accepted in the United States of America (“GAAP”), which require us to make estimates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 In addition, certain prior year balances have been reclassified in order to conform to the current period presentation.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Literature</w:t>
      </w:r>
    </w:p>
    <w:p>
      <w:pPr>
        <w:spacing w:after="0" w:line="68" w:lineRule="exact"/>
        <w:rPr>
          <w:sz w:val="20"/>
          <w:szCs w:val="20"/>
          <w:color w:val="auto"/>
        </w:rPr>
      </w:pPr>
    </w:p>
    <w:p>
      <w:pPr>
        <w:jc w:val="both"/>
        <w:ind w:firstLine="314"/>
        <w:spacing w:after="0" w:line="271"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(“ASU 2023-09”). ASU 2023-09 requires entities to disclose additional information with respect to the effective tax rate reconciliation and to disclose the disaggregation by jurisdiction of income tax expense and income taxes paid. ASU 2023-09 is effective for fiscal years beginning after December 15, 2024, with early adoption permitted. We adopted this update effective December 15, 2025. The adoption of ASU 2023-09 did not have a material impact on our disclosures.</w:t>
      </w:r>
    </w:p>
    <w:p>
      <w:pPr>
        <w:spacing w:after="0" w:line="8"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220-40): Disaggregation of Income Statement Expenses </w:t>
      </w:r>
      <w:r>
        <w:rPr>
          <w:rFonts w:ascii="Times New Roman" w:cs="Times New Roman" w:eastAsia="Times New Roman" w:hAnsi="Times New Roman"/>
          <w:sz w:val="17"/>
          <w:szCs w:val="17"/>
          <w:color w:val="auto"/>
        </w:rPr>
        <w:t>(“ASU 2024-03”), and in January 2025, the FASB issued ASU 2025-01,</w:t>
      </w:r>
      <w:r>
        <w:rPr>
          <w:rFonts w:ascii="Times New Roman" w:cs="Times New Roman" w:eastAsia="Times New Roman" w:hAnsi="Times New Roman"/>
          <w:sz w:val="17"/>
          <w:szCs w:val="17"/>
          <w:i w:val="1"/>
          <w:iCs w:val="1"/>
          <w:color w:val="auto"/>
        </w:rPr>
        <w:t xml:space="preserve"> Income Statement - Reporting Comprehensive Income - Expense Disaggregation Disclosures (Subtopic 220-40): Clarifying the Effective Date </w:t>
      </w:r>
      <w:r>
        <w:rPr>
          <w:rFonts w:ascii="Times New Roman" w:cs="Times New Roman" w:eastAsia="Times New Roman" w:hAnsi="Times New Roman"/>
          <w:sz w:val="17"/>
          <w:szCs w:val="17"/>
          <w:color w:val="auto"/>
        </w:rPr>
        <w:t>("ASU 2025-01"). ASU 2024-03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disclosure of the nature of expenses included in the income statement as well as disclosures about specific types of expenses included in the expense captions presented in the income statement. ASU 2024-03, as clarified by ASU 2025-01, is effective for fiscal years beginning after December 15, 2026, and interim periods within fiscal years beginning after December 15, 2027, with early adoption permitted. We are currently evaluating the impact of these standards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80" w:name="page81"/>
    <w:bookmarkEnd w:id="80"/>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760" w:firstLine="5"/>
        <w:spacing w:after="0" w:line="321" w:lineRule="auto"/>
        <w:tabs>
          <w:tab w:leader="none" w:pos="349"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and Significant Accounting Policies - continued </w:t>
      </w:r>
      <w:r>
        <w:rPr>
          <w:rFonts w:ascii="Times New Roman" w:cs="Times New Roman" w:eastAsia="Times New Roman" w:hAnsi="Times New Roman"/>
          <w:sz w:val="17"/>
          <w:szCs w:val="17"/>
          <w:b w:val="1"/>
          <w:bCs w:val="1"/>
          <w:i w:val="1"/>
          <w:iCs w:val="1"/>
          <w:color w:val="auto"/>
        </w:rPr>
        <w:t>Recently Issued Accounting Literature - continued</w:t>
      </w:r>
    </w:p>
    <w:p>
      <w:pPr>
        <w:spacing w:after="0" w:line="1" w:lineRule="exact"/>
        <w:rPr>
          <w:sz w:val="20"/>
          <w:szCs w:val="20"/>
          <w:color w:val="auto"/>
        </w:rPr>
      </w:pPr>
    </w:p>
    <w:p>
      <w:pPr>
        <w:jc w:val="both"/>
        <w:ind w:firstLine="314"/>
        <w:spacing w:after="0" w:line="266" w:lineRule="auto"/>
        <w:rPr>
          <w:sz w:val="20"/>
          <w:szCs w:val="20"/>
          <w:color w:val="auto"/>
        </w:rPr>
      </w:pPr>
      <w:r>
        <w:rPr>
          <w:rFonts w:ascii="Times New Roman" w:cs="Times New Roman" w:eastAsia="Times New Roman" w:hAnsi="Times New Roman"/>
          <w:sz w:val="17"/>
          <w:szCs w:val="17"/>
          <w:color w:val="auto"/>
        </w:rPr>
        <w:t xml:space="preserve">In May 2025, the FASB issued ASU 2025-03, </w:t>
      </w:r>
      <w:r>
        <w:rPr>
          <w:rFonts w:ascii="Times New Roman" w:cs="Times New Roman" w:eastAsia="Times New Roman" w:hAnsi="Times New Roman"/>
          <w:sz w:val="17"/>
          <w:szCs w:val="17"/>
          <w:i w:val="1"/>
          <w:iCs w:val="1"/>
          <w:color w:val="auto"/>
        </w:rPr>
        <w:t>Business Combinations (Topic 805) and Consolidation (Topic 810): Determining the Accounting Acquirer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the Acquisition of a Variable Interest Entity </w:t>
      </w:r>
      <w:r>
        <w:rPr>
          <w:rFonts w:ascii="Times New Roman" w:cs="Times New Roman" w:eastAsia="Times New Roman" w:hAnsi="Times New Roman"/>
          <w:sz w:val="17"/>
          <w:szCs w:val="17"/>
          <w:color w:val="auto"/>
        </w:rPr>
        <w:t>(“ASU 2025-03”), which provides updates to clarify business combinations involving the exchange of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interests when the legal entity is a VIE that meets the definition of a business. The guidance should be applied prospectively, effective for the fiscal years beginning after December 15, 2026 and interim reporting periods within fiscal years beginning after December 15, 2026, with early adoption permitted. We will apply the guidance in this update to evaluate future business combinations involving a VIE.</w:t>
      </w:r>
    </w:p>
    <w:p>
      <w:pPr>
        <w:spacing w:after="0" w:line="4" w:lineRule="exact"/>
        <w:rPr>
          <w:sz w:val="20"/>
          <w:szCs w:val="20"/>
          <w:color w:val="auto"/>
        </w:rPr>
      </w:pPr>
    </w:p>
    <w:p>
      <w:pPr>
        <w:jc w:val="both"/>
        <w:ind w:firstLine="314"/>
        <w:spacing w:after="0" w:line="249"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 - Goodwill and Other - Internal-Use Software (Subtopic 350-40): Targeted Improvements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to the Accounting for Internal-Use Software </w:t>
      </w:r>
      <w:r>
        <w:rPr>
          <w:rFonts w:ascii="Times New Roman" w:cs="Times New Roman" w:eastAsia="Times New Roman" w:hAnsi="Times New Roman"/>
          <w:sz w:val="17"/>
          <w:szCs w:val="17"/>
          <w:color w:val="auto"/>
        </w:rPr>
        <w:t>(“ASU 2025-06”). This ASU updates the cost capitalization threshold for internal-use software development costs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removing all references to software project development stages and providing new guidance on how to evaluate whether the probable-to-complete recognition threshold has been met. ASU 2025-06 is effective for all entities for annual reporting periods beginning after December 15, 2027, with early adoption permitted. Entities may apply the guidance prospectively, retrospectively, or via a modified prospective transition method. We are currently evaluating the impact of this standard on our consolidated financial statements.</w:t>
      </w:r>
    </w:p>
    <w:p>
      <w:pPr>
        <w:spacing w:after="0" w:line="14" w:lineRule="exact"/>
        <w:rPr>
          <w:sz w:val="20"/>
          <w:szCs w:val="20"/>
          <w:color w:val="auto"/>
        </w:rPr>
      </w:pPr>
    </w:p>
    <w:p>
      <w:pPr>
        <w:jc w:val="both"/>
        <w:ind w:firstLine="314"/>
        <w:spacing w:after="0" w:line="246" w:lineRule="auto"/>
        <w:rPr>
          <w:sz w:val="20"/>
          <w:szCs w:val="20"/>
          <w:color w:val="auto"/>
        </w:rPr>
      </w:pPr>
      <w:r>
        <w:rPr>
          <w:rFonts w:ascii="Times New Roman" w:cs="Times New Roman" w:eastAsia="Times New Roman" w:hAnsi="Times New Roman"/>
          <w:sz w:val="17"/>
          <w:szCs w:val="17"/>
          <w:color w:val="auto"/>
        </w:rPr>
        <w:t xml:space="preserve">In November 2025, the FASB issued ASU 2025-09, </w:t>
      </w:r>
      <w:r>
        <w:rPr>
          <w:rFonts w:ascii="Times New Roman" w:cs="Times New Roman" w:eastAsia="Times New Roman" w:hAnsi="Times New Roman"/>
          <w:sz w:val="17"/>
          <w:szCs w:val="17"/>
          <w:i w:val="1"/>
          <w:iCs w:val="1"/>
          <w:color w:val="auto"/>
        </w:rPr>
        <w:t>Derivatives and Hedging (Topic 815): Hedge Accounting Improvements</w:t>
      </w:r>
      <w:r>
        <w:rPr>
          <w:rFonts w:ascii="Times New Roman" w:cs="Times New Roman" w:eastAsia="Times New Roman" w:hAnsi="Times New Roman"/>
          <w:sz w:val="17"/>
          <w:szCs w:val="17"/>
          <w:color w:val="auto"/>
        </w:rPr>
        <w:t xml:space="preserve"> ("ASU 2025-09"). This ASU amends the existing requirements to allow individual forecasted transactions to be hedged in a group if they have similar risk exposure and introduced an alternative model for the application of hedge accounting to cash flow hedges of forecasted interest payments on choose-your-rate ("CYR") debt instruments. Further, the ASU permits an entity to designate a variable price component of a forecasted purchase or sale of a nonfinancial asset if the component is clearly and closely related to the nonfinancial asset being purchased or sold. ASU 2025-09 is effective for all entities for annual reporting periods beginning after December 15, 2026, with early adoption permitted. We are currently evaluating the impact of this standard on our consolidated financial statements.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6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Real Estate: </w:t>
      </w:r>
      <w:r>
        <w:rPr>
          <w:rFonts w:ascii="Times New Roman" w:cs="Times New Roman" w:eastAsia="Times New Roman" w:hAnsi="Times New Roman"/>
          <w:sz w:val="17"/>
          <w:szCs w:val="17"/>
          <w:color w:val="auto"/>
        </w:rPr>
        <w:t>Real estate is carried at cost, net of accumulated depreciation and amortization. Betterments, major renewals and certain costs directly related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improvement and leasing of real estate are capitalized. Maintenance and repairs are expensed as incurred. For redevelopment of existing operating properties, the net book value of the existing property under redevelopment plus the cost for the construction and improvements incurred in connection with the redevelopment, including interest and debt expense, are capitalized to the extent the capitalized costs of the property do not exceed the estimated fair value of the redeveloped property when complete. If the cost of the redeveloped property, including the net book value of the existing property, exceeds the estimated fair value of the redeveloped property, the excess is charged to expense. Depreciation is recognized on a straight-line basis over the estimated useful lives of these assets which range from 7 to 40 years. Tenant allowances are amortized on a straight-line basis over the lives of the related leases, which approximate the useful lives of the assets.</w:t>
      </w:r>
    </w:p>
    <w:p>
      <w:pPr>
        <w:spacing w:after="0" w:line="231"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Upon the acquisition of real estate, we assess whether the transaction should be accounted for as an asset acquisition or as a business combination. Acquisitions of integrated sets of assets and activities that do not meet the definition of a business are accounted for as asset acquisitions. Our acquisitions of real estate generally will not meet the definition of a business because substantially all of the fair value is concentrated in a single identifiable asset or group of similar identifiable assets (i.e. land, buildings, and related identified intangible assets).</w:t>
      </w:r>
    </w:p>
    <w:p>
      <w:pPr>
        <w:spacing w:after="0" w:line="11"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We assess the fair value of acquired assets (including land, buildings and improvements, identified intangibles, such as acquired above and below-market leases, acquired in-place leases and tenant relationships) and acquired liabilities and we allocate the purchase price based on these assessments which are on a relative fair value basis. We assess fair value based on estimated cash flow projections that utilize appropriate discount and capitalization rates and available market information. Estimates of future cash flows are based on a number of factors including historical operating results, known trends, and market/economic conditions. We amortize identified intangibles that have finite lives over the period they are expected to contribute directly or indirectly to the future cash flows of the property or business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81" w:name="page82"/>
    <w:bookmarkEnd w:id="81"/>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940" w:firstLine="5"/>
        <w:spacing w:after="0" w:line="322" w:lineRule="auto"/>
        <w:tabs>
          <w:tab w:leader="none" w:pos="175"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and Significant Accounting Policies - continued </w:t>
      </w:r>
      <w:r>
        <w:rPr>
          <w:rFonts w:ascii="Times New Roman" w:cs="Times New Roman" w:eastAsia="Times New Roman" w:hAnsi="Times New Roman"/>
          <w:sz w:val="17"/>
          <w:szCs w:val="17"/>
          <w:b w:val="1"/>
          <w:bCs w:val="1"/>
          <w:i w:val="1"/>
          <w:iCs w:val="1"/>
          <w:color w:val="auto"/>
        </w:rPr>
        <w:t>Significant Accounting Policies - continued</w:t>
      </w:r>
    </w:p>
    <w:p>
      <w:pPr>
        <w:spacing w:after="0" w:line="1"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Our properties, including any related right-of-use ("ROU") assets and intangible assets, are individually reviewed for impairment whenever events or changes in circumstances indicate that the carrying amount may not be recoverable. An impairment exists when the carrying amount of an asset exceeds the aggregate projected future cash flows over the anticipated holding period on an undiscounted basis. An impairment loss is measured based on the excess of the property’s carrying amount over its estimated fair value. Impairment analyses are based on information available at the time the analyses are prepared. Estimates of future cash flows are subjective and are based, in part, on assumptions regarding future rental revenues, operating expenses, capital expenditures, discount rates and capitalization rates which could differ materially from actual results.</w:t>
      </w:r>
    </w:p>
    <w:p>
      <w:pPr>
        <w:spacing w:after="0" w:line="13" w:lineRule="exact"/>
        <w:rPr>
          <w:sz w:val="20"/>
          <w:szCs w:val="20"/>
          <w:color w:val="auto"/>
        </w:rPr>
      </w:pPr>
    </w:p>
    <w:p>
      <w:pPr>
        <w:jc w:val="both"/>
        <w:ind w:firstLine="314"/>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Partially Owned Entities: </w:t>
      </w:r>
      <w:r>
        <w:rPr>
          <w:rFonts w:ascii="Times New Roman" w:cs="Times New Roman" w:eastAsia="Times New Roman" w:hAnsi="Times New Roman"/>
          <w:sz w:val="17"/>
          <w:szCs w:val="17"/>
          <w:color w:val="auto"/>
        </w:rPr>
        <w:t>We consolidate entities in which we have a controlling financial interest. In determining whether we have a controlling financial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interest in a partially owned entity and the requirement to consolidate the accounts of that entity, we consider (i) whether the entity is a variable interest entity (“VIE”) in which we are the primary beneficiary or (ii) whether the entity is a voting interest entity in which we have a majority of the voting interests of the entity. We are deemed to be the primary beneficiary of a VIE when we have (i) the power to direct the activities of the VIE that most significantly impact the VIE’s economic performance and (ii) the obligation to absorb losses or receive benefits that could potentially be significant to the VIE. We generally do not control a partially owned entity if the approval of all of the partners/members is contractually required with respect to decisions that most significantly impact the performance of the partially owned entity. This includes decisions regarding operating/capital budgets, and the placement of new or additional financing secured by the assets of the venture, among others. We account for investments under the equity method when the requirements for consolidation are not met, and we have significant influence over the operations of the investee. Equity method investments are initially recorded at cost and subsequently adjusted for our share of net income or loss and cash contributions and distributions each period. Equity investments that do not qualify for consolidation or equity method accounting are recorded at fair value in accordance with ASC Topic 321, </w:t>
      </w:r>
      <w:r>
        <w:rPr>
          <w:rFonts w:ascii="Times New Roman" w:cs="Times New Roman" w:eastAsia="Times New Roman" w:hAnsi="Times New Roman"/>
          <w:sz w:val="17"/>
          <w:szCs w:val="17"/>
          <w:i w:val="1"/>
          <w:iCs w:val="1"/>
          <w:color w:val="auto"/>
        </w:rPr>
        <w:t>Investments-Equity Securities</w:t>
      </w:r>
      <w:r>
        <w:rPr>
          <w:rFonts w:ascii="Times New Roman" w:cs="Times New Roman" w:eastAsia="Times New Roman" w:hAnsi="Times New Roman"/>
          <w:sz w:val="17"/>
          <w:szCs w:val="17"/>
          <w:color w:val="auto"/>
        </w:rPr>
        <w:t xml:space="preserve"> ("ASC 321") or, if fair value is not readily determinable, are initially recognized at cost and subsequently remeasured if there is an orderly transaction in an identical or similar investment of the same issuer or if the investment is impaired.</w:t>
      </w:r>
    </w:p>
    <w:p>
      <w:pPr>
        <w:spacing w:after="0" w:line="26"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Investments in unconsolidated partially owned entities are reviewed for impairment whenever events or changes in circumstances indicate that the carrying amount may not be recoverable. An impairment loss is recorded when there is a decline in the fair value of an investment below its carrying value and we conclude that the decline is other-than-temporary during our intended holding period. An impairment loss is measured based on the excess of the carrying amount of an investment over its estimated fair value. Impairment analyses are based on information available at the time the analyses are prepared. Estimates of future cash flows are subjective and are based, in part, on assumptions regarding future rental revenues, operating expenses, capital expenditures, discount rates and capitalization rates which could differ materially from actual results.</w:t>
      </w:r>
    </w:p>
    <w:p>
      <w:pPr>
        <w:spacing w:after="0" w:line="13" w:lineRule="exact"/>
        <w:rPr>
          <w:sz w:val="20"/>
          <w:szCs w:val="20"/>
          <w:color w:val="auto"/>
        </w:rPr>
      </w:pPr>
    </w:p>
    <w:p>
      <w:pPr>
        <w:jc w:val="both"/>
        <w:ind w:firstLine="314"/>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Cash and Cash Equivalents: </w:t>
      </w:r>
      <w:r>
        <w:rPr>
          <w:rFonts w:ascii="Times New Roman" w:cs="Times New Roman" w:eastAsia="Times New Roman" w:hAnsi="Times New Roman"/>
          <w:sz w:val="17"/>
          <w:szCs w:val="17"/>
          <w:color w:val="auto"/>
        </w:rPr>
        <w:t>Cash and cash equivalents consist of highly liquid investments with original maturities of three months or less and are carried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cost, which approximates fair value due to their short-term maturities. The majority of our cash and cash equivalents consists of (i) deposits at major commercial banks, which may at times exceed the Federal Deposit Insurance Corporation limit and (ii) Certificate of Deposits placed through an Account Registry Service.</w:t>
      </w:r>
    </w:p>
    <w:p>
      <w:pPr>
        <w:spacing w:after="0" w:line="219" w:lineRule="exact"/>
        <w:rPr>
          <w:sz w:val="20"/>
          <w:szCs w:val="20"/>
          <w:color w:val="auto"/>
        </w:rPr>
      </w:pPr>
    </w:p>
    <w:p>
      <w:pPr>
        <w:jc w:val="both"/>
        <w:ind w:firstLine="314"/>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Restricted Cash: </w:t>
      </w:r>
      <w:r>
        <w:rPr>
          <w:rFonts w:ascii="Times New Roman" w:cs="Times New Roman" w:eastAsia="Times New Roman" w:hAnsi="Times New Roman"/>
          <w:sz w:val="17"/>
          <w:szCs w:val="17"/>
          <w:color w:val="auto"/>
        </w:rPr>
        <w:t>Restricted cash consists of cash escrowed under loan agreements (including for debt service, real estate taxes, property insurance, leasing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costs and capital improvements), security deposits, cash restricted for the purposes of facilitating a Section 1031 Like-Kind exchange and cash restricted in connection with our deferred compensation plan.</w:t>
      </w:r>
    </w:p>
    <w:p>
      <w:pPr>
        <w:spacing w:after="0" w:line="2" w:lineRule="exact"/>
        <w:rPr>
          <w:sz w:val="20"/>
          <w:szCs w:val="20"/>
          <w:color w:val="auto"/>
        </w:rPr>
      </w:pPr>
    </w:p>
    <w:p>
      <w:pPr>
        <w:jc w:val="both"/>
        <w:ind w:firstLine="314"/>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Deferred Charges: </w:t>
      </w:r>
      <w:r>
        <w:rPr>
          <w:rFonts w:ascii="Times New Roman" w:cs="Times New Roman" w:eastAsia="Times New Roman" w:hAnsi="Times New Roman"/>
          <w:sz w:val="17"/>
          <w:szCs w:val="17"/>
          <w:color w:val="auto"/>
        </w:rPr>
        <w:t>Direct financing costs are deferred and amortized on a straight-line basis, which approximates the effective interest rate method, over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terms of the related agreements as a component of interest expense. Direct and incremental costs related to successful leasing activities are capitalized and amortized on a straight-line basis over the lives of the related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82" w:name="page83"/>
    <w:bookmarkEnd w:id="82"/>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760" w:firstLine="5"/>
        <w:spacing w:after="0" w:line="321" w:lineRule="auto"/>
        <w:tabs>
          <w:tab w:leader="none" w:pos="349"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and Significant Accounting Policies - continued </w:t>
      </w:r>
      <w:r>
        <w:rPr>
          <w:rFonts w:ascii="Times New Roman" w:cs="Times New Roman" w:eastAsia="Times New Roman" w:hAnsi="Times New Roman"/>
          <w:sz w:val="17"/>
          <w:szCs w:val="17"/>
          <w:b w:val="1"/>
          <w:bCs w:val="1"/>
          <w:i w:val="1"/>
          <w:iCs w:val="1"/>
          <w:color w:val="auto"/>
        </w:rPr>
        <w:t>Significant Accounting Policies - continued</w:t>
      </w:r>
    </w:p>
    <w:p>
      <w:pPr>
        <w:spacing w:after="0" w:line="1"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Rental revenues include revenues from the leasing of space at our properties to tenants, trade shows, tenant services and parking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garage revenues. Rental revenues from operating leases are recognized on a straight-line basis over the non-cancelable term of the lease, together with renewal options that are reasonably certain of being exercised. We commence revenue recognition when the tenant takes possession of the leased space and the leased space is substantially ready for its intended use. The excess of rents recognized over amounts contractually due are included in “receivable arising from the straight-lining of rents” on the consolidated balance sheets. Recoveries from tenants, consisting of amounts due for common area maintenance, real estate taxes, insurance, and other recoverable costs, are generally recognized as rental revenue in the same period as the related expenses are incurred. As lessor, we have elected to combine the lease and nonlease components of our operating lease agreements and account for the components as a single lease component in accordance with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 We recognize amortization of acquired below-market leases as an increase to rental revenues and amortization of acquired above-market leases as a decrease to rental revenues over the term of the lease (see Note 8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Identified Intangible Assets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Liabilities</w:t>
      </w:r>
      <w:r>
        <w:rPr>
          <w:rFonts w:ascii="Times New Roman" w:cs="Times New Roman" w:eastAsia="Times New Roman" w:hAnsi="Times New Roman"/>
          <w:sz w:val="17"/>
          <w:szCs w:val="17"/>
          <w:color w:val="auto"/>
        </w:rPr>
        <w:t>).</w:t>
      </w:r>
    </w:p>
    <w:p>
      <w:pPr>
        <w:spacing w:after="0" w:line="230"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Company provides its tenants with certain customary services at their request, such as sub-metered electric, service elevator, trash removal and other services. The revenues derived from these services are recognized in rental revenue as the services are transferred in accordance with ASC Topic 606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from Contracts with Customers</w:t>
      </w:r>
      <w:r>
        <w:rPr>
          <w:rFonts w:ascii="Times New Roman" w:cs="Times New Roman" w:eastAsia="Times New Roman" w:hAnsi="Times New Roman"/>
          <w:sz w:val="17"/>
          <w:szCs w:val="17"/>
          <w:color w:val="auto"/>
        </w:rPr>
        <w:t>” (“ASC 606”).</w:t>
      </w:r>
    </w:p>
    <w:p>
      <w:pPr>
        <w:spacing w:after="0" w:line="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evaluate on an individual lease basis whether it is probable that we will collect substantially all amounts due from our tenants and recognize changes in the collectability assessment of our operating leases as adjustments to rental revenue. Management exercises judgment in assessing collectability of tenant receivables and considers payment history, current credit status and publicly available information about the financial condition of the tenant, and other factors. Tenant receivables, including receivables arising from the straight-lining of rents, are written off when management deems that the collectability of substantially all future lease payments from a specific lease is not probable of collection, at which point, the Company will limit future rental revenues to cash received.</w:t>
      </w:r>
    </w:p>
    <w:p>
      <w:pPr>
        <w:spacing w:after="0" w:line="1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Revenues derived from the operations of our parking facilities, which charge hourly or monthly fees to provide parking services to customers, are recognized as the services are transferred in accordance with ASC 606. Revenues from the operation of trade shows at our properties, primarily derived from booth rentals, are recognized when the trade show booths are made available for use by the exhibitors in accordance with ASC 842.</w:t>
      </w:r>
    </w:p>
    <w:p>
      <w:pPr>
        <w:spacing w:after="0" w:line="7"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We classify revenues derived from management, leasing and other contractual agreements (including BMS cleaning, engineering and security services) with third parties or with partially owned entities as “fee and other income” and recognize revenue as the services are transferred in accordance with ASC 606.</w:t>
      </w:r>
    </w:p>
    <w:p>
      <w:pPr>
        <w:spacing w:after="0" w:line="1"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have one lease arrangement classified as a sales-type lease under ASC 842. For sales-type leases, we record a net investment in the lease which is measured as the present value of the fixed and determinable lease payments over the lease term, including the unguaranteed residual value of the asset at the end of the lease, discounted at the rate implicit in the lease. Interest income is measured using the rate implicit in the lease over the lease term to produce a constant periodic rate of return on the net investment in the lease. Sales-type lease income is recorded in “rental revenues”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83" w:name="page84"/>
    <w:bookmarkEnd w:id="83"/>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820" w:firstLine="5"/>
        <w:spacing w:after="0" w:line="301" w:lineRule="auto"/>
        <w:tabs>
          <w:tab w:leader="none" w:pos="305"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and Significant Accounting Policies - continued </w:t>
      </w:r>
      <w:r>
        <w:rPr>
          <w:rFonts w:ascii="Times New Roman" w:cs="Times New Roman" w:eastAsia="Times New Roman" w:hAnsi="Times New Roman"/>
          <w:sz w:val="17"/>
          <w:szCs w:val="17"/>
          <w:b w:val="1"/>
          <w:bCs w:val="1"/>
          <w:i w:val="1"/>
          <w:iCs w:val="1"/>
          <w:color w:val="auto"/>
        </w:rPr>
        <w:t>Significant Accounting Policies - continued</w:t>
      </w:r>
    </w:p>
    <w:p>
      <w:pPr>
        <w:spacing w:after="0" w:line="1" w:lineRule="exact"/>
        <w:rPr>
          <w:sz w:val="20"/>
          <w:szCs w:val="20"/>
          <w:color w:val="auto"/>
        </w:rPr>
      </w:pPr>
    </w:p>
    <w:p>
      <w:pPr>
        <w:jc w:val="both"/>
        <w:ind w:firstLine="314"/>
        <w:spacing w:after="0" w:line="217" w:lineRule="exact"/>
        <w:rPr>
          <w:sz w:val="20"/>
          <w:szCs w:val="20"/>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color w:val="auto"/>
        </w:rPr>
        <w:t>Vornado operates in a manner intended to enable it to continue to qualify as a REIT under Sections 856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860 of the Internal Revenue Code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1986, as amended. Under those sections, a REIT which distributes at least 90% of its REIT taxable income as a dividend to its shareholders each year and which meets certain other conditions will not be taxed on that portion of its taxable income which is distributed to its shareholders. Vornado distributes to its shareholders 100% of its REIT taxable income and therefore, no provision for Federal income taxes is required. Dividends distributed for the year ended December 31, 2025, were characterized, for federal income tax purposes, as 40.6% ordinary income under Section 199A of the Internal Revenue Code, 45.9% long-term capital gain and 13.5% qualified dividend income (taxed as long-term capital gain). Dividends distributed for the years ended December 31, 2024 and 2023 were characterized, for federal income tax purposes, as ordinary income under Section 199A of the Internal Revenue Code.</w:t>
      </w:r>
    </w:p>
    <w:p>
      <w:pPr>
        <w:spacing w:after="0" w:line="3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We have elected to treat certain consolidated subsidiaries, and may in the future elect to treat newly formed subsidiaries, as taxable REIT subsidiaries pursuant to an amendment to the Internal Revenue Code that became effective January 1, 2001. Taxable REIT subsidiaries may participate in non-real estate related activities and/or perform non-customary services for tenants and are subject to Federal and State income tax at regular corporate tax rates. The Farley Building and our 220 Central Park South (“220 CPS”) condominium project are held through taxable REIT subsidiaries.</w:t>
      </w:r>
    </w:p>
    <w:p>
      <w:pPr>
        <w:spacing w:after="0" w:line="1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As of December 31, 2025 and 2024, our taxable REIT subsidiaries had deferred tax assets, net of valuation allowances, of $3,385,000 and $6,142,000, respectively, which are included in “other assets” on our consolidated balance sheets. As of December 31, 2025 and 2024, our taxable REIT subsidiaries had deferred tax liabilities of $88,153,000 and $84,877,000, respectively, which are included in "other liabilities" on our consolidated balance sheets. The deferred tax assets relate to net operating loss carry forwards and temporary differences between the book and tax basis of our assets. The deferred tax liabilities relate to temporary differences between the book and tax basis of our assets.</w:t>
      </w:r>
    </w:p>
    <w:p>
      <w:pPr>
        <w:spacing w:after="0" w:line="1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As of December 31, 2025, our taxable REIT subsidiaries have an estimated $193,000,000 of federal net operating loss ("NOL") carryforwards and $232,000,000 of state and local NOL carryforwards, which are reduced by valuation allowances of $184,000,000 for federal NOL carryforwards and $232,000,000 for state and local NOL carryforwards. The NOL carryforwards are subject to certain limitations.</w:t>
      </w:r>
    </w:p>
    <w:p>
      <w:pPr>
        <w:spacing w:after="0" w:line="7"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For the year ended December 31, 2025, we recognized $13,509,000 of income tax expense based on an effective tax rate of approximately 1.4%. For the years ended December 31, 2024 and 2023, we recognized $22,729,000 and $29,222,000, respectively of income tax expense, based on effective tax rates of approximately 53.0% and 47.0%, respectively. Income tax expense recorded in each of the years primarily relates to our consolidated taxable REIT subsidiaries, and certain state, local, and franchise taxes. The year ended December 31, 2025 included $13,176,000 of income tax expense resulting from book to tax differences (primarily straight-line rent adjustments and depreciation) on our investment in The Farley Building and $4,051,000 of income tax expense recognized on the sale of 220 CPS condominium units. The year ended December 31, 2024 included $14,353,000 of income tax expense resulting from book to tax differences (primarily straight-line rent adjustments and depreciation) on our investment in The Farley Building and $2,106,000 of income tax expense recognized on the sale of 220 CPS condominium units. The year ended December 31, 2023 included $11,722,000 of income tax expense resulting from book to tax differences on our investment in The Farley Building and $2,168,000 of income tax expense recognized on the sale of 220 CPS condominium units. The Company has no uncertain tax positions recognized as of December 31, 2025 and 2024.</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Operating Partnership’s partners are required to report their respective share of taxable income on their individual tax returns.</w:t>
      </w:r>
    </w:p>
    <w:p>
      <w:pPr>
        <w:spacing w:after="0" w:line="66"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The estimated taxable income attributable to Vornado common shareholders (unaudited) for the years ended December 31, 2025, 2024 and 2023 was approximately $141,029,000, $145,630,000, and $102,903,000, respectively. The book to tax differences between net income and estimated taxable income primarily result from differences in the income recognition or deductibility of depreciation and amortization, gain or loss from the sale of real estate and other capital transactions, impairment losses, straight-line rent adjustments, stock compensation expense and repairs expense related to the tangible property regulations.</w:t>
      </w:r>
    </w:p>
    <w:p>
      <w:pPr>
        <w:spacing w:after="0" w:line="227" w:lineRule="exact"/>
        <w:rPr>
          <w:sz w:val="20"/>
          <w:szCs w:val="20"/>
          <w:color w:val="auto"/>
        </w:rPr>
      </w:pPr>
    </w:p>
    <w:p>
      <w:pPr>
        <w:jc w:val="both"/>
        <w:ind w:firstLine="362"/>
        <w:spacing w:after="0" w:line="296" w:lineRule="auto"/>
        <w:rPr>
          <w:sz w:val="20"/>
          <w:szCs w:val="20"/>
          <w:color w:val="auto"/>
        </w:rPr>
      </w:pPr>
      <w:r>
        <w:rPr>
          <w:rFonts w:ascii="Times New Roman" w:cs="Times New Roman" w:eastAsia="Times New Roman" w:hAnsi="Times New Roman"/>
          <w:sz w:val="17"/>
          <w:szCs w:val="17"/>
          <w:color w:val="auto"/>
        </w:rPr>
        <w:t>The net basis of Vornado’s assets and liabilities for tax reporting purposes is approximately $1.6 billion lower than the amounts reported in Vornado’s consolidated balance sheet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84" w:name="page85"/>
    <w:bookmarkEnd w:id="84"/>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0" w:hanging="355"/>
        <w:spacing w:after="0"/>
        <w:tabs>
          <w:tab w:leader="none" w:pos="36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68"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 xml:space="preserve">Below is a summary of our revenues by segment. Additional financial information related to these reportable segments for the years ended December 31, 2025, 2024 and 2023 is set forth in Note 23 - </w:t>
      </w:r>
      <w:r>
        <w:rPr>
          <w:rFonts w:ascii="Times New Roman" w:cs="Times New Roman" w:eastAsia="Times New Roman" w:hAnsi="Times New Roman"/>
          <w:sz w:val="17"/>
          <w:szCs w:val="17"/>
          <w:i w:val="1"/>
          <w:iCs w:val="1"/>
          <w:color w:val="auto"/>
        </w:rPr>
        <w:t>Segment Information.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200" w:type="dxa"/>
            <w:vAlign w:val="bottom"/>
          </w:tcPr>
          <w:p>
            <w:pPr>
              <w:spacing w:after="0"/>
              <w:rPr>
                <w:sz w:val="16"/>
                <w:szCs w:val="16"/>
                <w:color w:val="auto"/>
              </w:rPr>
            </w:pPr>
          </w:p>
        </w:tc>
        <w:tc>
          <w:tcPr>
            <w:tcW w:w="31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r>
      <w:tr>
        <w:trPr>
          <w:trHeight w:val="184"/>
        </w:trPr>
        <w:tc>
          <w:tcPr>
            <w:tcW w:w="534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400" w:type="dxa"/>
            <w:vAlign w:val="bottom"/>
          </w:tcPr>
          <w:p>
            <w:pPr>
              <w:spacing w:after="0"/>
              <w:rPr>
                <w:sz w:val="15"/>
                <w:szCs w:val="15"/>
                <w:color w:val="auto"/>
              </w:rPr>
            </w:pPr>
          </w:p>
        </w:tc>
        <w:tc>
          <w:tcPr>
            <w:tcW w:w="1520" w:type="dxa"/>
            <w:vAlign w:val="bottom"/>
            <w:gridSpan w:val="2"/>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rentals</w:t>
            </w:r>
          </w:p>
        </w:tc>
        <w:tc>
          <w:tcPr>
            <w:tcW w:w="120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1,464,053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1,188,892</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275,161</w:t>
            </w:r>
          </w:p>
        </w:tc>
        <w:tc>
          <w:tcPr>
            <w:tcW w:w="280" w:type="dxa"/>
            <w:vAlign w:val="bottom"/>
            <w:tcBorders>
              <w:top w:val="single" w:sz="8" w:color="CCEEFF"/>
            </w:tcBorders>
            <w:shd w:val="clear" w:color="auto" w:fill="CCEEFF"/>
          </w:tcPr>
          <w:p>
            <w:pPr>
              <w:spacing w:after="0"/>
              <w:rPr>
                <w:sz w:val="17"/>
                <w:szCs w:val="17"/>
                <w:color w:val="auto"/>
              </w:rPr>
            </w:pPr>
          </w:p>
        </w:tc>
      </w:tr>
      <w:tr>
        <w:trPr>
          <w:trHeight w:val="189"/>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shows</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21,997</w:t>
            </w:r>
          </w:p>
        </w:tc>
        <w:tc>
          <w:tcPr>
            <w:tcW w:w="280" w:type="dxa"/>
            <w:vAlign w:val="bottom"/>
          </w:tcPr>
          <w:p>
            <w:pPr>
              <w:spacing w:after="0"/>
              <w:rPr>
                <w:sz w:val="16"/>
                <w:szCs w:val="16"/>
                <w:color w:val="auto"/>
              </w:rPr>
            </w:pPr>
          </w:p>
        </w:tc>
      </w:tr>
      <w:tr>
        <w:trPr>
          <w:trHeight w:val="204"/>
        </w:trPr>
        <w:tc>
          <w:tcPr>
            <w:tcW w:w="53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Sales type lease income</w:t>
            </w:r>
            <w:r>
              <w:rPr>
                <w:rFonts w:ascii="Times New Roman" w:cs="Times New Roman" w:eastAsia="Times New Roman" w:hAnsi="Times New Roman"/>
                <w:sz w:val="18"/>
                <w:szCs w:val="18"/>
                <w:b w:val="1"/>
                <w:bCs w:val="1"/>
                <w:color w:val="auto"/>
                <w:vertAlign w:val="superscript"/>
              </w:rPr>
              <w:t>(1)</w:t>
            </w:r>
          </w:p>
        </w:tc>
        <w:tc>
          <w:tcPr>
            <w:tcW w:w="1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340" w:type="dxa"/>
            <w:vAlign w:val="bottom"/>
          </w:tcPr>
          <w:p>
            <w:pPr>
              <w:ind w:left="340"/>
              <w:spacing w:after="0" w:line="189" w:lineRule="exact"/>
              <w:rPr>
                <w:sz w:val="20"/>
                <w:szCs w:val="20"/>
                <w:color w:val="auto"/>
              </w:rPr>
            </w:pPr>
            <w:r>
              <w:rPr>
                <w:rFonts w:ascii="Times New Roman" w:cs="Times New Roman" w:eastAsia="Times New Roman" w:hAnsi="Times New Roman"/>
                <w:sz w:val="14"/>
                <w:szCs w:val="14"/>
                <w:color w:val="auto"/>
              </w:rPr>
              <w:t>Lease revenues</w:t>
            </w:r>
            <w:r>
              <w:rPr>
                <w:rFonts w:ascii="Times New Roman" w:cs="Times New Roman" w:eastAsia="Times New Roman" w:hAnsi="Times New Roman"/>
                <w:sz w:val="18"/>
                <w:szCs w:val="18"/>
                <w:b w:val="1"/>
                <w:bCs w:val="1"/>
                <w:color w:val="auto"/>
                <w:vertAlign w:val="superscript"/>
              </w:rPr>
              <w:t>(2)</w:t>
            </w:r>
          </w:p>
        </w:tc>
        <w:tc>
          <w:tcPr>
            <w:tcW w:w="1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1,492,684</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1,195,526</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297,158</w:t>
            </w:r>
          </w:p>
        </w:tc>
        <w:tc>
          <w:tcPr>
            <w:tcW w:w="280" w:type="dxa"/>
            <w:vAlign w:val="bottom"/>
          </w:tcPr>
          <w:p>
            <w:pPr>
              <w:spacing w:after="0"/>
              <w:rPr>
                <w:sz w:val="16"/>
                <w:szCs w:val="16"/>
                <w:color w:val="auto"/>
              </w:rPr>
            </w:pPr>
          </w:p>
        </w:tc>
      </w:tr>
      <w:tr>
        <w:trPr>
          <w:trHeight w:val="19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Tenant services</w:t>
            </w:r>
          </w:p>
        </w:tc>
        <w:tc>
          <w:tcPr>
            <w:tcW w:w="1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31,839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13,398</w:t>
            </w:r>
          </w:p>
        </w:tc>
        <w:tc>
          <w:tcPr>
            <w:tcW w:w="280" w:type="dxa"/>
            <w:vAlign w:val="bottom"/>
            <w:shd w:val="clear" w:color="auto" w:fill="CCEEFF"/>
          </w:tcPr>
          <w:p>
            <w:pPr>
              <w:spacing w:after="0"/>
              <w:rPr>
                <w:sz w:val="17"/>
                <w:szCs w:val="17"/>
                <w:color w:val="auto"/>
              </w:rPr>
            </w:pPr>
          </w:p>
        </w:tc>
      </w:tr>
      <w:tr>
        <w:trPr>
          <w:trHeight w:val="19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Parking revenues</w:t>
            </w:r>
          </w:p>
        </w:tc>
        <w:tc>
          <w:tcPr>
            <w:tcW w:w="1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15,945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280" w:type="dxa"/>
            <w:vAlign w:val="bottom"/>
            <w:tcBorders>
              <w:bottom w:val="single" w:sz="8" w:color="CCEEFF"/>
            </w:tcBorders>
          </w:tcPr>
          <w:p>
            <w:pPr>
              <w:spacing w:after="0"/>
              <w:rPr>
                <w:sz w:val="16"/>
                <w:szCs w:val="16"/>
                <w:color w:val="auto"/>
              </w:rPr>
            </w:pPr>
          </w:p>
        </w:tc>
      </w:tr>
      <w:tr>
        <w:trPr>
          <w:trHeight w:val="196"/>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Rental revenues</w:t>
            </w:r>
          </w:p>
        </w:tc>
        <w:tc>
          <w:tcPr>
            <w:tcW w:w="1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1,558,241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1,243,310</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314,931</w:t>
            </w:r>
          </w:p>
        </w:tc>
        <w:tc>
          <w:tcPr>
            <w:tcW w:w="280" w:type="dxa"/>
            <w:vAlign w:val="bottom"/>
            <w:shd w:val="clear" w:color="auto" w:fill="CCEEFF"/>
          </w:tcPr>
          <w:p>
            <w:pPr>
              <w:spacing w:after="0"/>
              <w:rPr>
                <w:sz w:val="17"/>
                <w:szCs w:val="17"/>
                <w:color w:val="auto"/>
              </w:rPr>
            </w:pPr>
          </w:p>
        </w:tc>
      </w:tr>
      <w:tr>
        <w:trPr>
          <w:trHeight w:val="183"/>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BMS cleaning fees</w:t>
            </w:r>
          </w:p>
        </w:tc>
        <w:tc>
          <w:tcPr>
            <w:tcW w:w="1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157,686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(8,840)</w:t>
            </w:r>
          </w:p>
        </w:tc>
        <w:tc>
          <w:tcPr>
            <w:tcW w:w="280" w:type="dxa"/>
            <w:vAlign w:val="bottom"/>
          </w:tcPr>
          <w:p>
            <w:pPr>
              <w:jc w:val="right"/>
              <w:ind w:right="115"/>
              <w:spacing w:after="0" w:line="99" w:lineRule="exact"/>
              <w:rPr>
                <w:sz w:val="20"/>
                <w:szCs w:val="20"/>
                <w:color w:val="auto"/>
              </w:rPr>
            </w:pPr>
            <w:r>
              <w:rPr>
                <w:rFonts w:ascii="Times New Roman" w:cs="Times New Roman" w:eastAsia="Times New Roman" w:hAnsi="Times New Roman"/>
                <w:sz w:val="9"/>
                <w:szCs w:val="9"/>
                <w:b w:val="1"/>
                <w:bCs w:val="1"/>
                <w:color w:val="auto"/>
                <w:w w:val="94"/>
              </w:rPr>
              <w:t>(3)</w:t>
            </w:r>
          </w:p>
        </w:tc>
      </w:tr>
      <w:tr>
        <w:trPr>
          <w:trHeight w:val="20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Management and leasing fees</w:t>
            </w:r>
          </w:p>
        </w:tc>
        <w:tc>
          <w:tcPr>
            <w:tcW w:w="1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280" w:type="dxa"/>
            <w:vAlign w:val="bottom"/>
            <w:shd w:val="clear" w:color="auto" w:fill="CCEEFF"/>
          </w:tcPr>
          <w:p>
            <w:pPr>
              <w:spacing w:after="0"/>
              <w:rPr>
                <w:sz w:val="17"/>
                <w:szCs w:val="17"/>
                <w:color w:val="auto"/>
              </w:rPr>
            </w:pPr>
          </w:p>
        </w:tc>
      </w:tr>
      <w:tr>
        <w:trPr>
          <w:trHeight w:val="19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82,934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54,529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28,405</w:t>
            </w:r>
          </w:p>
        </w:tc>
        <w:tc>
          <w:tcPr>
            <w:tcW w:w="280" w:type="dxa"/>
            <w:vAlign w:val="bottom"/>
            <w:tcBorders>
              <w:bottom w:val="single" w:sz="8" w:color="CCEEFF"/>
            </w:tcBorders>
          </w:tcPr>
          <w:p>
            <w:pPr>
              <w:spacing w:after="0"/>
              <w:rPr>
                <w:sz w:val="16"/>
                <w:szCs w:val="16"/>
                <w:color w:val="auto"/>
              </w:rPr>
            </w:pPr>
          </w:p>
        </w:tc>
      </w:tr>
      <w:tr>
        <w:trPr>
          <w:trHeight w:val="190"/>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Fee and other income</w:t>
            </w:r>
          </w:p>
        </w:tc>
        <w:tc>
          <w:tcPr>
            <w:tcW w:w="1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252,184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233,212</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18,972</w:t>
            </w:r>
          </w:p>
        </w:tc>
        <w:tc>
          <w:tcPr>
            <w:tcW w:w="280" w:type="dxa"/>
            <w:vAlign w:val="bottom"/>
            <w:shd w:val="clear" w:color="auto" w:fill="CCEEFF"/>
          </w:tcPr>
          <w:p>
            <w:pPr>
              <w:spacing w:after="0"/>
              <w:rPr>
                <w:sz w:val="16"/>
                <w:szCs w:val="16"/>
                <w:color w:val="auto"/>
              </w:rPr>
            </w:pPr>
          </w:p>
        </w:tc>
      </w:tr>
      <w:tr>
        <w:trPr>
          <w:trHeight w:val="196"/>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20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1,810,425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1,476,522</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333,903</w:t>
            </w:r>
          </w:p>
        </w:tc>
        <w:tc>
          <w:tcPr>
            <w:tcW w:w="280" w:type="dxa"/>
            <w:vAlign w:val="bottom"/>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200" w:type="dxa"/>
            <w:vAlign w:val="bottom"/>
          </w:tcPr>
          <w:p>
            <w:pPr>
              <w:spacing w:after="0"/>
              <w:rPr>
                <w:sz w:val="16"/>
                <w:szCs w:val="16"/>
                <w:color w:val="auto"/>
              </w:rPr>
            </w:pPr>
          </w:p>
        </w:tc>
        <w:tc>
          <w:tcPr>
            <w:tcW w:w="32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84"/>
        </w:trPr>
        <w:tc>
          <w:tcPr>
            <w:tcW w:w="5280" w:type="dxa"/>
            <w:vAlign w:val="bottom"/>
          </w:tcPr>
          <w:p>
            <w:pPr>
              <w:spacing w:after="0"/>
              <w:rPr>
                <w:sz w:val="15"/>
                <w:szCs w:val="15"/>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380" w:type="dxa"/>
            <w:vAlign w:val="bottom"/>
          </w:tcPr>
          <w:p>
            <w:pPr>
              <w:spacing w:after="0"/>
              <w:rPr>
                <w:sz w:val="15"/>
                <w:szCs w:val="15"/>
                <w:color w:val="auto"/>
              </w:rPr>
            </w:pPr>
          </w:p>
        </w:tc>
        <w:tc>
          <w:tcPr>
            <w:tcW w:w="1560" w:type="dxa"/>
            <w:vAlign w:val="bottom"/>
            <w:gridSpan w:val="2"/>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rentals</w:t>
            </w:r>
          </w:p>
        </w:tc>
        <w:tc>
          <w:tcPr>
            <w:tcW w:w="120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1,486,503</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1,215,854</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270,649</w:t>
            </w:r>
          </w:p>
        </w:tc>
        <w:tc>
          <w:tcPr>
            <w:tcW w:w="280" w:type="dxa"/>
            <w:vAlign w:val="bottom"/>
            <w:tcBorders>
              <w:top w:val="single" w:sz="8" w:color="CCEEFF"/>
            </w:tcBorders>
            <w:shd w:val="clear" w:color="auto" w:fill="CCEEFF"/>
          </w:tcPr>
          <w:p>
            <w:pPr>
              <w:spacing w:after="0"/>
              <w:rPr>
                <w:sz w:val="17"/>
                <w:szCs w:val="17"/>
                <w:color w:val="auto"/>
              </w:rPr>
            </w:pPr>
          </w:p>
        </w:tc>
      </w:tr>
      <w:tr>
        <w:trPr>
          <w:trHeight w:val="190"/>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shows</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21,541</w:t>
            </w:r>
          </w:p>
        </w:tc>
        <w:tc>
          <w:tcPr>
            <w:tcW w:w="280" w:type="dxa"/>
            <w:vAlign w:val="bottom"/>
          </w:tcPr>
          <w:p>
            <w:pPr>
              <w:spacing w:after="0"/>
              <w:rPr>
                <w:sz w:val="16"/>
                <w:szCs w:val="16"/>
                <w:color w:val="auto"/>
              </w:rPr>
            </w:pPr>
          </w:p>
        </w:tc>
      </w:tr>
      <w:tr>
        <w:trPr>
          <w:trHeight w:val="196"/>
        </w:trPr>
        <w:tc>
          <w:tcPr>
            <w:tcW w:w="5280" w:type="dxa"/>
            <w:vAlign w:val="bottom"/>
            <w:tcBorders>
              <w:top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4"/>
                <w:szCs w:val="14"/>
                <w:color w:val="auto"/>
              </w:rPr>
              <w:t>Lease revenues</w:t>
            </w:r>
            <w:r>
              <w:rPr>
                <w:rFonts w:ascii="Times New Roman" w:cs="Times New Roman" w:eastAsia="Times New Roman" w:hAnsi="Times New Roman"/>
                <w:sz w:val="18"/>
                <w:szCs w:val="18"/>
                <w:b w:val="1"/>
                <w:bCs w:val="1"/>
                <w:color w:val="auto"/>
                <w:vertAlign w:val="superscript"/>
              </w:rPr>
              <w:t>(2)</w:t>
            </w:r>
          </w:p>
        </w:tc>
        <w:tc>
          <w:tcPr>
            <w:tcW w:w="1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1,508,044</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1,215,854</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292,190</w:t>
            </w:r>
          </w:p>
        </w:tc>
        <w:tc>
          <w:tcPr>
            <w:tcW w:w="280" w:type="dxa"/>
            <w:vAlign w:val="bottom"/>
            <w:tcBorders>
              <w:top w:val="single" w:sz="8" w:color="CCEEFF"/>
            </w:tcBorders>
            <w:shd w:val="clear" w:color="auto" w:fill="CCEEFF"/>
          </w:tcPr>
          <w:p>
            <w:pPr>
              <w:spacing w:after="0"/>
              <w:rPr>
                <w:sz w:val="17"/>
                <w:szCs w:val="17"/>
                <w:color w:val="auto"/>
              </w:rPr>
            </w:pPr>
          </w:p>
        </w:tc>
      </w:tr>
      <w:tr>
        <w:trPr>
          <w:trHeight w:val="189"/>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Tenant services</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12,205</w:t>
            </w:r>
          </w:p>
        </w:tc>
        <w:tc>
          <w:tcPr>
            <w:tcW w:w="280" w:type="dxa"/>
            <w:vAlign w:val="bottom"/>
          </w:tcPr>
          <w:p>
            <w:pPr>
              <w:spacing w:after="0"/>
              <w:rPr>
                <w:sz w:val="16"/>
                <w:szCs w:val="16"/>
                <w:color w:val="auto"/>
              </w:rPr>
            </w:pPr>
          </w:p>
        </w:tc>
      </w:tr>
      <w:tr>
        <w:trPr>
          <w:trHeight w:val="20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Parking revenues</w:t>
            </w:r>
          </w:p>
        </w:tc>
        <w:tc>
          <w:tcPr>
            <w:tcW w:w="1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15,228</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280" w:type="dxa"/>
            <w:vAlign w:val="bottom"/>
            <w:shd w:val="clear" w:color="auto" w:fill="CCEEFF"/>
          </w:tcPr>
          <w:p>
            <w:pPr>
              <w:spacing w:after="0"/>
              <w:rPr>
                <w:sz w:val="17"/>
                <w:szCs w:val="17"/>
                <w:color w:val="auto"/>
              </w:rPr>
            </w:pPr>
          </w:p>
        </w:tc>
      </w:tr>
      <w:tr>
        <w:trPr>
          <w:trHeight w:val="183"/>
        </w:trPr>
        <w:tc>
          <w:tcPr>
            <w:tcW w:w="5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Rental revenues</w:t>
            </w:r>
          </w:p>
        </w:tc>
        <w:tc>
          <w:tcPr>
            <w:tcW w:w="1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1,568,806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1,260,426</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308,380</w:t>
            </w:r>
          </w:p>
        </w:tc>
        <w:tc>
          <w:tcPr>
            <w:tcW w:w="280" w:type="dxa"/>
            <w:vAlign w:val="bottom"/>
            <w:tcBorders>
              <w:bottom w:val="single" w:sz="8" w:color="CCEEFF"/>
            </w:tcBorders>
          </w:tcPr>
          <w:p>
            <w:pPr>
              <w:spacing w:after="0"/>
              <w:rPr>
                <w:sz w:val="15"/>
                <w:szCs w:val="15"/>
                <w:color w:val="auto"/>
              </w:rPr>
            </w:pPr>
          </w:p>
        </w:tc>
      </w:tr>
      <w:tr>
        <w:trPr>
          <w:trHeight w:val="19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BMS cleaning fees</w:t>
            </w:r>
          </w:p>
        </w:tc>
        <w:tc>
          <w:tcPr>
            <w:tcW w:w="1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149,225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159,903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(10,678)</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b w:val="1"/>
                <w:bCs w:val="1"/>
                <w:color w:val="auto"/>
                <w:w w:val="94"/>
              </w:rPr>
              <w:t>(3)</w:t>
            </w:r>
          </w:p>
        </w:tc>
      </w:tr>
      <w:tr>
        <w:trPr>
          <w:trHeight w:val="189"/>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and leasing fees</w:t>
            </w:r>
          </w:p>
        </w:tc>
        <w:tc>
          <w:tcPr>
            <w:tcW w:w="1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280" w:type="dxa"/>
            <w:vAlign w:val="bottom"/>
          </w:tcPr>
          <w:p>
            <w:pPr>
              <w:spacing w:after="0"/>
              <w:rPr>
                <w:sz w:val="16"/>
                <w:szCs w:val="16"/>
                <w:color w:val="auto"/>
              </w:rPr>
            </w:pPr>
          </w:p>
        </w:tc>
      </w:tr>
      <w:tr>
        <w:trPr>
          <w:trHeight w:val="20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54,975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36,225</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18,750</w:t>
            </w:r>
          </w:p>
        </w:tc>
        <w:tc>
          <w:tcPr>
            <w:tcW w:w="280" w:type="dxa"/>
            <w:vAlign w:val="bottom"/>
            <w:shd w:val="clear" w:color="auto" w:fill="CCEEFF"/>
          </w:tcPr>
          <w:p>
            <w:pPr>
              <w:spacing w:after="0"/>
              <w:rPr>
                <w:sz w:val="17"/>
                <w:szCs w:val="17"/>
                <w:color w:val="auto"/>
              </w:rPr>
            </w:pPr>
          </w:p>
        </w:tc>
      </w:tr>
      <w:tr>
        <w:trPr>
          <w:trHeight w:val="183"/>
        </w:trPr>
        <w:tc>
          <w:tcPr>
            <w:tcW w:w="5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Fee and other income</w:t>
            </w:r>
          </w:p>
        </w:tc>
        <w:tc>
          <w:tcPr>
            <w:tcW w:w="1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218,880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211,571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7,309</w:t>
            </w:r>
          </w:p>
        </w:tc>
        <w:tc>
          <w:tcPr>
            <w:tcW w:w="280" w:type="dxa"/>
            <w:vAlign w:val="bottom"/>
            <w:tcBorders>
              <w:bottom w:val="single" w:sz="8" w:color="CCEEFF"/>
            </w:tcBorders>
          </w:tcPr>
          <w:p>
            <w:pPr>
              <w:spacing w:after="0"/>
              <w:rPr>
                <w:sz w:val="15"/>
                <w:szCs w:val="15"/>
                <w:color w:val="auto"/>
              </w:rPr>
            </w:pPr>
          </w:p>
        </w:tc>
      </w:tr>
      <w:tr>
        <w:trPr>
          <w:trHeight w:val="22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20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1,787,686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1,471,997</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315,689</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on following page.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85" w:name="page86"/>
    <w:bookmarkEnd w:id="85"/>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3.</w:t>
            </w:r>
          </w:p>
        </w:tc>
        <w:tc>
          <w:tcPr>
            <w:tcW w:w="49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Revenue Recognition - continued</w:t>
            </w: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1200" w:type="dxa"/>
            <w:vAlign w:val="bottom"/>
          </w:tcPr>
          <w:p>
            <w:pPr>
              <w:spacing w:after="0"/>
              <w:rPr>
                <w:sz w:val="21"/>
                <w:szCs w:val="21"/>
                <w:color w:val="auto"/>
              </w:rPr>
            </w:pPr>
          </w:p>
        </w:tc>
        <w:tc>
          <w:tcPr>
            <w:tcW w:w="3020" w:type="dxa"/>
            <w:vAlign w:val="bottom"/>
            <w:gridSpan w:val="9"/>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90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New York</w:t>
            </w:r>
          </w:p>
        </w:tc>
        <w:tc>
          <w:tcPr>
            <w:tcW w:w="6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rentals</w:t>
            </w:r>
          </w:p>
        </w:tc>
        <w:tc>
          <w:tcPr>
            <w:tcW w:w="120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1,523,890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1,222,229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301,661</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Trade shows</w:t>
            </w:r>
          </w:p>
        </w:tc>
        <w:tc>
          <w:tcPr>
            <w:tcW w:w="1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20,781</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20,781</w:t>
            </w:r>
          </w:p>
        </w:tc>
        <w:tc>
          <w:tcPr>
            <w:tcW w:w="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90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4"/>
                <w:szCs w:val="14"/>
                <w:color w:val="auto"/>
              </w:rPr>
              <w:t>Lease revenues</w:t>
            </w:r>
            <w:r>
              <w:rPr>
                <w:rFonts w:ascii="Times New Roman" w:cs="Times New Roman" w:eastAsia="Times New Roman" w:hAnsi="Times New Roman"/>
                <w:sz w:val="18"/>
                <w:szCs w:val="18"/>
                <w:b w:val="1"/>
                <w:bCs w:val="1"/>
                <w:color w:val="auto"/>
                <w:vertAlign w:val="superscript"/>
              </w:rPr>
              <w:t>(2)</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1,544,671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1,222,229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322,442</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Tenant services</w:t>
            </w:r>
          </w:p>
        </w:tc>
        <w:tc>
          <w:tcPr>
            <w:tcW w:w="12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42,460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11,374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Parking revenues</w:t>
            </w:r>
          </w:p>
        </w:tc>
        <w:tc>
          <w:tcPr>
            <w:tcW w:w="1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20,355</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3,853</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Rental revenues</w:t>
            </w:r>
          </w:p>
        </w:tc>
        <w:tc>
          <w:tcPr>
            <w:tcW w:w="1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1,607,486</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1,269,817</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337,669</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BMS cleaning fees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141,937</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(9,671)</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Management and leasing fees</w:t>
            </w:r>
          </w:p>
        </w:tc>
        <w:tc>
          <w:tcPr>
            <w:tcW w:w="12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13,040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48,700</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31,586</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Fee and other income</w:t>
            </w:r>
          </w:p>
        </w:tc>
        <w:tc>
          <w:tcPr>
            <w:tcW w:w="1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203,677</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182,341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21,336</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20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1,811,163</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1,452,158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359,005</w:t>
            </w:r>
          </w:p>
        </w:tc>
        <w:tc>
          <w:tcPr>
            <w:tcW w:w="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220" w:type="dxa"/>
            <w:vAlign w:val="bottom"/>
            <w:gridSpan w:val="3"/>
            <w:vMerge w:val="continue"/>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(1)  </w:t>
            </w:r>
            <w:r>
              <w:rPr>
                <w:rFonts w:ascii="Times New Roman" w:cs="Times New Roman" w:eastAsia="Times New Roman" w:hAnsi="Times New Roman"/>
                <w:sz w:val="14"/>
                <w:szCs w:val="14"/>
                <w:color w:val="auto"/>
              </w:rPr>
              <w:t>See Note 5 -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770 Broadway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details.</w:t>
            </w: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(2)  </w:t>
            </w:r>
            <w:r>
              <w:rPr>
                <w:rFonts w:ascii="Times New Roman" w:cs="Times New Roman" w:eastAsia="Times New Roman" w:hAnsi="Times New Roman"/>
                <w:sz w:val="14"/>
                <w:szCs w:val="14"/>
                <w:color w:val="auto"/>
              </w:rPr>
              <w:t>The components of lease revenues were as follows:</w:t>
            </w: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8"/>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billings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1,367,177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1,355,033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1,394,626</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Variable billings</w:t>
            </w:r>
          </w:p>
        </w:tc>
        <w:tc>
          <w:tcPr>
            <w:tcW w:w="12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118,873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153,011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150,045</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contractual operating lease billings</w:t>
            </w:r>
          </w:p>
        </w:tc>
        <w:tc>
          <w:tcPr>
            <w:tcW w:w="1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1,486,050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1,508,044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1,544,671</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Sales-type lease income</w:t>
            </w: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6,634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revenues</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1,492,684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1,508,044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1,544,671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20" w:hanging="315"/>
        <w:spacing w:after="0"/>
        <w:tabs>
          <w:tab w:leader="none" w:pos="320"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the elimination of BMS cleaning fees related to THE MART and 555 California Street which are included as income in the New York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591" w:right="359" w:bottom="1440" w:gutter="0" w:footer="0" w:header="0"/>
        </w:sectPr>
      </w:pPr>
    </w:p>
    <w:bookmarkStart w:id="86" w:name="page87"/>
    <w:bookmarkEnd w:id="86"/>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0" w:right="7960" w:hanging="315"/>
        <w:spacing w:after="0" w:line="322" w:lineRule="auto"/>
        <w:tabs>
          <w:tab w:leader="none" w:pos="311"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Investments in Partially Owned Entities </w:t>
      </w:r>
      <w:r>
        <w:rPr>
          <w:rFonts w:ascii="Times New Roman" w:cs="Times New Roman" w:eastAsia="Times New Roman" w:hAnsi="Times New Roman"/>
          <w:sz w:val="17"/>
          <w:szCs w:val="17"/>
          <w:i w:val="1"/>
          <w:iCs w:val="1"/>
          <w:color w:val="auto"/>
        </w:rPr>
        <w:t>Fifth Avenue and Times Square JV</w:t>
      </w:r>
    </w:p>
    <w:p>
      <w:pPr>
        <w:spacing w:after="0" w:line="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As of December 31, 2025, we own a 51.5% common interest in a joint venture ("Fifth Avenue and Times Square JV") which owns interests in properties located at 640 Fifth Avenue, 655 Fifth Avenue, 666 Fifth Avenue, 689 Fifth Avenue, 697-703 Fifth Avenue, 1535 Broadway and 1540 Broadway (collectively, the "Properties"). The remaining 48.5% common interest in the joint venture is owned by a group of institutional investors (the "Investors"). Our 51.5% common interest in the joint venture represents an effective 51.0% interest in the Properties. The 48.5% common interest in the joint venture owned by the Investors represents an effective 47.2% interest in the Properties.</w:t>
      </w:r>
    </w:p>
    <w:p>
      <w:pPr>
        <w:spacing w:after="0" w:line="1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As of December 31, 2025, we own $1.079 billion aggregate liquidation preference of preferred equity interests in certain of the properties, which had been reduced from $1.828 billion as of December 31, 2024, following the partial redemptions discussed below. The preferred equity has an annual coupon of 4.75% through April 2029, and will then be based on a formulaic rate. It can be redeemed under certain conditions on a tax deferred basis.</w:t>
      </w:r>
    </w:p>
    <w:p>
      <w:pPr>
        <w:spacing w:after="0" w:line="7"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As of December 31, 2025, the carrying amount of our investment in the joint venture was less than our share of the equity in the net assets of the joint venture by approximately $709,414,000, the basis difference primarily resulting from the non-cash impairment losses recognized in prior periods. Substantially all of this basis difference was allocated, based on our estimates of the fair values of Fifth Avenue and Times Square JV’s assets and liabilities, to real estate (land and buildings). We are amortizing the basis difference related to the buildings into earnings as a reduction to depreciation expense over their estimated useful lives.</w:t>
      </w:r>
    </w:p>
    <w:p>
      <w:pPr>
        <w:spacing w:after="0" w:line="227"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We receive an annual fee for managing the Properties equal to 2% of the gross revenues from the Properties. In addition, we are entitled to a development fee of 5% of development costs, plus reimbursement of certain costs, for development projects performed by us. We are entitled to 1.5% of development costs, plus reimbursement of certain costs, as a supervisory fee for development projects not performed by us. We provide leasing services for fees calculated based on a percentage of rents, less any commissions paid to third-party real estate brokers, if applicable. We jointly provide leasing services for the retail space with Crown Retail Services LLC, and exclusively provide leasing services for the office space. We recognized property management fee income, included in "fee and other income" on our consolidated statements of income, of $3,538,000, $4,276,000 and $4,587,000 for the years ended December 31, 2025, 2024 and 2023, respectively.</w:t>
      </w:r>
    </w:p>
    <w:p>
      <w:pPr>
        <w:spacing w:after="0" w:line="229"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Wholly owned subsidiaries of Vornado provide cleaning, security and engineering services at certain Properties. We recognized income for these services, included in "fee and other income" on our consolidated statements of income, of $4,567,000, $4,624,000 and $4,499,000 for the years ended December 31, 2025, 2024 and 2023, respectively.</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believe, based on comparable fees charged by other real estate companies, that the fees described above are consistent with the market.</w:t>
      </w:r>
    </w:p>
    <w:p>
      <w:pPr>
        <w:spacing w:after="0" w:line="66"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On January 8, 2025, the Fifth Avenue and Times Square JV completed the sale to UNIQLO of the portion of its U.S. flagship store at 666 Fifth Avenue owned by the joint venture for $350,000,000 and realized net proceeds of $342,000,000. The net proceeds were used to partially redeem Vornado’s preferred equity on the asset. The joint venture continues to own 23,832 square feet of retail space (7,416 square feet at grade) at 666 Fifth Avenue consisting of the Abercrombie &amp; Fitch and Tissot stores. We recognized a financial statement gain of $76,162,000, which is included in “income from partially owned entities” on our consolidated statements of income.</w:t>
      </w:r>
    </w:p>
    <w:p>
      <w:pPr>
        <w:spacing w:after="0" w:line="1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April 14, 2025, the Fifth Avenue and Times Square JV completed a $450,000,000 financing of 1535 Broadway. The interest-only non-recourse loan bears interest at a fixed rate of 6.90% and matures in May 2030. After transaction costs and reserves, $407,000,000 of the net proceeds from the financing were used to partially redeem Vornado’s preferred equity on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87" w:name="page88"/>
    <w:bookmarkEnd w:id="87"/>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hanging="355"/>
        <w:spacing w:after="0"/>
        <w:tabs>
          <w:tab w:leader="none" w:pos="36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Investments in Partially Owned Entities – continued</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Alexander’s, Inc</w:t>
      </w:r>
    </w:p>
    <w:p>
      <w:pPr>
        <w:spacing w:after="0" w:line="12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As of December 31, 2025, we own 1,654,068 Alexander’s common shares, or approximately 32.4% of Alexander’s common equity. We manage, develop and lease Alexander’s properties pursuant to agreements which expire in March of each year and are automatically renewable. As of December 31, 2025 and 2024, Alexander’s owed us an aggregate of $134,000 and $1,159,000, respectively, pursuant to such agreements.</w:t>
      </w:r>
    </w:p>
    <w:p>
      <w:pPr>
        <w:spacing w:after="0" w:line="5"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 xml:space="preserve">As of December 31, 2025, the market value (“fair value” pursuant to ASC Topic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xml:space="preserve"> ("ASC 820")) of our investment in Alexander’s, based on Alexander’s December 31, 2025 closing share price of $217.94, was $360,488,000, or $313,212,000 in excess of the carrying amount on our consolidated balance sheet. As of December 31, 2025, the carrying amount of our investment in Alexander’s, excluding amounts owed to us, exceeds our share of the equity in the net assets of Alexander’s by approximately $29,054,000. The majority of this basis difference resulted from the excess of our purchase price for the Alexander’s common stock acquired over the book value of Alexander’s net assets. Substantially all of this basis difference was allocated, based on our estimates of the fair values of Alexander’s assets and liabilities, to real estate (land and buildings). We are amortizing the basis difference related to the buildings into earnings as additional depreciation expense over their estimated useful lives. This depreciation is not material to our share of equity in Alexander’s net income.</w:t>
      </w:r>
    </w:p>
    <w:p>
      <w:pPr>
        <w:spacing w:after="0" w:line="218"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We receive an annual fee for managing Alexander’s and all of its properties equal to the sum of (i) $2,800,000, (ii) 2% of the gross revenue from the Rego Park II Shopping Center, (iii) $0.50 per square foot of the tenant-occupied office and retail space at 731 Lexington Avenue, and (iv) $387,000, escalating at 3% per annum, for managing the common area of 731 Lexington Avenue. In addition, we are entitled to a development fee of 6% of development costs, as defined.</w:t>
      </w:r>
    </w:p>
    <w:p>
      <w:pPr>
        <w:jc w:val="both"/>
        <w:ind w:firstLine="314"/>
        <w:spacing w:after="0" w:line="269" w:lineRule="auto"/>
        <w:rPr>
          <w:sz w:val="20"/>
          <w:szCs w:val="20"/>
          <w:color w:val="auto"/>
        </w:rPr>
      </w:pPr>
      <w:r>
        <w:rPr>
          <w:rFonts w:ascii="Times New Roman" w:cs="Times New Roman" w:eastAsia="Times New Roman" w:hAnsi="Times New Roman"/>
          <w:sz w:val="17"/>
          <w:szCs w:val="17"/>
          <w:color w:val="auto"/>
        </w:rPr>
        <w:t>We provide Alexander’s with leasing services for a fee of 3% of rent for the first ten years of a lease term, 2% of rent for the eleventh through twentieth year of a lease term and 1% of rent for the twenty-first through thirtieth year of a lease term, subject to the payment of rents by tenants. In the event third party real estate brokers are used, Alexander’s is directly responsible for any third-party lease commissions and, in such circumstances, our fee is one-third of the applicable third-party lease commissions.</w:t>
      </w:r>
    </w:p>
    <w:p>
      <w:pPr>
        <w:spacing w:after="0" w:line="1"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Wholly owned subsidiaries of Vornado provide cleaning, engineering, security, and garage management services to certain Alexander’s properties. During the years ended December 31, 2025, 2024 and 2023, we recognized $3,849,000, $4,611,000 and $4,629,000 of income, respectively, for these.</w:t>
      </w:r>
    </w:p>
    <w:p>
      <w:pPr>
        <w:spacing w:after="0" w:line="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December 5, 2025, Alexander’s completed a $175,000,000 refinancing of Rego Park II shopping center, located in Queens, New York. The five-year interest-only loan matures in December 2030 and bears interest at a rate of SOFR plus 2.00%. Alexander’s paid down by $23,544,000 the prior $198,544,000 loan that bore interest at a rate of SOFR plus 1.45% and was scheduled to mature in December 2025.</w:t>
      </w:r>
    </w:p>
    <w:p>
      <w:pPr>
        <w:spacing w:after="0" w:line="7"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On December 23, 2025, Alexander’s entered into an agreement to restructure the $300,000,000 mortgage loan on the retail condominium portion of 731 Lexington Avenue, which previously bore interest at SOFR plus 1.51%. The restructured loan was split into (i) a $132,500,000 senior A-Note that was purchased by a wholly owned subsidiary of Alexander’s, which bears interest at a fixed rate of 7.00% and (ii) a $167,500,000 junior C-Note held by the lenders of the original loan, which accrues PIK interest at 4.55%. In addition, Alexander’s has the right to fund operating shortfalls, interest on the A-Note and capital for re-leasing at the property through a B-Note, which will be junior to the A-Note and senior to the C-Note. The B-Note bears interest at a fixed rate of 13.50%, except for loan amounts above $65,000,000 used to pay interest on the A-Note, which will bear interest at a fixed rate of 7.00%. The restructured loan matures in December 2035.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Independence Plaza</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June 5, 2025, a joint venture, in which we have a 50.1% interest, completed a $675,000,000 refinancing of Independence Plaza, a 1,328 unit residential complex in the Tribeca submarket of Manhattan. The interest-only non-recourse loan bears interest at a fixed rate of 5.84% and matures in June 2030. The loan replaced the previous $675,000,000 loan that was scheduled to mature in July 2025 and bore interest at 4.25%.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49 West 57th Street</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June 26, 2025, a joint venture, in which we own a 50.0% interest, completed the sale of the 49 West 57th Street commercial condominium. We received net proceeds of $8,650,000 and recognized a financial statement net gain of $2,527,000 which is included in "income from partially owned entities" on our consolidated statements of income.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512 West 22nd Street</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August 14, 2025, a joint venture, in which we own a 55.0% interest, completed the sale of 512 West 22nd Street, a 173,000 square foot office building, for $205,000,000. The joint venture used a portion of the proceeds to repay the $122,930,000 mortgage loan encumbering the property. We received net proceeds of $37,900,000 and recognized a financial statement net gain of $11,002,000, which is included in “income from partially owned entities” on our consolidated statements of income.</w:t>
      </w: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88" w:name="page89"/>
    <w:bookmarkEnd w:id="88"/>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0" w:hanging="355"/>
        <w:spacing w:after="0"/>
        <w:tabs>
          <w:tab w:leader="none" w:pos="36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Investments in Partially Owned Entities – continued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650 Madison Avenue</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 October 2025, a joint venture, in which we own a 22.2% interest, received a notice of default (the “Notice”) on the $800,000,000 non-recourse mortgage loan secured by 650 Madison Avenue, a 601,000 square foot Manhattan office and retail building. The Notice asserts that the joint venture is in default under the loan agreement due to its failure to pay the full interest and reserve amounts due and owing under the loan agreement and that the joint venture’s obligations became immediately due and payable. In November 2025, the joint venture cured the default and the loan is currently in good standing.</w:t>
      </w:r>
    </w:p>
    <w:p>
      <w:pPr>
        <w:spacing w:after="0" w:line="11"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As previously announced in the fourth quarter of 2022, we wrote off our entire investment in 650 Madison Avenue and accordingly carry this investment at zero on our balance sheet and no longer record our share of net income (loss) from this investment.</w:t>
      </w:r>
    </w:p>
    <w:p>
      <w:pPr>
        <w:spacing w:after="0" w:line="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schedule of our investments in partially owned entities.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Percentage Ownership as</w:t>
            </w:r>
          </w:p>
        </w:tc>
        <w:tc>
          <w:tcPr>
            <w:tcW w:w="300" w:type="dxa"/>
            <w:vAlign w:val="bottom"/>
          </w:tcPr>
          <w:p>
            <w:pPr>
              <w:spacing w:after="0"/>
              <w:rPr>
                <w:sz w:val="15"/>
                <w:szCs w:val="15"/>
                <w:color w:val="auto"/>
              </w:rPr>
            </w:pPr>
          </w:p>
        </w:tc>
        <w:tc>
          <w:tcPr>
            <w:tcW w:w="252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0" w:type="dxa"/>
            <w:vAlign w:val="bottom"/>
          </w:tcPr>
          <w:p>
            <w:pPr>
              <w:spacing w:after="0"/>
              <w:rPr>
                <w:sz w:val="1"/>
                <w:szCs w:val="1"/>
                <w:color w:val="auto"/>
              </w:rPr>
            </w:pPr>
          </w:p>
        </w:tc>
      </w:tr>
      <w:tr>
        <w:trPr>
          <w:trHeight w:val="65"/>
        </w:trPr>
        <w:tc>
          <w:tcPr>
            <w:tcW w:w="664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of December 31, 2025</w:t>
            </w:r>
          </w:p>
        </w:tc>
        <w:tc>
          <w:tcPr>
            <w:tcW w:w="300" w:type="dxa"/>
            <w:vAlign w:val="bottom"/>
          </w:tcPr>
          <w:p>
            <w:pPr>
              <w:spacing w:after="0"/>
              <w:rPr>
                <w:sz w:val="16"/>
                <w:szCs w:val="16"/>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58"/>
        </w:trPr>
        <w:tc>
          <w:tcPr>
            <w:tcW w:w="6640" w:type="dxa"/>
            <w:vAlign w:val="bottom"/>
            <w:vMerge w:val="continue"/>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Fifth Avenue and Times Square JV (see page 87 for details)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1,538,141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2,235,546</w:t>
            </w:r>
          </w:p>
        </w:tc>
        <w:tc>
          <w:tcPr>
            <w:tcW w:w="0" w:type="dxa"/>
            <w:vAlign w:val="bottom"/>
          </w:tcPr>
          <w:p>
            <w:pPr>
              <w:spacing w:after="0"/>
              <w:rPr>
                <w:sz w:val="1"/>
                <w:szCs w:val="1"/>
                <w:color w:val="auto"/>
              </w:rPr>
            </w:pPr>
          </w:p>
        </w:tc>
      </w:tr>
      <w:tr>
        <w:trPr>
          <w:trHeight w:val="189"/>
        </w:trPr>
        <w:tc>
          <w:tcPr>
            <w:tcW w:w="6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Partially owned office buildings/land</w:t>
            </w:r>
            <w:r>
              <w:rPr>
                <w:rFonts w:ascii="Times New Roman" w:cs="Times New Roman" w:eastAsia="Times New Roman" w:hAnsi="Times New Roman"/>
                <w:sz w:val="9"/>
                <w:szCs w:val="9"/>
                <w:b w:val="1"/>
                <w:bCs w:val="1"/>
                <w:color w:val="auto"/>
              </w:rPr>
              <w:t>(1)</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Various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148,958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186,190</w:t>
            </w:r>
          </w:p>
        </w:tc>
        <w:tc>
          <w:tcPr>
            <w:tcW w:w="0" w:type="dxa"/>
            <w:vAlign w:val="bottom"/>
          </w:tcPr>
          <w:p>
            <w:pPr>
              <w:spacing w:after="0"/>
              <w:rPr>
                <w:sz w:val="1"/>
                <w:szCs w:val="1"/>
                <w:color w:val="auto"/>
              </w:rPr>
            </w:pPr>
          </w:p>
        </w:tc>
      </w:tr>
      <w:tr>
        <w:trPr>
          <w:trHeight w:val="204"/>
        </w:trPr>
        <w:tc>
          <w:tcPr>
            <w:tcW w:w="6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Alexander’s (see page 88 for details)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68,492</w:t>
            </w:r>
          </w:p>
        </w:tc>
        <w:tc>
          <w:tcPr>
            <w:tcW w:w="0" w:type="dxa"/>
            <w:vAlign w:val="bottom"/>
          </w:tcPr>
          <w:p>
            <w:pPr>
              <w:spacing w:after="0"/>
              <w:rPr>
                <w:sz w:val="1"/>
                <w:szCs w:val="1"/>
                <w:color w:val="auto"/>
              </w:rPr>
            </w:pPr>
          </w:p>
        </w:tc>
      </w:tr>
      <w:tr>
        <w:trPr>
          <w:trHeight w:val="190"/>
        </w:trPr>
        <w:tc>
          <w:tcPr>
            <w:tcW w:w="6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Other equity method investments</w:t>
            </w:r>
            <w:r>
              <w:rPr>
                <w:rFonts w:ascii="Times New Roman" w:cs="Times New Roman" w:eastAsia="Times New Roman" w:hAnsi="Times New Roman"/>
                <w:sz w:val="9"/>
                <w:szCs w:val="9"/>
                <w:b w:val="1"/>
                <w:bCs w:val="1"/>
                <w:color w:val="auto"/>
              </w:rPr>
              <w:t>(2)</w:t>
            </w:r>
          </w:p>
        </w:tc>
        <w:tc>
          <w:tcPr>
            <w:tcW w:w="1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Various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206,903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201,250</w:t>
            </w:r>
          </w:p>
        </w:tc>
        <w:tc>
          <w:tcPr>
            <w:tcW w:w="0" w:type="dxa"/>
            <w:vAlign w:val="bottom"/>
          </w:tcPr>
          <w:p>
            <w:pPr>
              <w:spacing w:after="0"/>
              <w:rPr>
                <w:sz w:val="1"/>
                <w:szCs w:val="1"/>
                <w:color w:val="auto"/>
              </w:rPr>
            </w:pPr>
          </w:p>
        </w:tc>
      </w:tr>
      <w:tr>
        <w:trPr>
          <w:trHeight w:val="215"/>
        </w:trPr>
        <w:tc>
          <w:tcPr>
            <w:tcW w:w="66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1,941,278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2,691,478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partially owned entities included in other liabilities</w:t>
            </w:r>
            <w:r>
              <w:rPr>
                <w:rFonts w:ascii="Times New Roman" w:cs="Times New Roman" w:eastAsia="Times New Roman" w:hAnsi="Times New Roman"/>
                <w:sz w:val="9"/>
                <w:szCs w:val="9"/>
                <w:b w:val="1"/>
                <w:bCs w:val="1"/>
                <w:color w:val="auto"/>
              </w:rPr>
              <w:t>(3)</w:t>
            </w:r>
            <w:r>
              <w:rPr>
                <w:rFonts w:ascii="Times New Roman" w:cs="Times New Roman" w:eastAsia="Times New Roman" w:hAnsi="Times New Roman"/>
                <w:sz w:val="14"/>
                <w:szCs w:val="14"/>
                <w:b w:val="1"/>
                <w:bCs w:val="1"/>
                <w:color w:val="auto"/>
              </w:rPr>
              <w:t>:</w:t>
            </w: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64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7 West 34th Street</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53.0%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(65,726)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(70,552)</w:t>
            </w:r>
          </w:p>
        </w:tc>
        <w:tc>
          <w:tcPr>
            <w:tcW w:w="0" w:type="dxa"/>
            <w:vAlign w:val="bottom"/>
          </w:tcPr>
          <w:p>
            <w:pPr>
              <w:spacing w:after="0"/>
              <w:rPr>
                <w:sz w:val="1"/>
                <w:szCs w:val="1"/>
                <w:color w:val="auto"/>
              </w:rPr>
            </w:pPr>
          </w:p>
        </w:tc>
      </w:tr>
      <w:tr>
        <w:trPr>
          <w:trHeight w:val="190"/>
        </w:trPr>
        <w:tc>
          <w:tcPr>
            <w:tcW w:w="6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85 Tenth Avenue</w:t>
            </w:r>
          </w:p>
        </w:tc>
        <w:tc>
          <w:tcPr>
            <w:tcW w:w="1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49.9%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(25,198)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(18,978)</w:t>
            </w:r>
          </w:p>
        </w:tc>
        <w:tc>
          <w:tcPr>
            <w:tcW w:w="0" w:type="dxa"/>
            <w:vAlign w:val="bottom"/>
          </w:tcPr>
          <w:p>
            <w:pPr>
              <w:spacing w:after="0"/>
              <w:rPr>
                <w:sz w:val="1"/>
                <w:szCs w:val="1"/>
                <w:color w:val="auto"/>
              </w:rPr>
            </w:pPr>
          </w:p>
        </w:tc>
      </w:tr>
      <w:tr>
        <w:trPr>
          <w:trHeight w:val="215"/>
        </w:trPr>
        <w:tc>
          <w:tcPr>
            <w:tcW w:w="66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(90,924)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(89,530)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3"/>
          <w:szCs w:val="3"/>
          <w:color w:val="auto"/>
        </w:rPr>
        <w:t>_________________________________________________________________________________________</w:t>
      </w:r>
    </w:p>
    <w:p>
      <w:pPr>
        <w:spacing w:after="0" w:line="11" w:lineRule="exact"/>
        <w:rPr>
          <w:sz w:val="20"/>
          <w:szCs w:val="20"/>
          <w:color w:val="auto"/>
        </w:rPr>
      </w:pPr>
    </w:p>
    <w:p>
      <w:pPr>
        <w:ind w:left="320" w:hanging="315"/>
        <w:spacing w:after="0"/>
        <w:tabs>
          <w:tab w:leader="none" w:pos="32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280 Park Avenue, 61 Ninth Avenue and others.</w:t>
      </w:r>
    </w:p>
    <w:p>
      <w:pPr>
        <w:spacing w:after="0" w:line="15"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Independence Plaza, Sunset Pier 94 Joint Venture (“Pier 94 JV”), Rosslyn Plaza and others.</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negative basis results from distributions in excess of our investment.</w:t>
      </w:r>
    </w:p>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schedule of income from partially owned entities.</w:t>
      </w:r>
    </w:p>
    <w:p>
      <w:pPr>
        <w:spacing w:after="0" w:line="141" w:lineRule="exact"/>
        <w:rPr>
          <w:sz w:val="20"/>
          <w:szCs w:val="20"/>
          <w:color w:val="auto"/>
        </w:rPr>
      </w:pPr>
    </w:p>
    <w:tbl>
      <w:tblPr>
        <w:tblLayout w:type="fixed"/>
        <w:tblInd w:w="80" w:type="dxa"/>
        <w:tblCellMar>
          <w:top w:w="0" w:type="dxa"/>
          <w:left w:w="0" w:type="dxa"/>
          <w:bottom w:w="0" w:type="dxa"/>
          <w:right w:w="0" w:type="dxa"/>
        </w:tblCellMar>
      </w:tblPr>
      <w:tr>
        <w:trPr>
          <w:trHeight w:val="182"/>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Ownership</w:t>
            </w:r>
          </w:p>
        </w:tc>
        <w:tc>
          <w:tcPr>
            <w:tcW w:w="320" w:type="dxa"/>
            <w:vAlign w:val="bottom"/>
          </w:tcPr>
          <w:p>
            <w:pPr>
              <w:spacing w:after="0"/>
              <w:rPr>
                <w:sz w:val="15"/>
                <w:szCs w:val="15"/>
                <w:color w:val="auto"/>
              </w:rPr>
            </w:pPr>
          </w:p>
        </w:tc>
        <w:tc>
          <w:tcPr>
            <w:tcW w:w="3120" w:type="dxa"/>
            <w:vAlign w:val="bottom"/>
            <w:gridSpan w:val="6"/>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0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3120" w:type="dxa"/>
            <w:vAlign w:val="bottom"/>
            <w:gridSpan w:val="6"/>
            <w:vMerge w:val="continue"/>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00" w:type="dxa"/>
            <w:vAlign w:val="bottom"/>
          </w:tcPr>
          <w:p>
            <w:pPr>
              <w:spacing w:after="0"/>
              <w:rPr>
                <w:sz w:val="15"/>
                <w:szCs w:val="15"/>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as of December 31, 2025</w:t>
            </w:r>
          </w:p>
        </w:tc>
        <w:tc>
          <w:tcPr>
            <w:tcW w:w="32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500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Our share of net income (loss):</w:t>
            </w:r>
          </w:p>
        </w:tc>
        <w:tc>
          <w:tcPr>
            <w:tcW w:w="1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Fifth Avenue and Times Square JV (see page 87 for details):</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Equity in net income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35,209</w:t>
            </w:r>
          </w:p>
        </w:tc>
        <w:tc>
          <w:tcPr>
            <w:tcW w:w="0" w:type="dxa"/>
            <w:vAlign w:val="bottom"/>
          </w:tcPr>
          <w:p>
            <w:pPr>
              <w:spacing w:after="0"/>
              <w:rPr>
                <w:sz w:val="1"/>
                <w:szCs w:val="1"/>
                <w:color w:val="auto"/>
              </w:rPr>
            </w:pPr>
          </w:p>
        </w:tc>
      </w:tr>
      <w:tr>
        <w:trPr>
          <w:trHeight w:val="189"/>
        </w:trPr>
        <w:tc>
          <w:tcPr>
            <w:tcW w:w="50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Return on preferred equity, net of our share of the expense</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27,528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40,668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37,416</w:t>
            </w:r>
          </w:p>
        </w:tc>
        <w:tc>
          <w:tcPr>
            <w:tcW w:w="0" w:type="dxa"/>
            <w:vAlign w:val="bottom"/>
          </w:tcPr>
          <w:p>
            <w:pPr>
              <w:spacing w:after="0"/>
              <w:rPr>
                <w:sz w:val="1"/>
                <w:szCs w:val="1"/>
                <w:color w:val="auto"/>
              </w:rPr>
            </w:pPr>
          </w:p>
        </w:tc>
      </w:tr>
      <w:tr>
        <w:trPr>
          <w:trHeight w:val="197"/>
        </w:trPr>
        <w:tc>
          <w:tcPr>
            <w:tcW w:w="5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gain on sale</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76,162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118,406</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84,119</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72,625</w:t>
            </w:r>
          </w:p>
        </w:tc>
        <w:tc>
          <w:tcPr>
            <w:tcW w:w="0" w:type="dxa"/>
            <w:vAlign w:val="bottom"/>
          </w:tcPr>
          <w:p>
            <w:pPr>
              <w:spacing w:after="0"/>
              <w:rPr>
                <w:sz w:val="1"/>
                <w:szCs w:val="1"/>
                <w:color w:val="auto"/>
              </w:rPr>
            </w:pPr>
          </w:p>
        </w:tc>
      </w:tr>
      <w:tr>
        <w:trPr>
          <w:trHeight w:val="212"/>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Alexander's (see page 88 for details):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Equity in net income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15,441</w:t>
            </w:r>
          </w:p>
        </w:tc>
        <w:tc>
          <w:tcPr>
            <w:tcW w:w="0" w:type="dxa"/>
            <w:vAlign w:val="bottom"/>
          </w:tcPr>
          <w:p>
            <w:pPr>
              <w:spacing w:after="0"/>
              <w:rPr>
                <w:sz w:val="1"/>
                <w:szCs w:val="1"/>
                <w:color w:val="auto"/>
              </w:rPr>
            </w:pPr>
          </w:p>
        </w:tc>
      </w:tr>
      <w:tr>
        <w:trPr>
          <w:trHeight w:val="189"/>
        </w:trPr>
        <w:tc>
          <w:tcPr>
            <w:tcW w:w="50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Management, leasing and development fees</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5,238</w:t>
            </w:r>
          </w:p>
        </w:tc>
        <w:tc>
          <w:tcPr>
            <w:tcW w:w="0" w:type="dxa"/>
            <w:vAlign w:val="bottom"/>
          </w:tcPr>
          <w:p>
            <w:pPr>
              <w:spacing w:after="0"/>
              <w:rPr>
                <w:sz w:val="1"/>
                <w:szCs w:val="1"/>
                <w:color w:val="auto"/>
              </w:rPr>
            </w:pPr>
          </w:p>
        </w:tc>
      </w:tr>
      <w:tr>
        <w:trPr>
          <w:trHeight w:val="197"/>
        </w:trPr>
        <w:tc>
          <w:tcPr>
            <w:tcW w:w="5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gain on sale of land</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16,396</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14,632</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19,076</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37,075</w:t>
            </w:r>
          </w:p>
        </w:tc>
        <w:tc>
          <w:tcPr>
            <w:tcW w:w="0" w:type="dxa"/>
            <w:vAlign w:val="bottom"/>
          </w:tcPr>
          <w:p>
            <w:pPr>
              <w:spacing w:after="0"/>
              <w:rPr>
                <w:sz w:val="1"/>
                <w:szCs w:val="1"/>
                <w:color w:val="auto"/>
              </w:rPr>
            </w:pPr>
          </w:p>
        </w:tc>
      </w:tr>
      <w:tr>
        <w:trPr>
          <w:trHeight w:val="131"/>
        </w:trPr>
        <w:tc>
          <w:tcPr>
            <w:tcW w:w="50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4"/>
                <w:szCs w:val="14"/>
                <w:color w:val="auto"/>
              </w:rPr>
              <w:t>Partially owned office buildings</w:t>
            </w:r>
            <w:r>
              <w:rPr>
                <w:rFonts w:ascii="Times New Roman" w:cs="Times New Roman" w:eastAsia="Times New Roman" w:hAnsi="Times New Roman"/>
                <w:sz w:val="18"/>
                <w:szCs w:val="18"/>
                <w:b w:val="1"/>
                <w:bCs w:val="1"/>
                <w:color w:val="auto"/>
                <w:vertAlign w:val="superscript"/>
              </w:rPr>
              <w:t>(1)(2)</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Various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(73,589)</w:t>
            </w:r>
          </w:p>
        </w:tc>
        <w:tc>
          <w:tcPr>
            <w:tcW w:w="0" w:type="dxa"/>
            <w:vAlign w:val="bottom"/>
          </w:tcPr>
          <w:p>
            <w:pPr>
              <w:spacing w:after="0"/>
              <w:rPr>
                <w:sz w:val="1"/>
                <w:szCs w:val="1"/>
                <w:color w:val="auto"/>
              </w:rPr>
            </w:pPr>
          </w:p>
        </w:tc>
      </w:tr>
      <w:tr>
        <w:trPr>
          <w:trHeight w:val="124"/>
        </w:trPr>
        <w:tc>
          <w:tcPr>
            <w:tcW w:w="50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4"/>
                <w:szCs w:val="14"/>
                <w:color w:val="auto"/>
              </w:rPr>
              <w:t>Other equity method investments</w:t>
            </w:r>
            <w:r>
              <w:rPr>
                <w:rFonts w:ascii="Times New Roman" w:cs="Times New Roman" w:eastAsia="Times New Roman" w:hAnsi="Times New Roman"/>
                <w:sz w:val="18"/>
                <w:szCs w:val="18"/>
                <w:b w:val="1"/>
                <w:bCs w:val="1"/>
                <w:color w:val="auto"/>
                <w:vertAlign w:val="superscript"/>
              </w:rPr>
              <w:t>(3)</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Various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0" w:type="dxa"/>
            <w:vAlign w:val="bottom"/>
          </w:tcPr>
          <w:p>
            <w:pPr>
              <w:spacing w:after="0"/>
              <w:rPr>
                <w:sz w:val="1"/>
                <w:szCs w:val="1"/>
                <w:color w:val="auto"/>
              </w:rPr>
            </w:pPr>
          </w:p>
        </w:tc>
      </w:tr>
      <w:tr>
        <w:trPr>
          <w:trHeight w:val="124"/>
        </w:trPr>
        <w:tc>
          <w:tcPr>
            <w:tcW w:w="50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50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141,310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112,464</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33" w:lineRule="exact"/>
        <w:rPr>
          <w:sz w:val="20"/>
          <w:szCs w:val="20"/>
          <w:color w:val="auto"/>
        </w:rPr>
      </w:pPr>
    </w:p>
    <w:p>
      <w:pPr>
        <w:ind w:left="320" w:hanging="315"/>
        <w:spacing w:after="0"/>
        <w:tabs>
          <w:tab w:leader="none" w:pos="32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280 Park Avenue, 7 West 34th Street, 512 West 22nd Street (sold on August 14, 2025), 61 Ninth Avenue, 85 Tenth Avenue and others.</w:t>
      </w:r>
    </w:p>
    <w:p>
      <w:pPr>
        <w:spacing w:after="0" w:line="21" w:lineRule="exact"/>
        <w:rPr>
          <w:rFonts w:ascii="Times New Roman" w:cs="Times New Roman" w:eastAsia="Times New Roman" w:hAnsi="Times New Roman"/>
          <w:sz w:val="14"/>
          <w:szCs w:val="14"/>
          <w:b w:val="1"/>
          <w:bCs w:val="1"/>
          <w:color w:val="auto"/>
        </w:rPr>
      </w:pPr>
    </w:p>
    <w:p>
      <w:pPr>
        <w:ind w:left="320" w:hanging="315"/>
        <w:spacing w:after="0" w:line="253" w:lineRule="auto"/>
        <w:tabs>
          <w:tab w:leader="none" w:pos="312"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2025 includes the $11,002 gain associated with the sale of 512 West 22nd Street (see page 88 for details) and 2024 includes our $31,215 share of the debt extinguishment gain from the repayment of the 280 Park Avenue mezzanine loan.</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Independence Plaza, Pier 94 JV, Rosslyn Plaza and others.</w:t>
      </w: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89" w:name="page90"/>
    <w:bookmarkEnd w:id="89"/>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20" w:right="6500" w:hanging="315"/>
        <w:spacing w:after="0" w:line="343" w:lineRule="auto"/>
        <w:tabs>
          <w:tab w:leader="none" w:pos="355"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Investments in Partially Owned Entities – continued </w:t>
      </w:r>
      <w:r>
        <w:rPr>
          <w:rFonts w:ascii="Times New Roman" w:cs="Times New Roman" w:eastAsia="Times New Roman" w:hAnsi="Times New Roman"/>
          <w:sz w:val="17"/>
          <w:szCs w:val="17"/>
          <w:color w:val="auto"/>
        </w:rPr>
        <w:t>Below is a summary of the debt of our partially owned entities.</w:t>
      </w:r>
    </w:p>
    <w:tbl>
      <w:tblPr>
        <w:tblLayout w:type="fixed"/>
        <w:tblInd w:w="40" w:type="dxa"/>
        <w:tblCellMar>
          <w:top w:w="0" w:type="dxa"/>
          <w:left w:w="0" w:type="dxa"/>
          <w:bottom w:w="0" w:type="dxa"/>
          <w:right w:w="0" w:type="dxa"/>
        </w:tblCellMar>
      </w:tblPr>
      <w:tr>
        <w:trPr>
          <w:trHeight w:val="143"/>
        </w:trPr>
        <w:tc>
          <w:tcPr>
            <w:tcW w:w="35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(Amounts in thousands)</w:t>
            </w: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280" w:type="dxa"/>
            <w:vAlign w:val="bottom"/>
          </w:tcPr>
          <w:p>
            <w:pPr>
              <w:spacing w:after="0"/>
              <w:rPr>
                <w:sz w:val="12"/>
                <w:szCs w:val="12"/>
                <w:color w:val="auto"/>
              </w:rPr>
            </w:pPr>
          </w:p>
        </w:tc>
        <w:tc>
          <w:tcPr>
            <w:tcW w:w="2540" w:type="dxa"/>
            <w:vAlign w:val="bottom"/>
            <w:gridSpan w:val="4"/>
          </w:tcPr>
          <w:p>
            <w:pPr>
              <w:jc w:val="right"/>
              <w:ind w:right="390"/>
              <w:spacing w:after="0" w:line="143" w:lineRule="exact"/>
              <w:rPr>
                <w:sz w:val="20"/>
                <w:szCs w:val="20"/>
                <w:color w:val="auto"/>
              </w:rPr>
            </w:pPr>
            <w:r>
              <w:rPr>
                <w:rFonts w:ascii="Times New Roman" w:cs="Times New Roman" w:eastAsia="Times New Roman" w:hAnsi="Times New Roman"/>
                <w:sz w:val="14"/>
                <w:szCs w:val="14"/>
                <w:b w:val="1"/>
                <w:bCs w:val="1"/>
                <w:color w:val="auto"/>
              </w:rPr>
              <w:t>100% Partially Owned Entities’</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gridSpan w:val="4"/>
          </w:tcPr>
          <w:p>
            <w:pPr>
              <w:jc w:val="right"/>
              <w:ind w:right="570"/>
              <w:spacing w:after="0" w:line="144" w:lineRule="exact"/>
              <w:rPr>
                <w:sz w:val="20"/>
                <w:szCs w:val="20"/>
                <w:color w:val="auto"/>
              </w:rPr>
            </w:pPr>
            <w:r>
              <w:rPr>
                <w:rFonts w:ascii="Times New Roman" w:cs="Times New Roman" w:eastAsia="Times New Roman" w:hAnsi="Times New Roman"/>
                <w:sz w:val="13"/>
                <w:szCs w:val="13"/>
                <w:b w:val="1"/>
                <w:bCs w:val="1"/>
                <w:color w:val="auto"/>
              </w:rPr>
              <w:t>Debt</w:t>
            </w:r>
            <w:r>
              <w:rPr>
                <w:rFonts w:ascii="Times New Roman" w:cs="Times New Roman" w:eastAsia="Times New Roman" w:hAnsi="Times New Roman"/>
                <w:sz w:val="16"/>
                <w:szCs w:val="16"/>
                <w:b w:val="1"/>
                <w:bCs w:val="1"/>
                <w:color w:val="auto"/>
                <w:vertAlign w:val="superscript"/>
              </w:rPr>
              <w:t>(3)</w:t>
            </w:r>
            <w:r>
              <w:rPr>
                <w:rFonts w:ascii="Times New Roman" w:cs="Times New Roman" w:eastAsia="Times New Roman" w:hAnsi="Times New Roman"/>
                <w:sz w:val="13"/>
                <w:szCs w:val="13"/>
                <w:b w:val="1"/>
                <w:bCs w:val="1"/>
                <w:color w:val="auto"/>
              </w:rPr>
              <w:t xml:space="preserve"> as of December 31,</w:t>
            </w: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1660" w:type="dxa"/>
            <w:vAlign w:val="bottom"/>
            <w:gridSpan w:val="2"/>
          </w:tcPr>
          <w:p>
            <w:pPr>
              <w:jc w:val="center"/>
              <w:ind w:right="120"/>
              <w:spacing w:after="0" w:line="46" w:lineRule="exact"/>
              <w:rPr>
                <w:sz w:val="20"/>
                <w:szCs w:val="20"/>
                <w:color w:val="auto"/>
              </w:rPr>
            </w:pPr>
            <w:r>
              <w:rPr>
                <w:rFonts w:ascii="Times New Roman" w:cs="Times New Roman" w:eastAsia="Times New Roman" w:hAnsi="Times New Roman"/>
                <w:sz w:val="5"/>
                <w:szCs w:val="5"/>
                <w:b w:val="1"/>
                <w:bCs w:val="1"/>
                <w:color w:val="auto"/>
              </w:rPr>
              <w:t>Percentage Ownership as</w:t>
            </w: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Maturity</w:t>
            </w:r>
            <w:r>
              <w:rPr>
                <w:rFonts w:ascii="Times New Roman" w:cs="Times New Roman" w:eastAsia="Times New Roman" w:hAnsi="Times New Roman"/>
                <w:sz w:val="18"/>
                <w:szCs w:val="18"/>
                <w:b w:val="1"/>
                <w:bCs w:val="1"/>
                <w:color w:val="auto"/>
                <w:w w:val="96"/>
                <w:vertAlign w:val="superscript"/>
              </w:rPr>
              <w:t>(1)</w:t>
            </w:r>
          </w:p>
        </w:tc>
        <w:tc>
          <w:tcPr>
            <w:tcW w:w="1680" w:type="dxa"/>
            <w:vAlign w:val="bottom"/>
            <w:gridSpan w:val="2"/>
          </w:tcPr>
          <w:p>
            <w:pPr>
              <w:jc w:val="center"/>
              <w:ind w:right="120"/>
              <w:spacing w:after="0" w:line="46" w:lineRule="exact"/>
              <w:rPr>
                <w:sz w:val="20"/>
                <w:szCs w:val="20"/>
                <w:color w:val="auto"/>
              </w:rPr>
            </w:pPr>
            <w:r>
              <w:rPr>
                <w:rFonts w:ascii="Times New Roman" w:cs="Times New Roman" w:eastAsia="Times New Roman" w:hAnsi="Times New Roman"/>
                <w:sz w:val="5"/>
                <w:szCs w:val="5"/>
                <w:b w:val="1"/>
                <w:bCs w:val="1"/>
                <w:color w:val="auto"/>
              </w:rPr>
              <w:t>Interest Rate as of</w:t>
            </w: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of December 31, 2025</w:t>
            </w:r>
          </w:p>
        </w:tc>
        <w:tc>
          <w:tcPr>
            <w:tcW w:w="1480" w:type="dxa"/>
            <w:vAlign w:val="bottom"/>
            <w:gridSpan w:val="2"/>
            <w:vMerge w:val="continue"/>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r>
              <w:rPr>
                <w:rFonts w:ascii="Times New Roman" w:cs="Times New Roman" w:eastAsia="Times New Roman" w:hAnsi="Times New Roman"/>
                <w:sz w:val="9"/>
                <w:szCs w:val="9"/>
                <w:b w:val="1"/>
                <w:bCs w:val="1"/>
                <w:color w:val="auto"/>
              </w:rPr>
              <w:t>(2)</w:t>
            </w:r>
          </w:p>
        </w:tc>
        <w:tc>
          <w:tcPr>
            <w:tcW w:w="28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6"/>
        </w:trPr>
        <w:tc>
          <w:tcPr>
            <w:tcW w:w="3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Mortgages Payable:</w:t>
            </w:r>
          </w:p>
        </w:tc>
        <w:tc>
          <w:tcPr>
            <w:tcW w:w="1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shd w:val="clear" w:color="auto" w:fill="CCEEFF"/>
          </w:tcPr>
          <w:p>
            <w:pPr>
              <w:ind w:left="420"/>
              <w:spacing w:after="0" w:line="196" w:lineRule="exact"/>
              <w:rPr>
                <w:sz w:val="20"/>
                <w:szCs w:val="20"/>
                <w:color w:val="auto"/>
              </w:rPr>
            </w:pPr>
            <w:r>
              <w:rPr>
                <w:rFonts w:ascii="Times New Roman" w:cs="Times New Roman" w:eastAsia="Times New Roman" w:hAnsi="Times New Roman"/>
                <w:sz w:val="14"/>
                <w:szCs w:val="14"/>
                <w:color w:val="auto"/>
              </w:rPr>
              <w:t>Partially owned office buildings</w:t>
            </w:r>
            <w:r>
              <w:rPr>
                <w:rFonts w:ascii="Times New Roman" w:cs="Times New Roman" w:eastAsia="Times New Roman" w:hAnsi="Times New Roman"/>
                <w:sz w:val="18"/>
                <w:szCs w:val="18"/>
                <w:b w:val="1"/>
                <w:bCs w:val="1"/>
                <w:color w:val="auto"/>
                <w:vertAlign w:val="superscript"/>
              </w:rPr>
              <w:t>(4)(5)</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4"/>
              </w:rPr>
              <w:t>Various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2026-2028</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2,221,500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3,146,918</w:t>
            </w:r>
          </w:p>
        </w:tc>
        <w:tc>
          <w:tcPr>
            <w:tcW w:w="0" w:type="dxa"/>
            <w:vAlign w:val="bottom"/>
          </w:tcPr>
          <w:p>
            <w:pPr>
              <w:spacing w:after="0"/>
              <w:rPr>
                <w:sz w:val="1"/>
                <w:szCs w:val="1"/>
                <w:color w:val="auto"/>
              </w:rPr>
            </w:pPr>
          </w:p>
        </w:tc>
      </w:tr>
      <w:tr>
        <w:trPr>
          <w:trHeight w:val="189"/>
        </w:trPr>
        <w:tc>
          <w:tcPr>
            <w:tcW w:w="35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Alexander's</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32.4%</w:t>
            </w:r>
          </w:p>
        </w:tc>
        <w:tc>
          <w:tcPr>
            <w:tcW w:w="1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2027-2035</w:t>
            </w:r>
          </w:p>
        </w:tc>
        <w:tc>
          <w:tcPr>
            <w:tcW w:w="2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836,691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996,544</w:t>
            </w:r>
          </w:p>
        </w:tc>
        <w:tc>
          <w:tcPr>
            <w:tcW w:w="0" w:type="dxa"/>
            <w:vAlign w:val="bottom"/>
          </w:tcPr>
          <w:p>
            <w:pPr>
              <w:spacing w:after="0"/>
              <w:rPr>
                <w:sz w:val="1"/>
                <w:szCs w:val="1"/>
                <w:color w:val="auto"/>
              </w:rPr>
            </w:pPr>
          </w:p>
        </w:tc>
      </w:tr>
      <w:tr>
        <w:trPr>
          <w:trHeight w:val="204"/>
        </w:trPr>
        <w:tc>
          <w:tcPr>
            <w:tcW w:w="3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Fifth Avenue and Times Square JV</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51.5%</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2028-2030</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6.73%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1,195,708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753,194</w:t>
            </w:r>
          </w:p>
        </w:tc>
        <w:tc>
          <w:tcPr>
            <w:tcW w:w="0" w:type="dxa"/>
            <w:vAlign w:val="bottom"/>
          </w:tcPr>
          <w:p>
            <w:pPr>
              <w:spacing w:after="0"/>
              <w:rPr>
                <w:sz w:val="1"/>
                <w:szCs w:val="1"/>
                <w:color w:val="auto"/>
              </w:rPr>
            </w:pPr>
          </w:p>
        </w:tc>
      </w:tr>
      <w:tr>
        <w:trPr>
          <w:trHeight w:val="240"/>
        </w:trPr>
        <w:tc>
          <w:tcPr>
            <w:tcW w:w="35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b w:val="1"/>
                <w:bCs w:val="1"/>
                <w:color w:val="auto"/>
                <w:vertAlign w:val="superscript"/>
              </w:rPr>
              <w:t>(6)</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4"/>
              </w:rPr>
              <w:t>Various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2026-2032</w:t>
            </w:r>
          </w:p>
        </w:tc>
        <w:tc>
          <w:tcPr>
            <w:tcW w:w="2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1,311,662</w:t>
            </w: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ind w:left="320" w:hanging="315"/>
        <w:spacing w:after="0"/>
        <w:tabs>
          <w:tab w:leader="none" w:pos="32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Assumes the exercise of as-of-right extension options.</w:t>
      </w:r>
    </w:p>
    <w:p>
      <w:pPr>
        <w:spacing w:after="0" w:line="5"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5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Represents the interest rate in effect as of period end based on the appropriate reference rate as of the contractual reset date plus contractual spread, adjusted for hedging instruments, as applicable.</w:t>
      </w:r>
    </w:p>
    <w:p>
      <w:pPr>
        <w:spacing w:after="0" w:line="20" w:lineRule="exact"/>
        <w:rPr>
          <w:rFonts w:ascii="Times New Roman" w:cs="Times New Roman" w:eastAsia="Times New Roman" w:hAnsi="Times New Roman"/>
          <w:sz w:val="13"/>
          <w:szCs w:val="13"/>
          <w:b w:val="1"/>
          <w:bCs w:val="1"/>
          <w:color w:val="auto"/>
        </w:rPr>
      </w:pPr>
    </w:p>
    <w:p>
      <w:pPr>
        <w:ind w:left="320" w:hanging="315"/>
        <w:spacing w:after="0" w:line="246" w:lineRule="auto"/>
        <w:tabs>
          <w:tab w:leader="none" w:pos="312"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Operating Partnership guarantees $303,000 of debt, primarily comprised of the $300,000 mortgage loan on 7 West 34th Street. Upon the refinancing in January 2026, the payment guarantee for the mortgage loan secured by 7 West 34th Street was extinguished.</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280 Park Avenue, 7 West 34th Street, 61 Ninth Avenue, 85 Tenth Avenue and others.</w:t>
      </w:r>
    </w:p>
    <w:p>
      <w:pPr>
        <w:spacing w:after="0" w:line="5" w:lineRule="exact"/>
        <w:rPr>
          <w:rFonts w:ascii="Times New Roman" w:cs="Times New Roman" w:eastAsia="Times New Roman" w:hAnsi="Times New Roman"/>
          <w:sz w:val="14"/>
          <w:szCs w:val="14"/>
          <w:b w:val="1"/>
          <w:bCs w:val="1"/>
          <w:color w:val="auto"/>
        </w:rPr>
      </w:pPr>
    </w:p>
    <w:p>
      <w:pPr>
        <w:ind w:left="320" w:hanging="315"/>
        <w:spacing w:after="0" w:line="253" w:lineRule="auto"/>
        <w:tabs>
          <w:tab w:leader="none" w:pos="312"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our 22.2% share of the $800,000 650 Madison mortgage loan. We wrote-off our entire investment in 650 Madison in 2022 and no longer record our share of net income (loss) for this investment. See page 89 for further details.</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interests in Independence Plaza, Pier 94 JV, Rosslyn Plaza and others.</w:t>
      </w:r>
    </w:p>
    <w:p>
      <w:pPr>
        <w:spacing w:after="0" w:line="211"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Based on our ownership interest in the partially owned entities above, our pro rata share of the debt of these partially owned entities was $2,478,544,000 and $2,477,701,000 as of December 31, 2025 and 2024, respectively.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Summary of Condensed Combined Financial Information</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is a summary of condensed combined financial information for all of our partially owned entities.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20" w:type="dxa"/>
            <w:vAlign w:val="bottom"/>
          </w:tcPr>
          <w:p>
            <w:pPr>
              <w:spacing w:after="0"/>
              <w:rPr>
                <w:sz w:val="16"/>
                <w:szCs w:val="16"/>
                <w:color w:val="auto"/>
              </w:rPr>
            </w:pPr>
          </w:p>
        </w:tc>
      </w:tr>
      <w:tr>
        <w:trPr>
          <w:trHeight w:val="23"/>
        </w:trPr>
        <w:tc>
          <w:tcPr>
            <w:tcW w:w="8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3"/>
        </w:trPr>
        <w:tc>
          <w:tcPr>
            <w:tcW w:w="8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73"/>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10,575,000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11,296,000</w:t>
            </w:r>
          </w:p>
        </w:tc>
      </w:tr>
      <w:tr>
        <w:trPr>
          <w:trHeight w:val="189"/>
        </w:trPr>
        <w:tc>
          <w:tcPr>
            <w:tcW w:w="84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7,268,000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7,073,000</w:t>
            </w:r>
          </w:p>
        </w:tc>
      </w:tr>
      <w:tr>
        <w:trPr>
          <w:trHeight w:val="204"/>
        </w:trPr>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Noncontrolling interests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1,151,000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1,905,000</w:t>
            </w:r>
          </w:p>
        </w:tc>
      </w:tr>
      <w:tr>
        <w:trPr>
          <w:trHeight w:val="182"/>
        </w:trPr>
        <w:tc>
          <w:tcPr>
            <w:tcW w:w="84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Equity</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2,156,000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2,318,000</w:t>
            </w: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20" w:type="dxa"/>
            <w:vAlign w:val="bottom"/>
          </w:tcPr>
          <w:p>
            <w:pPr>
              <w:spacing w:after="0"/>
              <w:rPr>
                <w:sz w:val="16"/>
                <w:szCs w:val="16"/>
                <w:color w:val="auto"/>
              </w:rPr>
            </w:pPr>
          </w:p>
        </w:tc>
        <w:tc>
          <w:tcPr>
            <w:tcW w:w="30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6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
        </w:trPr>
        <w:tc>
          <w:tcPr>
            <w:tcW w:w="6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6"/>
        </w:trPr>
        <w:tc>
          <w:tcPr>
            <w:tcW w:w="6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1,132,000</w:t>
            </w:r>
          </w:p>
        </w:tc>
      </w:tr>
      <w:tr>
        <w:trPr>
          <w:trHeight w:val="189"/>
        </w:trPr>
        <w:tc>
          <w:tcPr>
            <w:tcW w:w="6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34,000</w:t>
            </w:r>
          </w:p>
        </w:tc>
      </w:tr>
      <w:tr>
        <w:trPr>
          <w:trHeight w:val="204"/>
        </w:trPr>
        <w:tc>
          <w:tcPr>
            <w:tcW w:w="6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loss attributable to the entities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770 Broadway</w:t>
      </w:r>
    </w:p>
    <w:p>
      <w:pPr>
        <w:spacing w:after="0" w:line="82"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May 5, 2025, we completed a master lease with New York University (“NYU”) to lease 1,076,000 square feet at 770 Broadway, on an “as is”, triple net basis for a 70-year lease term. Under the terms of the master lease, a rental agreement under Section 467 of the Internal Revenue Code, NYU made a prepaid lease payment of $935,000,000, and will also make annual lease payments of $9,281,000 during the lease term. NYU has an option to purchase the leased premises in both 2055 and at the end of the lease term in 2095. NYU assumed the existing office leases at the property.</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used a portion of the prepaid lease payment to repay the $700,000,000 mortgage loan which previously encumbered the property.</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Vornado retained the 92,000 square feet retail condominium leased to Wegmans.</w:t>
      </w:r>
    </w:p>
    <w:p>
      <w:pPr>
        <w:spacing w:after="0" w:line="6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 connection with the above transaction, the Company recorded a net investment in lease of $165,487,000, which includes an unguaranteed residual asset of approximately $15,308,000. The net investment in lease was measured as the present value of the fixed and determinable lease payments over the 70-year lease term, including the unguaranteed residual value of the asset at the end of the lease, discounted at the rate implicit in the lease. In addition, in connection with the above transaction, the Company derecognized assets of $266,112,000 and recorded a gain on sales-type lease of $803,248,000.</w:t>
      </w:r>
    </w:p>
    <w:p>
      <w:pPr>
        <w:sectPr>
          <w:pgSz w:w="11900" w:h="16838" w:orient="portrait"/>
          <w:cols w:equalWidth="0" w:num="1">
            <w:col w:w="11240"/>
          </w:cols>
          <w:pgMar w:left="320" w:top="5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type w:val="continuous"/>
        </w:sectPr>
      </w:pPr>
    </w:p>
    <w:bookmarkStart w:id="90" w:name="page91"/>
    <w:bookmarkEnd w:id="90"/>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770 Broadway - continued</w:t>
      </w:r>
    </w:p>
    <w:p>
      <w:pPr>
        <w:spacing w:after="0" w:line="95"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As of December 31, 2025, our net investment in lease was $166,024,000. Future minimum lease payments to be received as of December 31, 2025 are as follows:</w:t>
      </w:r>
    </w:p>
    <w:p>
      <w:pPr>
        <w:spacing w:after="0" w:line="23"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80" w:type="dxa"/>
            <w:vAlign w:val="bottom"/>
          </w:tcPr>
          <w:p>
            <w:pPr>
              <w:spacing w:after="0"/>
              <w:rPr>
                <w:sz w:val="16"/>
                <w:szCs w:val="16"/>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3"/>
        </w:trPr>
        <w:tc>
          <w:tcPr>
            <w:tcW w:w="8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9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9,281</w:t>
            </w:r>
          </w:p>
        </w:tc>
      </w:tr>
      <w:tr>
        <w:trPr>
          <w:trHeight w:val="189"/>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9,281</w:t>
            </w:r>
          </w:p>
        </w:tc>
      </w:tr>
      <w:tr>
        <w:trPr>
          <w:trHeight w:val="204"/>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9,281</w:t>
            </w:r>
          </w:p>
        </w:tc>
      </w:tr>
      <w:tr>
        <w:trPr>
          <w:trHeight w:val="189"/>
        </w:trPr>
        <w:tc>
          <w:tcPr>
            <w:tcW w:w="8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9,281</w:t>
            </w:r>
          </w:p>
        </w:tc>
      </w:tr>
      <w:tr>
        <w:trPr>
          <w:trHeight w:val="204"/>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9,281</w:t>
            </w:r>
          </w:p>
        </w:tc>
      </w:tr>
      <w:tr>
        <w:trPr>
          <w:trHeight w:val="190"/>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597,194</w:t>
            </w:r>
          </w:p>
        </w:tc>
      </w:tr>
      <w:tr>
        <w:trPr>
          <w:trHeight w:val="196"/>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643,599</w:t>
            </w:r>
          </w:p>
        </w:tc>
      </w:tr>
      <w:tr>
        <w:trPr>
          <w:trHeight w:val="190"/>
        </w:trPr>
        <w:tc>
          <w:tcPr>
            <w:tcW w:w="8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Amount representing interest</w:t>
            </w: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(493,737)</w:t>
            </w:r>
          </w:p>
        </w:tc>
      </w:tr>
      <w:tr>
        <w:trPr>
          <w:trHeight w:val="196"/>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Sales-type lease receivable</w:t>
            </w: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149,862</w:t>
            </w:r>
          </w:p>
        </w:tc>
      </w:tr>
      <w:tr>
        <w:trPr>
          <w:trHeight w:val="190"/>
        </w:trPr>
        <w:tc>
          <w:tcPr>
            <w:tcW w:w="8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Asset unguaranteed residual value</w:t>
            </w: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16,162</w:t>
            </w:r>
          </w:p>
        </w:tc>
      </w:tr>
      <w:tr>
        <w:trPr>
          <w:trHeight w:val="221"/>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 lease</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166,024</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right="9900" w:firstLine="5"/>
        <w:spacing w:after="0" w:line="322" w:lineRule="auto"/>
        <w:tabs>
          <w:tab w:leader="none" w:pos="175"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w:t>
      </w:r>
      <w:r>
        <w:rPr>
          <w:rFonts w:ascii="Times New Roman" w:cs="Times New Roman" w:eastAsia="Times New Roman" w:hAnsi="Times New Roman"/>
          <w:sz w:val="17"/>
          <w:szCs w:val="17"/>
          <w:i w:val="1"/>
          <w:iCs w:val="1"/>
          <w:color w:val="auto"/>
        </w:rPr>
        <w:t>Investment in Loan</w:t>
      </w:r>
    </w:p>
    <w:p>
      <w:pPr>
        <w:spacing w:after="0" w:line="1"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 xml:space="preserve">On July 24, 2025, we purchased the $35,000,000 A-Note secured by 3 East 54th Street at par plus accrued interest. The A-Note accrues interest at 4.89% plus 4.00% default interest. The A-Note was recorded to “other assets” on our consolidated balance sheets. We previously acquired the $50,000,000 B-Note secured by the property in August 2024. The A-Note and B-Note were in default. On January 7, 2026, we closed on the acquisition of the property for $141,000,000. The $107,000,000 loan balance, including default interest and advances, was credited towards the purchase price. See Note 24 - </w:t>
      </w:r>
      <w:r>
        <w:rPr>
          <w:rFonts w:ascii="Times New Roman" w:cs="Times New Roman" w:eastAsia="Times New Roman" w:hAnsi="Times New Roman"/>
          <w:sz w:val="17"/>
          <w:szCs w:val="17"/>
          <w:i w:val="1"/>
          <w:iCs w:val="1"/>
          <w:color w:val="auto"/>
        </w:rPr>
        <w:t>Subsequent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Events </w:t>
      </w:r>
      <w:r>
        <w:rPr>
          <w:rFonts w:ascii="Times New Roman" w:cs="Times New Roman" w:eastAsia="Times New Roman" w:hAnsi="Times New Roman"/>
          <w:sz w:val="17"/>
          <w:szCs w:val="17"/>
          <w:color w:val="auto"/>
        </w:rPr>
        <w:t>for further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623 Fifth Avenue</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September 4, 2025, we purchased the 623 Fifth Avenue office condominium, a 36-story, 383,000 square foot building for $218,000,000, which is included in “Development costs and construction in progress” on our consolidated balance sheets. At closing, we borrowed $145,420,000 under our revolving credit facility to partially finance the acquisition. We are redeveloping the asset into a premier, boutique office building.</w:t>
      </w:r>
    </w:p>
    <w:p>
      <w:pPr>
        <w:spacing w:after="0" w:line="1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7.</w:t>
        <w:tab/>
        <w:t>Dispositions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220 Central Park South</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2025, we closed on the sale of three condominium units and ancillary amenities at 220 CPS for net proceeds of $37,374,000, resulting in a financial statement net gain of $21,080,000 which is included in "net gains on disposition of wholly owned and partially owned assets" on our consolidated statements of income. In connection with these sales, $4,051,000 of income tax expense was recognized on our consolidated statements of income. One unit remains unsold, with a carrying value of $5,483,000 which is included in “other assets” on our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Canal Street Condominium Units</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During the year ended December 31, 2025, we closed on the sale of eight residential and two retail condominium units at 304-306 Canal Street and 334 Canal Street for net proceeds of $32,613,000, resulting in a financial statement net gain of $14,211,000 which is included in "net gains on disposition of wholly owned and partially owned assets" on our consolidated statements of income. All units have been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91" w:name="page92"/>
    <w:bookmarkEnd w:id="91"/>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hanging="355"/>
        <w:spacing w:after="0"/>
        <w:tabs>
          <w:tab w:leader="none" w:pos="36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Identified Intangible Assets and Liabilities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summarizes our identified intangible assets (primarily in-place and above-market leases) and liabilities (primarily below-market leases).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00" w:type="dxa"/>
            <w:vAlign w:val="bottom"/>
          </w:tcPr>
          <w:p>
            <w:pPr>
              <w:spacing w:after="0"/>
              <w:rPr>
                <w:sz w:val="16"/>
                <w:szCs w:val="16"/>
                <w:color w:val="auto"/>
              </w:rPr>
            </w:pPr>
          </w:p>
        </w:tc>
        <w:tc>
          <w:tcPr>
            <w:tcW w:w="252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0" w:type="dxa"/>
            <w:vAlign w:val="bottom"/>
          </w:tcPr>
          <w:p>
            <w:pPr>
              <w:spacing w:after="0"/>
              <w:rPr>
                <w:sz w:val="1"/>
                <w:szCs w:val="1"/>
                <w:color w:val="auto"/>
              </w:rPr>
            </w:pPr>
          </w:p>
        </w:tc>
      </w:tr>
      <w:tr>
        <w:trPr>
          <w:trHeight w:val="23"/>
        </w:trPr>
        <w:tc>
          <w:tcPr>
            <w:tcW w:w="8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intangible assets: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amount</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192,555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193,217</w:t>
            </w:r>
          </w:p>
        </w:tc>
        <w:tc>
          <w:tcPr>
            <w:tcW w:w="0" w:type="dxa"/>
            <w:vAlign w:val="bottom"/>
          </w:tcPr>
          <w:p>
            <w:pPr>
              <w:spacing w:after="0"/>
              <w:rPr>
                <w:sz w:val="1"/>
                <w:szCs w:val="1"/>
                <w:color w:val="auto"/>
              </w:rPr>
            </w:pPr>
          </w:p>
        </w:tc>
      </w:tr>
      <w:tr>
        <w:trPr>
          <w:trHeight w:val="19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amortization</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(81,962)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(75,002)</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110,593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118,215</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Identified intangible liabilities (included in deferred revenue):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4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amount</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134,499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134,499</w:t>
            </w:r>
          </w:p>
        </w:tc>
        <w:tc>
          <w:tcPr>
            <w:tcW w:w="0" w:type="dxa"/>
            <w:vAlign w:val="bottom"/>
          </w:tcPr>
          <w:p>
            <w:pPr>
              <w:spacing w:after="0"/>
              <w:rPr>
                <w:sz w:val="1"/>
                <w:szCs w:val="1"/>
                <w:color w:val="auto"/>
              </w:rPr>
            </w:pPr>
          </w:p>
        </w:tc>
      </w:tr>
      <w:tr>
        <w:trPr>
          <w:trHeight w:val="19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amortization</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(113,271)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(110,982)</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Amortization of acquired below-market leases, net of acquired above-market leases, resulted in an increase to rental revenues of $383,000, $3,035,000 and $5,268,000 for the years ended December 31, 2025, 2024 and 2023, respectively. Estimated annual amortization for each of the five succeeding years commencing January 1, 2026 is below:</w:t>
      </w:r>
    </w:p>
    <w:p>
      <w:pPr>
        <w:spacing w:after="0" w:line="68" w:lineRule="exact"/>
        <w:rPr>
          <w:sz w:val="20"/>
          <w:szCs w:val="20"/>
          <w:color w:val="auto"/>
        </w:rPr>
      </w:pPr>
    </w:p>
    <w:tbl>
      <w:tblPr>
        <w:tblLayout w:type="fixed"/>
        <w:tblInd w:w="2440" w:type="dxa"/>
        <w:tblCellMar>
          <w:top w:w="0" w:type="dxa"/>
          <w:left w:w="0" w:type="dxa"/>
          <w:bottom w:w="0" w:type="dxa"/>
          <w:right w:w="0" w:type="dxa"/>
        </w:tblCellMar>
      </w:tblPr>
      <w:tr>
        <w:trPr>
          <w:trHeight w:val="18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
        </w:trPr>
        <w:tc>
          <w:tcPr>
            <w:tcW w:w="3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3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4"/>
                <w:szCs w:val="14"/>
                <w:color w:val="auto"/>
                <w:w w:val="95"/>
              </w:rPr>
              <w:t>292</w:t>
            </w:r>
          </w:p>
        </w:tc>
      </w:t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380" w:type="dxa"/>
            <w:vAlign w:val="bottom"/>
          </w:tcPr>
          <w:p>
            <w:pPr>
              <w:spacing w:after="0"/>
              <w:rPr>
                <w:sz w:val="16"/>
                <w:szCs w:val="16"/>
                <w:color w:val="auto"/>
              </w:rPr>
            </w:pPr>
          </w:p>
        </w:tc>
        <w:tc>
          <w:tcPr>
            <w:tcW w:w="960" w:type="dxa"/>
            <w:vAlign w:val="bottom"/>
          </w:tcPr>
          <w:p>
            <w:pPr>
              <w:jc w:val="center"/>
              <w:ind w:left="550"/>
              <w:spacing w:after="0"/>
              <w:rPr>
                <w:sz w:val="20"/>
                <w:szCs w:val="20"/>
                <w:color w:val="auto"/>
              </w:rPr>
            </w:pPr>
            <w:r>
              <w:rPr>
                <w:rFonts w:ascii="Times New Roman" w:cs="Times New Roman" w:eastAsia="Times New Roman" w:hAnsi="Times New Roman"/>
                <w:sz w:val="14"/>
                <w:szCs w:val="14"/>
                <w:color w:val="auto"/>
                <w:w w:val="98"/>
              </w:rPr>
              <w:t>(247)</w:t>
            </w:r>
          </w:p>
        </w:tc>
      </w:tr>
      <w:tr>
        <w:trPr>
          <w:trHeight w:val="20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38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color w:val="auto"/>
                <w:w w:val="98"/>
              </w:rPr>
              <w:t>(149)</w:t>
            </w:r>
          </w:p>
        </w:tc>
      </w:t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380" w:type="dxa"/>
            <w:vAlign w:val="bottom"/>
          </w:tcPr>
          <w:p>
            <w:pPr>
              <w:spacing w:after="0"/>
              <w:rPr>
                <w:sz w:val="16"/>
                <w:szCs w:val="16"/>
                <w:color w:val="auto"/>
              </w:rPr>
            </w:pPr>
          </w:p>
        </w:tc>
        <w:tc>
          <w:tcPr>
            <w:tcW w:w="960" w:type="dxa"/>
            <w:vAlign w:val="bottom"/>
          </w:tcPr>
          <w:p>
            <w:pPr>
              <w:jc w:val="center"/>
              <w:ind w:left="550"/>
              <w:spacing w:after="0"/>
              <w:rPr>
                <w:sz w:val="20"/>
                <w:szCs w:val="20"/>
                <w:color w:val="auto"/>
              </w:rPr>
            </w:pPr>
            <w:r>
              <w:rPr>
                <w:rFonts w:ascii="Times New Roman" w:cs="Times New Roman" w:eastAsia="Times New Roman" w:hAnsi="Times New Roman"/>
                <w:sz w:val="14"/>
                <w:szCs w:val="14"/>
                <w:color w:val="auto"/>
                <w:w w:val="98"/>
              </w:rPr>
              <w:t>(119)</w:t>
            </w:r>
          </w:p>
        </w:tc>
      </w:tr>
      <w:tr>
        <w:trPr>
          <w:trHeight w:val="20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238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color w:val="auto"/>
                <w:w w:val="98"/>
              </w:rPr>
              <w:t>(539)</w:t>
            </w:r>
          </w:p>
        </w:tc>
      </w:tr>
    </w:tbl>
    <w:p>
      <w:pPr>
        <w:spacing w:after="0" w:line="28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Amortization of all other identified intangible assets (a component of depreciation and amortization expense) was $5,718,000, $6,930,000 and $8,342,000 for the years ended December 31, 2025, 2024 and 2023, respectively. Estimated annual amortization for each of the five succeeding years commencing January 1, 2026 is below:</w:t>
      </w:r>
    </w:p>
    <w:p>
      <w:pPr>
        <w:spacing w:after="0" w:line="81" w:lineRule="exact"/>
        <w:rPr>
          <w:sz w:val="20"/>
          <w:szCs w:val="20"/>
          <w:color w:val="auto"/>
        </w:rPr>
      </w:pPr>
    </w:p>
    <w:tbl>
      <w:tblPr>
        <w:tblLayout w:type="fixed"/>
        <w:tblInd w:w="2440" w:type="dxa"/>
        <w:tblCellMar>
          <w:top w:w="0" w:type="dxa"/>
          <w:left w:w="0" w:type="dxa"/>
          <w:bottom w:w="0" w:type="dxa"/>
          <w:right w:w="0" w:type="dxa"/>
        </w:tblCellMar>
      </w:tblPr>
      <w:tr>
        <w:trPr>
          <w:trHeight w:val="182"/>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
        </w:trPr>
        <w:tc>
          <w:tcPr>
            <w:tcW w:w="3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3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5,615</w:t>
            </w:r>
          </w:p>
        </w:tc>
      </w:t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5,308</w:t>
            </w:r>
          </w:p>
        </w:tc>
      </w:tr>
      <w:tr>
        <w:trPr>
          <w:trHeight w:val="20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w:t>
            </w:r>
          </w:p>
        </w:tc>
      </w:tr>
      <w:tr>
        <w:trPr>
          <w:trHeight w:val="18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3,660</w:t>
            </w:r>
          </w:p>
        </w:tc>
      </w:tr>
      <w:tr>
        <w:trPr>
          <w:trHeight w:val="20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2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92" w:name="page93"/>
    <w:bookmarkEnd w:id="92"/>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hanging="355"/>
        <w:spacing w:after="0"/>
        <w:tabs>
          <w:tab w:leader="none" w:pos="36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Senior Unsecured Notes due 2025</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repaid our $450,000,000 3.50% senior unsecured notes on their January 15, 2025 maturity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11</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July 16, 2025, we completed a $450,000,000 refinancing of PENN 11, a 1,200,000 square foot Manhattan office building. The five-year interest-only loan matures in August 2030 and has a fixed rate of 6.35%. We paid down by $50,000,000 the prior $500,000,000 loan that bore interest at a rate of SOFR plus 2.06% (swapped to an all-in fixed rate of 6.28%) and was scheduled to mature in October 2025. The swap was terminated at the time of refinancing, and we received $130,000 of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 Union Square South</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August 12, 2025, we completed a $120,000,000 refinancing of 4 Union Square South, a 204,000 square foot Manhattan retail property. The ten-year interest-only loan matures in September 2035 and has a fixed rate of 5.64%. The loan replaced the previous $120,000,000 loan that bore interest at SOFR plus 1.50% and was scheduled to mature in August 2025.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888 Seventh Avenue</w:t>
      </w:r>
    </w:p>
    <w:p>
      <w:pPr>
        <w:spacing w:after="0" w:line="68"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On December 10, 2025, the $244,543,000 non-recourse mortgage loan on 888 Seventh Avenue matured and was not repaid, at which time the lenders declared an event of default. The loan currently bears interest at a rate of SOFR plus 1.80% and provides for additional default interest of 3.00%. The default interest was waived for a ninety-day period. We have executed a term sheet with the lenders pursuant to which the lenders will forebear from exercising their remedies and will waive default interest until February 2027, subject to certain conditions. There can be no assurance that the forbearance agreement will be completed.</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is a summary of our debt:</w:t>
      </w:r>
    </w:p>
    <w:p>
      <w:pPr>
        <w:spacing w:after="0" w:line="100" w:lineRule="exact"/>
        <w:rPr>
          <w:sz w:val="20"/>
          <w:szCs w:val="20"/>
          <w:color w:val="auto"/>
        </w:rPr>
      </w:pPr>
    </w:p>
    <w:tbl>
      <w:tblPr>
        <w:tblLayout w:type="fixed"/>
        <w:tblInd w:w="80" w:type="dxa"/>
        <w:tblCellMar>
          <w:top w:w="0" w:type="dxa"/>
          <w:left w:w="0" w:type="dxa"/>
          <w:bottom w:w="0" w:type="dxa"/>
          <w:right w:w="0" w:type="dxa"/>
        </w:tblCellMar>
      </w:tblPr>
      <w:tr>
        <w:trPr>
          <w:trHeight w:val="182"/>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 Average Interest</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0" w:type="dxa"/>
            <w:vAlign w:val="bottom"/>
          </w:tcPr>
          <w:p>
            <w:pPr>
              <w:spacing w:after="0"/>
              <w:rPr>
                <w:sz w:val="1"/>
                <w:szCs w:val="1"/>
                <w:color w:val="auto"/>
              </w:rPr>
            </w:pPr>
          </w:p>
        </w:tc>
      </w:tr>
      <w:tr>
        <w:trPr>
          <w:trHeight w:val="65"/>
        </w:trPr>
        <w:tc>
          <w:tcPr>
            <w:tcW w:w="6320" w:type="dxa"/>
            <w:vAlign w:val="bottom"/>
          </w:tcPr>
          <w:p>
            <w:pPr>
              <w:spacing w:after="0"/>
              <w:rPr>
                <w:sz w:val="5"/>
                <w:szCs w:val="5"/>
                <w:color w:val="auto"/>
              </w:rPr>
            </w:pPr>
          </w:p>
        </w:tc>
        <w:tc>
          <w:tcPr>
            <w:tcW w:w="1640" w:type="dxa"/>
            <w:vAlign w:val="bottom"/>
          </w:tcPr>
          <w:p>
            <w:pPr>
              <w:jc w:val="center"/>
              <w:spacing w:after="0" w:line="66" w:lineRule="exact"/>
              <w:rPr>
                <w:sz w:val="20"/>
                <w:szCs w:val="20"/>
                <w:color w:val="auto"/>
              </w:rPr>
            </w:pPr>
            <w:r>
              <w:rPr>
                <w:rFonts w:ascii="Times New Roman" w:cs="Times New Roman" w:eastAsia="Times New Roman" w:hAnsi="Times New Roman"/>
                <w:sz w:val="7"/>
                <w:szCs w:val="7"/>
                <w:b w:val="1"/>
                <w:bCs w:val="1"/>
                <w:color w:val="auto"/>
              </w:rPr>
              <w:t>Rate as of December 31,</w:t>
            </w:r>
          </w:p>
        </w:tc>
        <w:tc>
          <w:tcPr>
            <w:tcW w:w="3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2025</w:t>
            </w:r>
            <w:r>
              <w:rPr>
                <w:rFonts w:ascii="Times New Roman" w:cs="Times New Roman" w:eastAsia="Times New Roman" w:hAnsi="Times New Roman"/>
                <w:sz w:val="9"/>
                <w:szCs w:val="9"/>
                <w:b w:val="1"/>
                <w:bCs w:val="1"/>
                <w:color w:val="auto"/>
                <w:w w:val="98"/>
              </w:rPr>
              <w:t>(1)</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Mortgages Payable:</w:t>
            </w: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320" w:type="dxa"/>
            <w:vAlign w:val="bottom"/>
          </w:tcPr>
          <w:p>
            <w:pPr>
              <w:ind w:left="440"/>
              <w:spacing w:after="0" w:line="180" w:lineRule="exact"/>
              <w:rPr>
                <w:sz w:val="20"/>
                <w:szCs w:val="20"/>
                <w:color w:val="auto"/>
              </w:rPr>
            </w:pPr>
            <w:r>
              <w:rPr>
                <w:rFonts w:ascii="Times New Roman" w:cs="Times New Roman" w:eastAsia="Times New Roman" w:hAnsi="Times New Roman"/>
                <w:sz w:val="14"/>
                <w:szCs w:val="14"/>
                <w:color w:val="auto"/>
              </w:rPr>
              <w:t>Fixed rate</w:t>
            </w:r>
            <w:r>
              <w:rPr>
                <w:rFonts w:ascii="Times New Roman" w:cs="Times New Roman" w:eastAsia="Times New Roman" w:hAnsi="Times New Roman"/>
                <w:sz w:val="18"/>
                <w:szCs w:val="18"/>
                <w:b w:val="1"/>
                <w:bCs w:val="1"/>
                <w:color w:val="auto"/>
                <w:vertAlign w:val="superscript"/>
              </w:rPr>
              <w:t>(2)</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5.05%</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3,415,000</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4,591,400</w:t>
            </w:r>
          </w:p>
        </w:tc>
        <w:tc>
          <w:tcPr>
            <w:tcW w:w="0" w:type="dxa"/>
            <w:vAlign w:val="bottom"/>
          </w:tcPr>
          <w:p>
            <w:pPr>
              <w:spacing w:after="0"/>
              <w:rPr>
                <w:sz w:val="1"/>
                <w:szCs w:val="1"/>
                <w:color w:val="auto"/>
              </w:rPr>
            </w:pPr>
          </w:p>
        </w:tc>
      </w:tr>
      <w:tr>
        <w:trPr>
          <w:trHeight w:val="119"/>
        </w:trPr>
        <w:tc>
          <w:tcPr>
            <w:tcW w:w="63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Variable rate</w:t>
            </w:r>
            <w:r>
              <w:rPr>
                <w:rFonts w:ascii="Times New Roman" w:cs="Times New Roman" w:eastAsia="Times New Roman" w:hAnsi="Times New Roman"/>
                <w:sz w:val="18"/>
                <w:szCs w:val="18"/>
                <w:b w:val="1"/>
                <w:bCs w:val="1"/>
                <w:color w:val="auto"/>
                <w:vertAlign w:val="superscript"/>
              </w:rPr>
              <w:t>(3)</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5.70%</w:t>
            </w:r>
          </w:p>
        </w:tc>
        <w:tc>
          <w:tcPr>
            <w:tcW w:w="300" w:type="dxa"/>
            <w:vAlign w:val="bottom"/>
          </w:tcPr>
          <w:p>
            <w:pPr>
              <w:jc w:val="right"/>
              <w:ind w:right="96"/>
              <w:spacing w:after="0"/>
              <w:rPr>
                <w:sz w:val="20"/>
                <w:szCs w:val="20"/>
                <w:color w:val="auto"/>
              </w:rPr>
            </w:pPr>
            <w:r>
              <w:rPr>
                <w:rFonts w:ascii="Times New Roman" w:cs="Times New Roman" w:eastAsia="Times New Roman" w:hAnsi="Times New Roman"/>
                <w:sz w:val="9"/>
                <w:szCs w:val="9"/>
                <w:b w:val="1"/>
                <w:bCs w:val="1"/>
                <w:color w:val="auto"/>
              </w:rPr>
              <w:t>(4)</w:t>
            </w:r>
          </w:p>
        </w:tc>
        <w:tc>
          <w:tcPr>
            <w:tcW w:w="320" w:type="dxa"/>
            <w:vAlign w:val="bottom"/>
          </w:tcPr>
          <w:p>
            <w:pPr>
              <w:spacing w:after="0"/>
              <w:rPr>
                <w:sz w:val="10"/>
                <w:szCs w:val="10"/>
                <w:color w:val="auto"/>
              </w:rPr>
            </w:pP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1,529,037</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1,115,776</w:t>
            </w:r>
          </w:p>
        </w:tc>
        <w:tc>
          <w:tcPr>
            <w:tcW w:w="0" w:type="dxa"/>
            <w:vAlign w:val="bottom"/>
          </w:tcPr>
          <w:p>
            <w:pPr>
              <w:spacing w:after="0"/>
              <w:rPr>
                <w:sz w:val="1"/>
                <w:szCs w:val="1"/>
                <w:color w:val="auto"/>
              </w:rPr>
            </w:pPr>
          </w:p>
        </w:tc>
      </w:tr>
      <w:tr>
        <w:trPr>
          <w:trHeight w:val="118"/>
        </w:trPr>
        <w:tc>
          <w:tcPr>
            <w:tcW w:w="6320" w:type="dxa"/>
            <w:vAlign w:val="bottom"/>
            <w:tcBorders>
              <w:bottom w:val="single" w:sz="8" w:color="CCEEFF"/>
            </w:tcBorders>
            <w:vMerge w:val="continue"/>
          </w:tcPr>
          <w:p>
            <w:pPr>
              <w:spacing w:after="0"/>
              <w:rPr>
                <w:sz w:val="10"/>
                <w:szCs w:val="10"/>
                <w:color w:val="auto"/>
              </w:rPr>
            </w:pPr>
          </w:p>
        </w:tc>
        <w:tc>
          <w:tcPr>
            <w:tcW w:w="1640" w:type="dxa"/>
            <w:vAlign w:val="bottom"/>
            <w:tcBorders>
              <w:bottom w:val="single" w:sz="8" w:color="CCEEFF"/>
            </w:tcBorders>
            <w:vMerge w:val="continue"/>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63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Total</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5.25%</w:t>
            </w: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4,944,037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5,707,176</w:t>
            </w:r>
          </w:p>
        </w:tc>
        <w:tc>
          <w:tcPr>
            <w:tcW w:w="0" w:type="dxa"/>
            <w:vAlign w:val="bottom"/>
          </w:tcPr>
          <w:p>
            <w:pPr>
              <w:spacing w:after="0"/>
              <w:rPr>
                <w:sz w:val="1"/>
                <w:szCs w:val="1"/>
                <w:color w:val="auto"/>
              </w:rPr>
            </w:pPr>
          </w:p>
        </w:tc>
      </w:tr>
      <w:tr>
        <w:trPr>
          <w:trHeight w:val="190"/>
        </w:trPr>
        <w:tc>
          <w:tcPr>
            <w:tcW w:w="6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Deferred financing costs, net and other</w:t>
            </w:r>
          </w:p>
        </w:tc>
        <w:tc>
          <w:tcPr>
            <w:tcW w:w="16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(31,162)</w:t>
            </w:r>
          </w:p>
        </w:tc>
        <w:tc>
          <w:tcPr>
            <w:tcW w:w="0" w:type="dxa"/>
            <w:vAlign w:val="bottom"/>
          </w:tcPr>
          <w:p>
            <w:pPr>
              <w:spacing w:after="0"/>
              <w:rPr>
                <w:sz w:val="1"/>
                <w:szCs w:val="1"/>
                <w:color w:val="auto"/>
              </w:rPr>
            </w:pPr>
          </w:p>
        </w:tc>
      </w:tr>
      <w:tr>
        <w:trPr>
          <w:trHeight w:val="221"/>
        </w:trPr>
        <w:tc>
          <w:tcPr>
            <w:tcW w:w="63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Total, net</w:t>
            </w:r>
          </w:p>
        </w:tc>
        <w:tc>
          <w:tcPr>
            <w:tcW w:w="1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4,920,669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5,676,014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Unsecured Debt:</w:t>
            </w:r>
          </w:p>
        </w:tc>
        <w:tc>
          <w:tcPr>
            <w:tcW w:w="1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320" w:type="dxa"/>
            <w:vAlign w:val="bottom"/>
            <w:vMerge w:val="continue"/>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Senior unsecured notes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2.73%</w:t>
            </w:r>
          </w:p>
        </w:tc>
        <w:tc>
          <w:tcPr>
            <w:tcW w:w="6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750,000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0" w:type="dxa"/>
            <w:vAlign w:val="bottom"/>
          </w:tcPr>
          <w:p>
            <w:pPr>
              <w:spacing w:after="0"/>
              <w:rPr>
                <w:sz w:val="1"/>
                <w:szCs w:val="1"/>
                <w:color w:val="auto"/>
              </w:rPr>
            </w:pPr>
          </w:p>
        </w:tc>
      </w:tr>
      <w:tr>
        <w:trPr>
          <w:trHeight w:val="190"/>
        </w:trPr>
        <w:tc>
          <w:tcPr>
            <w:tcW w:w="6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Deferred financing costs, net and other</w:t>
            </w:r>
          </w:p>
        </w:tc>
        <w:tc>
          <w:tcPr>
            <w:tcW w:w="16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(4,086)</w:t>
            </w:r>
          </w:p>
        </w:tc>
        <w:tc>
          <w:tcPr>
            <w:tcW w:w="0" w:type="dxa"/>
            <w:vAlign w:val="bottom"/>
          </w:tcPr>
          <w:p>
            <w:pPr>
              <w:spacing w:after="0"/>
              <w:rPr>
                <w:sz w:val="1"/>
                <w:szCs w:val="1"/>
                <w:color w:val="auto"/>
              </w:rPr>
            </w:pPr>
          </w:p>
        </w:tc>
      </w:tr>
      <w:tr>
        <w:trPr>
          <w:trHeight w:val="190"/>
        </w:trPr>
        <w:tc>
          <w:tcPr>
            <w:tcW w:w="63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Senior unsecured notes, net</w:t>
            </w:r>
          </w:p>
        </w:tc>
        <w:tc>
          <w:tcPr>
            <w:tcW w:w="1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747,202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1,195,914</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Unsecured term loan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4.27%</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800,000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0" w:type="dxa"/>
            <w:vAlign w:val="bottom"/>
          </w:tcPr>
          <w:p>
            <w:pPr>
              <w:spacing w:after="0"/>
              <w:rPr>
                <w:sz w:val="1"/>
                <w:szCs w:val="1"/>
                <w:color w:val="auto"/>
              </w:rPr>
            </w:pPr>
          </w:p>
        </w:tc>
      </w:tr>
      <w:tr>
        <w:trPr>
          <w:trHeight w:val="190"/>
        </w:trPr>
        <w:tc>
          <w:tcPr>
            <w:tcW w:w="63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Deferred financing costs, net and other</w:t>
            </w:r>
          </w:p>
        </w:tc>
        <w:tc>
          <w:tcPr>
            <w:tcW w:w="16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0" w:type="dxa"/>
            <w:vAlign w:val="bottom"/>
          </w:tcPr>
          <w:p>
            <w:pPr>
              <w:spacing w:after="0"/>
              <w:rPr>
                <w:sz w:val="1"/>
                <w:szCs w:val="1"/>
                <w:color w:val="auto"/>
              </w:rPr>
            </w:pPr>
          </w:p>
        </w:tc>
      </w:tr>
      <w:tr>
        <w:trPr>
          <w:trHeight w:val="190"/>
        </w:trPr>
        <w:tc>
          <w:tcPr>
            <w:tcW w:w="63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Unsecured term loan, net</w:t>
            </w:r>
          </w:p>
        </w:tc>
        <w:tc>
          <w:tcPr>
            <w:tcW w:w="1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797,337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795,948</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Unsecured revolving credit facilities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4.05%</w:t>
            </w:r>
          </w:p>
        </w:tc>
        <w:tc>
          <w:tcPr>
            <w:tcW w:w="3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720,420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Total, net</w:t>
            </w:r>
          </w:p>
        </w:tc>
        <w:tc>
          <w:tcPr>
            <w:tcW w:w="1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2,264,959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2,566,862</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-2228215</wp:posOffset>
            </wp:positionV>
            <wp:extent cx="7052945" cy="1244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52945" cy="12446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ind w:left="320" w:hanging="315"/>
        <w:spacing w:after="0" w:line="250" w:lineRule="auto"/>
        <w:tabs>
          <w:tab w:leader="none" w:pos="312"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Represents the interest rate in effect as of period end based on the appropriate reference rate as of the contractual reset date plus contractual spread, adjusted for hedging instruments, as applicable. See Note 15 -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for further information on our consolidated hedging instruments.</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mortgages with interest rates fixed by interest rate swap arrangements.</w:t>
      </w:r>
    </w:p>
    <w:p>
      <w:pPr>
        <w:ind w:left="320" w:hanging="315"/>
        <w:spacing w:after="0" w:line="244" w:lineRule="auto"/>
        <w:tabs>
          <w:tab w:leader="none" w:pos="312"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variable rate mortgages subject to interest rate cap arrangements. As of December 31, 2025, $1,210,000 of our variable rate debt was subject to interest rate cap arrangements. The interest rate cap arrangements have a weighted average strike rate of 4.47% and a weighted average remaining term of eight months.</w:t>
      </w:r>
    </w:p>
    <w:p>
      <w:pPr>
        <w:ind w:left="320" w:hanging="315"/>
        <w:spacing w:after="0"/>
        <w:tabs>
          <w:tab w:leader="none" w:pos="32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additional 3.00% default interest on the 606 Broadway mortgage loan.</w:t>
      </w: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93" w:name="page94"/>
    <w:bookmarkEnd w:id="93"/>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Debt – continued</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net carrying amount of properties collateralizing the above indebtedness amounted to $6.0 billion as of December 31, 2025.</w:t>
      </w:r>
    </w:p>
    <w:p>
      <w:pPr>
        <w:spacing w:after="0" w:line="6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As of December 31, 2025, the principal maturities of mortgages payable and unsecured debt, including as-of-right extension options, for the next five years and thereafter are presented below. The below excludes the $74,494,000 mortgage loan on 606 Broadway and the $244,543,000 mortgage loan on 888 Seventh Avenue which are in maturity default.</w:t>
      </w:r>
    </w:p>
    <w:p>
      <w:pPr>
        <w:spacing w:after="0" w:line="40"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8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Mortgages Payable</w:t>
            </w:r>
          </w:p>
        </w:tc>
        <w:tc>
          <w:tcPr>
            <w:tcW w:w="220" w:type="dxa"/>
            <w:vAlign w:val="bottom"/>
          </w:tcPr>
          <w:p>
            <w:pPr>
              <w:spacing w:after="0"/>
              <w:rPr>
                <w:sz w:val="16"/>
                <w:szCs w:val="16"/>
                <w:color w:val="auto"/>
              </w:rPr>
            </w:pP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Unsecured Debt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5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r>
              <w:rPr>
                <w:rFonts w:ascii="Times New Roman" w:cs="Times New Roman" w:eastAsia="Times New Roman" w:hAnsi="Times New Roman"/>
                <w:sz w:val="9"/>
                <w:szCs w:val="9"/>
                <w:b w:val="1"/>
                <w:bCs w:val="1"/>
                <w:color w:val="auto"/>
              </w:rPr>
              <w:t>(1)</w:t>
            </w: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0"/>
                <w:szCs w:val="10"/>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880,000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1,520,420</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71"/>
        </w:trPr>
        <w:tc>
          <w:tcPr>
            <w:tcW w:w="58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22" w:lineRule="exact"/>
        <w:rPr>
          <w:sz w:val="20"/>
          <w:szCs w:val="20"/>
          <w:color w:val="auto"/>
        </w:rPr>
      </w:pPr>
    </w:p>
    <w:p>
      <w:pPr>
        <w:ind w:left="1100" w:right="560" w:hanging="309"/>
        <w:spacing w:after="0" w:line="241" w:lineRule="auto"/>
        <w:tabs>
          <w:tab w:leader="none" w:pos="1092" w:val="left"/>
        </w:tabs>
        <w:numPr>
          <w:ilvl w:val="1"/>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In January 2026, we (i) completed a public offering of $500,000 senior unsecured notes, which will partially be used to repay our $400,000 unsecured notes due June 2026 and (ii) refinanced the $525,000 One Park Avenue loan. See Note 24 -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for further details.</w:t>
      </w:r>
    </w:p>
    <w:p>
      <w:pPr>
        <w:spacing w:after="0" w:line="1" w:lineRule="exact"/>
        <w:rPr>
          <w:rFonts w:ascii="Times New Roman" w:cs="Times New Roman" w:eastAsia="Times New Roman" w:hAnsi="Times New Roman"/>
          <w:sz w:val="14"/>
          <w:szCs w:val="14"/>
          <w:b w:val="1"/>
          <w:bCs w:val="1"/>
          <w:color w:val="auto"/>
        </w:rPr>
      </w:pPr>
    </w:p>
    <w:p>
      <w:pPr>
        <w:ind w:left="1100" w:right="560" w:hanging="309"/>
        <w:spacing w:after="0" w:line="267" w:lineRule="auto"/>
        <w:tabs>
          <w:tab w:leader="none" w:pos="1092" w:val="left"/>
        </w:tabs>
        <w:numPr>
          <w:ilvl w:val="1"/>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On January 7, 2026, we completed a refinancing of our $1,250,000 unsecured revolving credit facility ($720,420 drawn as of December 31, 2025) and our $800,000 unsecured term loan. See Note 24 -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for further details.</w:t>
      </w:r>
    </w:p>
    <w:p>
      <w:pPr>
        <w:spacing w:after="0" w:line="129" w:lineRule="exact"/>
        <w:rPr>
          <w:rFonts w:ascii="Times New Roman" w:cs="Times New Roman" w:eastAsia="Times New Roman" w:hAnsi="Times New Roman"/>
          <w:sz w:val="14"/>
          <w:szCs w:val="14"/>
          <w:b w:val="1"/>
          <w:bCs w:val="1"/>
          <w:color w:val="auto"/>
        </w:rPr>
      </w:pPr>
    </w:p>
    <w:p>
      <w:pPr>
        <w:ind w:left="440" w:hanging="435"/>
        <w:spacing w:after="0"/>
        <w:tabs>
          <w:tab w:leader="none" w:pos="44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Redeemable Noncontrolling Interests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Redeemable Noncontrolling Partnership Units</w:t>
      </w:r>
    </w:p>
    <w:p>
      <w:pPr>
        <w:spacing w:after="0" w:line="6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Redeemable noncontrolling partnership units are primarily comprised of Class A Operating Partnership units held by third parties and are recorded at the greater of their carrying amount or redemption value at the end of each reporting period. Changes in the value from period-to-period are charged to “additional capital” in Vornado’s consolidated statements of changes in equity and to “partners’ capital” on the consolidated balance sheets of the Operating Partnership. Class A units may be tendered for redemption to the Operating Partnership for cash; Vornado, at its option, may assume that obligation and pay the holder either cash or Vornado common shares on a one-for-one basis. Because the number of Vornado common shares outstanding at all times equals the number of Class A units owned by Vornado, the redemption value of each Class A unit is equivalent to the market value of one Vornado common share, and a distribution made to a Class A unitholder is equal to the dividend paid to a Vornado common shareholder.</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are the details of redeemable noncontrolling partnership units.</w:t>
      </w:r>
    </w:p>
    <w:p>
      <w:pPr>
        <w:spacing w:after="0" w:line="9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(Amounts in thousands, except units and per unit amounts)</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Units Outstanding as of December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8"/>
              </w:rPr>
              <w:t>Preferred or</w:t>
            </w:r>
          </w:p>
        </w:tc>
        <w:tc>
          <w:tcPr>
            <w:tcW w:w="0" w:type="dxa"/>
            <w:vAlign w:val="bottom"/>
          </w:tcPr>
          <w:p>
            <w:pPr>
              <w:spacing w:after="0"/>
              <w:rPr>
                <w:sz w:val="1"/>
                <w:szCs w:val="1"/>
                <w:color w:val="auto"/>
              </w:rPr>
            </w:pPr>
          </w:p>
        </w:tc>
      </w:tr>
      <w:tr>
        <w:trPr>
          <w:trHeight w:val="79"/>
        </w:trPr>
        <w:tc>
          <w:tcPr>
            <w:tcW w:w="3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16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2"/>
            <w:vMerge w:val="restart"/>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Per Unit</w:t>
            </w:r>
          </w:p>
        </w:tc>
        <w:tc>
          <w:tcPr>
            <w:tcW w:w="120" w:type="dxa"/>
            <w:vAlign w:val="bottom"/>
          </w:tcPr>
          <w:p>
            <w:pPr>
              <w:spacing w:after="0"/>
              <w:rPr>
                <w:sz w:val="6"/>
                <w:szCs w:val="6"/>
                <w:color w:val="auto"/>
              </w:rPr>
            </w:pPr>
          </w:p>
        </w:tc>
        <w:tc>
          <w:tcPr>
            <w:tcW w:w="960" w:type="dxa"/>
            <w:vAlign w:val="bottom"/>
            <w:vMerge w:val="restart"/>
          </w:tcPr>
          <w:p>
            <w:pPr>
              <w:jc w:val="center"/>
              <w:ind w:right="92"/>
              <w:spacing w:after="0" w:line="144" w:lineRule="exact"/>
              <w:rPr>
                <w:sz w:val="20"/>
                <w:szCs w:val="20"/>
                <w:color w:val="auto"/>
              </w:rPr>
            </w:pPr>
            <w:r>
              <w:rPr>
                <w:rFonts w:ascii="Times New Roman" w:cs="Times New Roman" w:eastAsia="Times New Roman" w:hAnsi="Times New Roman"/>
                <w:sz w:val="14"/>
                <w:szCs w:val="14"/>
                <w:b w:val="1"/>
                <w:bCs w:val="1"/>
                <w:color w:val="auto"/>
                <w:w w:val="99"/>
              </w:rPr>
              <w:t>Annual</w:t>
            </w:r>
          </w:p>
        </w:tc>
        <w:tc>
          <w:tcPr>
            <w:tcW w:w="0" w:type="dxa"/>
            <w:vAlign w:val="bottom"/>
          </w:tcPr>
          <w:p>
            <w:pPr>
              <w:spacing w:after="0"/>
              <w:rPr>
                <w:sz w:val="1"/>
                <w:szCs w:val="1"/>
                <w:color w:val="auto"/>
              </w:rPr>
            </w:pPr>
          </w:p>
        </w:tc>
      </w:tr>
      <w:tr>
        <w:trPr>
          <w:trHeight w:val="65"/>
        </w:trPr>
        <w:tc>
          <w:tcPr>
            <w:tcW w:w="3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36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980" w:type="dxa"/>
            <w:vAlign w:val="bottom"/>
          </w:tcPr>
          <w:p>
            <w:pPr>
              <w:spacing w:after="0"/>
              <w:rPr>
                <w:sz w:val="5"/>
                <w:szCs w:val="5"/>
                <w:color w:val="auto"/>
              </w:rPr>
            </w:pPr>
          </w:p>
        </w:tc>
        <w:tc>
          <w:tcPr>
            <w:tcW w:w="1180" w:type="dxa"/>
            <w:vAlign w:val="bottom"/>
            <w:gridSpan w:val="3"/>
            <w:vMerge w:val="restart"/>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60" w:type="dxa"/>
            <w:vAlign w:val="bottom"/>
            <w:gridSpan w:val="5"/>
            <w:vMerge w:val="continue"/>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20" w:type="dxa"/>
            <w:vAlign w:val="bottom"/>
          </w:tcPr>
          <w:p>
            <w:pPr>
              <w:spacing w:after="0"/>
              <w:rPr>
                <w:sz w:val="11"/>
                <w:szCs w:val="11"/>
                <w:color w:val="auto"/>
              </w:rPr>
            </w:pPr>
          </w:p>
        </w:tc>
        <w:tc>
          <w:tcPr>
            <w:tcW w:w="960" w:type="dxa"/>
            <w:vAlign w:val="bottom"/>
          </w:tcPr>
          <w:p>
            <w:pPr>
              <w:jc w:val="center"/>
              <w:ind w:right="72"/>
              <w:spacing w:after="0" w:line="111" w:lineRule="exact"/>
              <w:rPr>
                <w:sz w:val="20"/>
                <w:szCs w:val="20"/>
                <w:color w:val="auto"/>
              </w:rPr>
            </w:pPr>
            <w:r>
              <w:rPr>
                <w:rFonts w:ascii="Times New Roman" w:cs="Times New Roman" w:eastAsia="Times New Roman" w:hAnsi="Times New Roman"/>
                <w:sz w:val="12"/>
                <w:szCs w:val="12"/>
                <w:b w:val="1"/>
                <w:bCs w:val="1"/>
                <w:color w:val="auto"/>
              </w:rPr>
              <w:t>Distribution</w:t>
            </w:r>
          </w:p>
        </w:tc>
        <w:tc>
          <w:tcPr>
            <w:tcW w:w="0" w:type="dxa"/>
            <w:vAlign w:val="bottom"/>
          </w:tcPr>
          <w:p>
            <w:pPr>
              <w:spacing w:after="0"/>
              <w:rPr>
                <w:sz w:val="1"/>
                <w:szCs w:val="1"/>
                <w:color w:val="auto"/>
              </w:rPr>
            </w:pPr>
          </w:p>
        </w:tc>
      </w:tr>
      <w:tr>
        <w:trPr>
          <w:trHeight w:val="184"/>
        </w:trPr>
        <w:tc>
          <w:tcPr>
            <w:tcW w:w="404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Unit Series</w:t>
            </w: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9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80" w:type="dxa"/>
            <w:vAlign w:val="bottom"/>
            <w:tcBorders>
              <w:top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120" w:type="dxa"/>
            <w:vAlign w:val="bottom"/>
          </w:tcPr>
          <w:p>
            <w:pPr>
              <w:spacing w:after="0"/>
              <w:rPr>
                <w:sz w:val="15"/>
                <w:szCs w:val="15"/>
                <w:color w:val="auto"/>
              </w:rPr>
            </w:pP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189"/>
        </w:trPr>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Class A units held by third parties</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4"/>
                <w:szCs w:val="14"/>
                <w:color w:val="auto"/>
              </w:rPr>
              <w:t xml:space="preserve">554,136 </w:t>
            </w:r>
            <w:r>
              <w:rPr>
                <w:rFonts w:ascii="Times New Roman" w:cs="Times New Roman" w:eastAsia="Times New Roman" w:hAnsi="Times New Roman"/>
                <w:sz w:val="18"/>
                <w:szCs w:val="18"/>
                <w:b w:val="1"/>
                <w:bCs w:val="1"/>
                <w:color w:val="auto"/>
                <w:vertAlign w:val="superscript"/>
              </w:rPr>
              <w:t>(1)</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4"/>
                <w:szCs w:val="14"/>
                <w:color w:val="auto"/>
              </w:rPr>
              <w:t xml:space="preserve">708,408 </w:t>
            </w:r>
            <w:r>
              <w:rPr>
                <w:rFonts w:ascii="Times New Roman" w:cs="Times New Roman" w:eastAsia="Times New Roman" w:hAnsi="Times New Roman"/>
                <w:sz w:val="18"/>
                <w:szCs w:val="18"/>
                <w:b w:val="1"/>
                <w:bCs w:val="1"/>
                <w:color w:val="auto"/>
                <w:vertAlign w:val="superscript"/>
              </w:rPr>
              <w:t>(1)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16,650,713</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16,850,803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0.74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Perpetual Preferred/Redeemable Preferred: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gridSpan w:val="2"/>
            <w:shd w:val="clear" w:color="auto" w:fill="CCEEFF"/>
          </w:tcPr>
          <w:p>
            <w:pPr>
              <w:ind w:left="440"/>
              <w:spacing w:after="0" w:line="196" w:lineRule="exact"/>
              <w:rPr>
                <w:sz w:val="20"/>
                <w:szCs w:val="20"/>
                <w:color w:val="auto"/>
              </w:rPr>
            </w:pPr>
            <w:r>
              <w:rPr>
                <w:rFonts w:ascii="Times New Roman" w:cs="Times New Roman" w:eastAsia="Times New Roman" w:hAnsi="Times New Roman"/>
                <w:sz w:val="14"/>
                <w:szCs w:val="14"/>
                <w:color w:val="auto"/>
              </w:rPr>
              <w:t>3.25% D-17 Cumulative Redeemable</w:t>
            </w:r>
            <w:r>
              <w:rPr>
                <w:rFonts w:ascii="Times New Roman" w:cs="Times New Roman" w:eastAsia="Times New Roman" w:hAnsi="Times New Roman"/>
                <w:sz w:val="18"/>
                <w:szCs w:val="18"/>
                <w:b w:val="1"/>
                <w:bCs w:val="1"/>
                <w:color w:val="auto"/>
                <w:vertAlign w:val="superscript"/>
              </w:rPr>
              <w:t>(2)</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141,400</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141,400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0.8125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9" w:lineRule="exact"/>
        <w:rPr>
          <w:sz w:val="20"/>
          <w:szCs w:val="20"/>
          <w:color w:val="auto"/>
        </w:rPr>
      </w:pPr>
    </w:p>
    <w:p>
      <w:pPr>
        <w:ind w:left="320" w:hanging="315"/>
        <w:spacing w:after="0"/>
        <w:tabs>
          <w:tab w:leader="none" w:pos="320"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Balance reflects the redemption value which is based on Vornado’s quarter-end closing common share price.</w:t>
      </w:r>
    </w:p>
    <w:p>
      <w:pPr>
        <w:ind w:left="320" w:hanging="315"/>
        <w:spacing w:after="0" w:line="261" w:lineRule="auto"/>
        <w:tabs>
          <w:tab w:leader="none" w:pos="312"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Holders may tender units for redemption to the Operating Partnership for cash at their stated redemption amount; Vornado, at its option, may assume that obligation and pay the holders either cash or Vornado preferred shares on a one-for-one basis. These units are redeemable at Vornado's option at any time.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table summarizing the activity of redeemable noncontrolling partnership units.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6"/>
                <w:szCs w:val="16"/>
                <w:color w:val="auto"/>
              </w:rPr>
            </w:pPr>
          </w:p>
        </w:tc>
        <w:tc>
          <w:tcPr>
            <w:tcW w:w="290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80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711,943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483,786</w:t>
            </w:r>
          </w:p>
        </w:tc>
      </w:t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73,871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r>
      <w:tr>
        <w:trPr>
          <w:trHeight w:val="20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(12,698)</w:t>
            </w:r>
          </w:p>
        </w:tc>
      </w:tr>
      <w:tr>
        <w:trPr>
          <w:trHeight w:val="20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Redemption of Class A units for Vornado common shares, at redemption value</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(15,912)</w:t>
            </w:r>
          </w:p>
        </w:tc>
      </w:t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Class A unit measurement adjustment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(183,578)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226,586</w:t>
            </w:r>
          </w:p>
        </w:tc>
      </w:tr>
      <w:tr>
        <w:trPr>
          <w:trHeight w:val="19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30,014</w:t>
            </w:r>
          </w:p>
        </w:tc>
      </w:tr>
      <w:tr>
        <w:trPr>
          <w:trHeight w:val="196"/>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557,671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711,943</w:t>
            </w: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94" w:name="page95"/>
    <w:bookmarkEnd w:id="94"/>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7140" w:firstLine="5"/>
        <w:spacing w:after="0" w:line="322" w:lineRule="auto"/>
        <w:tabs>
          <w:tab w:leader="none" w:pos="262"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Redeemable Noncontrolling Interests - continued </w:t>
      </w:r>
      <w:r>
        <w:rPr>
          <w:rFonts w:ascii="Times New Roman" w:cs="Times New Roman" w:eastAsia="Times New Roman" w:hAnsi="Times New Roman"/>
          <w:sz w:val="17"/>
          <w:szCs w:val="17"/>
          <w:i w:val="1"/>
          <w:iCs w:val="1"/>
          <w:color w:val="auto"/>
        </w:rPr>
        <w:t>Redeemable Noncontrolling Partnership Units - continued</w:t>
      </w:r>
    </w:p>
    <w:p>
      <w:pPr>
        <w:spacing w:after="0" w:line="1"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Redeemable noncontrolling partnership units exclude our Series G-1 through G-4 convertible preferred units and Series D-13 cumulative redeemable preferred units, as they are accounted for as liabilities in accordance with ASC Topic 480, Distinguishing Liabilities and Equity. Accordingly, the fair value of these units is included as a component of "other liabilities" on our consolidated balance sheets and aggregated $49,465,000 and $49,684,000 as of December 31, 2025 and 2024, respectively. Changes in the value from period-to-period, if any, are charged to “interest and debt expense” on our consolidated statements of income.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Redeemable Noncontrolling Interest in a Consolidated Subsidiary</w:t>
      </w:r>
    </w:p>
    <w:p>
      <w:pPr>
        <w:spacing w:after="0" w:line="68"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A consolidated joint venture in which we own a 95% interest, developed and owns the Farley Building. As of December 31, 2025, a historic tax credit investor (the "Tax Credit Investor") has funded $209,661,000 of capital contributions to the Farley Building development.</w:t>
      </w:r>
    </w:p>
    <w:p>
      <w:pPr>
        <w:spacing w:after="0" w:line="1"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The arrangement includes a put option whereby the joint venture may be obligated to purchase the Tax Credit Investor’s ownership interest in the Farley Building at a future date. The put price is calculated based on a pre-determined formula. As exercise of the put option is outside of the joint venture’s control, the Tax Credit Investor’s interest, together with the put option, have been recorded to “redeemable noncontrolling interest in a consolidated subsidiary” on our consolidated balance sheets. The redeemable noncontrolling interest is recorded at the greater of the carrying amount or redemption value at the end of each reporting period. Changes in the value from period-to-period are charged to “additional capital” in Vornado’s consolidated statements of changes in equity and to “partners’ capital” on the consolidated balance sheets of the Operating Partnership. There was no adjustment required for the years ended December 31, 2025 and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Redeemable Noncontrolling Interest in a Consolidated Subsidiary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 is a table summarizing the activity of the redeemable noncontrolling interest in a consolidated subsidiary.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6"/>
                <w:szCs w:val="16"/>
                <w:color w:val="auto"/>
              </w:rPr>
            </w:pPr>
          </w:p>
        </w:tc>
        <w:tc>
          <w:tcPr>
            <w:tcW w:w="290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80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122,715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154,662</w:t>
            </w:r>
          </w:p>
        </w:tc>
      </w:t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(31,167)</w:t>
            </w:r>
          </w:p>
        </w:tc>
      </w:tr>
      <w:tr>
        <w:trPr>
          <w:trHeight w:val="20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(4,119)</w:t>
            </w:r>
          </w:p>
        </w:tc>
      </w:tr>
      <w:tr>
        <w:trPr>
          <w:trHeight w:val="19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Contributions</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3,339</w:t>
            </w:r>
          </w:p>
        </w:tc>
      </w:tr>
      <w:tr>
        <w:trPr>
          <w:trHeight w:val="221"/>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90,280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122,715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7880" w:firstLine="5"/>
        <w:spacing w:after="0" w:line="322" w:lineRule="auto"/>
        <w:tabs>
          <w:tab w:leader="none" w:pos="427"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Shareholders' Equity/Partners' Capital </w:t>
      </w:r>
      <w:r>
        <w:rPr>
          <w:rFonts w:ascii="Times New Roman" w:cs="Times New Roman" w:eastAsia="Times New Roman" w:hAnsi="Times New Roman"/>
          <w:sz w:val="17"/>
          <w:szCs w:val="17"/>
          <w:i w:val="1"/>
          <w:iCs w:val="1"/>
          <w:color w:val="auto"/>
        </w:rPr>
        <w:t>Common Shares (Vornado Realty Trust)</w:t>
      </w:r>
    </w:p>
    <w:p>
      <w:pPr>
        <w:spacing w:after="0" w:line="1" w:lineRule="exact"/>
        <w:rPr>
          <w:sz w:val="20"/>
          <w:szCs w:val="20"/>
          <w:color w:val="auto"/>
        </w:rPr>
      </w:pPr>
    </w:p>
    <w:p>
      <w:pPr>
        <w:jc w:val="both"/>
        <w:ind w:firstLine="314"/>
        <w:spacing w:after="0" w:line="288" w:lineRule="auto"/>
        <w:rPr>
          <w:sz w:val="20"/>
          <w:szCs w:val="20"/>
          <w:color w:val="auto"/>
        </w:rPr>
      </w:pPr>
      <w:r>
        <w:rPr>
          <w:rFonts w:ascii="Times New Roman" w:cs="Times New Roman" w:eastAsia="Times New Roman" w:hAnsi="Times New Roman"/>
          <w:sz w:val="17"/>
          <w:szCs w:val="17"/>
          <w:color w:val="auto"/>
        </w:rPr>
        <w:t>As of December 31, 2025, there were 190,666,367 common shares outstanding. During 2025, we paid an aggregate of $141,277,000 of common dividends at an annual rate of $0.74 per share.</w:t>
      </w:r>
    </w:p>
    <w:p>
      <w:pPr>
        <w:spacing w:after="0"/>
        <w:rPr>
          <w:sz w:val="20"/>
          <w:szCs w:val="20"/>
          <w:color w:val="auto"/>
        </w:rPr>
      </w:pPr>
      <w:r>
        <w:rPr>
          <w:rFonts w:ascii="Times New Roman" w:cs="Times New Roman" w:eastAsia="Times New Roman" w:hAnsi="Times New Roman"/>
          <w:sz w:val="17"/>
          <w:szCs w:val="17"/>
          <w:i w:val="1"/>
          <w:iCs w:val="1"/>
          <w:color w:val="auto"/>
        </w:rPr>
        <w:t>Class A Units (Vornado Realty L.P.)</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 xml:space="preserve">As of December 31, 2025, there were 190,666,367 Class A units outstanding that were held by Vornado. These units are classified as “partners’ capital” on the consolidated balance sheets of the Operating Partnership. As of December 31, 2025, there were 16,650,713 Class A units outstanding, that were held by third parties. These units are classified outside of “partners’ capital” as “redeemable partnership units” on the consolidated balance sheets of the Operating Partnership (see Note 10 – </w:t>
      </w:r>
      <w:r>
        <w:rPr>
          <w:rFonts w:ascii="Times New Roman" w:cs="Times New Roman" w:eastAsia="Times New Roman" w:hAnsi="Times New Roman"/>
          <w:sz w:val="17"/>
          <w:szCs w:val="17"/>
          <w:i w:val="1"/>
          <w:iCs w:val="1"/>
          <w:color w:val="auto"/>
        </w:rPr>
        <w:t>Redeemable Noncontrolling Interests</w:t>
      </w:r>
      <w:r>
        <w:rPr>
          <w:rFonts w:ascii="Times New Roman" w:cs="Times New Roman" w:eastAsia="Times New Roman" w:hAnsi="Times New Roman"/>
          <w:sz w:val="17"/>
          <w:szCs w:val="17"/>
          <w:color w:val="auto"/>
        </w:rPr>
        <w:t>). During 2025, the Operating Partnership paid an aggregate of $141,277,000 of distributions to Vornado at an annual rate of $0.74 per unit.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Repurchase Program</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 April 2023, our Board of Trustees authorized a share repurchase plan under which Vornado is authorized to repurchase up to $200,000,000 of its outstanding common shares. To the extent Vornado repurchases any of its common shares, in order to fund the common share repurchase and maintain the one-to-one ratio of the number of Vornado common shares outstanding and the number of Class A units owned by Vornado, the Operating Partnership will repurchase from Vornado an equal number of its Class A units at the same price.</w:t>
      </w:r>
    </w:p>
    <w:p>
      <w:pPr>
        <w:spacing w:after="0" w:line="1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Share repurchases may be made from time to time in the open market, through privately negotiated transactions or through other means as permitted by federal securities laws, including through block trades, accelerated share repurchase transactions and/or trading plans intended to qualify under Rule 10b5-1. The timing, manner, price and amount of any repurchases will be determined in Vornado’s discretion depending on business, economic and market conditions, corporate and regulatory requirements, prevailing prices for Vornado’s common shares, alternative uses for capital and other considerations. The plan does not have an expiration date and may be suspended or discontinued at any time and does not obligate Vornado to make any repurchases of its common shares.</w:t>
      </w:r>
    </w:p>
    <w:p>
      <w:pPr>
        <w:sectPr>
          <w:pgSz w:w="11900" w:h="16838" w:orient="portrait"/>
          <w:cols w:equalWidth="0" w:num="1">
            <w:col w:w="11240"/>
          </w:cols>
          <w:pgMar w:left="320" w:top="5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type w:val="continuous"/>
        </w:sectPr>
      </w:pPr>
    </w:p>
    <w:bookmarkStart w:id="95" w:name="page96"/>
    <w:bookmarkEnd w:id="95"/>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0" w:hanging="435"/>
        <w:spacing w:after="0"/>
        <w:tabs>
          <w:tab w:leader="none" w:pos="44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Shareholders' Equity/Partners' Capital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Repurchase Program - continued</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During the year ended December 31, 2025, Vornado repurchased 1,462,360 common shares for $50,962,000 at an average price per share of $34.85. The Operating Partnership repurchased Class A units from Vornado equivalent to the number and price of common shares repurchased by Vornado. As of December 31, 2025, $119,895,000 remained available for repurchases under a $200,000,000 share repurchase plan authorized by Vornado's Board of Trustees in 2023.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Preferred Shares/Units</w:t>
      </w:r>
    </w:p>
    <w:p>
      <w:pPr>
        <w:spacing w:after="0" w:line="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following table sets forth the details of our preferred shares of beneficial interest and the preferred units of the Operating Partnership outstanding as of December 31, 2025 and 2024. During 2025, we paid $62,104,000 in preferred dividends.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(Amounts in thousands, except share/unit and per share/per unit amounts)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Per Share/Unit</w:t>
            </w:r>
          </w:p>
        </w:tc>
        <w:tc>
          <w:tcPr>
            <w:tcW w:w="0" w:type="dxa"/>
            <w:vAlign w:val="bottom"/>
          </w:tcPr>
          <w:p>
            <w:pPr>
              <w:spacing w:after="0"/>
              <w:rPr>
                <w:sz w:val="1"/>
                <w:szCs w:val="1"/>
                <w:color w:val="auto"/>
              </w:rPr>
            </w:pPr>
          </w:p>
        </w:tc>
      </w:tr>
      <w:tr>
        <w:trPr>
          <w:trHeight w:val="23"/>
        </w:trPr>
        <w:tc>
          <w:tcPr>
            <w:tcW w:w="8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w w:val="96"/>
              </w:rPr>
              <w:t>Balance as of</w:t>
            </w: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gridSpan w:val="4"/>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Shares/Units Outstanding</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8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0" w:type="dxa"/>
            <w:vAlign w:val="bottom"/>
          </w:tcPr>
          <w:p>
            <w:pPr>
              <w:spacing w:after="0"/>
              <w:rPr>
                <w:sz w:val="1"/>
                <w:szCs w:val="1"/>
                <w:color w:val="auto"/>
              </w:rPr>
            </w:pPr>
          </w:p>
        </w:tc>
      </w:tr>
      <w:tr>
        <w:trPr>
          <w:trHeight w:val="65"/>
        </w:trPr>
        <w:tc>
          <w:tcPr>
            <w:tcW w:w="8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9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160" w:type="dxa"/>
            <w:vAlign w:val="bottom"/>
            <w:gridSpan w:val="4"/>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5"/>
            <w:vMerge w:val="continue"/>
          </w:tcPr>
          <w:p>
            <w:pPr>
              <w:spacing w:after="0"/>
              <w:rPr>
                <w:sz w:val="10"/>
                <w:szCs w:val="10"/>
                <w:color w:val="auto"/>
              </w:rPr>
            </w:pPr>
          </w:p>
        </w:tc>
        <w:tc>
          <w:tcPr>
            <w:tcW w:w="21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w w:val="98"/>
              </w:rPr>
              <w:t>Liquidation</w:t>
            </w:r>
          </w:p>
        </w:tc>
        <w:tc>
          <w:tcPr>
            <w:tcW w:w="140" w:type="dxa"/>
            <w:vAlign w:val="bottom"/>
          </w:tcPr>
          <w:p>
            <w:pPr>
              <w:spacing w:after="0"/>
              <w:rPr>
                <w:sz w:val="10"/>
                <w:szCs w:val="10"/>
                <w:color w:val="auto"/>
              </w:rPr>
            </w:pPr>
          </w:p>
        </w:tc>
        <w:tc>
          <w:tcPr>
            <w:tcW w:w="1060" w:type="dxa"/>
            <w:vAlign w:val="bottom"/>
          </w:tcPr>
          <w:p>
            <w:pPr>
              <w:jc w:val="center"/>
              <w:ind w:right="70"/>
              <w:spacing w:after="0" w:line="124"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7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Preferred Shares/Units</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140" w:type="dxa"/>
            <w:vAlign w:val="bottom"/>
          </w:tcPr>
          <w:p>
            <w:pPr>
              <w:spacing w:after="0"/>
              <w:rPr>
                <w:sz w:val="17"/>
                <w:szCs w:val="17"/>
                <w:color w:val="auto"/>
              </w:rPr>
            </w:pPr>
          </w:p>
        </w:tc>
        <w:tc>
          <w:tcPr>
            <w:tcW w:w="106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4"/>
                <w:szCs w:val="14"/>
                <w:b w:val="1"/>
                <w:bCs w:val="1"/>
                <w:color w:val="auto"/>
                <w:w w:val="96"/>
              </w:rPr>
              <w:t>Distribution</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183"/>
        </w:trPr>
        <w:tc>
          <w:tcPr>
            <w:tcW w:w="4520" w:type="dxa"/>
            <w:vAlign w:val="bottom"/>
            <w:tcBorders>
              <w:top w:val="single" w:sz="8" w:color="auto"/>
            </w:tcBorders>
            <w:gridSpan w:val="2"/>
          </w:tcPr>
          <w:p>
            <w:pPr>
              <w:jc w:val="center"/>
              <w:ind w:right="3150"/>
              <w:spacing w:after="0"/>
              <w:rPr>
                <w:sz w:val="20"/>
                <w:szCs w:val="20"/>
                <w:color w:val="auto"/>
              </w:rPr>
            </w:pPr>
            <w:r>
              <w:rPr>
                <w:rFonts w:ascii="Times New Roman" w:cs="Times New Roman" w:eastAsia="Times New Roman" w:hAnsi="Times New Roman"/>
                <w:sz w:val="14"/>
                <w:szCs w:val="14"/>
                <w:color w:val="auto"/>
              </w:rPr>
              <w:t>Convertible Preferred:</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4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4"/>
                <w:szCs w:val="14"/>
                <w:color w:val="auto"/>
                <w:w w:val="99"/>
              </w:rPr>
              <w:t>6.50%</w:t>
            </w:r>
          </w:p>
        </w:tc>
        <w:tc>
          <w:tcPr>
            <w:tcW w:w="37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Series A: authorized 8,450 and 9,180 shares/units</w:t>
            </w:r>
            <w:r>
              <w:rPr>
                <w:rFonts w:ascii="Times New Roman" w:cs="Times New Roman" w:eastAsia="Times New Roman" w:hAnsi="Times New Roman"/>
                <w:sz w:val="18"/>
                <w:szCs w:val="18"/>
                <w:b w:val="1"/>
                <w:bCs w:val="1"/>
                <w:color w:val="auto"/>
                <w:vertAlign w:val="superscript"/>
              </w:rPr>
              <w:t>(2)</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96"/>
        </w:trPr>
        <w:tc>
          <w:tcPr>
            <w:tcW w:w="46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4"/>
                <w:szCs w:val="14"/>
                <w:color w:val="auto"/>
              </w:rPr>
              <w:t>Cumulative Redeemable Preferred</w:t>
            </w:r>
            <w:r>
              <w:rPr>
                <w:rFonts w:ascii="Times New Roman" w:cs="Times New Roman" w:eastAsia="Times New Roman" w:hAnsi="Times New Roman"/>
                <w:sz w:val="18"/>
                <w:szCs w:val="18"/>
                <w:b w:val="1"/>
                <w:bCs w:val="1"/>
                <w:color w:val="auto"/>
                <w:vertAlign w:val="superscript"/>
              </w:rPr>
              <w:t>(3)</w:t>
            </w: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4"/>
                <w:szCs w:val="14"/>
                <w:color w:val="auto"/>
                <w:w w:val="99"/>
              </w:rPr>
              <w:t>5.40%</w:t>
            </w: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L: authorized 13,800,000 shares/units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290,306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290,306</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89"/>
        </w:trPr>
        <w:tc>
          <w:tcPr>
            <w:tcW w:w="840" w:type="dxa"/>
            <w:vAlign w:val="bottom"/>
          </w:tcPr>
          <w:p>
            <w:pPr>
              <w:jc w:val="center"/>
              <w:ind w:left="370"/>
              <w:spacing w:after="0"/>
              <w:rPr>
                <w:sz w:val="20"/>
                <w:szCs w:val="20"/>
                <w:color w:val="auto"/>
              </w:rPr>
            </w:pPr>
            <w:r>
              <w:rPr>
                <w:rFonts w:ascii="Times New Roman" w:cs="Times New Roman" w:eastAsia="Times New Roman" w:hAnsi="Times New Roman"/>
                <w:sz w:val="14"/>
                <w:szCs w:val="14"/>
                <w:color w:val="auto"/>
                <w:w w:val="99"/>
              </w:rPr>
              <w:t>5.25%</w:t>
            </w:r>
          </w:p>
        </w:tc>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M: authorized 13,800,000 shares/units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308,946</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12,780,000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1.3125</w:t>
            </w:r>
          </w:p>
        </w:tc>
        <w:tc>
          <w:tcPr>
            <w:tcW w:w="0" w:type="dxa"/>
            <w:vAlign w:val="bottom"/>
          </w:tcPr>
          <w:p>
            <w:pPr>
              <w:spacing w:after="0"/>
              <w:rPr>
                <w:sz w:val="1"/>
                <w:szCs w:val="1"/>
                <w:color w:val="auto"/>
              </w:rPr>
            </w:pPr>
          </w:p>
        </w:tc>
      </w:tr>
      <w:tr>
        <w:trPr>
          <w:trHeight w:val="204"/>
        </w:trPr>
        <w:tc>
          <w:tcPr>
            <w:tcW w:w="84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4"/>
                <w:szCs w:val="14"/>
                <w:color w:val="auto"/>
                <w:w w:val="99"/>
              </w:rPr>
              <w:t>5.25%</w:t>
            </w: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N: authorized 12,000,000 shares/units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291,134</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1.3125</w:t>
            </w:r>
          </w:p>
        </w:tc>
        <w:tc>
          <w:tcPr>
            <w:tcW w:w="0" w:type="dxa"/>
            <w:vAlign w:val="bottom"/>
          </w:tcPr>
          <w:p>
            <w:pPr>
              <w:spacing w:after="0"/>
              <w:rPr>
                <w:sz w:val="1"/>
                <w:szCs w:val="1"/>
                <w:color w:val="auto"/>
              </w:rPr>
            </w:pPr>
          </w:p>
        </w:tc>
      </w:tr>
      <w:tr>
        <w:trPr>
          <w:trHeight w:val="190"/>
        </w:trPr>
        <w:tc>
          <w:tcPr>
            <w:tcW w:w="840" w:type="dxa"/>
            <w:vAlign w:val="bottom"/>
            <w:tcBorders>
              <w:bottom w:val="single" w:sz="8" w:color="CCEEFF"/>
            </w:tcBorders>
          </w:tcPr>
          <w:p>
            <w:pPr>
              <w:jc w:val="center"/>
              <w:ind w:left="370"/>
              <w:spacing w:after="0"/>
              <w:rPr>
                <w:sz w:val="20"/>
                <w:szCs w:val="20"/>
                <w:color w:val="auto"/>
              </w:rPr>
            </w:pPr>
            <w:r>
              <w:rPr>
                <w:rFonts w:ascii="Times New Roman" w:cs="Times New Roman" w:eastAsia="Times New Roman" w:hAnsi="Times New Roman"/>
                <w:sz w:val="14"/>
                <w:szCs w:val="14"/>
                <w:color w:val="auto"/>
                <w:w w:val="99"/>
              </w:rPr>
              <w:t>4.45%</w:t>
            </w:r>
          </w:p>
        </w:tc>
        <w:tc>
          <w:tcPr>
            <w:tcW w:w="3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Series O: authorized 12,000,000 shares/units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291,153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291,153</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12,000,000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1.1125</w:t>
            </w:r>
          </w:p>
        </w:tc>
        <w:tc>
          <w:tcPr>
            <w:tcW w:w="0" w:type="dxa"/>
            <w:vAlign w:val="bottom"/>
          </w:tcPr>
          <w:p>
            <w:pPr>
              <w:spacing w:after="0"/>
              <w:rPr>
                <w:sz w:val="1"/>
                <w:szCs w:val="1"/>
                <w:color w:val="auto"/>
              </w:rPr>
            </w:pPr>
          </w:p>
        </w:tc>
      </w:tr>
      <w:tr>
        <w:trPr>
          <w:trHeight w:val="215"/>
        </w:trPr>
        <w:tc>
          <w:tcPr>
            <w:tcW w:w="840" w:type="dxa"/>
            <w:vAlign w:val="bottom"/>
            <w:tcBorders>
              <w:bottom w:val="single" w:sz="8" w:color="CCEEFF"/>
            </w:tcBorders>
            <w:shd w:val="clear" w:color="auto" w:fill="CCEEFF"/>
          </w:tcPr>
          <w:p>
            <w:pPr>
              <w:spacing w:after="0"/>
              <w:rPr>
                <w:sz w:val="18"/>
                <w:szCs w:val="18"/>
                <w:color w:val="auto"/>
              </w:rPr>
            </w:pPr>
          </w:p>
        </w:tc>
        <w:tc>
          <w:tcPr>
            <w:tcW w:w="3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1,182,345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1,182,364</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48,788,450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48,789,180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22" w:lineRule="exact"/>
        <w:rPr>
          <w:sz w:val="20"/>
          <w:szCs w:val="20"/>
          <w:color w:val="auto"/>
        </w:rPr>
      </w:pPr>
    </w:p>
    <w:p>
      <w:pPr>
        <w:ind w:left="320" w:hanging="315"/>
        <w:spacing w:after="0"/>
        <w:tabs>
          <w:tab w:leader="none" w:pos="320"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Dividends on preferred shares and distributions on preferred units are cumulative and are payable quarterly in arrears.</w:t>
      </w:r>
    </w:p>
    <w:p>
      <w:pPr>
        <w:spacing w:after="0" w:line="6" w:lineRule="exact"/>
        <w:rPr>
          <w:rFonts w:ascii="Times New Roman" w:cs="Times New Roman" w:eastAsia="Times New Roman" w:hAnsi="Times New Roman"/>
          <w:sz w:val="14"/>
          <w:szCs w:val="14"/>
          <w:b w:val="1"/>
          <w:bCs w:val="1"/>
          <w:color w:val="auto"/>
        </w:rPr>
      </w:pPr>
    </w:p>
    <w:p>
      <w:pPr>
        <w:ind w:left="320" w:hanging="315"/>
        <w:spacing w:after="0" w:line="246" w:lineRule="auto"/>
        <w:tabs>
          <w:tab w:leader="none" w:pos="312"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Redeemable at the option of Vornado under certain circumstances, at a redemption price of 1.9531 common shares/Class A units per Series A preferred share/unit plus accrued and unpaid dividends/distributions through the date of redemption, or convertible at any time at the option of the holder for 1.9531 common shares/Class A units per Series A preferred share/unit.</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line="261" w:lineRule="auto"/>
        <w:tabs>
          <w:tab w:leader="none" w:pos="312"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Series L, Series M and Series N preferred shares/units are redeemable at Vornado's option at a redemption price of $25.00 per share/unit, plus accrued and unpaid dividends/distributions through the date of redemption. Series O preferred shares/units are redeemable commencing September 2026 at a redemption price of $25.00 per share/unit.</w:t>
      </w:r>
    </w:p>
    <w:p>
      <w:pPr>
        <w:spacing w:after="0" w:line="29" w:lineRule="exact"/>
        <w:rPr>
          <w:sz w:val="20"/>
          <w:szCs w:val="20"/>
          <w:color w:val="auto"/>
        </w:rPr>
      </w:pPr>
    </w:p>
    <w:p>
      <w:pPr>
        <w:ind w:left="440" w:hanging="435"/>
        <w:spacing w:after="0"/>
        <w:tabs>
          <w:tab w:leader="none" w:pos="44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Vornado’s 2023 Omnibus Share Plan (the “Plan”) provides the Compensation Committee of Vornado’s Board of Trustees (the “Compensation Committee”) the ability to grant incentive and non-qualified Vornado stock options, restricted Vornado common shares, restricted Operating Partnership units (“LTIP Units”), out-performance plan awards (“OPP Units”), appreciation-only long-term incentive plan units (“AO LTIP Units”), performance conditioned appreciation-only long-term incentive plan units (“Performance AO LTIP Units”), and long-term performance plan units (“LTPP Units”) to certain of our employees and officers.</w:t>
      </w:r>
    </w:p>
    <w:p>
      <w:pPr>
        <w:spacing w:after="0" w:line="1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Under the Plan, awards may be granted up to a maximum 10,800,000 shares, if all awards granted are Full Value awards, as defined in the Plan, and up to 21,600,000 shares, if all of the awards granted are Not Full Value Awards, as defined in the Plan. Full Value Awards are securities that have a value equivalent to the underlying Vornado common share or Class A unit of the Operating Partnership, such as restricted Vornado common shares or LTIP Units. Vornado stock options, AO LTIP Units and Performance AO LTIP Units are Not Full Value Awards; these securities require the payment of an exercise price. As of December 31, 2025, Vornado had approximately 1,701,000 shares available for future grants under the Plan, if all awards granted are Full Value Awards,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96" w:name="page97"/>
    <w:bookmarkEnd w:id="96"/>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12.</w:t>
        <w:tab/>
        <w:t>Stock-based Compensation - continued</w:t>
      </w:r>
    </w:p>
    <w:p>
      <w:pPr>
        <w:spacing w:after="0" w:line="68"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We account for forfeitures as they occur and any previously recognized compensation cost is reversed in the period that an award is forfeited. Below is a summary of our stock-based compensation expense, a component of "general and administrative" expense on our consolidated statements of income.</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(Amounts in thousands)</w:t>
            </w:r>
          </w:p>
        </w:tc>
        <w:tc>
          <w:tcPr>
            <w:tcW w:w="780" w:type="dxa"/>
            <w:vAlign w:val="bottom"/>
          </w:tcPr>
          <w:p>
            <w:pPr>
              <w:spacing w:after="0"/>
              <w:rPr>
                <w:sz w:val="16"/>
                <w:szCs w:val="16"/>
                <w:color w:val="auto"/>
              </w:rPr>
            </w:pPr>
          </w:p>
        </w:tc>
        <w:tc>
          <w:tcPr>
            <w:tcW w:w="230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8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72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LTIP Units</w:t>
            </w:r>
          </w:p>
        </w:tc>
        <w:tc>
          <w:tcPr>
            <w:tcW w:w="7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8"/>
              </w:rPr>
              <w:t>12,090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22,179</w:t>
            </w:r>
          </w:p>
        </w:tc>
      </w:tr>
      <w:tr>
        <w:trPr>
          <w:trHeight w:val="189"/>
        </w:trPr>
        <w:tc>
          <w:tcPr>
            <w:tcW w:w="7240" w:type="dxa"/>
            <w:vAlign w:val="bottom"/>
          </w:tcPr>
          <w:p>
            <w:pPr>
              <w:spacing w:after="0"/>
              <w:rPr>
                <w:sz w:val="20"/>
                <w:szCs w:val="20"/>
                <w:color w:val="auto"/>
              </w:rPr>
            </w:pPr>
            <w:r>
              <w:rPr>
                <w:rFonts w:ascii="Times New Roman" w:cs="Times New Roman" w:eastAsia="Times New Roman" w:hAnsi="Times New Roman"/>
                <w:sz w:val="14"/>
                <w:szCs w:val="14"/>
                <w:color w:val="auto"/>
              </w:rPr>
              <w:t>Performance AO LTIP Units</w:t>
            </w:r>
          </w:p>
        </w:tc>
        <w:tc>
          <w:tcPr>
            <w:tcW w:w="780" w:type="dxa"/>
            <w:vAlign w:val="bottom"/>
          </w:tcPr>
          <w:p>
            <w:pPr>
              <w:spacing w:after="0"/>
              <w:rPr>
                <w:sz w:val="16"/>
                <w:szCs w:val="16"/>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98"/>
              </w:rPr>
              <w:t>11,103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11,426</w:t>
            </w:r>
          </w:p>
        </w:tc>
      </w:tr>
      <w:tr>
        <w:trPr>
          <w:trHeight w:val="204"/>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LTPP Units</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7,189</w:t>
            </w:r>
          </w:p>
        </w:tc>
      </w:tr>
      <w:tr>
        <w:trPr>
          <w:trHeight w:val="189"/>
        </w:trPr>
        <w:tc>
          <w:tcPr>
            <w:tcW w:w="7240" w:type="dxa"/>
            <w:vAlign w:val="bottom"/>
          </w:tcPr>
          <w:p>
            <w:pPr>
              <w:spacing w:after="0"/>
              <w:rPr>
                <w:sz w:val="20"/>
                <w:szCs w:val="20"/>
                <w:color w:val="auto"/>
              </w:rPr>
            </w:pPr>
            <w:r>
              <w:rPr>
                <w:rFonts w:ascii="Times New Roman" w:cs="Times New Roman" w:eastAsia="Times New Roman" w:hAnsi="Times New Roman"/>
                <w:sz w:val="14"/>
                <w:szCs w:val="14"/>
                <w:color w:val="auto"/>
              </w:rPr>
              <w:t>OPP Units</w:t>
            </w:r>
          </w:p>
        </w:tc>
        <w:tc>
          <w:tcPr>
            <w:tcW w:w="780" w:type="dxa"/>
            <w:vAlign w:val="bottom"/>
          </w:tcPr>
          <w:p>
            <w:pPr>
              <w:spacing w:after="0"/>
              <w:rPr>
                <w:sz w:val="16"/>
                <w:szCs w:val="16"/>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1,992</w:t>
            </w:r>
          </w:p>
        </w:tc>
      </w:tr>
      <w:tr>
        <w:trPr>
          <w:trHeight w:val="204"/>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Vornado stock options</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162</w:t>
            </w:r>
          </w:p>
        </w:tc>
      </w:tr>
      <w:tr>
        <w:trPr>
          <w:trHeight w:val="189"/>
        </w:trPr>
        <w:tc>
          <w:tcPr>
            <w:tcW w:w="7240" w:type="dxa"/>
            <w:vAlign w:val="bottom"/>
          </w:tcPr>
          <w:p>
            <w:pPr>
              <w:spacing w:after="0"/>
              <w:rPr>
                <w:sz w:val="20"/>
                <w:szCs w:val="20"/>
                <w:color w:val="auto"/>
              </w:rPr>
            </w:pPr>
            <w:r>
              <w:rPr>
                <w:rFonts w:ascii="Times New Roman" w:cs="Times New Roman" w:eastAsia="Times New Roman" w:hAnsi="Times New Roman"/>
                <w:sz w:val="14"/>
                <w:szCs w:val="14"/>
                <w:color w:val="auto"/>
              </w:rPr>
              <w:t>Vornado restricted stock</w:t>
            </w:r>
          </w:p>
        </w:tc>
        <w:tc>
          <w:tcPr>
            <w:tcW w:w="7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159</w:t>
            </w:r>
          </w:p>
        </w:tc>
      </w:tr>
      <w:tr>
        <w:trPr>
          <w:trHeight w:val="197"/>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AO LTIP Units</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94</w:t>
            </w:r>
          </w:p>
        </w:tc>
      </w:tr>
      <w:tr>
        <w:trPr>
          <w:trHeight w:val="190"/>
        </w:trPr>
        <w:tc>
          <w:tcPr>
            <w:tcW w:w="724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98"/>
              </w:rPr>
              <w:t>25,479</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30,172</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43,201</w:t>
            </w:r>
          </w:p>
        </w:tc>
      </w:tr>
      <w:tr>
        <w:trPr>
          <w:trHeight w:val="26"/>
        </w:trPr>
        <w:tc>
          <w:tcPr>
            <w:tcW w:w="7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summary of unrecognized stock-based compensation expense as of December 31, 2025.</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33"/>
        </w:trPr>
        <w:tc>
          <w:tcPr>
            <w:tcW w:w="7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As of December 31, 2025</w:t>
            </w:r>
          </w:p>
        </w:tc>
        <w:tc>
          <w:tcPr>
            <w:tcW w:w="10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Remaining Amortization</w:t>
            </w:r>
          </w:p>
        </w:tc>
        <w:tc>
          <w:tcPr>
            <w:tcW w:w="0" w:type="dxa"/>
            <w:vAlign w:val="bottom"/>
          </w:tcPr>
          <w:p>
            <w:pPr>
              <w:spacing w:after="0"/>
              <w:rPr>
                <w:sz w:val="1"/>
                <w:szCs w:val="1"/>
                <w:color w:val="auto"/>
              </w:rPr>
            </w:pPr>
          </w:p>
        </w:tc>
      </w:tr>
      <w:tr>
        <w:trPr>
          <w:trHeight w:val="184"/>
        </w:trPr>
        <w:tc>
          <w:tcPr>
            <w:tcW w:w="7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23"/>
        </w:trPr>
        <w:tc>
          <w:tcPr>
            <w:tcW w:w="7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AO LTIP Units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13,124</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auto"/>
              </w:rPr>
              <w:t>LTIP Units</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7"/>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LTPP Units</w:t>
            </w:r>
          </w:p>
        </w:tc>
        <w:tc>
          <w:tcPr>
            <w:tcW w:w="1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76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LTPP Units</w:t>
      </w:r>
    </w:p>
    <w:p>
      <w:pPr>
        <w:spacing w:after="0" w:line="68"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LTPP Units are multi-year, LTIP units-based performance equity compensation plans. Awards granted under the LTPP are bifurcated between operational performance (50%) and relative performance (50%) measurements and may be earned at specified threshold, target and maximum levels.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operational component awards may be earned based on Vornado’s operational performance in the following categories:</w:t>
      </w:r>
    </w:p>
    <w:p>
      <w:pPr>
        <w:spacing w:after="0" w:line="66" w:lineRule="exact"/>
        <w:rPr>
          <w:sz w:val="20"/>
          <w:szCs w:val="20"/>
          <w:color w:val="auto"/>
        </w:rPr>
      </w:pPr>
    </w:p>
    <w:p>
      <w:pPr>
        <w:ind w:left="620" w:hanging="301"/>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FFO, as adjusted per share (75% weighting); and</w:t>
      </w:r>
    </w:p>
    <w:p>
      <w:pPr>
        <w:spacing w:after="0" w:line="66" w:lineRule="exact"/>
        <w:rPr>
          <w:rFonts w:ascii="Times New Roman" w:cs="Times New Roman" w:eastAsia="Times New Roman" w:hAnsi="Times New Roman"/>
          <w:sz w:val="17"/>
          <w:szCs w:val="17"/>
          <w:color w:val="auto"/>
        </w:rPr>
      </w:pPr>
    </w:p>
    <w:p>
      <w:pPr>
        <w:ind w:left="640" w:hanging="321"/>
        <w:spacing w:after="0" w:line="289" w:lineRule="auto"/>
        <w:tabs>
          <w:tab w:leader="none" w:pos="63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Sustainability performance metrics consisting of greenhouse emissions reductions, GRESB score and Green Building Certification (LEED) achievements (aggregate 25% weighting).</w:t>
      </w:r>
    </w:p>
    <w:p>
      <w:pPr>
        <w:spacing w:after="0" w:line="1"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Any LTPP award units tentatively earned based on Vornado’s operational performance are subject to an absolute return modifier pursuant to which such award units are subject to a potential reduction (but not increase) of up to 30% if Vornado’s three-year total shareholder return (“TSR”) is below specified levels.</w:t>
      </w:r>
    </w:p>
    <w:p>
      <w:pPr>
        <w:spacing w:after="0" w:line="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Awards under relative components may be earned based on Vornado’s three-year TSR, measured against the Dow Jones U.S. Real Estate Office Index (50% weighting) and a Northeast peer group custom index (50% weighting). Awards earned under the relative component of the LTPP are subject to reductions of up to 30% if Vornado’s three-year TSR is below specified levels.</w:t>
      </w:r>
    </w:p>
    <w:p>
      <w:pPr>
        <w:spacing w:after="0" w:line="7"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In total, 653,779 units were earned under the 2023 LTPP plan which includes 437,642 units earned in February 2026. The units earned under the 2023 LTPP will vest 50% in January 2026 and 50% in January 2027. In total, 240,027 units were earned under the 2022 LTPP plan, which includes 168,371 units earned in February 2025. For the 2022 LTPP, 50% of the awards earned vested in January 2025 and the remaining 50% will vest in January 2026. In addition, the Chief Executive Officer is required to hold any earned and vested awards for three years following each such vesting date and all other award recipients are required to hold such awards for one year following each such vesting date. Dividends on awards granted under the LTPP accrue during the applicable performance period and are paid to participants if awards are ultimately earned based on the achievement of the designated performance objectives.</w:t>
      </w:r>
    </w:p>
    <w:p>
      <w:pPr>
        <w:spacing w:after="0" w:line="15"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There were no LTPP Units granted during the years ended December 31, 2025 and 2024. LTPP Units granted during the year ended December 31, 2023 had a grant date fair value of $9,491,000, of which $4,670,000 was immediately expensed on the respective grant date due to acceleration of vesting for employees who are retirement eligible (have reached age 65 or age 60 with at least 20 years of service).</w:t>
      </w: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97" w:name="page98"/>
    <w:bookmarkEnd w:id="97"/>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20" w:right="7860" w:hanging="315"/>
        <w:spacing w:after="0" w:line="322" w:lineRule="auto"/>
        <w:tabs>
          <w:tab w:leader="none" w:pos="442"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 continued </w:t>
      </w:r>
      <w:r>
        <w:rPr>
          <w:rFonts w:ascii="Times New Roman" w:cs="Times New Roman" w:eastAsia="Times New Roman" w:hAnsi="Times New Roman"/>
          <w:sz w:val="17"/>
          <w:szCs w:val="17"/>
          <w:i w:val="1"/>
          <w:iCs w:val="1"/>
          <w:color w:val="auto"/>
        </w:rPr>
        <w:t>OPP Units</w:t>
      </w:r>
    </w:p>
    <w:p>
      <w:pPr>
        <w:spacing w:after="0" w:line="1"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OPP Units are multi-year, performance-based equity compensation plans under which participants have the opportunity to earn a class of units of the Operating Partnership if, and only if, Vornado outperforms a predetermined TSR and/or outperforms the market with respect to a relative TSR during the four-year performance period. OPP units, if earned, become convertible into Class A units of the Operating Partnership (and ultimately into Vornado common shares) following vesting.</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have been no OPP units granted since 2021.</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February 2025, 827,644 units were earned under the 2021 OPP plan.</w:t>
      </w:r>
    </w:p>
    <w:p>
      <w:pPr>
        <w:spacing w:after="0" w:line="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Vornado Stock Options</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Vornado stock options are granted at an exercise price equal to the average of the high and low market price of Vornado’s common shares on the NYSE on the date of grant, generally vest over four years and expire ten years from the date of grant. Compensation expense related to Vornado stock option awards is recognized on a straight-line basis over the vesting period.</w:t>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summary of Vornado’s stock option activity for the year ended December 31, 2025.</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1"/>
        </w:trPr>
        <w:tc>
          <w:tcPr>
            <w:tcW w:w="6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left="31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4"/>
        </w:trPr>
        <w:tc>
          <w:tcPr>
            <w:tcW w:w="6920" w:type="dxa"/>
            <w:vAlign w:val="bottom"/>
          </w:tcPr>
          <w:p>
            <w:pPr>
              <w:spacing w:after="0"/>
              <w:rPr>
                <w:sz w:val="12"/>
                <w:szCs w:val="12"/>
                <w:color w:val="auto"/>
              </w:rPr>
            </w:pPr>
          </w:p>
        </w:tc>
        <w:tc>
          <w:tcPr>
            <w:tcW w:w="14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ind w:left="33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0" w:type="dxa"/>
            <w:vAlign w:val="bottom"/>
          </w:tcPr>
          <w:p>
            <w:pPr>
              <w:spacing w:after="0"/>
              <w:rPr>
                <w:sz w:val="1"/>
                <w:szCs w:val="1"/>
                <w:color w:val="auto"/>
              </w:rPr>
            </w:pPr>
          </w:p>
        </w:tc>
      </w:tr>
      <w:tr>
        <w:trPr>
          <w:trHeight w:val="191"/>
        </w:trPr>
        <w:tc>
          <w:tcPr>
            <w:tcW w:w="69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980" w:type="dxa"/>
            <w:vAlign w:val="bottom"/>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9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140,989</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64.61</w:t>
            </w: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36.26</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82.38</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124,605</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62.70</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exercisable as of December 31,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124,605</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62.70</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have been no Vornado stock options granted since 2020.</w:t>
      </w:r>
    </w:p>
    <w:p>
      <w:pPr>
        <w:spacing w:after="0" w:line="6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Cash received from Vornado stock option exercises for the year ended December 31, 2025 was $42,000. There were no Vornado stock options exercised during the years ended December 31, 2024 and 2023. The total intrinsic value of Vornado stock options exercised during the year ended December 31, 2025 was $6,000. As of December 31, 2025, the aggregate intrinsic value of outstanding and exercisable Vornado stock options was $0.</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Performance AO LTIP Units</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Performance AO LTIP Units are AO LTIP Units that require the achievement of certain performance conditions by a specified date or they are forfeited. If the performance conditions are met, once vested, the awards may be converted into Class A Operating Partnership units in the same manner as AO LTIP Units until ten years from the date of grant.</w:t>
      </w:r>
    </w:p>
    <w:p>
      <w:pPr>
        <w:spacing w:after="0" w:line="7" w:lineRule="exact"/>
        <w:rPr>
          <w:sz w:val="20"/>
          <w:szCs w:val="20"/>
          <w:color w:val="auto"/>
        </w:rPr>
      </w:pPr>
    </w:p>
    <w:p>
      <w:pPr>
        <w:jc w:val="both"/>
        <w:ind w:firstLine="314"/>
        <w:spacing w:after="0" w:line="266" w:lineRule="auto"/>
        <w:rPr>
          <w:sz w:val="20"/>
          <w:szCs w:val="20"/>
          <w:color w:val="auto"/>
        </w:rPr>
      </w:pPr>
      <w:r>
        <w:rPr>
          <w:rFonts w:ascii="Times New Roman" w:cs="Times New Roman" w:eastAsia="Times New Roman" w:hAnsi="Times New Roman"/>
          <w:sz w:val="17"/>
          <w:szCs w:val="17"/>
          <w:color w:val="auto"/>
        </w:rPr>
        <w:t>On June 29, 2023, the Committee granted Performance AO LTIP Units to a broad group of employees of the Company including its named executive officers. Each Performance AO LTIP Unit is potentially convertible into a number of Class A Units, determined by reference to the excess of the closing market price of Vornado common shares on the NYSE on the date of conversion over $16.68. During 2024, the performance conditions under the 2023 Performance AO LTIP plan were satisfied in full following a greater than 75% increase in the share price above the grant date share price. As of December 31, 2025, the aggregate intrinsic value of outstanding Performance AO LTIP Units was $240,472,000. The 2023 Performance AO LTIP units remain subject to time-based vesting requirements.</w:t>
      </w:r>
    </w:p>
    <w:p>
      <w:pPr>
        <w:spacing w:after="0" w:line="227"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The 2023 Performance AO LTIP Units will vest with respect to 20% on the 3rd anniversary of the Grant Date, and the remaining 80% will vest on the 4th anniversary of the Grant Date, subject to the recipient’s continued employment with the Company.</w:t>
      </w:r>
    </w:p>
    <w:p>
      <w:pPr>
        <w:spacing w:after="0" w:line="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Performance AO LTIP Units granted during the year ended December 31, 2023 had a fair value of $48,710,000. The fair value of each Performance AO LTIP Unit granted was estimated on the date of grant using an option-pricing model with the following weighted-average assumptions for grants in the year ended December 31, 2023:</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5460" w:type="dxa"/>
            <w:vAlign w:val="bottom"/>
            <w:shd w:val="clear" w:color="auto" w:fill="CCEEFF"/>
          </w:tcPr>
          <w:p>
            <w:pPr>
              <w:jc w:val="center"/>
              <w:ind w:left="3530"/>
              <w:spacing w:after="0"/>
              <w:rPr>
                <w:sz w:val="20"/>
                <w:szCs w:val="20"/>
                <w:color w:val="auto"/>
              </w:rPr>
            </w:pPr>
            <w:r>
              <w:rPr>
                <w:rFonts w:ascii="Times New Roman" w:cs="Times New Roman" w:eastAsia="Times New Roman" w:hAnsi="Times New Roman"/>
                <w:sz w:val="14"/>
                <w:szCs w:val="14"/>
                <w:color w:val="auto"/>
              </w:rPr>
              <w:t>33%</w:t>
            </w:r>
          </w:p>
        </w:tc>
      </w:tr>
      <w:tr>
        <w:trPr>
          <w:trHeight w:val="189"/>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 free interest rate</w:t>
            </w:r>
          </w:p>
        </w:tc>
        <w:tc>
          <w:tcPr>
            <w:tcW w:w="5460" w:type="dxa"/>
            <w:vAlign w:val="bottom"/>
          </w:tcPr>
          <w:p>
            <w:pPr>
              <w:jc w:val="center"/>
              <w:ind w:left="3530"/>
              <w:spacing w:after="0"/>
              <w:rPr>
                <w:sz w:val="20"/>
                <w:szCs w:val="20"/>
                <w:color w:val="auto"/>
              </w:rPr>
            </w:pPr>
            <w:r>
              <w:rPr>
                <w:rFonts w:ascii="Times New Roman" w:cs="Times New Roman" w:eastAsia="Times New Roman" w:hAnsi="Times New Roman"/>
                <w:sz w:val="14"/>
                <w:szCs w:val="14"/>
                <w:color w:val="auto"/>
                <w:w w:val="96"/>
              </w:rPr>
              <w:t>4%</w:t>
            </w:r>
          </w:p>
        </w:tc>
      </w:tr>
      <w:tr>
        <w:trPr>
          <w:trHeight w:val="204"/>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5460" w:type="dxa"/>
            <w:vAlign w:val="bottom"/>
            <w:shd w:val="clear" w:color="auto" w:fill="CCEEFF"/>
          </w:tcPr>
          <w:p>
            <w:pPr>
              <w:jc w:val="center"/>
              <w:ind w:left="3530"/>
              <w:spacing w:after="0"/>
              <w:rPr>
                <w:sz w:val="20"/>
                <w:szCs w:val="20"/>
                <w:color w:val="auto"/>
              </w:rPr>
            </w:pPr>
            <w:r>
              <w:rPr>
                <w:rFonts w:ascii="Times New Roman" w:cs="Times New Roman" w:eastAsia="Times New Roman" w:hAnsi="Times New Roman"/>
                <w:sz w:val="14"/>
                <w:szCs w:val="14"/>
                <w:color w:val="auto"/>
                <w:w w:val="96"/>
              </w:rPr>
              <w:t>6%</w:t>
            </w:r>
          </w:p>
        </w:tc>
      </w:tr>
    </w:tbl>
    <w:p>
      <w:pPr>
        <w:spacing w:after="0" w:line="200" w:lineRule="exact"/>
        <w:rPr>
          <w:sz w:val="20"/>
          <w:szCs w:val="20"/>
          <w:color w:val="auto"/>
        </w:rPr>
      </w:pP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98" w:name="page99"/>
    <w:bookmarkEnd w:id="98"/>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20" w:right="7860" w:hanging="315"/>
        <w:spacing w:after="0" w:line="322" w:lineRule="auto"/>
        <w:tabs>
          <w:tab w:leader="none" w:pos="442"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 continued </w:t>
      </w:r>
      <w:r>
        <w:rPr>
          <w:rFonts w:ascii="Times New Roman" w:cs="Times New Roman" w:eastAsia="Times New Roman" w:hAnsi="Times New Roman"/>
          <w:sz w:val="17"/>
          <w:szCs w:val="17"/>
          <w:i w:val="1"/>
          <w:iCs w:val="1"/>
          <w:color w:val="auto"/>
        </w:rPr>
        <w:t>Performance AO LTIP Units - continued</w:t>
      </w:r>
    </w:p>
    <w:p>
      <w:pPr>
        <w:spacing w:after="0" w:line="1"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Below is a summary of Performance AO LTIP Units activity for the year ended December 31, 2025.</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1"/>
        </w:trPr>
        <w:tc>
          <w:tcPr>
            <w:tcW w:w="6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left="31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4"/>
        </w:trPr>
        <w:tc>
          <w:tcPr>
            <w:tcW w:w="6920" w:type="dxa"/>
            <w:vAlign w:val="bottom"/>
          </w:tcPr>
          <w:p>
            <w:pPr>
              <w:spacing w:after="0"/>
              <w:rPr>
                <w:sz w:val="12"/>
                <w:szCs w:val="12"/>
                <w:color w:val="auto"/>
              </w:rPr>
            </w:pPr>
          </w:p>
        </w:tc>
        <w:tc>
          <w:tcPr>
            <w:tcW w:w="14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ind w:left="33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0" w:type="dxa"/>
            <w:vAlign w:val="bottom"/>
          </w:tcPr>
          <w:p>
            <w:pPr>
              <w:spacing w:after="0"/>
              <w:rPr>
                <w:sz w:val="1"/>
                <w:szCs w:val="1"/>
                <w:color w:val="auto"/>
              </w:rPr>
            </w:pPr>
          </w:p>
        </w:tc>
      </w:tr>
      <w:tr>
        <w:trPr>
          <w:trHeight w:val="191"/>
        </w:trPr>
        <w:tc>
          <w:tcPr>
            <w:tcW w:w="69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980" w:type="dxa"/>
            <w:vAlign w:val="bottom"/>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9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14,484,260</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16.68</w:t>
            </w: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14,484,260</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16.68</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exercisable as of December 31,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AO LTIP Units</w:t>
      </w:r>
    </w:p>
    <w:p>
      <w:pPr>
        <w:spacing w:after="0" w:line="68"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AO LTIP Units are a class of partnership interests in the Operating Partnership that are intended to qualify as “profits interests” for federal income tax purposes and generally only allow the recipient to realize value to the extent the fair market value of a Vornado common share exceeds the threshold level set at the time the AO LTIP Units are granted, subject to any vesting conditions applicable to the award. The threshold level is intended to be equal to 100% of the then fair market value of a Vornado common share on the date of grant. The value of vested AO LTIP Units is realized through conversion of the AO LTIP Units into Class A Operating Partnership units. AO LTIP Units have a term of ten years from the grant date. Each holder will generally receive special income allocations in respect of an AO LTIP Unit equal to 10% (or such other percentage specified in the applicable award agreement) of the income allocated in respect of a Class A Unit. Upon conversion of AO LTIP Units to Class A Units, holders will be entitled to receive in respect of each such AO LTIP Unit, on a per unit basis, a special distribution equal to 10% (or such other percentage specified in the applicable award agreement) of the distributions received by a holder of an equivalent number of Class A Units during the period from the grant date of the AO LTIP Units through the date of conversion.</w:t>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summary of AO LTIP Units activity for the year ended December 31, 2025.</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1"/>
        </w:trPr>
        <w:tc>
          <w:tcPr>
            <w:tcW w:w="6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6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31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4"/>
        </w:trPr>
        <w:tc>
          <w:tcPr>
            <w:tcW w:w="6920" w:type="dxa"/>
            <w:vAlign w:val="bottom"/>
          </w:tcPr>
          <w:p>
            <w:pPr>
              <w:spacing w:after="0"/>
              <w:rPr>
                <w:sz w:val="12"/>
                <w:szCs w:val="12"/>
                <w:color w:val="auto"/>
              </w:rPr>
            </w:pPr>
          </w:p>
        </w:tc>
        <w:tc>
          <w:tcPr>
            <w:tcW w:w="14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ind w:left="33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0" w:type="dxa"/>
            <w:vAlign w:val="bottom"/>
          </w:tcPr>
          <w:p>
            <w:pPr>
              <w:spacing w:after="0"/>
              <w:rPr>
                <w:sz w:val="1"/>
                <w:szCs w:val="1"/>
                <w:color w:val="auto"/>
              </w:rPr>
            </w:pPr>
          </w:p>
        </w:tc>
      </w:tr>
      <w:tr>
        <w:trPr>
          <w:trHeight w:val="190"/>
        </w:trPr>
        <w:tc>
          <w:tcPr>
            <w:tcW w:w="69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980" w:type="dxa"/>
            <w:vAlign w:val="bottom"/>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535,867</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59.52</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535,867</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59.52</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exercisable as of December 31,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535,867</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59.52</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both"/>
        <w:ind w:firstLine="314"/>
        <w:spacing w:after="0" w:line="288" w:lineRule="auto"/>
        <w:rPr>
          <w:sz w:val="20"/>
          <w:szCs w:val="20"/>
          <w:color w:val="auto"/>
        </w:rPr>
      </w:pPr>
      <w:r>
        <w:rPr>
          <w:rFonts w:ascii="Times New Roman" w:cs="Times New Roman" w:eastAsia="Times New Roman" w:hAnsi="Times New Roman"/>
          <w:sz w:val="17"/>
          <w:szCs w:val="17"/>
          <w:color w:val="auto"/>
        </w:rPr>
        <w:t>There were no AO LTIP Units granted since 2020. As of December 31, 2025, the aggregate intrinsic value of outstanding and exercisable AO LTIP Units was $0.</w:t>
      </w:r>
    </w:p>
    <w:p>
      <w:pPr>
        <w:ind w:left="320"/>
        <w:spacing w:after="0"/>
        <w:rPr>
          <w:sz w:val="20"/>
          <w:szCs w:val="20"/>
          <w:color w:val="auto"/>
        </w:rPr>
      </w:pPr>
      <w:r>
        <w:rPr>
          <w:rFonts w:ascii="Times New Roman" w:cs="Times New Roman" w:eastAsia="Times New Roman" w:hAnsi="Times New Roman"/>
          <w:sz w:val="17"/>
          <w:szCs w:val="17"/>
          <w:i w:val="1"/>
          <w:iCs w:val="1"/>
          <w:color w:val="auto"/>
        </w:rPr>
        <w:t>LTIP Units</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LTIP Units are granted at the average of the high and low market price of Vornado’s common shares on the NYSE on the date of grant, generally vest over a period of three to four years, and are subject to a taxable book-up event, as defined. Compensation expense related to LTIP Units is recognized ratably over the vesting period using a graded vesting attribution model. Distributions paid on unvested LTIP Units amounted to $1,979,000, $2,160,000 and $1,302,000 in the years ended December 31, 2025, 2024 and 2023, respectively.</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summary of restricted LTIP unit activity for the year ended December 31, 2025.</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44"/>
        </w:trPr>
        <w:tc>
          <w:tcPr>
            <w:tcW w:w="7780" w:type="dxa"/>
            <w:vAlign w:val="bottom"/>
            <w:gridSpan w:val="2"/>
            <w:vMerge w:val="restart"/>
          </w:tcPr>
          <w:p>
            <w:pPr>
              <w:ind w:left="3400"/>
              <w:spacing w:after="0"/>
              <w:rPr>
                <w:sz w:val="20"/>
                <w:szCs w:val="20"/>
                <w:color w:val="auto"/>
              </w:rPr>
            </w:pPr>
            <w:r>
              <w:rPr>
                <w:rFonts w:ascii="Times New Roman" w:cs="Times New Roman" w:eastAsia="Times New Roman" w:hAnsi="Times New Roman"/>
                <w:sz w:val="14"/>
                <w:szCs w:val="14"/>
                <w:b w:val="1"/>
                <w:bCs w:val="1"/>
                <w:color w:val="auto"/>
              </w:rPr>
              <w:t>Unvested Units</w:t>
            </w:r>
          </w:p>
        </w:tc>
        <w:tc>
          <w:tcPr>
            <w:tcW w:w="1680" w:type="dxa"/>
            <w:vAlign w:val="bottom"/>
            <w:vMerge w:val="restart"/>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ind w:right="130"/>
              <w:spacing w:after="0" w:line="144" w:lineRule="exact"/>
              <w:rPr>
                <w:sz w:val="20"/>
                <w:szCs w:val="20"/>
                <w:color w:val="auto"/>
              </w:rPr>
            </w:pPr>
            <w:r>
              <w:rPr>
                <w:rFonts w:ascii="Times New Roman" w:cs="Times New Roman" w:eastAsia="Times New Roman" w:hAnsi="Times New Roman"/>
                <w:sz w:val="14"/>
                <w:szCs w:val="14"/>
                <w:b w:val="1"/>
                <w:bCs w:val="1"/>
                <w:color w:val="auto"/>
                <w:w w:val="98"/>
              </w:rPr>
              <w:t>Grant-Date</w:t>
            </w:r>
          </w:p>
        </w:tc>
        <w:tc>
          <w:tcPr>
            <w:tcW w:w="0" w:type="dxa"/>
            <w:vAlign w:val="bottom"/>
          </w:tcPr>
          <w:p>
            <w:pPr>
              <w:spacing w:after="0"/>
              <w:rPr>
                <w:sz w:val="1"/>
                <w:szCs w:val="1"/>
                <w:color w:val="auto"/>
              </w:rPr>
            </w:pPr>
          </w:p>
        </w:tc>
      </w:tr>
      <w:tr>
        <w:trPr>
          <w:trHeight w:val="190"/>
        </w:trPr>
        <w:tc>
          <w:tcPr>
            <w:tcW w:w="778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95"/>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December 31, 2024</w:t>
            </w:r>
          </w:p>
        </w:tc>
        <w:tc>
          <w:tcPr>
            <w:tcW w:w="1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2,919,095</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0" w:type="dxa"/>
            <w:vAlign w:val="bottom"/>
          </w:tcPr>
          <w:p>
            <w:pPr>
              <w:spacing w:after="0"/>
              <w:rPr>
                <w:sz w:val="1"/>
                <w:szCs w:val="1"/>
                <w:color w:val="auto"/>
              </w:rPr>
            </w:pPr>
          </w:p>
        </w:tc>
      </w:tr>
      <w:tr>
        <w:trPr>
          <w:trHeight w:val="18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0" w:type="dxa"/>
            <w:vAlign w:val="bottom"/>
          </w:tcPr>
          <w:p>
            <w:pPr>
              <w:spacing w:after="0"/>
              <w:rPr>
                <w:sz w:val="1"/>
                <w:szCs w:val="1"/>
                <w:color w:val="auto"/>
              </w:rPr>
            </w:pPr>
          </w:p>
        </w:tc>
      </w:tr>
      <w:tr>
        <w:trPr>
          <w:trHeight w:val="197"/>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w:t>
            </w:r>
          </w:p>
        </w:tc>
        <w:tc>
          <w:tcPr>
            <w:tcW w:w="0" w:type="dxa"/>
            <w:vAlign w:val="bottom"/>
          </w:tcPr>
          <w:p>
            <w:pPr>
              <w:spacing w:after="0"/>
              <w:rPr>
                <w:sz w:val="1"/>
                <w:szCs w:val="1"/>
                <w:color w:val="auto"/>
              </w:rPr>
            </w:pPr>
          </w:p>
        </w:tc>
      </w:tr>
      <w:tr>
        <w:trPr>
          <w:trHeight w:val="196"/>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Unvested as of December 31, 2025</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2,674,091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LTIP Units granted in 2025, 2024 and 2023 had a fair value of $2,342,000, $2,104,000 and $45,468,000, respectively. The fair value of LTIP Units that vested during the years ended December 31, 2025, 2024 and 2023 was $8,949,000, $10,707,000 and $37,198,000, respectively.</w:t>
      </w: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99" w:name="page100"/>
    <w:bookmarkEnd w:id="99"/>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7900" w:firstLine="5"/>
        <w:spacing w:after="0" w:line="322" w:lineRule="auto"/>
        <w:tabs>
          <w:tab w:leader="none" w:pos="393"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Per Share and Per Class A Unit </w:t>
      </w:r>
      <w:r>
        <w:rPr>
          <w:rFonts w:ascii="Times New Roman" w:cs="Times New Roman" w:eastAsia="Times New Roman" w:hAnsi="Times New Roman"/>
          <w:sz w:val="17"/>
          <w:szCs w:val="17"/>
          <w:b w:val="1"/>
          <w:bCs w:val="1"/>
          <w:i w:val="1"/>
          <w:iCs w:val="1"/>
          <w:color w:val="auto"/>
        </w:rPr>
        <w:t>Vornado Realty Trust</w:t>
      </w:r>
    </w:p>
    <w:p>
      <w:pPr>
        <w:spacing w:after="0" w:line="1"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Basic net income per common share is computed by dividing (i) net income attributable to common stockholders after allocation of dividends and undistributed earnings to participating securities by (ii) the weighted average number of common shares outstanding for the period. Diluted earnings per share reflects the dilutive impact of potential common shares and is computed after allocation of earnings to participating securities. Vornado’s participating securities include unvested restricted common shares. Employee stock options, OPP Units, AO LTIP Units, Performance AO LTIP Units and LTPP Units are included in the calculation of diluted income per share using the treasury stock method, if the effect is dilutive. Series A convertible preferred shares, Series G-1 through G-4 convertible preferred units, and Series D-13 redeemable preferred units, are included in the calculation of diluted income per share using the if-converted method, if the effect is dilutive. Net income is allocated to redeemable Class A units of the Operating Partnership on a one-for-one basis with Vornado common shares. As such, redemption of these units for Vornado common shares would not have a dilutive effect on income per common share.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amounts)</w:t>
            </w:r>
          </w:p>
        </w:tc>
        <w:tc>
          <w:tcPr>
            <w:tcW w:w="840" w:type="dxa"/>
            <w:vAlign w:val="bottom"/>
          </w:tcPr>
          <w:p>
            <w:pPr>
              <w:spacing w:after="0"/>
              <w:rPr>
                <w:sz w:val="16"/>
                <w:szCs w:val="16"/>
                <w:color w:val="auto"/>
              </w:rPr>
            </w:pPr>
          </w:p>
        </w:tc>
        <w:tc>
          <w:tcPr>
            <w:tcW w:w="248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Vornado</w:t>
            </w:r>
          </w:p>
        </w:tc>
        <w:tc>
          <w:tcPr>
            <w:tcW w:w="8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904,955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70,387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105,494</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Preferred share dividends</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(62,104)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(62,112)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(62,116)</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842,851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43,378</w:t>
            </w:r>
          </w:p>
        </w:tc>
        <w:tc>
          <w:tcPr>
            <w:tcW w:w="0" w:type="dxa"/>
            <w:vAlign w:val="bottom"/>
          </w:tcPr>
          <w:p>
            <w:pPr>
              <w:spacing w:after="0"/>
              <w:rPr>
                <w:sz w:val="1"/>
                <w:szCs w:val="1"/>
                <w:color w:val="auto"/>
              </w:rPr>
            </w:pPr>
          </w:p>
        </w:tc>
      </w:tr>
      <w:tr>
        <w:trPr>
          <w:trHeight w:val="190"/>
        </w:trPr>
        <w:tc>
          <w:tcPr>
            <w:tcW w:w="6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Distributions and earnings allocated to unvested participating securities</w:t>
            </w:r>
          </w:p>
        </w:tc>
        <w:tc>
          <w:tcPr>
            <w:tcW w:w="8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69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Numerator for basic income per common share</w:t>
            </w: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842,851</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8,275</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43,376</w:t>
            </w:r>
          </w:p>
        </w:tc>
        <w:tc>
          <w:tcPr>
            <w:tcW w:w="0" w:type="dxa"/>
            <w:vAlign w:val="bottom"/>
          </w:tcPr>
          <w:p>
            <w:pPr>
              <w:spacing w:after="0"/>
              <w:rPr>
                <w:sz w:val="1"/>
                <w:szCs w:val="1"/>
                <w:color w:val="auto"/>
              </w:rPr>
            </w:pPr>
          </w:p>
        </w:tc>
      </w:tr>
      <w:tr>
        <w:trPr>
          <w:trHeight w:val="190"/>
        </w:trPr>
        <w:tc>
          <w:tcPr>
            <w:tcW w:w="6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Impact of assumed conversion of dilutive potential convertible securities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69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Numerator for diluted income per common share</w:t>
            </w:r>
          </w:p>
        </w:tc>
        <w:tc>
          <w:tcPr>
            <w:tcW w:w="84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844,260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9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Denominator for basic income per common share - weighted average shares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191,759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190,539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191,005</w:t>
            </w:r>
          </w:p>
        </w:tc>
        <w:tc>
          <w:tcPr>
            <w:tcW w:w="0" w:type="dxa"/>
            <w:vAlign w:val="bottom"/>
          </w:tcPr>
          <w:p>
            <w:pPr>
              <w:spacing w:after="0"/>
              <w:rPr>
                <w:sz w:val="1"/>
                <w:szCs w:val="1"/>
                <w:color w:val="auto"/>
              </w:rPr>
            </w:pPr>
          </w:p>
        </w:tc>
      </w:tr>
      <w:tr>
        <w:trPr>
          <w:trHeight w:val="196"/>
        </w:trPr>
        <w:tc>
          <w:tcPr>
            <w:tcW w:w="6940" w:type="dxa"/>
            <w:vAlign w:val="bottom"/>
          </w:tcPr>
          <w:p>
            <w:pPr>
              <w:ind w:left="100"/>
              <w:spacing w:after="0" w:line="196" w:lineRule="exact"/>
              <w:rPr>
                <w:sz w:val="20"/>
                <w:szCs w:val="20"/>
                <w:color w:val="auto"/>
              </w:rPr>
            </w:pPr>
            <w:r>
              <w:rPr>
                <w:rFonts w:ascii="Times New Roman" w:cs="Times New Roman" w:eastAsia="Times New Roman" w:hAnsi="Times New Roman"/>
                <w:sz w:val="14"/>
                <w:szCs w:val="14"/>
                <w:color w:val="auto"/>
              </w:rPr>
              <w:t>Effect of dilutive securities</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color w:val="auto"/>
              </w:rPr>
              <w:t>:</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Share-based awards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0" w:type="dxa"/>
            <w:vAlign w:val="bottom"/>
          </w:tcPr>
          <w:p>
            <w:pPr>
              <w:spacing w:after="0"/>
              <w:rPr>
                <w:sz w:val="1"/>
                <w:szCs w:val="1"/>
                <w:color w:val="auto"/>
              </w:rPr>
            </w:pPr>
          </w:p>
        </w:tc>
      </w:tr>
      <w:tr>
        <w:trPr>
          <w:trHeight w:val="190"/>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Convertible securities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69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Denominator for diluted income per common share - weighted average shares and assumed conversions</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191,856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per common share:</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9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84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8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w:t>
      </w:r>
    </w:p>
    <w:p>
      <w:pPr>
        <w:spacing w:after="0" w:line="10" w:lineRule="exact"/>
        <w:rPr>
          <w:sz w:val="20"/>
          <w:szCs w:val="20"/>
          <w:color w:val="auto"/>
        </w:rPr>
      </w:pPr>
    </w:p>
    <w:p>
      <w:pPr>
        <w:ind w:left="320" w:hanging="315"/>
        <w:spacing w:after="0" w:line="261" w:lineRule="auto"/>
        <w:tabs>
          <w:tab w:leader="none" w:pos="312" w:val="left"/>
        </w:tabs>
        <w:numPr>
          <w:ilvl w:val="0"/>
          <w:numId w:val="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the year ended December 31, 2025, there were no antidilutive potential common shares. The calculation of diluted income per common share for the years ended December 31, 2024 and 2023 excluded weighted average potential common shares of 1,580, and 3,458, respectively, as their effect was antidilutive.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00" w:name="page101"/>
    <w:bookmarkEnd w:id="100"/>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980" w:firstLine="5"/>
        <w:spacing w:after="0" w:line="322" w:lineRule="auto"/>
        <w:tabs>
          <w:tab w:leader="none" w:pos="393"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Per Share and Per Class A Unit – continued </w:t>
      </w:r>
      <w:r>
        <w:rPr>
          <w:rFonts w:ascii="Times New Roman" w:cs="Times New Roman" w:eastAsia="Times New Roman" w:hAnsi="Times New Roman"/>
          <w:sz w:val="17"/>
          <w:szCs w:val="17"/>
          <w:b w:val="1"/>
          <w:bCs w:val="1"/>
          <w:i w:val="1"/>
          <w:iCs w:val="1"/>
          <w:color w:val="auto"/>
        </w:rPr>
        <w:t>Vornado Realty L.P.</w:t>
      </w:r>
    </w:p>
    <w:p>
      <w:pPr>
        <w:spacing w:after="0" w:line="1"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Basic net income per Class A unit is computed by dividing (i) net income attributable to Class A unitholders after allocation of distributions and undistributed earnings to participating securities by (ii) the weighted average number of Class A units outstanding for the period. Diluted earnings per share reflects the dilutive impact of potential Class A units and is computed after allocation of earnings to participating securities. VRLP’s participating securities include unvested LTIP Units and LTPP Units for which the applicable performance vesting conditions were satisfied. Equity awards subject to market and/or performance vesting conditions, including Vornado stock options, OPP Units, AO LTIP Units, Performance AO LTIP Units and LTPP Units, are included in the calculation of diluted income per Class A unit using the treasury stock method. Convertible securities, including Series A convertible preferred shares, Series G-1 through G-4 convertible preferred units, and Series D-13 redeemable preferred units, are included in the calculation of diluted income per Class A unit using the if-converted method, if dilutive.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unit amounts)</w:t>
            </w:r>
          </w:p>
        </w:tc>
        <w:tc>
          <w:tcPr>
            <w:tcW w:w="840" w:type="dxa"/>
            <w:vAlign w:val="bottom"/>
          </w:tcPr>
          <w:p>
            <w:pPr>
              <w:spacing w:after="0"/>
              <w:rPr>
                <w:sz w:val="16"/>
                <w:szCs w:val="16"/>
                <w:color w:val="auto"/>
              </w:rPr>
            </w:pPr>
          </w:p>
        </w:tc>
        <w:tc>
          <w:tcPr>
            <w:tcW w:w="248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Vornado Realty L.P.</w:t>
            </w:r>
          </w:p>
        </w:tc>
        <w:tc>
          <w:tcPr>
            <w:tcW w:w="8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978,826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108,855</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Preferred unit distributions</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(62,227)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(62,231)</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Class A unitholders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916,607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46,624</w:t>
            </w: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Distributions and earnings allocated to participating securities</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Numerator for basic income per Class A unit</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903,342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45,301</w:t>
            </w:r>
          </w:p>
        </w:tc>
        <w:tc>
          <w:tcPr>
            <w:tcW w:w="0" w:type="dxa"/>
            <w:vAlign w:val="bottom"/>
          </w:tcPr>
          <w:p>
            <w:pPr>
              <w:spacing w:after="0"/>
              <w:rPr>
                <w:sz w:val="1"/>
                <w:szCs w:val="1"/>
                <w:color w:val="auto"/>
              </w:rPr>
            </w:pPr>
          </w:p>
        </w:tc>
      </w:tr>
      <w:tr>
        <w:trPr>
          <w:trHeight w:val="190"/>
        </w:trPr>
        <w:tc>
          <w:tcPr>
            <w:tcW w:w="6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Impact of assumed conversion of dilutive potential Class A units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69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Numerator for diluted income per Class A unit</w:t>
            </w:r>
          </w:p>
        </w:tc>
        <w:tc>
          <w:tcPr>
            <w:tcW w:w="84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904,751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9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Denominator for basic income per Class A unit – weighted average units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205,697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204,981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205,105</w:t>
            </w:r>
          </w:p>
        </w:tc>
        <w:tc>
          <w:tcPr>
            <w:tcW w:w="0" w:type="dxa"/>
            <w:vAlign w:val="bottom"/>
          </w:tcPr>
          <w:p>
            <w:pPr>
              <w:spacing w:after="0"/>
              <w:rPr>
                <w:sz w:val="1"/>
                <w:szCs w:val="1"/>
                <w:color w:val="auto"/>
              </w:rPr>
            </w:pPr>
          </w:p>
        </w:tc>
      </w:tr>
      <w:tr>
        <w:trPr>
          <w:trHeight w:val="196"/>
        </w:trPr>
        <w:tc>
          <w:tcPr>
            <w:tcW w:w="6940" w:type="dxa"/>
            <w:vAlign w:val="bottom"/>
          </w:tcPr>
          <w:p>
            <w:pPr>
              <w:ind w:left="100"/>
              <w:spacing w:after="0" w:line="196" w:lineRule="exact"/>
              <w:rPr>
                <w:sz w:val="20"/>
                <w:szCs w:val="20"/>
                <w:color w:val="auto"/>
              </w:rPr>
            </w:pPr>
            <w:r>
              <w:rPr>
                <w:rFonts w:ascii="Times New Roman" w:cs="Times New Roman" w:eastAsia="Times New Roman" w:hAnsi="Times New Roman"/>
                <w:sz w:val="14"/>
                <w:szCs w:val="14"/>
                <w:color w:val="auto"/>
              </w:rPr>
              <w:t>Effect of dilutive securities</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color w:val="auto"/>
              </w:rPr>
              <w:t>:</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Unit-based awards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0" w:type="dxa"/>
            <w:vAlign w:val="bottom"/>
          </w:tcPr>
          <w:p>
            <w:pPr>
              <w:spacing w:after="0"/>
              <w:rPr>
                <w:sz w:val="1"/>
                <w:szCs w:val="1"/>
                <w:color w:val="auto"/>
              </w:rPr>
            </w:pPr>
          </w:p>
        </w:tc>
      </w:tr>
      <w:tr>
        <w:trPr>
          <w:trHeight w:val="190"/>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Convertible securities</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69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Denominator for diluted income per Class A unit – weighted average units and assumed conversions</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214,987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205,956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per Class A unit:</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9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6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84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8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w:t>
      </w:r>
    </w:p>
    <w:p>
      <w:pPr>
        <w:spacing w:after="0" w:line="22" w:lineRule="exact"/>
        <w:rPr>
          <w:sz w:val="20"/>
          <w:szCs w:val="20"/>
          <w:color w:val="auto"/>
        </w:rPr>
      </w:pPr>
    </w:p>
    <w:p>
      <w:pPr>
        <w:ind w:left="320" w:hanging="315"/>
        <w:spacing w:after="0" w:line="263" w:lineRule="auto"/>
        <w:tabs>
          <w:tab w:leader="none" w:pos="312" w:val="left"/>
        </w:tabs>
        <w:numPr>
          <w:ilvl w:val="0"/>
          <w:numId w:val="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the year ended December 31, 2025, there were no antidilutive potential Class A units. The calculation of diluted income per Class A unit for the years ended December 31, 2024 and 2023 excluded weighted average potential Class A units of 1,580, and 3,458, respectively, as their effect was antidilutive.</w:t>
      </w:r>
    </w:p>
    <w:p>
      <w:pPr>
        <w:spacing w:after="0" w:line="119" w:lineRule="exact"/>
        <w:rPr>
          <w:sz w:val="20"/>
          <w:szCs w:val="20"/>
          <w:color w:val="auto"/>
        </w:rPr>
      </w:pPr>
    </w:p>
    <w:p>
      <w:pPr>
        <w:ind w:right="8940" w:firstLine="5"/>
        <w:spacing w:after="0" w:line="322" w:lineRule="auto"/>
        <w:tabs>
          <w:tab w:leader="none" w:pos="433"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Variable Interest Entities </w:t>
      </w:r>
      <w:r>
        <w:rPr>
          <w:rFonts w:ascii="Times New Roman" w:cs="Times New Roman" w:eastAsia="Times New Roman" w:hAnsi="Times New Roman"/>
          <w:sz w:val="17"/>
          <w:szCs w:val="17"/>
          <w:i w:val="1"/>
          <w:iCs w:val="1"/>
          <w:color w:val="auto"/>
        </w:rPr>
        <w:t>Unconsolidated VIEs</w:t>
      </w:r>
    </w:p>
    <w:p>
      <w:pPr>
        <w:spacing w:after="0" w:line="1"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 xml:space="preserve">As of December 31, 2025 and 2024, we had several unconsolidated VIEs. We do not consolidate these entities because we are not the primary beneficiary and the nature of our involvement in the activities of these entities does not give us power over decisions that significantly affect these entities’ economic performance. We primarily account for our investment in these entities under the equity method (see Note 4 – </w:t>
      </w:r>
      <w:r>
        <w:rPr>
          <w:rFonts w:ascii="Times New Roman" w:cs="Times New Roman" w:eastAsia="Times New Roman" w:hAnsi="Times New Roman"/>
          <w:sz w:val="17"/>
          <w:szCs w:val="17"/>
          <w:i w:val="1"/>
          <w:iCs w:val="1"/>
          <w:color w:val="auto"/>
        </w:rPr>
        <w:t>Investments in Partially Owned Entities</w:t>
      </w:r>
      <w:r>
        <w:rPr>
          <w:rFonts w:ascii="Times New Roman" w:cs="Times New Roman" w:eastAsia="Times New Roman" w:hAnsi="Times New Roman"/>
          <w:sz w:val="17"/>
          <w:szCs w:val="17"/>
          <w:color w:val="auto"/>
        </w:rPr>
        <w:t>). As of December 31, 2025 and 2024, $264,336,000 and $261,443,000, respectively, of the carrying amount of assets related to our unconsolidated VIEs was included in “investments in partially owned entities” on our consolidated balance sheets. Additionally, as of December 31, 2025 and 2024, $107,166,000 and $52,530,000, respectively, was included in “other assets” on our consolidated balance sheets. Our maximum exposure to loss from our unconsolidated VIEs as of December 31, 2025 and 2024 was $374,502,000 and $316,973,000, respectively.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Consolidated VIEs</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Our most significant consolidated VIEs are the Operating Partnership (for Vornado), the Farley Building and certain properties that have noncontrolling interests. These entities are VIEs because the noncontrolling interests do not have substantive kick-out or participating rights. We consolidate these entities because we control all significant business activities.</w:t>
      </w:r>
    </w:p>
    <w:p>
      <w:pPr>
        <w:spacing w:after="0" w:line="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As of December 31, 2025, the total assets and liabilities of our consolidated VIEs, excluding the Operating Partnership, were $4,734,109,000 and $2,744,932,000 respectively. As of December 31, 2024, the total assets and liabilities of our consolidated VIEs, excluding the Operating Partnership, were $4,804,481,000 and $2,738,539,000, respectively.</w:t>
      </w: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101" w:name="page102"/>
    <w:bookmarkEnd w:id="101"/>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0" w:hanging="435"/>
        <w:spacing w:after="0"/>
        <w:tabs>
          <w:tab w:leader="none" w:pos="44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68"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ASC 820 defines fair value and establishes a framework for measuring fair value. The objective of fair value is to determine the price that would be received upon the sale of an asset or paid to transfer a liability in an orderly transaction between market participants at the measurement date (the exit price). ASC 820 establishes a fair value hierarchy that prioritizes observable and unobservable inputs used to measure fair value into three levels: Level 1 – quoted prices (unadjusted) in active markets that are accessible at the measurement date for assets or liabilities as well as certain U.S. Treasury securities that are highly liquid and are actively traded in secondary markets; Level 2 – observable prices that are based on inputs not quoted in active markets, but corroborated by market data; and Level 3 – unobservable inputs that are used when little or no market data is available. The fair value hierarchy gives the highest priority to Level 1 inputs and the lowest priority to Level 3 inputs. In determining fair value, we utilize valuation techniques that maximize the use of observable inputs and minimize the use of unobservable inputs to the extent possible, as well as consider counterparty credit risk in our assessment of fair value. Considerable judgment is necessary to interpret Level 2 and 3 inputs in determining the fair value of our financial and non-financial assets and liabilities. Accordingly, our fair value estimates, which are made at the end of each reporting period, may be different than the amounts that may ultimately be realized upon sale or disposition of these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Assets and Liabilities Measured at Fair Value on a Recurring Basis</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 xml:space="preserve">Financial assets and liabilities that are measured at fair value on our consolidated balance sheets consist of (i) the assets in our deferred compensation plan (for which there is a corresponding liability on our consolidated balance sheets), (ii) loans receivable for which we have elected the fair value option under ASC Subtopic 825-10,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("ASC 825-10"), (iii) interest rate swaps and caps and (iv) mandatorily redeemable instruments (Series G-1 through G-4 convertible preferred units and Series D-13 cumulative redeemable preferred units). The tables below aggregate the fair values of these financial assets and liabilities by their levels in the fair value hierarchy.</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5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5"/>
                <w:szCs w:val="15"/>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plan assets ($17,590 included in restricted cash and $96,188 in other assets)</w:t>
            </w: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113,778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73,192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40,586</w:t>
            </w:r>
          </w:p>
        </w:tc>
      </w:tr>
      <w:tr>
        <w:trPr>
          <w:trHeight w:val="189"/>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receivable (included in other assets)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107,166</w:t>
            </w:r>
          </w:p>
        </w:tc>
      </w:tr>
      <w:tr>
        <w:trPr>
          <w:trHeight w:val="20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and caps designated as a hedge (included in other assets)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caps not designated as a hedge (included in other assets)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59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147,752</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5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Mandatorily redeemable instruments (included in other liabilities)</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 designated as a hedge (included in other liabilities)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59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5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6"/>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 plan assets ($8,958 included in restricted cash and $105,622 in other assets)</w:t>
            </w: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114,580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70,025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44,555</w:t>
            </w:r>
          </w:p>
        </w:tc>
      </w:tr>
      <w:tr>
        <w:trPr>
          <w:trHeight w:val="189"/>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receivable (included in investments in partially owned entities)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85,319</w:t>
            </w:r>
          </w:p>
        </w:tc>
      </w:tr>
      <w:tr>
        <w:trPr>
          <w:trHeight w:val="204"/>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and caps designated as a hedge (included in other assets)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caps not designated as a hedge (included in other assets)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59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129,874</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Mandatorily redeemable instruments (included in other liabilities)</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 designated as a hedge (included in other liabilities)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 not designated as a hedge (included in other liabilities)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9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51,747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49,684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02" w:name="page103"/>
    <w:bookmarkEnd w:id="102"/>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40" w:hanging="435"/>
        <w:spacing w:after="0"/>
        <w:tabs>
          <w:tab w:leader="none" w:pos="44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 - continued</w:t>
      </w:r>
    </w:p>
    <w:p>
      <w:pPr>
        <w:spacing w:after="0" w:line="66" w:lineRule="exact"/>
        <w:rPr>
          <w:sz w:val="20"/>
          <w:szCs w:val="20"/>
          <w:color w:val="auto"/>
        </w:rPr>
      </w:pPr>
    </w:p>
    <w:p>
      <w:pPr>
        <w:ind w:right="4960"/>
        <w:spacing w:after="0" w:line="322" w:lineRule="auto"/>
        <w:rPr>
          <w:sz w:val="20"/>
          <w:szCs w:val="20"/>
          <w:color w:val="auto"/>
        </w:rPr>
      </w:pPr>
      <w:r>
        <w:rPr>
          <w:rFonts w:ascii="Times New Roman" w:cs="Times New Roman" w:eastAsia="Times New Roman" w:hAnsi="Times New Roman"/>
          <w:sz w:val="17"/>
          <w:szCs w:val="17"/>
          <w:i w:val="1"/>
          <w:iCs w:val="1"/>
          <w:color w:val="auto"/>
        </w:rPr>
        <w:t xml:space="preserve">Financial Assets and Liabilities Measured at Fair Value on a Recurring Basis - continued </w:t>
      </w:r>
      <w:r>
        <w:rPr>
          <w:rFonts w:ascii="Times New Roman" w:cs="Times New Roman" w:eastAsia="Times New Roman" w:hAnsi="Times New Roman"/>
          <w:sz w:val="17"/>
          <w:szCs w:val="17"/>
          <w:u w:val="single" w:color="auto"/>
          <w:color w:val="auto"/>
        </w:rPr>
        <w:t>Deferred Compensation Plan Assets</w:t>
      </w:r>
    </w:p>
    <w:p>
      <w:pPr>
        <w:spacing w:after="0" w:line="1"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Deferred compensation plan assets that are classified as Level 3 consist of investments in limited partnerships and investment funds, which are managed by third parties. We receive quarterly financial reports that provide net asset values on a fair value basis from a third-party administrator, which are compiled from the quarterly reports provided to them from each limited partnership and investment fund. The period of time over which these underlying assets are expected to be liquidated is unknown. The third-party administrator does not adjust these values in determining our share of the net assets and we do not adjust these values when reported in our consolidated financial statements.</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table below summarizes the changes in the fair value of deferred compensation plan assets that are classified as Level 3.</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40" w:type="dxa"/>
            <w:vAlign w:val="bottom"/>
          </w:tcPr>
          <w:p>
            <w:pPr>
              <w:spacing w:after="0"/>
              <w:rPr>
                <w:sz w:val="16"/>
                <w:szCs w:val="16"/>
                <w:color w:val="auto"/>
              </w:rPr>
            </w:pPr>
          </w:p>
        </w:tc>
        <w:tc>
          <w:tcPr>
            <w:tcW w:w="332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7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74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46,290</w:t>
            </w:r>
          </w:p>
        </w:tc>
      </w:tr>
      <w:tr>
        <w:trPr>
          <w:trHeight w:val="189"/>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1,718</w:t>
            </w:r>
          </w:p>
        </w:tc>
      </w:tr>
      <w:tr>
        <w:trPr>
          <w:trHeight w:val="20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(9,051)</w:t>
            </w:r>
          </w:p>
        </w:tc>
      </w:tr>
      <w:tr>
        <w:trPr>
          <w:trHeight w:val="189"/>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and unrealized losses</w:t>
            </w:r>
          </w:p>
        </w:tc>
        <w:tc>
          <w:tcPr>
            <w:tcW w:w="4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w:t>
            </w:r>
          </w:p>
        </w:tc>
      </w:tr>
      <w:tr>
        <w:trPr>
          <w:trHeight w:val="19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4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5,421</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7,880</w:t>
            </w:r>
          </w:p>
        </w:tc>
      </w:tr>
      <w:tr>
        <w:trPr>
          <w:trHeight w:val="196"/>
        </w:trPr>
        <w:tc>
          <w:tcPr>
            <w:tcW w:w="7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40,586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44,555</w:t>
            </w:r>
          </w:p>
        </w:tc>
      </w:tr>
      <w:tr>
        <w:trPr>
          <w:trHeight w:val="20"/>
        </w:trPr>
        <w:tc>
          <w:tcPr>
            <w:tcW w:w="7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Loans Receivable</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table below summarizes the changes in fair value of loans receivable that are classified as Level 3.</w:t>
      </w:r>
    </w:p>
    <w:p>
      <w:pPr>
        <w:spacing w:after="0" w:line="73"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400" w:type="dxa"/>
            <w:vAlign w:val="bottom"/>
          </w:tcPr>
          <w:p>
            <w:pPr>
              <w:spacing w:after="0"/>
              <w:rPr>
                <w:sz w:val="16"/>
                <w:szCs w:val="16"/>
                <w:color w:val="auto"/>
              </w:rPr>
            </w:pPr>
          </w:p>
        </w:tc>
        <w:tc>
          <w:tcPr>
            <w:tcW w:w="3140" w:type="dxa"/>
            <w:vAlign w:val="bottom"/>
            <w:gridSpan w:val="4"/>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7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4"/>
        </w:trPr>
        <w:tc>
          <w:tcPr>
            <w:tcW w:w="75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32,984</w:t>
            </w:r>
          </w:p>
        </w:tc>
      </w:tr>
      <w:tr>
        <w:trPr>
          <w:trHeight w:val="189"/>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loan receivable</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204"/>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Paydowns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r>
      <w:tr>
        <w:trPr>
          <w:trHeight w:val="189"/>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accrual</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w:t>
            </w:r>
          </w:p>
        </w:tc>
      </w:tr>
      <w:tr>
        <w:trPr>
          <w:trHeight w:val="19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Funding</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r>
              <w:rPr>
                <w:rFonts w:ascii="Times New Roman" w:cs="Times New Roman" w:eastAsia="Times New Roman" w:hAnsi="Times New Roman"/>
                <w:sz w:val="9"/>
                <w:szCs w:val="9"/>
                <w:b w:val="1"/>
                <w:bCs w:val="1"/>
                <w:color w:val="auto"/>
              </w:rPr>
              <w:t>(1)</w:t>
            </w: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107,166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85,319</w:t>
            </w:r>
          </w:p>
        </w:tc>
      </w:tr>
      <w:tr>
        <w:trPr>
          <w:trHeight w:val="20"/>
        </w:trPr>
        <w:tc>
          <w:tcPr>
            <w:tcW w:w="7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w:t>
      </w:r>
    </w:p>
    <w:p>
      <w:pPr>
        <w:spacing w:after="0" w:line="22" w:lineRule="exact"/>
        <w:rPr>
          <w:sz w:val="20"/>
          <w:szCs w:val="20"/>
          <w:color w:val="auto"/>
        </w:rPr>
      </w:pPr>
    </w:p>
    <w:p>
      <w:pPr>
        <w:ind w:left="320" w:hanging="315"/>
        <w:spacing w:after="0" w:line="243" w:lineRule="auto"/>
        <w:tabs>
          <w:tab w:leader="none" w:pos="312"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Represents the 3 East 54th Street loan balance. On January 7, 2026, we closed on the acquisition of 3 East 54th Street and the loan balance was credited towards the purchase price. See Note - 24 </w:t>
      </w:r>
      <w:r>
        <w:rPr>
          <w:rFonts w:ascii="Times New Roman" w:cs="Times New Roman" w:eastAsia="Times New Roman" w:hAnsi="Times New Roman"/>
          <w:sz w:val="14"/>
          <w:szCs w:val="14"/>
          <w:i w:val="1"/>
          <w:iCs w:val="1"/>
          <w:color w:val="auto"/>
        </w:rPr>
        <w:t xml:space="preserve">Subsequent Events </w:t>
      </w:r>
      <w:r>
        <w:rPr>
          <w:rFonts w:ascii="Times New Roman" w:cs="Times New Roman" w:eastAsia="Times New Roman" w:hAnsi="Times New Roman"/>
          <w:sz w:val="14"/>
          <w:szCs w:val="14"/>
          <w:color w:val="auto"/>
        </w:rPr>
        <w:t>for further details.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03" w:name="page104"/>
    <w:bookmarkEnd w:id="103"/>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40" w:hanging="435"/>
        <w:spacing w:after="0"/>
        <w:tabs>
          <w:tab w:leader="none" w:pos="44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 - continued</w:t>
      </w:r>
    </w:p>
    <w:p>
      <w:pPr>
        <w:spacing w:after="0" w:line="66" w:lineRule="exact"/>
        <w:rPr>
          <w:sz w:val="20"/>
          <w:szCs w:val="20"/>
          <w:color w:val="auto"/>
        </w:rPr>
      </w:pPr>
    </w:p>
    <w:p>
      <w:pPr>
        <w:ind w:right="4960"/>
        <w:spacing w:after="0" w:line="322" w:lineRule="auto"/>
        <w:rPr>
          <w:sz w:val="20"/>
          <w:szCs w:val="20"/>
          <w:color w:val="auto"/>
        </w:rPr>
      </w:pPr>
      <w:r>
        <w:rPr>
          <w:rFonts w:ascii="Times New Roman" w:cs="Times New Roman" w:eastAsia="Times New Roman" w:hAnsi="Times New Roman"/>
          <w:sz w:val="17"/>
          <w:szCs w:val="17"/>
          <w:i w:val="1"/>
          <w:iCs w:val="1"/>
          <w:color w:val="auto"/>
        </w:rPr>
        <w:t xml:space="preserve">Financial Assets and Liabilities Measured at Fair Value on a Recurring Basis - continued </w:t>
      </w:r>
      <w:r>
        <w:rPr>
          <w:rFonts w:ascii="Times New Roman" w:cs="Times New Roman" w:eastAsia="Times New Roman" w:hAnsi="Times New Roman"/>
          <w:sz w:val="17"/>
          <w:szCs w:val="17"/>
          <w:u w:val="single" w:color="auto"/>
          <w:color w:val="auto"/>
        </w:rPr>
        <w:t>Derivatives and Hedging</w:t>
      </w:r>
    </w:p>
    <w:p>
      <w:pPr>
        <w:spacing w:after="0" w:line="1" w:lineRule="exact"/>
        <w:rPr>
          <w:sz w:val="20"/>
          <w:szCs w:val="20"/>
          <w:color w:val="auto"/>
        </w:rPr>
      </w:pPr>
    </w:p>
    <w:p>
      <w:pPr>
        <w:jc w:val="both"/>
        <w:ind w:firstLine="314"/>
        <w:spacing w:after="0" w:line="264" w:lineRule="auto"/>
        <w:rPr>
          <w:sz w:val="20"/>
          <w:szCs w:val="20"/>
          <w:color w:val="auto"/>
        </w:rPr>
      </w:pPr>
      <w:r>
        <w:rPr>
          <w:rFonts w:ascii="Times New Roman" w:cs="Times New Roman" w:eastAsia="Times New Roman" w:hAnsi="Times New Roman"/>
          <w:sz w:val="17"/>
          <w:szCs w:val="17"/>
          <w:color w:val="auto"/>
        </w:rPr>
        <w:t>We use derivative instruments principally to reduce our exposure to interest rate increases. We do not enter into or hold derivative instruments for speculative trading purposes. We recognize the fair values of all derivatives in "other assets" or "other liabilities" on our consolidated balance sheets. Changes in the fair value of our cash flow hedges are recognized in other comprehensive income until the hedged item is recognized in earnings. Reported net income and equity may increase or decrease prospectively, depending on future levels of interest rates and other variables affecting the fair values of hedging instruments and hedged items, but will have no effect on cash flows. Cash payments and receipts related to our interest rate hedges are classified as operating activities and included within our disclosure of cash paid for interest on our consolidated statements of cash flows, consistent with the classification of the hedged interest payments.</w:t>
      </w:r>
    </w:p>
    <w:p>
      <w:pPr>
        <w:spacing w:after="0" w:line="229"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The following table summarizes our consolidated hedging instruments, all of which hedge variable rate debt, as of December 31, 2025 and 2024, respectively.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w w:val="99"/>
              </w:rPr>
              <w:t>As of December 31, 2025</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3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All-In</w:t>
            </w:r>
          </w:p>
        </w:tc>
        <w:tc>
          <w:tcPr>
            <w:tcW w:w="300" w:type="dxa"/>
            <w:vAlign w:val="bottom"/>
          </w:tcPr>
          <w:p>
            <w:pPr>
              <w:spacing w:after="0"/>
              <w:rPr>
                <w:sz w:val="10"/>
                <w:szCs w:val="10"/>
                <w:color w:val="auto"/>
              </w:rPr>
            </w:pPr>
          </w:p>
        </w:tc>
        <w:tc>
          <w:tcPr>
            <w:tcW w:w="106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w w:val="97"/>
              </w:rPr>
              <w:t>Swap/Cap</w:t>
            </w: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0"/>
                <w:szCs w:val="10"/>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Swapped Rate</w:t>
            </w:r>
          </w:p>
        </w:tc>
        <w:tc>
          <w:tcPr>
            <w:tcW w:w="30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Asset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20" w:type="dxa"/>
            <w:vAlign w:val="bottom"/>
          </w:tcPr>
          <w:p>
            <w:pPr>
              <w:spacing w:after="0"/>
              <w:rPr>
                <w:sz w:val="16"/>
                <w:szCs w:val="16"/>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160"/>
        </w:trPr>
        <w:tc>
          <w:tcPr>
            <w:tcW w:w="352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555 California Street mortgage loan:</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vMerge w:val="restart"/>
          </w:tcPr>
          <w:p>
            <w:pPr>
              <w:jc w:val="right"/>
              <w:ind w:right="135"/>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In-place swap</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300" w:type="dxa"/>
            <w:vAlign w:val="bottom"/>
            <w:vMerge w:val="continue"/>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6.03%</w:t>
            </w:r>
          </w:p>
        </w:tc>
        <w:tc>
          <w:tcPr>
            <w:tcW w:w="300" w:type="dxa"/>
            <w:vAlign w:val="bottom"/>
            <w:vMerge w:val="restart"/>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(2)</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05/26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2"/>
        </w:trPr>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Forward swap (effective 05/26)</w:t>
            </w:r>
          </w:p>
        </w:tc>
        <w:tc>
          <w:tcPr>
            <w:tcW w:w="16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30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5.56%</w:t>
            </w:r>
          </w:p>
        </w:tc>
        <w:tc>
          <w:tcPr>
            <w:tcW w:w="300" w:type="dxa"/>
            <w:vAlign w:val="bottom"/>
            <w:vMerge w:val="continue"/>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05/28</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95"/>
        </w:trPr>
        <w:tc>
          <w:tcPr>
            <w:tcW w:w="3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Unsecured term loan</w:t>
            </w:r>
            <w:r>
              <w:rPr>
                <w:rFonts w:ascii="Times New Roman" w:cs="Times New Roman" w:eastAsia="Times New Roman" w:hAnsi="Times New Roman"/>
                <w:sz w:val="18"/>
                <w:szCs w:val="18"/>
                <w:b w:val="1"/>
                <w:bCs w:val="1"/>
                <w:color w:val="auto"/>
                <w:vertAlign w:val="superscript"/>
              </w:rPr>
              <w:t>(3)</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3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4.22%</w:t>
            </w:r>
          </w:p>
        </w:tc>
        <w:tc>
          <w:tcPr>
            <w:tcW w:w="3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Unsecured revolving credit facility</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300" w:type="dxa"/>
            <w:vAlign w:val="bottom"/>
            <w:vMerge w:val="restart"/>
          </w:tcPr>
          <w:p>
            <w:pPr>
              <w:jc w:val="right"/>
              <w:ind w:right="135"/>
              <w:spacing w:after="0"/>
              <w:rPr>
                <w:sz w:val="20"/>
                <w:szCs w:val="20"/>
                <w:color w:val="auto"/>
              </w:rPr>
            </w:pPr>
            <w:r>
              <w:rPr>
                <w:rFonts w:ascii="Times New Roman" w:cs="Times New Roman" w:eastAsia="Times New Roman" w:hAnsi="Times New Roman"/>
                <w:sz w:val="9"/>
                <w:szCs w:val="9"/>
                <w:b w:val="1"/>
                <w:bCs w:val="1"/>
                <w:color w:val="auto"/>
                <w:w w:val="94"/>
              </w:rPr>
              <w:t>(5)</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3.84%</w:t>
            </w:r>
          </w:p>
        </w:tc>
        <w:tc>
          <w:tcPr>
            <w:tcW w:w="3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One Park Avenue mortgage loan</w:t>
            </w:r>
            <w:r>
              <w:rPr>
                <w:rFonts w:ascii="Times New Roman" w:cs="Times New Roman" w:eastAsia="Times New Roman" w:hAnsi="Times New Roman"/>
                <w:sz w:val="18"/>
                <w:szCs w:val="18"/>
                <w:b w:val="1"/>
                <w:bCs w:val="1"/>
                <w:color w:val="auto"/>
                <w:vertAlign w:val="superscript"/>
              </w:rPr>
              <w:t>(3)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300" w:type="dxa"/>
            <w:vAlign w:val="bottom"/>
            <w:vMerge w:val="continue"/>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3.95%</w:t>
            </w:r>
          </w:p>
        </w:tc>
        <w:tc>
          <w:tcPr>
            <w:tcW w:w="3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100 West 33rd Street mortgage loan</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5.26%</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20" w:type="dxa"/>
            <w:vAlign w:val="bottom"/>
          </w:tcPr>
          <w:p>
            <w:pPr>
              <w:ind w:left="180"/>
              <w:spacing w:after="0" w:line="196" w:lineRule="exact"/>
              <w:rPr>
                <w:sz w:val="20"/>
                <w:szCs w:val="20"/>
                <w:color w:val="auto"/>
              </w:rPr>
            </w:pPr>
            <w:r>
              <w:rPr>
                <w:rFonts w:ascii="Times New Roman" w:cs="Times New Roman" w:eastAsia="Times New Roman" w:hAnsi="Times New Roman"/>
                <w:sz w:val="14"/>
                <w:szCs w:val="14"/>
                <w:color w:val="auto"/>
              </w:rPr>
              <w:t>1290 Avenue of the Americas mortgage loan</w:t>
            </w:r>
            <w:r>
              <w:rPr>
                <w:rFonts w:ascii="Times New Roman" w:cs="Times New Roman" w:eastAsia="Times New Roman" w:hAnsi="Times New Roman"/>
                <w:sz w:val="18"/>
                <w:szCs w:val="18"/>
                <w:b w:val="1"/>
                <w:bCs w:val="1"/>
                <w:color w:val="auto"/>
                <w:vertAlign w:val="superscript"/>
              </w:rPr>
              <w:t>(6)</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3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4.58%</w:t>
            </w: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09/27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435 Seventh Avenue mortgage loan</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6.96%</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196"/>
        </w:trPr>
        <w:tc>
          <w:tcPr>
            <w:tcW w:w="3520" w:type="dxa"/>
            <w:vAlign w:val="bottom"/>
          </w:tcPr>
          <w:p>
            <w:pPr>
              <w:ind w:left="180"/>
              <w:spacing w:after="0" w:line="196" w:lineRule="exact"/>
              <w:rPr>
                <w:sz w:val="20"/>
                <w:szCs w:val="20"/>
                <w:color w:val="auto"/>
              </w:rPr>
            </w:pPr>
            <w:r>
              <w:rPr>
                <w:rFonts w:ascii="Times New Roman" w:cs="Times New Roman" w:eastAsia="Times New Roman" w:hAnsi="Times New Roman"/>
                <w:sz w:val="14"/>
                <w:szCs w:val="14"/>
                <w:color w:val="auto"/>
              </w:rPr>
              <w:t>PENN 11 mortgage loan</w:t>
            </w:r>
            <w:r>
              <w:rPr>
                <w:rFonts w:ascii="Times New Roman" w:cs="Times New Roman" w:eastAsia="Times New Roman" w:hAnsi="Times New Roman"/>
                <w:sz w:val="18"/>
                <w:szCs w:val="18"/>
                <w:b w:val="1"/>
                <w:bCs w:val="1"/>
                <w:color w:val="auto"/>
                <w:vertAlign w:val="superscript"/>
              </w:rPr>
              <w:t>(7)</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4"/>
                <w:szCs w:val="14"/>
                <w:color w:val="auto"/>
              </w:rPr>
              <w:t>4 Union Square South mortgage loan</w:t>
            </w:r>
            <w:r>
              <w:rPr>
                <w:rFonts w:ascii="Times New Roman" w:cs="Times New Roman" w:eastAsia="Times New Roman" w:hAnsi="Times New Roman"/>
                <w:sz w:val="18"/>
                <w:szCs w:val="18"/>
                <w:b w:val="1"/>
                <w:bCs w:val="1"/>
                <w:color w:val="auto"/>
                <w:vertAlign w:val="superscript"/>
              </w:rPr>
              <w:t>(8)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Various mortgage loans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13,985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88,982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-1787525</wp:posOffset>
            </wp:positionV>
            <wp:extent cx="7136130" cy="1244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-1537970</wp:posOffset>
            </wp:positionV>
            <wp:extent cx="7136130" cy="1244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-1288415</wp:posOffset>
            </wp:positionV>
            <wp:extent cx="7136130" cy="1244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6130" cy="12446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46" w:lineRule="exact"/>
        <w:rPr>
          <w:sz w:val="20"/>
          <w:szCs w:val="20"/>
          <w:color w:val="auto"/>
        </w:rPr>
      </w:pPr>
    </w:p>
    <w:p>
      <w:pPr>
        <w:ind w:left="320" w:hanging="315"/>
        <w:spacing w:after="0"/>
        <w:tabs>
          <w:tab w:leader="none" w:pos="320" w:val="left"/>
        </w:tabs>
        <w:numPr>
          <w:ilvl w:val="0"/>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our 70.0% share of the $1.2 billion mortgage loan.</w:t>
      </w:r>
    </w:p>
    <w:p>
      <w:pPr>
        <w:spacing w:after="0" w:line="2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Reflects the May 2026 increase in variable rate spread to S+230. The variable rate spread will further increase to S+255 in May 2027.</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line="246" w:lineRule="auto"/>
        <w:tabs>
          <w:tab w:leader="none" w:pos="312" w:val="left"/>
        </w:tabs>
        <w:numPr>
          <w:ilvl w:val="0"/>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The $700,000 corporate-level interest rate swap previously allocated to the 770 Broadway mortgage loan (see Note 5 - </w:t>
      </w:r>
      <w:r>
        <w:rPr>
          <w:rFonts w:ascii="Times New Roman" w:cs="Times New Roman" w:eastAsia="Times New Roman" w:hAnsi="Times New Roman"/>
          <w:sz w:val="14"/>
          <w:szCs w:val="14"/>
          <w:i w:val="1"/>
          <w:iCs w:val="1"/>
          <w:color w:val="auto"/>
        </w:rPr>
        <w:t>770 Broadway</w:t>
      </w:r>
      <w:r>
        <w:rPr>
          <w:rFonts w:ascii="Times New Roman" w:cs="Times New Roman" w:eastAsia="Times New Roman" w:hAnsi="Times New Roman"/>
          <w:sz w:val="14"/>
          <w:szCs w:val="14"/>
          <w:color w:val="auto"/>
        </w:rPr>
        <w:t>) has been reallocated and now hedges $500,000 of the One Park Avenue mortgage loan and $200,000 of the unsecured term loan. The December 31, 2024 fair value is presented based on the current period reallocation.</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line="261" w:lineRule="auto"/>
        <w:tabs>
          <w:tab w:leader="none" w:pos="312" w:val="left"/>
        </w:tabs>
        <w:numPr>
          <w:ilvl w:val="0"/>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Represents the aggregate fair value of various interest rate swap arrangements to hedge interest payments on our unsecured term loan, which matures in February 2031 (see Note 24 - </w:t>
      </w:r>
      <w:r>
        <w:rPr>
          <w:rFonts w:ascii="Times New Roman" w:cs="Times New Roman" w:eastAsia="Times New Roman" w:hAnsi="Times New Roman"/>
          <w:sz w:val="14"/>
          <w:szCs w:val="14"/>
          <w:i w:val="1"/>
          <w:iCs w:val="1"/>
          <w:color w:val="auto"/>
        </w:rPr>
        <w:t>Subsequent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Events</w:t>
      </w:r>
      <w:r>
        <w:rPr>
          <w:rFonts w:ascii="Times New Roman" w:cs="Times New Roman" w:eastAsia="Times New Roman" w:hAnsi="Times New Roman"/>
          <w:sz w:val="14"/>
          <w:szCs w:val="14"/>
          <w:color w:val="auto"/>
        </w:rPr>
        <w:t>). The impact of these interest rate swap arrangements is detailed below:</w:t>
      </w:r>
    </w:p>
    <w:p>
      <w:pPr>
        <w:spacing w:after="0" w:line="47"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Swapped Balance</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All-In Swapped Rate</w:t>
            </w:r>
          </w:p>
        </w:tc>
        <w:tc>
          <w:tcPr>
            <w:tcW w:w="100" w:type="dxa"/>
            <w:vAlign w:val="bottom"/>
          </w:tcPr>
          <w:p>
            <w:pPr>
              <w:spacing w:after="0"/>
              <w:rPr>
                <w:sz w:val="13"/>
                <w:szCs w:val="13"/>
                <w:color w:val="auto"/>
              </w:rPr>
            </w:pP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Unswapped Balance</w:t>
            </w:r>
          </w:p>
        </w:tc>
        <w:tc>
          <w:tcPr>
            <w:tcW w:w="0" w:type="dxa"/>
            <w:vAlign w:val="bottom"/>
          </w:tcPr>
          <w:p>
            <w:pPr>
              <w:spacing w:after="0"/>
              <w:rPr>
                <w:sz w:val="1"/>
                <w:szCs w:val="1"/>
                <w:color w:val="auto"/>
              </w:rPr>
            </w:pPr>
          </w:p>
        </w:tc>
      </w:tr>
      <w:tr>
        <w:trPr>
          <w:trHeight w:val="190"/>
        </w:trPr>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7"/>
              </w:rPr>
              <w:t>(bears interest at S+125)</w:t>
            </w:r>
          </w:p>
        </w:tc>
        <w:tc>
          <w:tcPr>
            <w:tcW w:w="0" w:type="dxa"/>
            <w:vAlign w:val="bottom"/>
          </w:tcPr>
          <w:p>
            <w:pPr>
              <w:spacing w:after="0"/>
              <w:rPr>
                <w:sz w:val="1"/>
                <w:szCs w:val="1"/>
                <w:color w:val="auto"/>
              </w:rPr>
            </w:pPr>
          </w:p>
        </w:tc>
      </w:tr>
      <w:tr>
        <w:trPr>
          <w:trHeight w:val="195"/>
        </w:trPr>
        <w:tc>
          <w:tcPr>
            <w:tcW w:w="16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Through 10/26</w:t>
            </w: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89"/>
        </w:trPr>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10/26 through 07/27</w:t>
            </w: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0" w:type="dxa"/>
            <w:vAlign w:val="bottom"/>
          </w:tcPr>
          <w:p>
            <w:pPr>
              <w:spacing w:after="0"/>
              <w:rPr>
                <w:sz w:val="1"/>
                <w:szCs w:val="1"/>
                <w:color w:val="auto"/>
              </w:rPr>
            </w:pPr>
          </w:p>
        </w:tc>
      </w:tr>
      <w:tr>
        <w:trPr>
          <w:trHeight w:val="204"/>
        </w:trPr>
        <w:tc>
          <w:tcPr>
            <w:tcW w:w="1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07/27 through 08/27</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20" w:hanging="315"/>
        <w:spacing w:after="0"/>
        <w:tabs>
          <w:tab w:leader="none" w:pos="320"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remaining $25,000 mortgage loan balance bears interest at a floating rate of SOFR plus 1.22% (4.97% as of December 31, 2025) and has a 4.39% SOFR strike rate cap.</w:t>
      </w:r>
    </w:p>
    <w:p>
      <w:pPr>
        <w:spacing w:after="0" w:line="12" w:lineRule="exact"/>
        <w:rPr>
          <w:rFonts w:ascii="Times New Roman" w:cs="Times New Roman" w:eastAsia="Times New Roman" w:hAnsi="Times New Roman"/>
          <w:sz w:val="14"/>
          <w:szCs w:val="14"/>
          <w:b w:val="1"/>
          <w:bCs w:val="1"/>
          <w:color w:val="auto"/>
        </w:rPr>
      </w:pPr>
    </w:p>
    <w:p>
      <w:pPr>
        <w:ind w:left="320" w:hanging="315"/>
        <w:spacing w:after="0" w:line="250" w:lineRule="auto"/>
        <w:tabs>
          <w:tab w:leader="none" w:pos="312"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$200,000 corporate level interest swap previously allocated to the 888 Seventh Avenue mortgage loan has been reallocated and now hedges the 1290 Avenue of the Americas mortgage loan. The remaining $750,000 mortgage loan balance bears interest at a floating rate of SOFR plus 1.62% (5.37% as of December 31, 2025) and has a 4.00% SOFR strike rate cap.</w:t>
      </w:r>
    </w:p>
    <w:p>
      <w:pPr>
        <w:spacing w:after="0" w:line="1"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In July 2025, we completed a $450,000 refinancing of PENN 11 at a fixed rate of 6.35% (See Note 9 -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In August 2025, we completed a $120,000 refinancing of 4 Union Square South at a fixed rate of 5.64% (see Note 9 -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5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type w:val="continuous"/>
        </w:sectPr>
      </w:pPr>
    </w:p>
    <w:bookmarkStart w:id="104" w:name="page105"/>
    <w:bookmarkEnd w:id="104"/>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7660" w:firstLine="5"/>
        <w:spacing w:after="0" w:line="322" w:lineRule="auto"/>
        <w:tabs>
          <w:tab w:leader="none" w:pos="436"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 continued </w:t>
      </w:r>
      <w:r>
        <w:rPr>
          <w:rFonts w:ascii="Times New Roman" w:cs="Times New Roman" w:eastAsia="Times New Roman" w:hAnsi="Times New Roman"/>
          <w:sz w:val="17"/>
          <w:szCs w:val="17"/>
          <w:i w:val="1"/>
          <w:iCs w:val="1"/>
          <w:color w:val="auto"/>
        </w:rPr>
        <w:t>Fair Value Measurements on a Nonrecurring Basis</w:t>
      </w:r>
    </w:p>
    <w:p>
      <w:pPr>
        <w:spacing w:after="0" w:line="1" w:lineRule="exact"/>
        <w:rPr>
          <w:rFonts w:ascii="Times New Roman" w:cs="Times New Roman" w:eastAsia="Times New Roman" w:hAnsi="Times New Roman"/>
          <w:sz w:val="17"/>
          <w:szCs w:val="17"/>
          <w:b w:val="1"/>
          <w:bCs w:val="1"/>
          <w:color w:val="auto"/>
        </w:rPr>
      </w:pPr>
    </w:p>
    <w:p>
      <w:pPr>
        <w:ind w:right="1260" w:firstLine="314"/>
        <w:spacing w:after="0" w:line="32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There were no assets measured at fair value on a nonrecurring basis on our consolidated balance sheet as of December 31, 2025 and 2024. </w:t>
      </w:r>
      <w:r>
        <w:rPr>
          <w:rFonts w:ascii="Times New Roman" w:cs="Times New Roman" w:eastAsia="Times New Roman" w:hAnsi="Times New Roman"/>
          <w:sz w:val="17"/>
          <w:szCs w:val="17"/>
          <w:i w:val="1"/>
          <w:iCs w:val="1"/>
          <w:color w:val="auto"/>
        </w:rPr>
        <w:t>Financial Assets and Liabilities not Measured at Fair Value</w:t>
      </w:r>
    </w:p>
    <w:p>
      <w:pPr>
        <w:spacing w:after="0" w:line="1"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Financial assets and liabilities that are not measured at fair value on our consolidated balance sheets include cash equivalents (primarily money market funds, which invest in obligations of the United States government) and our secured and unsecured debt. Estimates of the fair value of these instruments are determined by the standard practice of modeling the contractual cash flows required under the instrument and discounting them back to their present value at the appropriate current risk adjusted interest rate, which is provided by a third-party specialist. For floating rate debt, we use forward rates derived from observable market yield curves to project the expected cash flows we would be required to make under the instrument. The fair value of cash equivalents and borrowings under our unsecured revolving credit facilities and unsecured term loan are classified as Level 1. The fair value of our secured debt and unsecured debt are classified as Level 2. The table below summarizes the carrying amounts and fair value of these financial instruments.</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260" w:type="dxa"/>
            <w:vAlign w:val="bottom"/>
          </w:tcPr>
          <w:p>
            <w:pPr>
              <w:spacing w:after="0"/>
              <w:rPr>
                <w:sz w:val="16"/>
                <w:szCs w:val="16"/>
                <w:color w:val="auto"/>
              </w:rPr>
            </w:pPr>
          </w:p>
        </w:tc>
        <w:tc>
          <w:tcPr>
            <w:tcW w:w="32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60" w:type="dxa"/>
            <w:vAlign w:val="bottom"/>
          </w:tcPr>
          <w:p>
            <w:pPr>
              <w:spacing w:after="0"/>
              <w:rPr>
                <w:sz w:val="16"/>
                <w:szCs w:val="16"/>
                <w:color w:val="auto"/>
              </w:rPr>
            </w:pPr>
          </w:p>
        </w:tc>
        <w:tc>
          <w:tcPr>
            <w:tcW w:w="294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5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370"/>
              <w:spacing w:after="0" w:line="12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250"/>
              <w:spacing w:after="0" w:line="126" w:lineRule="exact"/>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390"/>
              <w:spacing w:after="0" w:line="12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550"/>
              <w:spacing w:after="0" w:line="126"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0"/>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equivalents</w:t>
            </w: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508,812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509,000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639,366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639,000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Debt: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Mortgages payable</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4,944,037</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4,754,000</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5,707,176</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5,486,000</w:t>
            </w:r>
          </w:p>
        </w:tc>
        <w:tc>
          <w:tcPr>
            <w:tcW w:w="0" w:type="dxa"/>
            <w:vAlign w:val="bottom"/>
          </w:tcPr>
          <w:p>
            <w:pPr>
              <w:spacing w:after="0"/>
              <w:rPr>
                <w:sz w:val="1"/>
                <w:szCs w:val="1"/>
                <w:color w:val="auto"/>
              </w:rPr>
            </w:pPr>
          </w:p>
        </w:tc>
      </w:tr>
      <w:tr>
        <w:trPr>
          <w:trHeight w:val="189"/>
        </w:trPr>
        <w:tc>
          <w:tcPr>
            <w:tcW w:w="4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Senior unsecured notes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714,000</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1,129,000</w:t>
            </w:r>
          </w:p>
        </w:tc>
        <w:tc>
          <w:tcPr>
            <w:tcW w:w="0" w:type="dxa"/>
            <w:vAlign w:val="bottom"/>
          </w:tcPr>
          <w:p>
            <w:pPr>
              <w:spacing w:after="0"/>
              <w:rPr>
                <w:sz w:val="1"/>
                <w:szCs w:val="1"/>
                <w:color w:val="auto"/>
              </w:rPr>
            </w:pPr>
          </w:p>
        </w:tc>
      </w:tr>
      <w:tr>
        <w:trPr>
          <w:trHeight w:val="204"/>
        </w:trPr>
        <w:tc>
          <w:tcPr>
            <w:tcW w:w="4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Unsecured term loan</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800,000</w:t>
            </w:r>
          </w:p>
        </w:tc>
        <w:tc>
          <w:tcPr>
            <w:tcW w:w="0" w:type="dxa"/>
            <w:vAlign w:val="bottom"/>
          </w:tcPr>
          <w:p>
            <w:pPr>
              <w:spacing w:after="0"/>
              <w:rPr>
                <w:sz w:val="1"/>
                <w:szCs w:val="1"/>
                <w:color w:val="auto"/>
              </w:rPr>
            </w:pPr>
          </w:p>
        </w:tc>
      </w:tr>
      <w:tr>
        <w:trPr>
          <w:trHeight w:val="190"/>
        </w:trPr>
        <w:tc>
          <w:tcPr>
            <w:tcW w:w="4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Unsecured revolving credit facilities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720,420</w:t>
            </w:r>
          </w:p>
        </w:tc>
        <w:tc>
          <w:tcPr>
            <w:tcW w:w="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720,000</w:t>
            </w:r>
          </w:p>
        </w:tc>
        <w:tc>
          <w:tcPr>
            <w:tcW w:w="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575,000</w:t>
            </w:r>
          </w:p>
        </w:tc>
        <w:tc>
          <w:tcPr>
            <w:tcW w:w="0" w:type="dxa"/>
            <w:vAlign w:val="bottom"/>
          </w:tcPr>
          <w:p>
            <w:pPr>
              <w:spacing w:after="0"/>
              <w:rPr>
                <w:sz w:val="1"/>
                <w:szCs w:val="1"/>
                <w:color w:val="auto"/>
              </w:rPr>
            </w:pPr>
          </w:p>
        </w:tc>
      </w:tr>
      <w:tr>
        <w:trPr>
          <w:trHeight w:val="221"/>
        </w:trPr>
        <w:tc>
          <w:tcPr>
            <w:tcW w:w="45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7,214,457</w:t>
            </w:r>
          </w:p>
        </w:tc>
        <w:tc>
          <w:tcPr>
            <w:tcW w:w="3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6,988,000</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8,282,176</w:t>
            </w:r>
          </w:p>
        </w:tc>
        <w:tc>
          <w:tcPr>
            <w:tcW w:w="3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7,990,000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ind w:left="320" w:hanging="315"/>
        <w:spacing w:after="0"/>
        <w:tabs>
          <w:tab w:leader="none" w:pos="320"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Excludes $28,829 and $39,300 of deferred financing costs, net and other as of December 31, 2025 and 2024, respectively.</w:t>
      </w:r>
    </w:p>
    <w:p>
      <w:pPr>
        <w:spacing w:after="0" w:line="2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16.</w:t>
        <w:tab/>
        <w:t>Transaction Related Costs, Impairment losses and Other</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details of transaction related costs, impairment losses and other: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920" w:type="dxa"/>
            <w:vAlign w:val="bottom"/>
          </w:tcPr>
          <w:p>
            <w:pPr>
              <w:spacing w:after="0"/>
              <w:rPr>
                <w:sz w:val="16"/>
                <w:szCs w:val="16"/>
                <w:color w:val="auto"/>
              </w:rPr>
            </w:pPr>
          </w:p>
        </w:tc>
        <w:tc>
          <w:tcPr>
            <w:tcW w:w="24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69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related costs and other, net</w:t>
            </w:r>
          </w:p>
        </w:tc>
        <w:tc>
          <w:tcPr>
            <w:tcW w:w="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5,684</w:t>
            </w:r>
          </w:p>
        </w:tc>
      </w:tr>
      <w:tr>
        <w:trPr>
          <w:trHeight w:val="19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Real estate impairment losses</w:t>
            </w: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45,007</w:t>
            </w:r>
          </w:p>
        </w:tc>
      </w:tr>
      <w:tr>
        <w:trPr>
          <w:trHeight w:val="215"/>
        </w:trPr>
        <w:tc>
          <w:tcPr>
            <w:tcW w:w="69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17.</w:t>
        <w:tab/>
        <w:t>Interest and Other Investment Income, Net</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details of interest and other investment income, net: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880" w:type="dxa"/>
            <w:vAlign w:val="bottom"/>
          </w:tcPr>
          <w:p>
            <w:pPr>
              <w:spacing w:after="0"/>
              <w:rPr>
                <w:sz w:val="16"/>
                <w:szCs w:val="16"/>
                <w:color w:val="auto"/>
              </w:rPr>
            </w:pPr>
          </w:p>
        </w:tc>
        <w:tc>
          <w:tcPr>
            <w:tcW w:w="244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80" w:type="dxa"/>
            <w:vAlign w:val="bottom"/>
          </w:tcPr>
          <w:p>
            <w:pPr>
              <w:spacing w:after="0"/>
              <w:rPr>
                <w:sz w:val="16"/>
                <w:szCs w:val="16"/>
                <w:color w:val="auto"/>
              </w:rPr>
            </w:pPr>
          </w:p>
        </w:tc>
      </w:tr>
      <w:tr>
        <w:trPr>
          <w:trHeight w:val="23"/>
        </w:trPr>
        <w:tc>
          <w:tcPr>
            <w:tcW w:w="69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69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on cash and cash equivalents and restricted cash</w:t>
            </w:r>
          </w:p>
        </w:tc>
        <w:tc>
          <w:tcPr>
            <w:tcW w:w="8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44,786</w:t>
            </w:r>
          </w:p>
        </w:tc>
      </w:tr>
      <w:tr>
        <w:trPr>
          <w:trHeight w:val="18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loans receivable</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r>
      <w:tr>
        <w:trPr>
          <w:trHeight w:val="204"/>
        </w:trPr>
        <w:tc>
          <w:tcPr>
            <w:tcW w:w="69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Income (loss) from real estate fund investments</w:t>
            </w:r>
            <w:r>
              <w:rPr>
                <w:rFonts w:ascii="Times New Roman" w:cs="Times New Roman" w:eastAsia="Times New Roman" w:hAnsi="Times New Roman"/>
                <w:sz w:val="18"/>
                <w:szCs w:val="18"/>
                <w:b w:val="1"/>
                <w:bCs w:val="1"/>
                <w:color w:val="auto"/>
                <w:vertAlign w:val="superscript"/>
              </w:rPr>
              <w:t>(1)</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r>
      <w:tr>
        <w:trPr>
          <w:trHeight w:val="18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marketable securities</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discount on investments in U.S. Treasury bills</w:t>
            </w:r>
          </w:p>
        </w:tc>
        <w:tc>
          <w:tcPr>
            <w:tcW w:w="8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w:t>
            </w:r>
          </w:p>
        </w:tc>
      </w:tr>
      <w:tr>
        <w:trPr>
          <w:trHeight w:val="19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losses on investments</w:t>
            </w:r>
          </w:p>
        </w:tc>
        <w:tc>
          <w:tcPr>
            <w:tcW w:w="8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(8,269)</w:t>
            </w:r>
          </w:p>
        </w:tc>
      </w:tr>
      <w:tr>
        <w:trPr>
          <w:trHeight w:val="215"/>
        </w:trPr>
        <w:tc>
          <w:tcPr>
            <w:tcW w:w="69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43,287</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22" w:lineRule="exact"/>
        <w:rPr>
          <w:sz w:val="20"/>
          <w:szCs w:val="20"/>
          <w:color w:val="auto"/>
        </w:rPr>
      </w:pPr>
    </w:p>
    <w:p>
      <w:pPr>
        <w:jc w:val="both"/>
        <w:ind w:left="320" w:hanging="315"/>
        <w:spacing w:after="0" w:line="258" w:lineRule="auto"/>
        <w:tabs>
          <w:tab w:leader="none" w:pos="312"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July 11, 2025, the Vornado Capital Partners Real Estate Fund (the “Fund”), which we consolidate, closed on the sale of The Lucida. The proceeds from the sale were used to repay the $145,000 non-recourse mortgage loan, which was in maturity default. As we have no carrying value or contingent liabilities related to The Lucida, this results in no impact to our consolidated financial statements. The Lucida was the final investment held by the Fund.</w:t>
      </w: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105" w:name="page106"/>
    <w:bookmarkEnd w:id="105"/>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18.</w:t>
        <w:tab/>
        <w:t>Interest and Debt Expense</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following table sets forth the details of interest and debt expense: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800" w:type="dxa"/>
            <w:vAlign w:val="bottom"/>
          </w:tcPr>
          <w:p>
            <w:pPr>
              <w:spacing w:after="0"/>
              <w:rPr>
                <w:sz w:val="16"/>
                <w:szCs w:val="16"/>
                <w:color w:val="auto"/>
              </w:rPr>
            </w:pPr>
          </w:p>
        </w:tc>
        <w:tc>
          <w:tcPr>
            <w:tcW w:w="242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7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349,794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377,813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357,995</w:t>
            </w:r>
          </w:p>
        </w:tc>
      </w:tr>
      <w:tr>
        <w:trPr>
          <w:trHeight w:val="189"/>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interest and debt expense</w:t>
            </w: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(38,648)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(51,212)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(43,062)</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interest rate cap premiums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41,745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10,989</w:t>
            </w:r>
          </w:p>
        </w:tc>
      </w:tr>
      <w:tr>
        <w:trPr>
          <w:trHeight w:val="19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fees</w:t>
            </w: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19,256</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23,301</w:t>
            </w:r>
          </w:p>
        </w:tc>
      </w:tr>
      <w:tr>
        <w:trPr>
          <w:trHeight w:val="215"/>
        </w:trPr>
        <w:tc>
          <w:tcPr>
            <w:tcW w:w="7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353,868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390,269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349,223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440" w:hanging="435"/>
        <w:spacing w:after="0"/>
        <w:tabs>
          <w:tab w:leader="none" w:pos="44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68"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As lessor</w:t>
      </w:r>
    </w:p>
    <w:p>
      <w:pPr>
        <w:spacing w:after="0" w:line="66" w:lineRule="exact"/>
        <w:rPr>
          <w:sz w:val="20"/>
          <w:szCs w:val="20"/>
          <w:color w:val="auto"/>
        </w:rPr>
      </w:pPr>
    </w:p>
    <w:p>
      <w:pPr>
        <w:jc w:val="both"/>
        <w:ind w:firstLine="314"/>
        <w:spacing w:after="0" w:line="213" w:lineRule="exact"/>
        <w:rPr>
          <w:sz w:val="20"/>
          <w:szCs w:val="20"/>
          <w:color w:val="auto"/>
        </w:rPr>
      </w:pPr>
      <w:r>
        <w:rPr>
          <w:rFonts w:ascii="Times New Roman" w:cs="Times New Roman" w:eastAsia="Times New Roman" w:hAnsi="Times New Roman"/>
          <w:sz w:val="17"/>
          <w:szCs w:val="17"/>
          <w:color w:val="auto"/>
        </w:rPr>
        <w:t>We lease space to tenants under operating leases. Most of the leases provide for the payment of fixed base rent payable monthly in advance. Leases typically provide for periodic step</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ups in rent over the term of the lease and pass through to tenants their share of increases in real estate taxes and operating expenses over a base year. Certain leases also require additional variable rent payments based on a percentage of the tenants’ sales. Electricity is provided to tenants on a sub-metered basis or included in rent based on surveys and adjusted for subsequent utility rate increases. Leases also typically provide for free rent and tenant improvement allowances for all or a portion of the tenant’s initial construction costs of its premises.</w:t>
      </w:r>
    </w:p>
    <w:p>
      <w:pPr>
        <w:spacing w:after="0" w:line="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2025, future undiscounted cash flows under non-cancelable operating leases were as follows:</w:t>
      </w:r>
    </w:p>
    <w:p>
      <w:pPr>
        <w:spacing w:after="0" w:line="152"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180" w:type="dxa"/>
            <w:vAlign w:val="bottom"/>
          </w:tcPr>
          <w:p>
            <w:pPr>
              <w:spacing w:after="0"/>
              <w:rPr>
                <w:sz w:val="16"/>
                <w:szCs w:val="16"/>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61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1,247,189</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1,244,027</w:t>
            </w:r>
          </w:p>
        </w:tc>
        <w:tc>
          <w:tcPr>
            <w:tcW w:w="0" w:type="dxa"/>
            <w:vAlign w:val="bottom"/>
          </w:tcPr>
          <w:p>
            <w:pPr>
              <w:spacing w:after="0"/>
              <w:rPr>
                <w:sz w:val="1"/>
                <w:szCs w:val="1"/>
                <w:color w:val="auto"/>
              </w:rPr>
            </w:pP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1,250,190</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1,151,259</w:t>
            </w:r>
          </w:p>
        </w:tc>
        <w:tc>
          <w:tcPr>
            <w:tcW w:w="0" w:type="dxa"/>
            <w:vAlign w:val="bottom"/>
          </w:tcPr>
          <w:p>
            <w:pPr>
              <w:spacing w:after="0"/>
              <w:rPr>
                <w:sz w:val="1"/>
                <w:szCs w:val="1"/>
                <w:color w:val="auto"/>
              </w:rPr>
            </w:pP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1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1,054,372</w:t>
            </w:r>
          </w:p>
        </w:tc>
        <w:tc>
          <w:tcPr>
            <w:tcW w:w="0" w:type="dxa"/>
            <w:vAlign w:val="bottom"/>
          </w:tcPr>
          <w:p>
            <w:pPr>
              <w:spacing w:after="0"/>
              <w:rPr>
                <w:sz w:val="1"/>
                <w:szCs w:val="1"/>
                <w:color w:val="auto"/>
              </w:rPr>
            </w:pPr>
          </w:p>
        </w:tc>
      </w:tr>
      <w:tr>
        <w:trPr>
          <w:trHeight w:val="182"/>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8,022,048</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For the year ended December 31, 2025, we had one lease obligation, as lessor, that is classified as a sales-type lease with an expiration date in 2095.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See Note 5 - </w:t>
      </w:r>
      <w:r>
        <w:rPr>
          <w:rFonts w:ascii="Times New Roman" w:cs="Times New Roman" w:eastAsia="Times New Roman" w:hAnsi="Times New Roman"/>
          <w:sz w:val="17"/>
          <w:szCs w:val="17"/>
          <w:i w:val="1"/>
          <w:iCs w:val="1"/>
          <w:color w:val="auto"/>
        </w:rPr>
        <w:t>770 Broadway</w:t>
      </w:r>
      <w:r>
        <w:rPr>
          <w:rFonts w:ascii="Times New Roman" w:cs="Times New Roman" w:eastAsia="Times New Roman" w:hAnsi="Times New Roman"/>
          <w:sz w:val="17"/>
          <w:szCs w:val="17"/>
          <w:color w:val="auto"/>
        </w:rPr>
        <w:t xml:space="preserve"> for further details.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As lessee</w:t>
      </w:r>
    </w:p>
    <w:p>
      <w:pPr>
        <w:spacing w:after="0" w:line="66"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We have a number of ground leases which are classified as operating leases. As of December 31, 2025, our ROU assets and lease liabilities were $671,308,000 and $699,640,000, respectively. As of December 31, 2024, our ROU assets and lease liabilities were $678,804,000 and $749,759,000, respectively.</w:t>
      </w:r>
    </w:p>
    <w:p>
      <w:pPr>
        <w:spacing w:after="0" w:line="210"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When the rate implicit in a lease is not readily determinable, the discount rate applied to measure each ROU asset and lease liability is based on our incremental borrowing rate ("IBR"). We consider the general economic environment and our ratings and factor in various financing and asset specific adjustments to ensure the IBR is appropriate to the intended use of the underlying lease. Certain of our ground leases offer renewal options which we assess against relevant economic factors to determine whether we are reasonably certain of exercising or not exercising the option. Lease payments associated with renewal periods that we are reasonably certain will be exercised are included in the measurement of the lease liability and corresponding ROU asset.</w:t>
      </w:r>
    </w:p>
    <w:p>
      <w:pPr>
        <w:spacing w:after="0" w:line="1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Certain of our ground leases are subject to fair market rent resets based on a percentage of the appraised value of the underlying assets at specified future dates. Fair market rent resets occurring during the lease term, which may be material, do not give rise to remeasurement of the related ROU assets and lease liabilities and will be recognized in the periods in which they are incurred as variable rent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06" w:name="page107"/>
    <w:bookmarkEnd w:id="106"/>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9420" w:firstLine="5"/>
        <w:spacing w:after="0" w:line="298" w:lineRule="auto"/>
        <w:tabs>
          <w:tab w:leader="none" w:pos="436"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 continued </w:t>
      </w:r>
      <w:r>
        <w:rPr>
          <w:rFonts w:ascii="Times New Roman" w:cs="Times New Roman" w:eastAsia="Times New Roman" w:hAnsi="Times New Roman"/>
          <w:sz w:val="17"/>
          <w:szCs w:val="17"/>
          <w:u w:val="single" w:color="auto"/>
          <w:color w:val="auto"/>
        </w:rPr>
        <w:t>As lessee - continued</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information related to the measurement of our lease liabilities.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For the 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8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(in years)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46.7</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189"/>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26"/>
        </w:trPr>
        <w:tc>
          <w:tcPr>
            <w:tcW w:w="5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1000" w:type="dxa"/>
            <w:vAlign w:val="bottom"/>
            <w:vMerge w:val="restart"/>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53,313</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b w:val="1"/>
                <w:bCs w:val="1"/>
                <w:color w:val="auto"/>
              </w:rPr>
              <w:t>(1)</w:t>
            </w:r>
          </w:p>
        </w:tc>
        <w:tc>
          <w:tcPr>
            <w:tcW w:w="38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22,466</w:t>
            </w:r>
          </w:p>
        </w:tc>
        <w:tc>
          <w:tcPr>
            <w:tcW w:w="12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22,499</w:t>
            </w:r>
          </w:p>
        </w:tc>
        <w:tc>
          <w:tcPr>
            <w:tcW w:w="0" w:type="dxa"/>
            <w:vAlign w:val="bottom"/>
          </w:tcPr>
          <w:p>
            <w:pPr>
              <w:spacing w:after="0"/>
              <w:rPr>
                <w:sz w:val="1"/>
                <w:szCs w:val="1"/>
                <w:color w:val="auto"/>
              </w:rPr>
            </w:pPr>
          </w:p>
        </w:tc>
      </w:tr>
      <w:tr>
        <w:trPr>
          <w:trHeight w:val="78"/>
        </w:trPr>
        <w:tc>
          <w:tcPr>
            <w:tcW w:w="588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________________________________________</w:t>
      </w:r>
    </w:p>
    <w:p>
      <w:pPr>
        <w:ind w:left="320" w:hanging="315"/>
        <w:spacing w:after="0"/>
        <w:tabs>
          <w:tab w:leader="none" w:pos="32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a 2025 payment of $19,236 for prior period PENN 1 ground rent owed based on the April 2025 rent reset determination. See below for further details.</w:t>
      </w:r>
    </w:p>
    <w:p>
      <w:pPr>
        <w:spacing w:after="0" w:line="3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We recognize rent expense as a component of "operating" expenses on our consolidated statements of income. Rent expense is comprised of fixed and variable lease payments. The following table sets forth the details of our rent expense.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in thousands)</w:t>
            </w:r>
          </w:p>
        </w:tc>
        <w:tc>
          <w:tcPr>
            <w:tcW w:w="980" w:type="dxa"/>
            <w:vAlign w:val="bottom"/>
          </w:tcPr>
          <w:p>
            <w:pPr>
              <w:spacing w:after="0"/>
              <w:rPr>
                <w:sz w:val="16"/>
                <w:szCs w:val="16"/>
                <w:color w:val="auto"/>
              </w:rPr>
            </w:pPr>
          </w:p>
        </w:tc>
        <w:tc>
          <w:tcPr>
            <w:tcW w:w="270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6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rent expense</w:t>
            </w:r>
          </w:p>
        </w:tc>
        <w:tc>
          <w:tcPr>
            <w:tcW w:w="9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48,148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45,941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46,538</w:t>
            </w:r>
          </w:p>
        </w:tc>
      </w:tr>
      <w:tr>
        <w:trPr>
          <w:trHeight w:val="19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Variable rent expense</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(15,919)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14,573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14,679</w:t>
            </w:r>
          </w:p>
        </w:tc>
      </w:tr>
      <w:tr>
        <w:trPr>
          <w:trHeight w:val="22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Rent expense</w:t>
            </w:r>
          </w:p>
        </w:tc>
        <w:tc>
          <w:tcPr>
            <w:tcW w:w="98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32,229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60,514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61,217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2025, future lease payments due under operating ground leases were as follows:</w:t>
      </w:r>
    </w:p>
    <w:p>
      <w:pPr>
        <w:spacing w:after="0" w:line="100"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180" w:type="dxa"/>
            <w:vAlign w:val="bottom"/>
          </w:tcPr>
          <w:p>
            <w:pPr>
              <w:spacing w:after="0"/>
              <w:rPr>
                <w:sz w:val="16"/>
                <w:szCs w:val="16"/>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6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45,064</w:t>
            </w:r>
          </w:p>
        </w:tc>
        <w:tc>
          <w:tcPr>
            <w:tcW w:w="0" w:type="dxa"/>
            <w:vAlign w:val="bottom"/>
          </w:tcPr>
          <w:p>
            <w:pPr>
              <w:spacing w:after="0"/>
              <w:rPr>
                <w:sz w:val="1"/>
                <w:szCs w:val="1"/>
                <w:color w:val="auto"/>
              </w:rPr>
            </w:pPr>
          </w:p>
        </w:tc>
      </w:tr>
      <w:tr>
        <w:trPr>
          <w:trHeight w:val="189"/>
        </w:trPr>
        <w:tc>
          <w:tcPr>
            <w:tcW w:w="6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46,273</w:t>
            </w:r>
          </w:p>
        </w:tc>
        <w:tc>
          <w:tcPr>
            <w:tcW w:w="0" w:type="dxa"/>
            <w:vAlign w:val="bottom"/>
          </w:tcPr>
          <w:p>
            <w:pPr>
              <w:spacing w:after="0"/>
              <w:rPr>
                <w:sz w:val="1"/>
                <w:szCs w:val="1"/>
                <w:color w:val="auto"/>
              </w:rPr>
            </w:pPr>
          </w:p>
        </w:tc>
      </w:tr>
      <w:tr>
        <w:trPr>
          <w:trHeight w:val="204"/>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46,678</w:t>
            </w:r>
          </w:p>
        </w:tc>
        <w:tc>
          <w:tcPr>
            <w:tcW w:w="0" w:type="dxa"/>
            <w:vAlign w:val="bottom"/>
          </w:tcPr>
          <w:p>
            <w:pPr>
              <w:spacing w:after="0"/>
              <w:rPr>
                <w:sz w:val="1"/>
                <w:szCs w:val="1"/>
                <w:color w:val="auto"/>
              </w:rPr>
            </w:pPr>
          </w:p>
        </w:tc>
      </w:tr>
      <w:tr>
        <w:trPr>
          <w:trHeight w:val="189"/>
        </w:trPr>
        <w:tc>
          <w:tcPr>
            <w:tcW w:w="6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47,107</w:t>
            </w:r>
          </w:p>
        </w:tc>
        <w:tc>
          <w:tcPr>
            <w:tcW w:w="0" w:type="dxa"/>
            <w:vAlign w:val="bottom"/>
          </w:tcPr>
          <w:p>
            <w:pPr>
              <w:spacing w:after="0"/>
              <w:rPr>
                <w:sz w:val="1"/>
                <w:szCs w:val="1"/>
                <w:color w:val="auto"/>
              </w:rPr>
            </w:pPr>
          </w:p>
        </w:tc>
      </w:tr>
      <w:tr>
        <w:trPr>
          <w:trHeight w:val="204"/>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2030</w:t>
            </w:r>
          </w:p>
        </w:tc>
        <w:tc>
          <w:tcPr>
            <w:tcW w:w="1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47,562</w:t>
            </w:r>
          </w:p>
        </w:tc>
        <w:tc>
          <w:tcPr>
            <w:tcW w:w="0" w:type="dxa"/>
            <w:vAlign w:val="bottom"/>
          </w:tcPr>
          <w:p>
            <w:pPr>
              <w:spacing w:after="0"/>
              <w:rPr>
                <w:sz w:val="1"/>
                <w:szCs w:val="1"/>
                <w:color w:val="auto"/>
              </w:rPr>
            </w:pPr>
          </w:p>
        </w:tc>
      </w:tr>
      <w:tr>
        <w:trPr>
          <w:trHeight w:val="190"/>
        </w:trPr>
        <w:tc>
          <w:tcPr>
            <w:tcW w:w="6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1,768,928</w:t>
            </w:r>
          </w:p>
        </w:tc>
        <w:tc>
          <w:tcPr>
            <w:tcW w:w="0" w:type="dxa"/>
            <w:vAlign w:val="bottom"/>
          </w:tcPr>
          <w:p>
            <w:pPr>
              <w:spacing w:after="0"/>
              <w:rPr>
                <w:sz w:val="1"/>
                <w:szCs w:val="1"/>
                <w:color w:val="auto"/>
              </w:rPr>
            </w:pPr>
          </w:p>
        </w:tc>
      </w:tr>
      <w:tr>
        <w:trPr>
          <w:trHeight w:val="19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undiscounted cash flows</w:t>
            </w:r>
          </w:p>
        </w:tc>
        <w:tc>
          <w:tcPr>
            <w:tcW w:w="1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2,001,612</w:t>
            </w:r>
          </w:p>
        </w:tc>
        <w:tc>
          <w:tcPr>
            <w:tcW w:w="0" w:type="dxa"/>
            <w:vAlign w:val="bottom"/>
          </w:tcPr>
          <w:p>
            <w:pPr>
              <w:spacing w:after="0"/>
              <w:rPr>
                <w:sz w:val="1"/>
                <w:szCs w:val="1"/>
                <w:color w:val="auto"/>
              </w:rPr>
            </w:pPr>
          </w:p>
        </w:tc>
      </w:tr>
      <w:tr>
        <w:trPr>
          <w:trHeight w:val="190"/>
        </w:trPr>
        <w:tc>
          <w:tcPr>
            <w:tcW w:w="6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Present value discount</w:t>
            </w: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(1,301,972)</w:t>
            </w:r>
          </w:p>
        </w:tc>
        <w:tc>
          <w:tcPr>
            <w:tcW w:w="0" w:type="dxa"/>
            <w:vAlign w:val="bottom"/>
          </w:tcPr>
          <w:p>
            <w:pPr>
              <w:spacing w:after="0"/>
              <w:rPr>
                <w:sz w:val="1"/>
                <w:szCs w:val="1"/>
                <w:color w:val="auto"/>
              </w:rPr>
            </w:pPr>
          </w:p>
        </w:tc>
      </w:tr>
      <w:tr>
        <w:trPr>
          <w:trHeight w:val="221"/>
        </w:trPr>
        <w:tc>
          <w:tcPr>
            <w:tcW w:w="6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Lease liabilities</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699,640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PENN 1</w:t>
      </w:r>
    </w:p>
    <w:p>
      <w:pPr>
        <w:spacing w:after="0" w:line="42"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Our future lease payments disclosed above include payments for our PENN 1 ground lease based on an amount estimated in January 2022, when we exercised the second of three 25-year renewal options. The ground lease is subject to fair market value resets at each 25-year renewal period. The first renewal period commenced June 2023 and, together with our second option exercise in January 2022, extends the lease term through June 2073. On April 22, 2025, an arbitration panel (the “Panel”) appointed to determine the ground rent payable for the 25-year period beginning June 17, 2023 determined that the annual rent payable will be $15,000,000 or $20,220,000, depending on the outcome of litigation described in the following paragraph. On July 21, 2025, the ground lessor filed a motion in New York County Supreme Court to vacate the Panel’s ground rent determination. On October 31, 2025, the court granted the ground lessor’s motion. We believe the decision is without merit and are appealing the court’s decision.</w:t>
      </w:r>
    </w:p>
    <w:p>
      <w:pPr>
        <w:spacing w:after="0" w:line="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Further, litigation is currently pending between the parties in New York County Supreme Court regarding the existence of a sublease potentially affecting the value of the land parcel. The court denied our motion to dismiss that action and, in January 2026, the appellate court affirmed that decision. That sublease litigation is now continuing in front of the lower court. Under the Panel’s decision (assuming the aforementioned vacatur decision that we are appealing is reversed), if the fee owner prevails in a final judgment in that litigation, the annual rent for the 25-year term will be $20,220,000, retroactive to June 17, 2023. We are paying based on the $15,000,000 annual rent.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Farley Building</w:t>
      </w:r>
    </w:p>
    <w:p>
      <w:pPr>
        <w:spacing w:after="0" w:line="55"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The future lease payments detailed above exclude the ground and building lease at the Farley Building. The consolidated joint venture, in which we own a 95% controlling interest, has a 99-year triple-net lease with Empire State Development ("ESD") for 846,000 rentable square feet of commercial space at the property, comprised of approximately 730,000 square feet of office space and approximately 116,000 square feet of restaurant and retail space. Our lease of the commercial space at the property is accounted for as a “failed sale-leaseback” as a result of us being deemed the "accounting owner" during development of the property in accordance with ASC 842-40-55 and the lease subsequently meeting "finance lease" classification pursuant to ASC 842-40-25 upon substantial completion. The lease calls for annual rent payments and fixed payments in lieu of real estate taxes ("PILOT") through June 2030. Following the fixed PILOT payment period, the PILOT is calculated in a manner consistent with buildings subject to New York City real estate taxes and assessments. As of December 31, 2025, future rent and fixed PILOT payments are $508,983,000.</w:t>
      </w:r>
    </w:p>
    <w:p>
      <w:pPr>
        <w:sectPr>
          <w:pgSz w:w="11900" w:h="16838" w:orient="portrait"/>
          <w:cols w:equalWidth="0" w:num="1">
            <w:col w:w="11240"/>
          </w:cols>
          <w:pgMar w:left="320" w:top="5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type w:val="continuous"/>
        </w:sectPr>
      </w:pPr>
    </w:p>
    <w:bookmarkStart w:id="107" w:name="page108"/>
    <w:bookmarkEnd w:id="107"/>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Multiemployer Benefit Plans</w:t>
      </w:r>
    </w:p>
    <w:p>
      <w:pPr>
        <w:spacing w:after="0" w:line="68" w:lineRule="exact"/>
        <w:rPr>
          <w:sz w:val="20"/>
          <w:szCs w:val="20"/>
          <w:color w:val="auto"/>
        </w:rPr>
      </w:pPr>
    </w:p>
    <w:p>
      <w:pPr>
        <w:jc w:val="both"/>
        <w:ind w:firstLine="314"/>
        <w:spacing w:after="0" w:line="280" w:lineRule="auto"/>
        <w:rPr>
          <w:sz w:val="20"/>
          <w:szCs w:val="20"/>
          <w:color w:val="auto"/>
        </w:rPr>
      </w:pPr>
      <w:r>
        <w:rPr>
          <w:rFonts w:ascii="Times New Roman" w:cs="Times New Roman" w:eastAsia="Times New Roman" w:hAnsi="Times New Roman"/>
          <w:sz w:val="17"/>
          <w:szCs w:val="17"/>
          <w:color w:val="auto"/>
        </w:rPr>
        <w:t>Our subsidiaries make contributions to certain multiemployer defined benefit plans (“Multiemployer Pension Plans”) and health plans (“Multiemployer Health Plans”) for our union represented employees, pursuant to the respective collective bargaining agreements.</w:t>
      </w:r>
    </w:p>
    <w:p>
      <w:pPr>
        <w:spacing w:after="0"/>
        <w:rPr>
          <w:sz w:val="20"/>
          <w:szCs w:val="20"/>
          <w:color w:val="auto"/>
        </w:rPr>
      </w:pPr>
      <w:r>
        <w:rPr>
          <w:rFonts w:ascii="Times New Roman" w:cs="Times New Roman" w:eastAsia="Times New Roman" w:hAnsi="Times New Roman"/>
          <w:sz w:val="17"/>
          <w:szCs w:val="17"/>
          <w:i w:val="1"/>
          <w:iCs w:val="1"/>
          <w:color w:val="auto"/>
        </w:rPr>
        <w:t>Multiemployer Pension Plans</w:t>
      </w:r>
    </w:p>
    <w:p>
      <w:pPr>
        <w:spacing w:after="0" w:line="42"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color w:val="auto"/>
        </w:rPr>
        <w:t>Multiemployer Pension Plans differ from single-employer pension plans in that (i) contributions to multiemployer plans may be used to provide benefits to employees of other participating employers and (ii) if other participating employers fail to make their contributions, each of our participating subsidiaries may be required to bear its then pro rata share of unfunded obligations. If a participating subsidiary withdraws from a plan in which it participates, it may be subject to a withdrawal liability. As of December 31, 2025, our subsidiaries’ participation in these plans was not significant to our consolidated financial statements.</w:t>
      </w:r>
    </w:p>
    <w:p>
      <w:pPr>
        <w:spacing w:after="0" w:line="1" w:lineRule="exact"/>
        <w:rPr>
          <w:sz w:val="20"/>
          <w:szCs w:val="20"/>
          <w:color w:val="auto"/>
        </w:rPr>
      </w:pPr>
    </w:p>
    <w:p>
      <w:pPr>
        <w:jc w:val="both"/>
        <w:ind w:firstLine="314"/>
        <w:spacing w:after="0" w:line="272" w:lineRule="auto"/>
        <w:rPr>
          <w:sz w:val="20"/>
          <w:szCs w:val="20"/>
          <w:color w:val="auto"/>
        </w:rPr>
      </w:pPr>
      <w:r>
        <w:rPr>
          <w:rFonts w:ascii="Times New Roman" w:cs="Times New Roman" w:eastAsia="Times New Roman" w:hAnsi="Times New Roman"/>
          <w:sz w:val="17"/>
          <w:szCs w:val="17"/>
          <w:color w:val="auto"/>
        </w:rPr>
        <w:t>During the years ended December 31, 2025, 2024 and 2023, we contributed $9,653,000, $8,059,000 and $7,913,000, respectively, towards Multiemployer Pension Plans, which is included as a component of “operating” expenses on our consolidated statements of income. Our subsidiaries’ contributions did not represent more than 5% of total employer contributions in any of these plans for the years ended December 31, 2025, 2024 and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Multiemployer Health Plans</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Multiemployer Health Plans in which our subsidiaries participate provide health benefits to eligible active and retired employees. During the years ended December 31, 2025, 2024 and 2023, our subsidiaries contributed $34,880,000, $29,555,000 and $28,764,000, respectively, towards these plans, which is included as a component of “operating” expenses on our consolidated statements of income.</w:t>
      </w:r>
    </w:p>
    <w:p>
      <w:pPr>
        <w:spacing w:after="0" w:line="5" w:lineRule="exact"/>
        <w:rPr>
          <w:sz w:val="20"/>
          <w:szCs w:val="20"/>
          <w:color w:val="auto"/>
        </w:rPr>
      </w:pPr>
    </w:p>
    <w:p>
      <w:pPr>
        <w:ind w:left="440" w:hanging="435"/>
        <w:spacing w:after="0"/>
        <w:tabs>
          <w:tab w:leader="none" w:pos="44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66"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Insurance</w:t>
      </w:r>
    </w:p>
    <w:p>
      <w:pPr>
        <w:spacing w:after="0" w:line="42" w:lineRule="exact"/>
        <w:rPr>
          <w:rFonts w:ascii="Times New Roman" w:cs="Times New Roman" w:eastAsia="Times New Roman" w:hAnsi="Times New Roman"/>
          <w:sz w:val="17"/>
          <w:szCs w:val="17"/>
          <w:b w:val="1"/>
          <w:bCs w:val="1"/>
          <w:color w:val="auto"/>
        </w:rPr>
      </w:pPr>
    </w:p>
    <w:p>
      <w:pPr>
        <w:jc w:val="both"/>
        <w:ind w:firstLine="314"/>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our properties, we maintain general liability insurance with limits of $300,000,000 per occurrence and per property, of which $275,000,000, includes communicable disease coverage, and we maintain all risk property and rental value insurance with limits of $2.0 billion per occurrence, with sub-limits for certain perils such as flood and earthquake, excluding communicable disease coverage. Our California properties have earthquake insurance with coverage of $350,000,000 per occurrence and in the aggregate, subject to a deductible in the amount of 5% of the value of the affected property. We maintain coverage for certified terrorism acts with limits of $6.0 billion per occurrence and in the aggregate (as listed below), $1.2 billion for non-certified acts of terrorism, and $5.0 billion per occurrence and in the aggregate for terrorism involving nuclear, biological, chemical and radiological (“NBCR”) terrorism events, as defined by the Terrorism Risk Insurance Act of 2002, as amended to date and which has been extended through December 2027.</w:t>
      </w:r>
    </w:p>
    <w:p>
      <w:pPr>
        <w:spacing w:after="0" w:line="20" w:lineRule="exact"/>
        <w:rPr>
          <w:sz w:val="20"/>
          <w:szCs w:val="20"/>
          <w:color w:val="auto"/>
        </w:rPr>
      </w:pPr>
    </w:p>
    <w:p>
      <w:pPr>
        <w:jc w:val="both"/>
        <w:ind w:firstLine="314"/>
        <w:spacing w:after="0" w:line="266" w:lineRule="auto"/>
        <w:rPr>
          <w:sz w:val="20"/>
          <w:szCs w:val="20"/>
          <w:color w:val="auto"/>
        </w:rPr>
      </w:pPr>
      <w:r>
        <w:rPr>
          <w:rFonts w:ascii="Times New Roman" w:cs="Times New Roman" w:eastAsia="Times New Roman" w:hAnsi="Times New Roman"/>
          <w:sz w:val="17"/>
          <w:szCs w:val="17"/>
          <w:color w:val="auto"/>
        </w:rPr>
        <w:t>Penn Plaza Insurance Company, LLC (“PPIC”), our wholly owned consolidated subsidiary, acts as a re-insurer with respect to a portion of all risk property and rental value insurance and a portion of our earthquake insurance coverage, and as a direct insurer for coverage for acts of terrorism including NBCR acts. Coverage for acts of terrorism (excluding NBCR acts) is fully reinsured by third party insurance companies and the Federal government with no exposure to PPIC. For NBCR acts, PPIC is responsible for a deductible of $2,424,264 and 20% of the balance of a covered loss and the Federal government is responsible for the remaining portion of a covered loss. We are ultimately responsible for any loss incurred by PPIC.</w:t>
      </w:r>
    </w:p>
    <w:p>
      <w:pPr>
        <w:spacing w:after="0" w:line="4" w:lineRule="exact"/>
        <w:rPr>
          <w:sz w:val="20"/>
          <w:szCs w:val="20"/>
          <w:color w:val="auto"/>
        </w:rPr>
      </w:pPr>
    </w:p>
    <w:p>
      <w:pPr>
        <w:jc w:val="both"/>
        <w:ind w:firstLine="314"/>
        <w:spacing w:after="0" w:line="281" w:lineRule="auto"/>
        <w:rPr>
          <w:sz w:val="20"/>
          <w:szCs w:val="20"/>
          <w:color w:val="auto"/>
        </w:rPr>
      </w:pPr>
      <w:r>
        <w:rPr>
          <w:rFonts w:ascii="Times New Roman" w:cs="Times New Roman" w:eastAsia="Times New Roman" w:hAnsi="Times New Roman"/>
          <w:sz w:val="17"/>
          <w:szCs w:val="17"/>
          <w:color w:val="auto"/>
        </w:rPr>
        <w:t>Certain condominiums in which we own an interest (including the Farley Condominiums) maintain insurance policies with different per occurrence and aggregate limits than our policies described above.</w:t>
      </w:r>
    </w:p>
    <w:p>
      <w:pPr>
        <w:spacing w:after="0" w:line="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continue to monitor the state of the insurance market and the scope and costs of coverage for acts of terrorism and other events. However, we cannot anticipate what coverage will be available on commercially reasonable terms in the future. We are responsible for uninsured losses and for deductibles and losses in excess of our insurance coverage, which could be material.</w:t>
      </w:r>
    </w:p>
    <w:p>
      <w:pPr>
        <w:spacing w:after="0" w:line="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Our debt instruments, consisting of mortgage loans secured by our properties, senior unsecured notes and revolving credit agreements contain customary covenants requiring us to maintain insurance. Although we believe that we have adequate insurance coverage for purposes of these agreements, we may not be able to obtain an equivalent amount of coverage at reasonable costs in the future. Further, if lenders insist on greater coverage than we are able to obtain it could adversely affect our ability to finance or refinance our properties and expand our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08" w:name="page109"/>
    <w:bookmarkEnd w:id="108"/>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7620" w:firstLine="5"/>
        <w:spacing w:after="0" w:line="314" w:lineRule="auto"/>
        <w:tabs>
          <w:tab w:leader="none" w:pos="262"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 continued </w:t>
      </w:r>
      <w:r>
        <w:rPr>
          <w:rFonts w:ascii="Times New Roman" w:cs="Times New Roman" w:eastAsia="Times New Roman" w:hAnsi="Times New Roman"/>
          <w:sz w:val="17"/>
          <w:szCs w:val="17"/>
          <w:i w:val="1"/>
          <w:iCs w:val="1"/>
          <w:color w:val="auto"/>
        </w:rPr>
        <w:t>Other Commitments and Contingencies</w:t>
      </w:r>
    </w:p>
    <w:p>
      <w:pPr>
        <w:spacing w:after="0" w:line="1" w:lineRule="exact"/>
        <w:rPr>
          <w:sz w:val="20"/>
          <w:szCs w:val="20"/>
          <w:color w:val="auto"/>
        </w:rPr>
      </w:pPr>
    </w:p>
    <w:p>
      <w:pPr>
        <w:jc w:val="both"/>
        <w:ind w:firstLine="314"/>
        <w:spacing w:after="0" w:line="273" w:lineRule="auto"/>
        <w:rPr>
          <w:sz w:val="20"/>
          <w:szCs w:val="20"/>
          <w:color w:val="auto"/>
        </w:rPr>
      </w:pPr>
      <w:r>
        <w:rPr>
          <w:rFonts w:ascii="Times New Roman" w:cs="Times New Roman" w:eastAsia="Times New Roman" w:hAnsi="Times New Roman"/>
          <w:sz w:val="17"/>
          <w:szCs w:val="17"/>
          <w:color w:val="auto"/>
        </w:rPr>
        <w:t>We are from time to time involved in legal actions arising in the ordinary course of business. In our opinion, after consultation with legal counsel, the outcome of such matters is not currently expected to have a material adverse effect on our financial position, results of operations or cash flows.</w:t>
      </w:r>
    </w:p>
    <w:p>
      <w:pPr>
        <w:spacing w:after="0" w:line="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Each of our properties has been subjected to varying degrees of environmental assessment at various times. The environmental assessments did not reveal any material environmental contamination. However, there can be no assurance that the identification of new areas of contamination, changes in the extent or known scope of contamination, the discovery of additional sites, or changes in cleanup requirements would not result in significant costs to us.</w:t>
      </w:r>
    </w:p>
    <w:p>
      <w:pPr>
        <w:spacing w:after="0" w:line="7"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We may, from time to time, enter into guarantees including, but not limited to, payment guarantees to lenders of unconsolidated joint ventures for tax purposes, completion guarantees for development and redevelopment projects, and guarantees to fund leasing costs. These agreements terminate either upon the satisfaction of specified obligations or repayment of the underlying loans. As of December 31, 2025, the aggregate dollar amount of these guarantees is approximately $438,194,000, including the $300,000,000 payment guarantee for the mortgage loan secured by 7 West 34th Street, which was extinguished in January 2026 when the mortgage loan was refinanced, and partial payment guarantees on 435 Seventh Avenue and 150 West 34th Street. Other than these loans, our mortgage loans are non-recourse to us.</w:t>
      </w:r>
    </w:p>
    <w:p>
      <w:pPr>
        <w:spacing w:after="0" w:line="15"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As of December 31, 2025, $25,769,000 of letters of credit were outstanding under our unsecured revolving credit facilities. Our unsecured revolving credit facilities contain financial covenants that require us to maintain minimum interest coverage and maximum debt to market capitalization ratios, and provide for increased interest rates in the event of a decline in the credit rating assigned to our senior unsecured notes. Our unsecured revolving credit facilities also contain customary conditions precedent to borrowing, including representations and warranties, and also contain customary events of default that could give rise to accelerated repayment, including such items as failure to pay interest or principal.</w:t>
      </w:r>
    </w:p>
    <w:p>
      <w:pPr>
        <w:spacing w:after="0" w:line="13"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Our 95% consolidated joint venture (5% is owned by Related Companies ("Related")) developed and owns the Farley Building. In connection with the development of the property, the joint venture admitted a historic Tax Credit Investor partner. Under the terms of the historic tax credit arrangement, the joint venture is required to comply with various laws, regulations, and contractual provisions. Non-compliance with applicable requirements could result in projected tax benefits not being realized and, therefore, may require a refund or reduction of the Tax Credit Investor’s capital contributions. As of December 31, 2025, the Tax Credit Investor has made $209,661,000 in capital contributions. Vornado and Related have guaranteed certain of the joint venture’s obligations to the Tax Credit Investor.</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2025, we had construction commitments aggregating approximately $11,471,000.</w:t>
      </w:r>
    </w:p>
    <w:p>
      <w:pPr>
        <w:spacing w:after="0" w:line="117" w:lineRule="exact"/>
        <w:rPr>
          <w:sz w:val="20"/>
          <w:szCs w:val="20"/>
          <w:color w:val="auto"/>
        </w:rPr>
      </w:pPr>
    </w:p>
    <w:p>
      <w:pPr>
        <w:ind w:right="8760" w:firstLine="5"/>
        <w:spacing w:after="0" w:line="322" w:lineRule="auto"/>
        <w:tabs>
          <w:tab w:leader="none" w:pos="436"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i w:val="1"/>
          <w:iCs w:val="1"/>
          <w:color w:val="auto"/>
        </w:rPr>
        <w:t>Alexander’s, Inc.</w:t>
      </w:r>
    </w:p>
    <w:p>
      <w:pPr>
        <w:spacing w:after="0" w:line="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 xml:space="preserve">We own 32.4% of Alexander’s. Steven Roth, the Chairman of Vornado’s Board of Trustee’s and its Chief Executive Officer, is also the Chairman of the Board of Directors and Chief Executive Officer of Alexander’s. We provide various services to Alexander’s in accordance with management, development and leasing agreements. These agreements are described in Note 4 - </w:t>
      </w:r>
      <w:r>
        <w:rPr>
          <w:rFonts w:ascii="Times New Roman" w:cs="Times New Roman" w:eastAsia="Times New Roman" w:hAnsi="Times New Roman"/>
          <w:sz w:val="17"/>
          <w:szCs w:val="17"/>
          <w:i w:val="1"/>
          <w:iCs w:val="1"/>
          <w:color w:val="auto"/>
        </w:rPr>
        <w:t>Investments in Partially Owned Entities</w:t>
      </w:r>
      <w:r>
        <w:rPr>
          <w:rFonts w:ascii="Times New Roman" w:cs="Times New Roman" w:eastAsia="Times New Roman" w:hAnsi="Times New Roman"/>
          <w:sz w:val="17"/>
          <w:szCs w:val="17"/>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Interstate Properties (“Interstate”)</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Interstate is a general partnership in which Mr. Roth is the managing general partner. David Mandelbaum and Russell B. Wight, Jr., Trustees of Vornado and Directors of Alexander’s, respectively, are Interstate’s two other general partners. As of December 31, 2025, Interstate and its partners beneficially owned an aggregate of approximately 7.1% of the common shares of beneficial interest of Vornado and 26.0% of Alexander’s common stock.</w:t>
      </w:r>
    </w:p>
    <w:p>
      <w:pPr>
        <w:spacing w:after="0" w:line="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We manage and lease the real estate assets of Interstate pursuant to a management agreement for which we receive an annual fee equal to 4% of annual base rent and percentage rent. The management agreement has a term of one year and is automatically renewable unless terminated by either of the parties on 60 days’ notice at the end of the term. We believe, based upon comparable fees charged by other real estate companies, that the management agreement terms are consistent with the market. We earned $200,000, $208,000, and $206,000 of management fees under the agreement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09" w:name="page110"/>
    <w:bookmarkEnd w:id="109"/>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7880" w:firstLine="5"/>
        <w:spacing w:after="0" w:line="322" w:lineRule="auto"/>
        <w:tabs>
          <w:tab w:leader="none" w:pos="436"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 continued </w:t>
      </w:r>
      <w:r>
        <w:rPr>
          <w:rFonts w:ascii="Times New Roman" w:cs="Times New Roman" w:eastAsia="Times New Roman" w:hAnsi="Times New Roman"/>
          <w:sz w:val="17"/>
          <w:szCs w:val="17"/>
          <w:i w:val="1"/>
          <w:iCs w:val="1"/>
          <w:color w:val="auto"/>
        </w:rPr>
        <w:t>Fifth Avenue and Times Square JV</w:t>
      </w:r>
    </w:p>
    <w:p>
      <w:pPr>
        <w:spacing w:after="0" w:line="1"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 xml:space="preserve">We provide various services to Fifth Avenue and Times Square JV in accordance with management, development, leasing and other agreements. These agreements are described in Note 4 - </w:t>
      </w:r>
      <w:r>
        <w:rPr>
          <w:rFonts w:ascii="Times New Roman" w:cs="Times New Roman" w:eastAsia="Times New Roman" w:hAnsi="Times New Roman"/>
          <w:sz w:val="17"/>
          <w:szCs w:val="17"/>
          <w:i w:val="1"/>
          <w:iCs w:val="1"/>
          <w:color w:val="auto"/>
        </w:rPr>
        <w:t>Investments in Partially Owned Entities</w:t>
      </w:r>
      <w:r>
        <w:rPr>
          <w:rFonts w:ascii="Times New Roman" w:cs="Times New Roman" w:eastAsia="Times New Roman" w:hAnsi="Times New Roman"/>
          <w:sz w:val="17"/>
          <w:szCs w:val="17"/>
          <w:color w:val="auto"/>
        </w:rPr>
        <w:t>. Haim Chera, Executive Vice President - Head of Retail, has an investment in Crown Acquisitions Inc. and Crown Retail Services LLC (collectively, "Crown"), companies controlled by Mr. Chera's family. Crown has a nominal minority interest in Fifth Avenue and Times Square JV. Additionally, we have other investments with Crown.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Segment Information</w:t>
      </w:r>
    </w:p>
    <w:p>
      <w:pPr>
        <w:spacing w:after="0" w:line="68" w:lineRule="exact"/>
        <w:rPr>
          <w:sz w:val="20"/>
          <w:szCs w:val="20"/>
          <w:color w:val="auto"/>
        </w:rPr>
      </w:pPr>
    </w:p>
    <w:p>
      <w:pPr>
        <w:jc w:val="both"/>
        <w:ind w:firstLine="314"/>
        <w:spacing w:after="0" w:line="289" w:lineRule="auto"/>
        <w:rPr>
          <w:sz w:val="20"/>
          <w:szCs w:val="20"/>
          <w:color w:val="auto"/>
        </w:rPr>
      </w:pPr>
      <w:r>
        <w:rPr>
          <w:rFonts w:ascii="Times New Roman" w:cs="Times New Roman" w:eastAsia="Times New Roman" w:hAnsi="Times New Roman"/>
          <w:sz w:val="17"/>
          <w:szCs w:val="17"/>
          <w:color w:val="auto"/>
        </w:rPr>
        <w:t>The Company’s operating segments are based on our method of internal reporting which classifies our operations by geographic area. We aggregate these operating segments into two reportable segments, New York and Other, which is based on similar economic characteristics.</w:t>
      </w:r>
    </w:p>
    <w:p>
      <w:pPr>
        <w:spacing w:after="0" w:line="1"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Net operating income (“NOI”) at share represents total revenues less operating expenses, including our share of partially owned entities. The Company's chief operating decision maker ("CODM") is its Chief Executive Officer, who considers NOI at share to be the measure of segment profit and loss for making decisions on how to allocate resources and assessing the unlevered performance of our segments as it relates to the return on assets as opposed to the levered return on equity. Asset information by segment is not reported as the CODM does not use this measure to assess segment performance or to make resource allocation decisions.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summary of financial information by segment for the years ended December 31, 2025, 2024 and 2023.</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6"/>
                <w:szCs w:val="16"/>
                <w:color w:val="auto"/>
              </w:rPr>
            </w:pPr>
          </w:p>
        </w:tc>
        <w:tc>
          <w:tcPr>
            <w:tcW w:w="3320" w:type="dxa"/>
            <w:vAlign w:val="bottom"/>
            <w:gridSpan w:val="6"/>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2025</w:t>
            </w:r>
          </w:p>
        </w:tc>
        <w:tc>
          <w:tcPr>
            <w:tcW w:w="106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New York</w:t>
            </w:r>
          </w:p>
        </w:tc>
        <w:tc>
          <w:tcPr>
            <w:tcW w:w="40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1,810,425</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1,476,522</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333,903</w:t>
            </w:r>
          </w:p>
        </w:tc>
      </w:tr>
      <w:tr>
        <w:trPr>
          <w:trHeight w:val="196"/>
        </w:trPr>
        <w:tc>
          <w:tcPr>
            <w:tcW w:w="6480" w:type="dxa"/>
            <w:vAlign w:val="bottom"/>
          </w:tcPr>
          <w:p>
            <w:pPr>
              <w:spacing w:after="0" w:line="196" w:lineRule="exact"/>
              <w:rPr>
                <w:sz w:val="20"/>
                <w:szCs w:val="20"/>
                <w:color w:val="auto"/>
              </w:rPr>
            </w:pPr>
            <w:r>
              <w:rPr>
                <w:rFonts w:ascii="Times New Roman" w:cs="Times New Roman" w:eastAsia="Times New Roman" w:hAnsi="Times New Roman"/>
                <w:sz w:val="14"/>
                <w:szCs w:val="14"/>
                <w:color w:val="auto"/>
              </w:rPr>
              <w:t>Deduct: operating expenses</w:t>
            </w:r>
            <w:r>
              <w:rPr>
                <w:rFonts w:ascii="Times New Roman" w:cs="Times New Roman" w:eastAsia="Times New Roman" w:hAnsi="Times New Roman"/>
                <w:sz w:val="18"/>
                <w:szCs w:val="18"/>
                <w:b w:val="1"/>
                <w:bCs w:val="1"/>
                <w:color w:val="auto"/>
                <w:vertAlign w:val="superscript"/>
              </w:rPr>
              <w:t>(1)</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(919,959)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(766,758)</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(153,201)</w:t>
            </w:r>
          </w:p>
        </w:tc>
      </w:tr>
      <w:tr>
        <w:trPr>
          <w:trHeight w:val="19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(41,882)</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(13,846)</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(28,036)</w:t>
            </w:r>
          </w:p>
        </w:tc>
      </w:tr>
      <w:tr>
        <w:trPr>
          <w:trHeight w:val="19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263,315</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253,504</w:t>
            </w: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9,811</w:t>
            </w:r>
          </w:p>
        </w:tc>
      </w:tr>
      <w:tr>
        <w:trPr>
          <w:trHeight w:val="221"/>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NOI at share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1,111,899</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949,422</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162,477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6"/>
                <w:szCs w:val="16"/>
                <w:color w:val="auto"/>
              </w:rPr>
            </w:pPr>
          </w:p>
        </w:tc>
        <w:tc>
          <w:tcPr>
            <w:tcW w:w="3320" w:type="dxa"/>
            <w:vAlign w:val="bottom"/>
            <w:gridSpan w:val="6"/>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2024</w:t>
            </w:r>
          </w:p>
        </w:tc>
        <w:tc>
          <w:tcPr>
            <w:tcW w:w="106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New York</w:t>
            </w:r>
          </w:p>
        </w:tc>
        <w:tc>
          <w:tcPr>
            <w:tcW w:w="40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1,787,686</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1,471,997</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315,689</w:t>
            </w: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Deduct: operating expenses</w:t>
            </w:r>
            <w:r>
              <w:rPr>
                <w:rFonts w:ascii="Times New Roman" w:cs="Times New Roman" w:eastAsia="Times New Roman" w:hAnsi="Times New Roman"/>
                <w:sz w:val="9"/>
                <w:szCs w:val="9"/>
                <w:b w:val="1"/>
                <w:bCs w:val="1"/>
                <w:color w:val="auto"/>
              </w:rPr>
              <w:t>(1)</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(927,796)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(766,347)</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(161,449)</w:t>
            </w:r>
          </w:p>
        </w:tc>
      </w:tr>
      <w:tr>
        <w:trPr>
          <w:trHeight w:val="20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(39,367)</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(12,899)</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(26,468)</w:t>
            </w:r>
          </w:p>
        </w:tc>
      </w:tr>
      <w:tr>
        <w:trPr>
          <w:trHeight w:val="19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279,229</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269,159</w:t>
            </w: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10,070</w:t>
            </w:r>
          </w:p>
        </w:tc>
      </w:tr>
      <w:tr>
        <w:trPr>
          <w:trHeight w:val="221"/>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NOI at share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1,099,752</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961,910</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137,842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6"/>
                <w:szCs w:val="16"/>
                <w:color w:val="auto"/>
              </w:rPr>
            </w:pPr>
          </w:p>
        </w:tc>
        <w:tc>
          <w:tcPr>
            <w:tcW w:w="3320" w:type="dxa"/>
            <w:vAlign w:val="bottom"/>
            <w:gridSpan w:val="6"/>
          </w:tcPr>
          <w:p>
            <w:pPr>
              <w:jc w:val="center"/>
              <w:ind w:left="63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2023</w:t>
            </w:r>
          </w:p>
        </w:tc>
        <w:tc>
          <w:tcPr>
            <w:tcW w:w="106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New York</w:t>
            </w:r>
          </w:p>
        </w:tc>
        <w:tc>
          <w:tcPr>
            <w:tcW w:w="40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1,811,163</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1,452,158</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359,005</w:t>
            </w:r>
          </w:p>
        </w:tc>
      </w:tr>
      <w:tr>
        <w:trPr>
          <w:trHeight w:val="196"/>
        </w:trPr>
        <w:tc>
          <w:tcPr>
            <w:tcW w:w="6480" w:type="dxa"/>
            <w:vAlign w:val="bottom"/>
          </w:tcPr>
          <w:p>
            <w:pPr>
              <w:spacing w:after="0" w:line="196" w:lineRule="exact"/>
              <w:rPr>
                <w:sz w:val="20"/>
                <w:szCs w:val="20"/>
                <w:color w:val="auto"/>
              </w:rPr>
            </w:pPr>
            <w:r>
              <w:rPr>
                <w:rFonts w:ascii="Times New Roman" w:cs="Times New Roman" w:eastAsia="Times New Roman" w:hAnsi="Times New Roman"/>
                <w:sz w:val="14"/>
                <w:szCs w:val="14"/>
                <w:color w:val="auto"/>
              </w:rPr>
              <w:t>Deduct: operating expenses</w:t>
            </w:r>
            <w:r>
              <w:rPr>
                <w:rFonts w:ascii="Times New Roman" w:cs="Times New Roman" w:eastAsia="Times New Roman" w:hAnsi="Times New Roman"/>
                <w:sz w:val="18"/>
                <w:szCs w:val="18"/>
                <w:b w:val="1"/>
                <w:bCs w:val="1"/>
                <w:color w:val="auto"/>
                <w:vertAlign w:val="superscript"/>
              </w:rPr>
              <w:t>(1)</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(905,158)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(733,478)</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(171,680)</w:t>
            </w:r>
          </w:p>
        </w:tc>
      </w:tr>
      <w:tr>
        <w:trPr>
          <w:trHeight w:val="19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Deduct: NOI attributable to noncontrolling interests in consolidated subsidiaries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(48,553)</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(15,547)</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(33,006)</w:t>
            </w:r>
          </w:p>
        </w:tc>
      </w:tr>
      <w:tr>
        <w:trPr>
          <w:trHeight w:val="19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Add: NOI from partially owned entities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285,761</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274,436</w:t>
            </w: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11,325</w:t>
            </w:r>
          </w:p>
        </w:tc>
      </w:tr>
      <w:tr>
        <w:trPr>
          <w:trHeight w:val="221"/>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NOI at share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1,143,213</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977,569</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165,644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w:t>
      </w:r>
    </w:p>
    <w:p>
      <w:pPr>
        <w:spacing w:after="0" w:line="46" w:lineRule="exact"/>
        <w:rPr>
          <w:sz w:val="20"/>
          <w:szCs w:val="20"/>
          <w:color w:val="auto"/>
        </w:rPr>
      </w:pPr>
    </w:p>
    <w:p>
      <w:pPr>
        <w:ind w:left="240" w:hanging="235"/>
        <w:spacing w:after="0" w:line="285" w:lineRule="auto"/>
        <w:tabs>
          <w:tab w:leader="none" w:pos="202" w:val="left"/>
        </w:tabs>
        <w:numPr>
          <w:ilvl w:val="0"/>
          <w:numId w:val="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various expenses associated with operating our properties, including but not limited to: real estate taxes, ground rent, insurance, and utilities. Our CODM is not regularly provided with significant expense categories and amounts included within net operating income at share.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10" w:name="page111"/>
    <w:bookmarkEnd w:id="110"/>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Segment Information - continued</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is a reconciliation of NOI at share to income before income taxes for the years ended December 31, 2025, 2024 and 2023.</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(Amounts in thousands)</w:t>
            </w:r>
          </w:p>
        </w:tc>
        <w:tc>
          <w:tcPr>
            <w:tcW w:w="340" w:type="dxa"/>
            <w:vAlign w:val="bottom"/>
          </w:tcPr>
          <w:p>
            <w:pPr>
              <w:spacing w:after="0"/>
              <w:rPr>
                <w:sz w:val="16"/>
                <w:szCs w:val="16"/>
                <w:color w:val="auto"/>
              </w:rPr>
            </w:pPr>
          </w:p>
        </w:tc>
        <w:tc>
          <w:tcPr>
            <w:tcW w:w="326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2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64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NOI at share</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1,111,899</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1,099,752</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1,143,213</w:t>
            </w: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NOI attributable to noncontrolling interests in consolidated subsidiaries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41,882</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39,367</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48,553</w:t>
            </w:r>
          </w:p>
        </w:tc>
      </w:tr>
      <w:tr>
        <w:trPr>
          <w:trHeight w:val="20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NOI from partially owned entities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(263,315)</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(279,229)</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(285,761)</w:t>
            </w: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Net gains on disposition of wholly owned and partially owned assets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35,291</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16,048</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71,199</w:t>
            </w:r>
          </w:p>
        </w:tc>
      </w:tr>
      <w:tr>
        <w:trPr>
          <w:trHeight w:val="20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sales-type lease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803,248</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debt expense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(353,868)</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(390,269)</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(349,223)</w:t>
            </w:r>
          </w:p>
        </w:tc>
      </w:tr>
      <w:tr>
        <w:trPr>
          <w:trHeight w:val="20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other investment income, net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55,113</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45,974</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43,287</w:t>
            </w: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Income from partially owned entities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141,310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112,464</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38,689</w:t>
            </w:r>
          </w:p>
        </w:tc>
      </w:tr>
      <w:tr>
        <w:trPr>
          <w:trHeight w:val="20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related costs, impairment losses and other</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(50,691)</w:t>
            </w: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(156,115)</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(148,520)</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(162,883)</w:t>
            </w:r>
          </w:p>
        </w:tc>
      </w:tr>
      <w:tr>
        <w:trPr>
          <w:trHeight w:val="19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(462,201)</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(447,500)</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(434,273)</w:t>
            </w: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950,713</w:t>
            </w: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42,845</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62,110</w:t>
            </w:r>
          </w:p>
        </w:tc>
      </w:tr>
      <w:tr>
        <w:trPr>
          <w:trHeight w:val="20"/>
        </w:trPr>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24.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3 East 54th Street</w:t>
      </w:r>
    </w:p>
    <w:p>
      <w:pPr>
        <w:spacing w:after="0" w:line="34"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On January 7, 2026, we closed on the acquisition of 3 East 54th Street, a demolition-ready asset situated on 18,400 square feet of land, for $141,000,000. We acquired the mortgage on this property in two transactions in 2024 and 2025, and the loan balance has accrued to $107,000,000, including default interest and advances. In connection with the acquisition, the $107,000,000 loan balance was credited towards the purchase price.</w:t>
      </w:r>
    </w:p>
    <w:p>
      <w:pPr>
        <w:spacing w:after="0" w:line="16" w:lineRule="exact"/>
        <w:rPr>
          <w:sz w:val="20"/>
          <w:szCs w:val="20"/>
          <w:color w:val="auto"/>
        </w:rPr>
      </w:pPr>
    </w:p>
    <w:p>
      <w:pPr>
        <w:jc w:val="both"/>
        <w:ind w:firstLine="314"/>
        <w:spacing w:after="0" w:line="288" w:lineRule="auto"/>
        <w:rPr>
          <w:sz w:val="20"/>
          <w:szCs w:val="20"/>
          <w:color w:val="auto"/>
        </w:rPr>
      </w:pPr>
      <w:r>
        <w:rPr>
          <w:rFonts w:ascii="Times New Roman" w:cs="Times New Roman" w:eastAsia="Times New Roman" w:hAnsi="Times New Roman"/>
          <w:sz w:val="17"/>
          <w:szCs w:val="17"/>
          <w:color w:val="auto"/>
        </w:rPr>
        <w:t>3 East 54th Street is located between Fifth Avenue and Madison Avenue on 54th Street, adjacent to the St. Regis Hotel and our Upper Fifth Avenue retail properties. The land is zoned for approximately 232,500 buildable square feet as-of-right, and we intend to promptly demolish the existing buildings on the site.</w:t>
      </w:r>
    </w:p>
    <w:p>
      <w:pPr>
        <w:spacing w:after="0"/>
        <w:rPr>
          <w:sz w:val="20"/>
          <w:szCs w:val="20"/>
          <w:color w:val="auto"/>
        </w:rPr>
      </w:pPr>
      <w:r>
        <w:rPr>
          <w:rFonts w:ascii="Times New Roman" w:cs="Times New Roman" w:eastAsia="Times New Roman" w:hAnsi="Times New Roman"/>
          <w:sz w:val="17"/>
          <w:szCs w:val="17"/>
          <w:i w:val="1"/>
          <w:iCs w:val="1"/>
          <w:color w:val="auto"/>
        </w:rPr>
        <w:t>2031 Revolving Credit Facility</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January 7, 2026, we completed a $1.105 billion refinancing of one of our two revolving credit facilities. On February 4, 2026, the facility was upsized to $1.130 billion. The $1.130 billion amended facility currently bears interest at a rate of SOFR plus 1.05% and is scheduled to mature in February 2031 (as fully extended). The facility fee is 25 basis points. The facility replaced the previous $1.25 billion revolving credit facility which was scheduled to mature in December 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2029 Revolving Credit Facility</w:t>
      </w:r>
    </w:p>
    <w:p>
      <w:pPr>
        <w:spacing w:after="0" w:line="68" w:lineRule="exact"/>
        <w:rPr>
          <w:sz w:val="20"/>
          <w:szCs w:val="20"/>
          <w:color w:val="auto"/>
        </w:rPr>
      </w:pPr>
    </w:p>
    <w:p>
      <w:pPr>
        <w:jc w:val="both"/>
        <w:ind w:firstLine="314"/>
        <w:spacing w:after="0" w:line="288" w:lineRule="auto"/>
        <w:rPr>
          <w:sz w:val="20"/>
          <w:szCs w:val="20"/>
          <w:color w:val="auto"/>
        </w:rPr>
      </w:pPr>
      <w:r>
        <w:rPr>
          <w:rFonts w:ascii="Times New Roman" w:cs="Times New Roman" w:eastAsia="Times New Roman" w:hAnsi="Times New Roman"/>
          <w:sz w:val="17"/>
          <w:szCs w:val="17"/>
          <w:color w:val="auto"/>
        </w:rPr>
        <w:t>On January 7, 2026, we upsized our $915,000,000 revolving credit facility that matures in April 2029 (as fully extended) to $1.0 billion. The credit facility currently bears interest at a rate of SOFR plus 1.16% and has a facility fee of 0.24%.</w:t>
      </w:r>
    </w:p>
    <w:p>
      <w:pPr>
        <w:spacing w:after="0"/>
        <w:rPr>
          <w:sz w:val="20"/>
          <w:szCs w:val="20"/>
          <w:color w:val="auto"/>
        </w:rPr>
      </w:pPr>
      <w:r>
        <w:rPr>
          <w:rFonts w:ascii="Times New Roman" w:cs="Times New Roman" w:eastAsia="Times New Roman" w:hAnsi="Times New Roman"/>
          <w:sz w:val="17"/>
          <w:szCs w:val="17"/>
          <w:i w:val="1"/>
          <w:iCs w:val="1"/>
          <w:color w:val="auto"/>
        </w:rPr>
        <w:t>Unsecured Term Loan</w:t>
      </w:r>
    </w:p>
    <w:p>
      <w:pPr>
        <w:spacing w:after="0" w:line="34"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On January 7, 2026, we completed a refinancing of our unsecured term loan and upsized the loan amount to $850,000,000. The loan bears interest at SOFR plus 1.20% and matures in February 2031 (as fully extended). The loan replaced the previous $800,000,000 term loan which bore interest at SOFR plus 1.25% and was scheduled to mature in December 2027.</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Senior Unsecured Notes Due 2033</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January 14, 2026, we completed a public offering of $500,000,000 5.75% senior unsecured notes due February 1, 2033 (“2033 Notes”). Interest on the senior unsecured notes is payable semi-annually on February 1 and August 1, commencing August 1, 2026. The 2033 Notes were sold at 99.824% of their face amount to yield 5.78%. A portion of the $494,000,000 net proceeds from the 2033 Notes will be used to repay our $400,000,000 senior unsecured notes due June 2026 at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7 West 34th Street</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On January 23, 2026, a joint venture, in which we have a 53.0% interest, completed a $250,000,000 refinancing of 7 West 34th Street, a 477,000 square foot Manhattan office and retail building. The non-recourse, five-year interest only mortgage loan matures in February 2031 and has a fixed rate of 5.79%. The joint venture paid down by $50,000,000 the prior $300,000,000 full-recourse loan that bore interest at 3.65% and was scheduled to mature in June 2026. The loan was paid down using property-level reserves and a $25,000,000 member loan from Vornado which accrues interest at 16.00% and receives priority on cash flow distributions.</w:t>
      </w:r>
    </w:p>
    <w:p>
      <w:pPr>
        <w:sectPr>
          <w:pgSz w:w="11900" w:h="16838" w:orient="portrait"/>
          <w:cols w:equalWidth="0" w:num="1">
            <w:col w:w="11240"/>
          </w:cols>
          <w:pgMar w:left="320" w:top="5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81915</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type w:val="continuous"/>
        </w:sectPr>
      </w:pPr>
    </w:p>
    <w:bookmarkStart w:id="111" w:name="page112"/>
    <w:bookmarkEnd w:id="111"/>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24. Subsequent Events - continued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825 Seventh Avenue Office Condominium</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January 26, 2026, a joint venture, in which we have a 50.0% interest, entered into a nine-month extension with the lenders on the $54,000,000 mortgage loan encumbering the office condominium of 825 Seventh Avenue and simultaneously paid down the principal balance by $6,000,000 to $48,000,000. The loan was previously scheduled to mature in January 2026. The non-recourse interest only loan bears interest at a rate of SOFR plus 2.75% and matures in October 2026, with a fifteen-month extension option subject to loan-to-value and debt yield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61 Ninth Avenue</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On February 2, 2026, a joint venture, in which we have a 45.1% interest, entered into a seven-month extension with the lenders on the $167,500,000 mortgage loan encumbering 61 Ninth Avenue and simultaneously paid down the principal balance by $12,500,000 to $155,000,000. The loan was previously scheduled to mature in January 2026. The non-recourse interest only loan bears interest at a rate of SOFR plus 2.45% and matures in August 2026, with a three-month extension option subject to certain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One Park Avenue</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On February 9, 2026, we completed a $525,000,000 refinancing of One Park Avenue, a 945,000 square foot Manhattan office building. The five-year interest-only loan matures in February 2031 and bears interest at a rate of SOFR plus 1.78%. The loan replaced the previous $525,000,000 loan that bore interest at SOFR plus 1.22% and was scheduled to mature in March 2026.</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12" w:name="page113"/>
    <w:bookmarkEnd w:id="112"/>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Vornado Realty Trust</w:t>
      </w:r>
    </w:p>
    <w:p>
      <w:pPr>
        <w:spacing w:after="0" w:line="70" w:lineRule="exact"/>
        <w:rPr>
          <w:sz w:val="20"/>
          <w:szCs w:val="20"/>
          <w:color w:val="auto"/>
        </w:rPr>
      </w:pPr>
    </w:p>
    <w:p>
      <w:pPr>
        <w:jc w:val="both"/>
        <w:ind w:firstLine="314"/>
        <w:spacing w:after="0" w:line="214" w:lineRule="exact"/>
        <w:rPr>
          <w:sz w:val="20"/>
          <w:szCs w:val="20"/>
          <w:color w:val="auto"/>
        </w:rPr>
      </w:pPr>
      <w:r>
        <w:rPr>
          <w:rFonts w:ascii="Times New Roman" w:cs="Times New Roman" w:eastAsia="Times New Roman" w:hAnsi="Times New Roman"/>
          <w:sz w:val="17"/>
          <w:szCs w:val="17"/>
          <w:color w:val="auto"/>
        </w:rPr>
        <w:t>Disclosure Controls and Procedures: Our management, with the participation of Vornado’s Chief Executive Officer and Chief Financial Officer, has evaluated the effectiveness of our disclosure controls and procedures (as such term is defined in Rule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 (e) under the Securities Exchange Act of 1934, as amended) as of the end of the period covered by this Annual Report on Form 10-K. Based on such evaluation, Vornado’s Chief Executive Officer and Chief Financial Officer have concluded that, as of the end of such period, our disclosure controls and procedures are effective.</w:t>
      </w:r>
    </w:p>
    <w:p>
      <w:pPr>
        <w:spacing w:after="0" w:line="3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Internal Control Over Financial Reporting: There have not been any changes in our internal control over financial reporting (as defined in Rule 13a-15(f) under the Securities Exchange Act of 1934, as amended) during the fourth quarter of the fiscal year to which this report relates that have materially affected, or are reasonably likely to materially affect, our internal control over financial reporting.</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6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Management of Vornado Realty Trust, together with its consolidated subsidiaries (the “Company”), is responsible for establishing and maintaining adequate internal control over financial reporting. Our internal control over financial reporting is a process designed under the supervision of Vornado’s principal executive and principal financial officers to provide reasonable assurance regarding the reliability of financial reporting and the preparation of our financial statements for external reporting purposes in accordance with accounting principles generally accepted in the United States of America.</w:t>
      </w:r>
    </w:p>
    <w:p>
      <w:pPr>
        <w:spacing w:after="0" w:line="11"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 xml:space="preserve">As of December 31, 2025, management conducted an assessment of the effectiveness of our internal control over financial reporting based on the framework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Based on this assessment, management has determined that our internal control over financial reporting as of December 31, 2025 was effective.</w:t>
      </w:r>
    </w:p>
    <w:p>
      <w:pPr>
        <w:spacing w:after="0" w:line="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accounting principles generally accepted in the United States, and that receipts and expenditures are being made only in accordance with authorizations of management and our trustees; and provide reasonable assurance regarding prevention or timely detection of unauthorized acquisition, use, or disposition of our assets that could have a material effect on our financial statements.</w:t>
      </w:r>
    </w:p>
    <w:p>
      <w:pPr>
        <w:spacing w:after="0" w:line="1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2025 has been audited by Deloitte &amp; Touche LLP, an independent registered public accounting firm, as stated in their report appearing on the following page, which expresses an unqualified opinion on the effectiveness of our internal control over financial reporting as of December 31, 2025.</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3" w:name="page114"/>
    <w:bookmarkEnd w:id="113"/>
    <w:p>
      <w:pPr>
        <w:ind w:right="2460" w:firstLine="2787"/>
        <w:spacing w:after="0" w:line="492"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Shareholders and the Board of Trustees of Vornado Realty Trust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Vornado Realty Trust and subsidiaries (the “Company”)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2025, of the Company and our report dated February 9, 2026, expressed an unqualified opinion on those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9, 2026</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14" w:name="page115"/>
    <w:bookmarkEnd w:id="114"/>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 -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Vornado Realty L.P.</w:t>
      </w:r>
    </w:p>
    <w:p>
      <w:pPr>
        <w:spacing w:after="0" w:line="70" w:lineRule="exact"/>
        <w:rPr>
          <w:sz w:val="20"/>
          <w:szCs w:val="20"/>
          <w:color w:val="auto"/>
        </w:rPr>
      </w:pPr>
    </w:p>
    <w:p>
      <w:pPr>
        <w:jc w:val="both"/>
        <w:ind w:firstLine="314"/>
        <w:spacing w:after="0" w:line="214" w:lineRule="exact"/>
        <w:rPr>
          <w:sz w:val="20"/>
          <w:szCs w:val="20"/>
          <w:color w:val="auto"/>
        </w:rPr>
      </w:pPr>
      <w:r>
        <w:rPr>
          <w:rFonts w:ascii="Times New Roman" w:cs="Times New Roman" w:eastAsia="Times New Roman" w:hAnsi="Times New Roman"/>
          <w:sz w:val="17"/>
          <w:szCs w:val="17"/>
          <w:color w:val="auto"/>
        </w:rPr>
        <w:t>Disclosure Controls and Procedures: Vornado Realty L.P.’s management, with the participation of Vornado’s Chief Executive Officer and Chief Financial Officer, has evaluated the effectiveness of our disclosure controls and procedures (as such term is defined in Rule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 (e) under the Securities Exchange Act of 1934, as amended) as of the end of the period covered by this Annual Report on Form 10-K. Based on such evaluation, Vornado’s Chief Executive Officer and Chief Financial Officer have concluded that, as of the end of such period, our disclosure controls and procedures are effective.</w:t>
      </w:r>
    </w:p>
    <w:p>
      <w:pPr>
        <w:spacing w:after="0" w:line="37"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Internal Control Over Financial Reporting: There have not been any changes in our internal control over financial reporting (as defined in Rule 13a-15(f) under the Securities Exchange Act of 1934, as amended) during the fourth quarter of the fiscal year to which this report relates that have materially affected, or are reasonably likely to materially affect, our internal control over financial reporting.</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6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Management of Vornado Realty Trust, sole general partner of Vornado Realty L.P., together with Vornado Realty L.P.’s consolidated subsidiaries (the “Company”), is responsible for establishing and maintaining adequate internal control over financial reporting. Our internal control over financial reporting is a process designed under the supervision of Vornado’s principal executive and principal financial officers to provide reasonable assurance regarding the reliability of financial reporting and the preparation of our financial statements for external reporting purposes in accordance with accounting principles generally accepted in the United States of America.</w:t>
      </w:r>
    </w:p>
    <w:p>
      <w:pPr>
        <w:spacing w:after="0" w:line="1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 xml:space="preserve">As of December 31, 2025, management conducted an assessment of the effectiveness of our internal control over financial reporting based on the framework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Based on this assessment, management has determined that our internal control over financial reporting as of December 31, 2025 was effective.</w:t>
      </w:r>
    </w:p>
    <w:p>
      <w:pPr>
        <w:spacing w:after="0" w:line="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accounting principles generally accepted in the United States, and that receipts and expenditures are being made only in accordance with authorizations of management and Vornado’s trustees; and provide reasonable assurance regarding prevention or timely detection of unauthorized acquisition, use, or disposition of our assets that could have a material effect on our financial statements.</w:t>
      </w:r>
    </w:p>
    <w:p>
      <w:pPr>
        <w:spacing w:after="0" w:line="13"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2025 has been audited by Deloitte &amp; Touche LLP, an independent registered public accounting firm, as stated in their report appearing on the following page, which expresses an unqualified opinion on the effectiveness of our internal control over financial reporting as of December 31, 2025.</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5" w:name="page116"/>
    <w:bookmarkEnd w:id="115"/>
    <w:p>
      <w:pPr>
        <w:ind w:right="2460" w:firstLine="2787"/>
        <w:spacing w:after="0" w:line="482"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Partners of Vornado Realty L.P. and the Board of Trustees of Vornado Realty Trust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Vornado Realty L.P. and subsidiaries (the “Partnership”)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Partnership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2025, of the Partnership and our report dated February 9, 2026, expressed an unqualified opinion on those financial statements.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16" w:name="page117"/>
    <w:bookmarkEnd w:id="116"/>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68" w:lineRule="exact"/>
        <w:rPr>
          <w:sz w:val="20"/>
          <w:szCs w:val="20"/>
          <w:color w:val="auto"/>
        </w:rPr>
      </w:pPr>
    </w:p>
    <w:p>
      <w:pPr>
        <w:jc w:val="both"/>
        <w:ind w:firstLine="354"/>
        <w:spacing w:after="0" w:line="296" w:lineRule="auto"/>
        <w:rPr>
          <w:sz w:val="20"/>
          <w:szCs w:val="20"/>
          <w:color w:val="auto"/>
        </w:rPr>
      </w:pPr>
      <w:r>
        <w:rPr>
          <w:rFonts w:ascii="Times New Roman" w:cs="Times New Roman" w:eastAsia="Times New Roman" w:hAnsi="Times New Roman"/>
          <w:sz w:val="17"/>
          <w:szCs w:val="17"/>
          <w:color w:val="auto"/>
        </w:rPr>
        <w:t>During the three months ended December 31, 2025, none of our trustees or executive officers adopted, modified or terminated a “Rule 10b5-1 trading arrangement” or a “non-Rule 10b5-1 trading arrangement” as such terms are defined under Item 408 of Regulation S-K.</w:t>
      </w:r>
    </w:p>
    <w:p>
      <w:pPr>
        <w:spacing w:after="0" w:line="4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68" w:lineRule="exact"/>
        <w:rPr>
          <w:sz w:val="20"/>
          <w:szCs w:val="20"/>
          <w:color w:val="auto"/>
        </w:rPr>
      </w:pPr>
    </w:p>
    <w:p>
      <w:pPr>
        <w:jc w:val="both"/>
        <w:ind w:firstLine="354"/>
        <w:spacing w:after="0" w:line="267" w:lineRule="auto"/>
        <w:rPr>
          <w:sz w:val="20"/>
          <w:szCs w:val="20"/>
          <w:color w:val="auto"/>
        </w:rPr>
      </w:pPr>
      <w:r>
        <w:rPr>
          <w:rFonts w:ascii="Times New Roman" w:cs="Times New Roman" w:eastAsia="Times New Roman" w:hAnsi="Times New Roman"/>
          <w:sz w:val="17"/>
          <w:szCs w:val="17"/>
          <w:color w:val="auto"/>
        </w:rPr>
        <w:t>Information relating to trustees of Vornado, the Operating Partnership’s sole general partner, including its audit committee and audit committee financial expert, will be contained in Vornado’s definitive Proxy Statement involving the election of Vornado’s trustees which Vornado will file with the Securities and Exchange Commission pursuant to Regulation 14A under the Securities Exchange Act of 1934 not later than 120 days after December 31, 2025, and such information is incorporated herein by reference. Also incorporated herein by reference is the information under the caption “16(a) Beneficial Ownership Reporting Compliance” of the Proxy Statement.</w:t>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Executive Officers of the Registrant</w:t>
      </w:r>
    </w:p>
    <w:p>
      <w:pPr>
        <w:spacing w:after="0" w:line="66" w:lineRule="exact"/>
        <w:rPr>
          <w:sz w:val="20"/>
          <w:szCs w:val="20"/>
          <w:color w:val="auto"/>
        </w:rPr>
      </w:pPr>
    </w:p>
    <w:p>
      <w:pPr>
        <w:jc w:val="both"/>
        <w:ind w:firstLine="354"/>
        <w:spacing w:after="0" w:line="276" w:lineRule="auto"/>
        <w:rPr>
          <w:sz w:val="20"/>
          <w:szCs w:val="20"/>
          <w:color w:val="auto"/>
        </w:rPr>
      </w:pPr>
      <w:r>
        <w:rPr>
          <w:rFonts w:ascii="Times New Roman" w:cs="Times New Roman" w:eastAsia="Times New Roman" w:hAnsi="Times New Roman"/>
          <w:sz w:val="17"/>
          <w:szCs w:val="17"/>
          <w:color w:val="auto"/>
        </w:rPr>
        <w:t>The following is a list of the names, ages, principal occupations and positions with Vornado of the executive officers of Vornado and the positions held by such officers during the past five years. All executive officers of Vornado have terms of office that run until the next succeeding meeting of the Board of Trustees of Vornado following the Annual Meeting of Vornado’s Shareholders unless they are removed sooner by Vornado’s Board.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860" w:type="dxa"/>
            <w:vAlign w:val="bottom"/>
            <w:vMerge w:val="restart"/>
          </w:tcPr>
          <w:p>
            <w:pPr>
              <w:jc w:val="center"/>
              <w:ind w:left="173"/>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8700" w:type="dxa"/>
            <w:vAlign w:val="bottom"/>
          </w:tcPr>
          <w:p>
            <w:pPr>
              <w:ind w:left="2300"/>
              <w:spacing w:after="0"/>
              <w:rPr>
                <w:sz w:val="20"/>
                <w:szCs w:val="20"/>
                <w:color w:val="auto"/>
              </w:rPr>
            </w:pPr>
            <w:r>
              <w:rPr>
                <w:rFonts w:ascii="Times New Roman" w:cs="Times New Roman" w:eastAsia="Times New Roman" w:hAnsi="Times New Roman"/>
                <w:sz w:val="17"/>
                <w:szCs w:val="17"/>
                <w:b w:val="1"/>
                <w:bCs w:val="1"/>
                <w:color w:val="auto"/>
              </w:rPr>
              <w:t>PRINCIPAL OCCUPATION, POSITION AND OFFICE</w:t>
            </w:r>
          </w:p>
        </w:tc>
        <w:tc>
          <w:tcPr>
            <w:tcW w:w="0" w:type="dxa"/>
            <w:vAlign w:val="bottom"/>
          </w:tcPr>
          <w:p>
            <w:pPr>
              <w:spacing w:after="0"/>
              <w:rPr>
                <w:sz w:val="1"/>
                <w:szCs w:val="1"/>
                <w:color w:val="auto"/>
              </w:rPr>
            </w:pPr>
          </w:p>
        </w:tc>
      </w:tr>
      <w:tr>
        <w:trPr>
          <w:trHeight w:val="236"/>
        </w:trPr>
        <w:tc>
          <w:tcPr>
            <w:tcW w:w="16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87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7"/>
                <w:szCs w:val="17"/>
                <w:b w:val="1"/>
                <w:bCs w:val="1"/>
                <w:color w:val="auto"/>
              </w:rPr>
              <w:t>(Current and during past five years with Vornado unless otherwise stated)</w:t>
            </w:r>
          </w:p>
        </w:tc>
        <w:tc>
          <w:tcPr>
            <w:tcW w:w="0" w:type="dxa"/>
            <w:vAlign w:val="bottom"/>
          </w:tcPr>
          <w:p>
            <w:pPr>
              <w:spacing w:after="0"/>
              <w:rPr>
                <w:sz w:val="1"/>
                <w:szCs w:val="1"/>
                <w:color w:val="auto"/>
              </w:rPr>
            </w:pPr>
          </w:p>
        </w:tc>
      </w:tr>
      <w:tr>
        <w:trPr>
          <w:trHeight w:val="295"/>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Steven Roth</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84</w:t>
            </w: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Chairman of the Board; Chief Executive Officer since April 2013 and from May 1989 to May 2009; Managing General</w:t>
            </w:r>
          </w:p>
        </w:tc>
        <w:tc>
          <w:tcPr>
            <w:tcW w:w="0" w:type="dxa"/>
            <w:vAlign w:val="bottom"/>
          </w:tcPr>
          <w:p>
            <w:pPr>
              <w:spacing w:after="0"/>
              <w:rPr>
                <w:sz w:val="1"/>
                <w:szCs w:val="1"/>
                <w:color w:val="auto"/>
              </w:rPr>
            </w:pPr>
          </w:p>
        </w:tc>
      </w:tr>
      <w:tr>
        <w:trPr>
          <w:trHeight w:val="178"/>
        </w:trPr>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700" w:type="dxa"/>
            <w:vAlign w:val="bottom"/>
          </w:tcPr>
          <w:p>
            <w:pPr>
              <w:ind w:left="160"/>
              <w:spacing w:after="0" w:line="178" w:lineRule="exact"/>
              <w:rPr>
                <w:sz w:val="20"/>
                <w:szCs w:val="20"/>
                <w:color w:val="auto"/>
              </w:rPr>
            </w:pPr>
            <w:r>
              <w:rPr>
                <w:rFonts w:ascii="Times New Roman" w:cs="Times New Roman" w:eastAsia="Times New Roman" w:hAnsi="Times New Roman"/>
                <w:sz w:val="17"/>
                <w:szCs w:val="17"/>
                <w:color w:val="auto"/>
              </w:rPr>
              <w:t>Partner of Interstate Properties, an owner of shopping centers and an investor in securities and partnerships; Chief</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700" w:type="dxa"/>
            <w:vAlign w:val="bottom"/>
          </w:tcPr>
          <w:p>
            <w:pPr>
              <w:ind w:left="160"/>
              <w:spacing w:after="0" w:line="176" w:lineRule="exact"/>
              <w:rPr>
                <w:sz w:val="20"/>
                <w:szCs w:val="20"/>
                <w:color w:val="auto"/>
              </w:rPr>
            </w:pPr>
            <w:r>
              <w:rPr>
                <w:rFonts w:ascii="Times New Roman" w:cs="Times New Roman" w:eastAsia="Times New Roman" w:hAnsi="Times New Roman"/>
                <w:sz w:val="17"/>
                <w:szCs w:val="17"/>
                <w:color w:val="auto"/>
              </w:rPr>
              <w:t>Executive Officer of Alexander’s, Inc. since March 1995, a Director since 1989, and Chairman of the Board since May</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2004.</w:t>
            </w:r>
          </w:p>
        </w:tc>
        <w:tc>
          <w:tcPr>
            <w:tcW w:w="0" w:type="dxa"/>
            <w:vAlign w:val="bottom"/>
          </w:tcPr>
          <w:p>
            <w:pPr>
              <w:spacing w:after="0"/>
              <w:rPr>
                <w:sz w:val="1"/>
                <w:szCs w:val="1"/>
                <w:color w:val="auto"/>
              </w:rPr>
            </w:pPr>
          </w:p>
        </w:tc>
      </w:tr>
      <w:tr>
        <w:trPr>
          <w:trHeight w:val="218"/>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J. Franco</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57</w:t>
            </w: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President and Chief Financial Officer since December 2020; President since April 2019; Executive Vice President - Chief</w:t>
            </w:r>
          </w:p>
        </w:tc>
        <w:tc>
          <w:tcPr>
            <w:tcW w:w="0" w:type="dxa"/>
            <w:vAlign w:val="bottom"/>
          </w:tcPr>
          <w:p>
            <w:pPr>
              <w:spacing w:after="0"/>
              <w:rPr>
                <w:sz w:val="1"/>
                <w:szCs w:val="1"/>
                <w:color w:val="auto"/>
              </w:rPr>
            </w:pPr>
          </w:p>
        </w:tc>
      </w:tr>
      <w:tr>
        <w:trPr>
          <w:trHeight w:val="178"/>
        </w:trPr>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700" w:type="dxa"/>
            <w:vAlign w:val="bottom"/>
          </w:tcPr>
          <w:p>
            <w:pPr>
              <w:ind w:left="160"/>
              <w:spacing w:after="0" w:line="178" w:lineRule="exact"/>
              <w:rPr>
                <w:sz w:val="20"/>
                <w:szCs w:val="20"/>
                <w:color w:val="auto"/>
              </w:rPr>
            </w:pPr>
            <w:r>
              <w:rPr>
                <w:rFonts w:ascii="Times New Roman" w:cs="Times New Roman" w:eastAsia="Times New Roman" w:hAnsi="Times New Roman"/>
                <w:sz w:val="17"/>
                <w:szCs w:val="17"/>
                <w:color w:val="auto"/>
              </w:rPr>
              <w:t>Investment Officer from April 2015 to April 2019; Executive Vice President - Head of Acquisitions and Capital Markets</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from November 2010 to April 2015.</w:t>
            </w:r>
          </w:p>
        </w:tc>
        <w:tc>
          <w:tcPr>
            <w:tcW w:w="0" w:type="dxa"/>
            <w:vAlign w:val="bottom"/>
          </w:tcPr>
          <w:p>
            <w:pPr>
              <w:spacing w:after="0"/>
              <w:rPr>
                <w:sz w:val="1"/>
                <w:szCs w:val="1"/>
                <w:color w:val="auto"/>
              </w:rPr>
            </w:pPr>
          </w:p>
        </w:tc>
      </w:tr>
      <w:tr>
        <w:trPr>
          <w:trHeight w:val="223"/>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Haim Chera</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56</w:t>
            </w: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Executive Vice President - Head of Retail since April 2019; Principal at Crown Acquisitions from January 2000 - April</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2019.</w:t>
            </w:r>
          </w:p>
        </w:tc>
        <w:tc>
          <w:tcPr>
            <w:tcW w:w="0" w:type="dxa"/>
            <w:vAlign w:val="bottom"/>
          </w:tcPr>
          <w:p>
            <w:pPr>
              <w:spacing w:after="0"/>
              <w:rPr>
                <w:sz w:val="1"/>
                <w:szCs w:val="1"/>
                <w:color w:val="auto"/>
              </w:rPr>
            </w:pPr>
          </w:p>
        </w:tc>
      </w:tr>
      <w:tr>
        <w:trPr>
          <w:trHeight w:val="231"/>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Barry S. Langer</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47</w:t>
            </w: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Executive Vice President - Development - Co-Head of Real Estate since April 2019; Executive Vice President - Head of</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Development from May 2015 to April 2019.</w:t>
            </w:r>
          </w:p>
        </w:tc>
        <w:tc>
          <w:tcPr>
            <w:tcW w:w="0" w:type="dxa"/>
            <w:vAlign w:val="bottom"/>
          </w:tcPr>
          <w:p>
            <w:pPr>
              <w:spacing w:after="0"/>
              <w:rPr>
                <w:sz w:val="1"/>
                <w:szCs w:val="1"/>
                <w:color w:val="auto"/>
              </w:rPr>
            </w:pPr>
          </w:p>
        </w:tc>
      </w:tr>
      <w:tr>
        <w:trPr>
          <w:trHeight w:val="231"/>
        </w:trPr>
        <w:tc>
          <w:tcPr>
            <w:tcW w:w="1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Glen J. Weiss</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56</w:t>
            </w: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Executive Vice President - Office Leasing - Co-Head of Real Estate since April 2019; Executive Vice President - Office</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Leasing from May 2013 to April 2019.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Vornado, the Operating Partnership’s sole general partner, has adopted a Code of Business Conduct and Ethics that applies to all officers and employees.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Code is available on Vornado’s website at www.vno.com.</w:t>
      </w:r>
    </w:p>
    <w:p>
      <w:pPr>
        <w:spacing w:after="0" w:line="4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We have adopted an insider trading policy (the “Insider Trading Policy”) which applies to all employees and prohibits trading in the Company's and its affiliates' securities by persons associated with the Company that may possess material nonpublic information relating to the Company and affiliates. A copy of the Insider Trading Policy is filed as Exhibit 19.1 to this Annual Report on Form 10-K.</w:t>
      </w:r>
    </w:p>
    <w:p>
      <w:pPr>
        <w:spacing w:after="0" w:line="5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Information relating to Vornado’s executive officer and trustee compensation will be contained in Vornado’s Proxy Statement referred to above in Item 10, “Directors, Executive Officers and Corporate Governance,” and such information is incorporated herein by reference.</w:t>
      </w: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7" w:name="page118"/>
    <w:bookmarkEnd w:id="117"/>
    <w:p>
      <w:pPr>
        <w:ind w:left="960" w:right="700" w:hanging="1256"/>
        <w:spacing w:after="0" w:line="290" w:lineRule="auto"/>
        <w:tabs>
          <w:tab w:leader="none" w:pos="94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1" w:lineRule="exact"/>
        <w:rPr>
          <w:sz w:val="20"/>
          <w:szCs w:val="20"/>
          <w:color w:val="auto"/>
        </w:rPr>
      </w:pPr>
    </w:p>
    <w:p>
      <w:pPr>
        <w:ind w:firstLine="314"/>
        <w:spacing w:after="0" w:line="287" w:lineRule="auto"/>
        <w:rPr>
          <w:sz w:val="20"/>
          <w:szCs w:val="20"/>
          <w:color w:val="auto"/>
        </w:rPr>
      </w:pPr>
      <w:r>
        <w:rPr>
          <w:rFonts w:ascii="Times New Roman" w:cs="Times New Roman" w:eastAsia="Times New Roman" w:hAnsi="Times New Roman"/>
          <w:sz w:val="17"/>
          <w:szCs w:val="17"/>
          <w:color w:val="auto"/>
        </w:rPr>
        <w:t>Information relating to security ownership of certain beneficial owners and management and related stockholder matters will be contained in Vornado’s Proxy Statement referred to in Item 10, “Directors, Executive Officers and Corporate Governance,” and such information is incorporated herein by reference.</w:t>
      </w: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Equity compensation plan information</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information as of December 31, 2025 regarding Vornado’s equity compensation plans.</w:t>
      </w:r>
    </w:p>
    <w:p>
      <w:pPr>
        <w:sectPr>
          <w:pgSz w:w="11900" w:h="16838" w:orient="portrait"/>
          <w:cols w:equalWidth="0" w:num="1">
            <w:col w:w="11240"/>
          </w:cols>
          <w:pgMar w:left="320" w:top="10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Equity compensation plans approved by security holders</w:t>
      </w:r>
    </w:p>
    <w:p>
      <w:pPr>
        <w:spacing w:after="0" w:line="47" w:lineRule="exact"/>
        <w:rPr>
          <w:sz w:val="20"/>
          <w:szCs w:val="20"/>
          <w:color w:val="auto"/>
        </w:rPr>
      </w:pPr>
    </w:p>
    <w:p>
      <w:pPr>
        <w:ind w:left="340" w:right="220" w:hanging="313"/>
        <w:spacing w:after="0" w:line="246" w:lineRule="auto"/>
        <w:rPr>
          <w:sz w:val="20"/>
          <w:szCs w:val="20"/>
          <w:color w:val="auto"/>
        </w:rPr>
      </w:pPr>
      <w:r>
        <w:rPr>
          <w:rFonts w:ascii="Times New Roman" w:cs="Times New Roman" w:eastAsia="Times New Roman" w:hAnsi="Times New Roman"/>
          <w:sz w:val="14"/>
          <w:szCs w:val="14"/>
          <w:color w:val="auto"/>
        </w:rPr>
        <w:t>Equity compensation plans not approved by security holders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2"/>
            <w:vMerge w:val="restart"/>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00" w:type="dxa"/>
            <w:vAlign w:val="bottom"/>
          </w:tcPr>
          <w:p>
            <w:pPr>
              <w:spacing w:after="0"/>
              <w:rPr>
                <w:sz w:val="13"/>
                <w:szCs w:val="13"/>
                <w:color w:val="auto"/>
              </w:rPr>
            </w:pPr>
          </w:p>
        </w:tc>
        <w:tc>
          <w:tcPr>
            <w:tcW w:w="22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600" w:type="dxa"/>
            <w:vAlign w:val="bottom"/>
            <w:gridSpan w:val="2"/>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Number of securities remaining</w:t>
            </w:r>
          </w:p>
        </w:tc>
        <w:tc>
          <w:tcPr>
            <w:tcW w:w="0" w:type="dxa"/>
            <w:vAlign w:val="bottom"/>
          </w:tcPr>
          <w:p>
            <w:pPr>
              <w:spacing w:after="0"/>
              <w:rPr>
                <w:sz w:val="1"/>
                <w:szCs w:val="1"/>
                <w:color w:val="auto"/>
              </w:rPr>
            </w:pPr>
          </w:p>
        </w:tc>
      </w:tr>
      <w:tr>
        <w:trPr>
          <w:trHeight w:val="142"/>
        </w:trPr>
        <w:tc>
          <w:tcPr>
            <w:tcW w:w="2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600" w:type="dxa"/>
            <w:vAlign w:val="bottom"/>
            <w:gridSpan w:val="2"/>
          </w:tcPr>
          <w:p>
            <w:pPr>
              <w:jc w:val="center"/>
              <w:ind w:right="75"/>
              <w:spacing w:after="0" w:line="143" w:lineRule="exact"/>
              <w:rPr>
                <w:sz w:val="20"/>
                <w:szCs w:val="20"/>
                <w:color w:val="auto"/>
              </w:rPr>
            </w:pPr>
            <w:r>
              <w:rPr>
                <w:rFonts w:ascii="Times New Roman" w:cs="Times New Roman" w:eastAsia="Times New Roman" w:hAnsi="Times New Roman"/>
                <w:sz w:val="14"/>
                <w:szCs w:val="14"/>
                <w:b w:val="1"/>
                <w:bCs w:val="1"/>
                <w:color w:val="auto"/>
                <w:w w:val="99"/>
              </w:rPr>
              <w:t>available for future issuance</w:t>
            </w:r>
          </w:p>
        </w:tc>
        <w:tc>
          <w:tcPr>
            <w:tcW w:w="0" w:type="dxa"/>
            <w:vAlign w:val="bottom"/>
          </w:tcPr>
          <w:p>
            <w:pPr>
              <w:spacing w:after="0"/>
              <w:rPr>
                <w:sz w:val="1"/>
                <w:szCs w:val="1"/>
                <w:color w:val="auto"/>
              </w:rPr>
            </w:pPr>
          </w:p>
        </w:tc>
      </w:tr>
      <w:tr>
        <w:trPr>
          <w:trHeight w:val="131"/>
        </w:trPr>
        <w:tc>
          <w:tcPr>
            <w:tcW w:w="2340" w:type="dxa"/>
            <w:vAlign w:val="bottom"/>
            <w:gridSpan w:val="2"/>
          </w:tcPr>
          <w:p>
            <w:pPr>
              <w:jc w:val="center"/>
              <w:ind w:right="335"/>
              <w:spacing w:after="0" w:line="131" w:lineRule="exact"/>
              <w:rPr>
                <w:sz w:val="20"/>
                <w:szCs w:val="20"/>
                <w:color w:val="auto"/>
              </w:rPr>
            </w:pPr>
            <w:r>
              <w:rPr>
                <w:rFonts w:ascii="Times New Roman" w:cs="Times New Roman" w:eastAsia="Times New Roman" w:hAnsi="Times New Roman"/>
                <w:sz w:val="14"/>
                <w:szCs w:val="14"/>
                <w:b w:val="1"/>
                <w:bCs w:val="1"/>
                <w:color w:val="auto"/>
                <w:w w:val="99"/>
              </w:rPr>
              <w:t>issued upon exercise of</w:t>
            </w:r>
          </w:p>
        </w:tc>
        <w:tc>
          <w:tcPr>
            <w:tcW w:w="100" w:type="dxa"/>
            <w:vAlign w:val="bottom"/>
          </w:tcPr>
          <w:p>
            <w:pPr>
              <w:spacing w:after="0"/>
              <w:rPr>
                <w:sz w:val="11"/>
                <w:szCs w:val="11"/>
                <w:color w:val="auto"/>
              </w:rPr>
            </w:pPr>
          </w:p>
        </w:tc>
        <w:tc>
          <w:tcPr>
            <w:tcW w:w="224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exercise price of</w:t>
            </w:r>
          </w:p>
        </w:tc>
        <w:tc>
          <w:tcPr>
            <w:tcW w:w="2600" w:type="dxa"/>
            <w:vAlign w:val="bottom"/>
            <w:gridSpan w:val="2"/>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w w:val="98"/>
              </w:rPr>
              <w:t>under equity compensation plans</w:t>
            </w:r>
          </w:p>
        </w:tc>
        <w:tc>
          <w:tcPr>
            <w:tcW w:w="0" w:type="dxa"/>
            <w:vAlign w:val="bottom"/>
          </w:tcPr>
          <w:p>
            <w:pPr>
              <w:spacing w:after="0"/>
              <w:rPr>
                <w:sz w:val="1"/>
                <w:szCs w:val="1"/>
                <w:color w:val="auto"/>
              </w:rPr>
            </w:pPr>
          </w:p>
        </w:tc>
      </w:tr>
      <w:tr>
        <w:trPr>
          <w:trHeight w:val="144"/>
        </w:trPr>
        <w:tc>
          <w:tcPr>
            <w:tcW w:w="2340" w:type="dxa"/>
            <w:vAlign w:val="bottom"/>
            <w:gridSpan w:val="2"/>
          </w:tcPr>
          <w:p>
            <w:pPr>
              <w:jc w:val="center"/>
              <w:ind w:right="315"/>
              <w:spacing w:after="0" w:line="144" w:lineRule="exact"/>
              <w:rPr>
                <w:sz w:val="20"/>
                <w:szCs w:val="20"/>
                <w:color w:val="auto"/>
              </w:rPr>
            </w:pPr>
            <w:r>
              <w:rPr>
                <w:rFonts w:ascii="Times New Roman" w:cs="Times New Roman" w:eastAsia="Times New Roman" w:hAnsi="Times New Roman"/>
                <w:sz w:val="14"/>
                <w:szCs w:val="14"/>
                <w:b w:val="1"/>
                <w:bCs w:val="1"/>
                <w:color w:val="auto"/>
                <w:w w:val="99"/>
              </w:rPr>
              <w:t>outstanding options, warrants</w:t>
            </w:r>
          </w:p>
        </w:tc>
        <w:tc>
          <w:tcPr>
            <w:tcW w:w="100" w:type="dxa"/>
            <w:vAlign w:val="bottom"/>
          </w:tcPr>
          <w:p>
            <w:pPr>
              <w:spacing w:after="0"/>
              <w:rPr>
                <w:sz w:val="12"/>
                <w:szCs w:val="12"/>
                <w:color w:val="auto"/>
              </w:rPr>
            </w:pPr>
          </w:p>
        </w:tc>
        <w:tc>
          <w:tcPr>
            <w:tcW w:w="2240" w:type="dxa"/>
            <w:vAlign w:val="bottom"/>
            <w:gridSpan w:val="2"/>
          </w:tcPr>
          <w:p>
            <w:pPr>
              <w:jc w:val="center"/>
              <w:ind w:right="4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outstanding options, warrants</w:t>
            </w:r>
          </w:p>
        </w:tc>
        <w:tc>
          <w:tcPr>
            <w:tcW w:w="2600" w:type="dxa"/>
            <w:vAlign w:val="bottom"/>
            <w:gridSpan w:val="2"/>
          </w:tcPr>
          <w:p>
            <w:pPr>
              <w:jc w:val="center"/>
              <w:ind w:right="75"/>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(excluding securities reflected in the</w:t>
            </w:r>
          </w:p>
        </w:tc>
        <w:tc>
          <w:tcPr>
            <w:tcW w:w="0" w:type="dxa"/>
            <w:vAlign w:val="bottom"/>
          </w:tcPr>
          <w:p>
            <w:pPr>
              <w:spacing w:after="0"/>
              <w:rPr>
                <w:sz w:val="1"/>
                <w:szCs w:val="1"/>
                <w:color w:val="auto"/>
              </w:rPr>
            </w:pPr>
          </w:p>
        </w:tc>
      </w:tr>
      <w:tr>
        <w:trPr>
          <w:trHeight w:val="169"/>
        </w:trPr>
        <w:tc>
          <w:tcPr>
            <w:tcW w:w="2340" w:type="dxa"/>
            <w:vAlign w:val="bottom"/>
            <w:gridSpan w:val="2"/>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00" w:type="dxa"/>
            <w:vAlign w:val="bottom"/>
          </w:tcPr>
          <w:p>
            <w:pPr>
              <w:spacing w:after="0"/>
              <w:rPr>
                <w:sz w:val="14"/>
                <w:szCs w:val="14"/>
                <w:color w:val="auto"/>
              </w:rPr>
            </w:pPr>
          </w:p>
        </w:tc>
        <w:tc>
          <w:tcPr>
            <w:tcW w:w="2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600" w:type="dxa"/>
            <w:vAlign w:val="bottom"/>
            <w:gridSpan w:val="2"/>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8"/>
              </w:rPr>
              <w:t>second column)</w:t>
            </w:r>
          </w:p>
        </w:tc>
        <w:tc>
          <w:tcPr>
            <w:tcW w:w="0" w:type="dxa"/>
            <w:vAlign w:val="bottom"/>
          </w:tcPr>
          <w:p>
            <w:pPr>
              <w:spacing w:after="0"/>
              <w:rPr>
                <w:sz w:val="1"/>
                <w:szCs w:val="1"/>
                <w:color w:val="auto"/>
              </w:rPr>
            </w:pPr>
          </w:p>
        </w:tc>
      </w:tr>
      <w:tr>
        <w:trPr>
          <w:trHeight w:val="27"/>
        </w:trPr>
        <w:tc>
          <w:tcPr>
            <w:tcW w:w="1980" w:type="dxa"/>
            <w:vAlign w:val="bottom"/>
            <w:tcBorders>
              <w:bottom w:val="single" w:sz="8" w:color="auto"/>
            </w:tcBorders>
          </w:tcPr>
          <w:p>
            <w:pPr>
              <w:spacing w:after="0"/>
              <w:rPr>
                <w:sz w:val="2"/>
                <w:szCs w:val="2"/>
                <w:color w:val="auto"/>
              </w:rPr>
            </w:pPr>
          </w:p>
        </w:tc>
        <w:tc>
          <w:tcPr>
            <w:tcW w:w="360" w:type="dxa"/>
            <w:vAlign w:val="bottom"/>
            <w:vMerge w:val="restart"/>
          </w:tcPr>
          <w:p>
            <w:pPr>
              <w:jc w:val="right"/>
              <w:ind w:right="195"/>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4"/>
              </w:rPr>
              <w:t>(2)</w:t>
            </w:r>
          </w:p>
        </w:tc>
        <w:tc>
          <w:tcPr>
            <w:tcW w:w="0" w:type="dxa"/>
            <w:vAlign w:val="bottom"/>
          </w:tcPr>
          <w:p>
            <w:pPr>
              <w:spacing w:after="0"/>
              <w:rPr>
                <w:sz w:val="1"/>
                <w:szCs w:val="1"/>
                <w:color w:val="auto"/>
              </w:rPr>
            </w:pPr>
          </w:p>
        </w:tc>
      </w:tr>
      <w:tr>
        <w:trPr>
          <w:trHeight w:val="176"/>
        </w:trPr>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20,535,094</w:t>
            </w:r>
          </w:p>
        </w:tc>
        <w:tc>
          <w:tcPr>
            <w:tcW w:w="360" w:type="dxa"/>
            <w:vAlign w:val="bottom"/>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360" w:type="dxa"/>
            <w:vAlign w:val="bottom"/>
          </w:tcPr>
          <w:p>
            <w:pPr>
              <w:spacing w:after="0"/>
              <w:rPr>
                <w:sz w:val="15"/>
                <w:szCs w:val="15"/>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1,700,765</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2340" w:type="dxa"/>
            <w:vAlign w:val="bottom"/>
            <w:gridSpan w:val="2"/>
          </w:tcPr>
          <w:p>
            <w:pPr>
              <w:jc w:val="right"/>
              <w:ind w:right="195"/>
              <w:spacing w:after="0"/>
              <w:rPr>
                <w:sz w:val="20"/>
                <w:szCs w:val="20"/>
                <w:color w:val="auto"/>
              </w:rPr>
            </w:pPr>
            <w:r>
              <w:rPr>
                <w:rFonts w:ascii="Times New Roman" w:cs="Times New Roman" w:eastAsia="Times New Roman" w:hAnsi="Times New Roman"/>
                <w:sz w:val="14"/>
                <w:szCs w:val="14"/>
                <w:color w:val="auto"/>
              </w:rPr>
              <w:t xml:space="preserve">592,870 </w:t>
            </w:r>
            <w:r>
              <w:rPr>
                <w:rFonts w:ascii="Times New Roman" w:cs="Times New Roman" w:eastAsia="Times New Roman" w:hAnsi="Times New Roman"/>
                <w:sz w:val="18"/>
                <w:szCs w:val="18"/>
                <w:b w:val="1"/>
                <w:bCs w:val="1"/>
                <w:color w:val="auto"/>
                <w:vertAlign w:val="superscript"/>
              </w:rPr>
              <w:t>(3)</w:t>
            </w:r>
          </w:p>
        </w:tc>
        <w:tc>
          <w:tcPr>
            <w:tcW w:w="100" w:type="dxa"/>
            <w:vAlign w:val="bottom"/>
          </w:tcPr>
          <w:p>
            <w:pPr>
              <w:spacing w:after="0"/>
              <w:rPr>
                <w:sz w:val="24"/>
                <w:szCs w:val="24"/>
                <w:color w:val="auto"/>
              </w:rPr>
            </w:pPr>
          </w:p>
        </w:tc>
        <w:tc>
          <w:tcPr>
            <w:tcW w:w="224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N/A</w:t>
            </w:r>
          </w:p>
        </w:tc>
        <w:tc>
          <w:tcPr>
            <w:tcW w:w="260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21,127,964</w:t>
            </w:r>
          </w:p>
        </w:tc>
        <w:tc>
          <w:tcPr>
            <w:tcW w:w="3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360" w:type="dxa"/>
            <w:vAlign w:val="bottom"/>
          </w:tcPr>
          <w:p>
            <w:pPr>
              <w:spacing w:after="0"/>
              <w:rPr>
                <w:sz w:val="15"/>
                <w:szCs w:val="15"/>
                <w:color w:val="auto"/>
              </w:rPr>
            </w:pP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1,700,765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9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-165735</wp:posOffset>
            </wp:positionV>
            <wp:extent cx="7136130" cy="1498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6130" cy="149860"/>
                    </a:xfrm>
                    <a:prstGeom prst="rect">
                      <a:avLst/>
                    </a:prstGeom>
                    <a:noFill/>
                  </pic:spPr>
                </pic:pic>
              </a:graphicData>
            </a:graphic>
          </wp:anchor>
        </w:drawing>
        <w:drawing>
          <wp:anchor simplePos="0" relativeHeight="251657728" behindDoc="1" locked="0" layoutInCell="0" allowOverlap="1">
            <wp:simplePos x="0" y="0"/>
            <wp:positionH relativeFrom="column">
              <wp:posOffset>-2358390</wp:posOffset>
            </wp:positionH>
            <wp:positionV relativeFrom="paragraph">
              <wp:posOffset>-506730</wp:posOffset>
            </wp:positionV>
            <wp:extent cx="7136130" cy="133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3180" w:space="540"/>
            <w:col w:w="7520"/>
          </w:cols>
          <w:pgMar w:left="320" w:top="106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46" w:lineRule="exact"/>
        <w:rPr>
          <w:sz w:val="20"/>
          <w:szCs w:val="20"/>
          <w:color w:val="auto"/>
        </w:rPr>
      </w:pPr>
    </w:p>
    <w:p>
      <w:pPr>
        <w:jc w:val="both"/>
        <w:ind w:left="320" w:hanging="315"/>
        <w:spacing w:after="0" w:line="256" w:lineRule="auto"/>
        <w:tabs>
          <w:tab w:leader="none" w:pos="312" w:val="left"/>
        </w:tabs>
        <w:numPr>
          <w:ilvl w:val="0"/>
          <w:numId w:val="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Includes shares/units of (i) 124,605 Vornado Stock Options, all of which are vested and exercisable, (ii) 535,867 Appreciation-Only Long-Term Incentive Plan ("AO LTIP") units, all of which are vested and exercisable, (iii) 14,484,260 Performance AO LTIP units, (iv) 3,668,912 restricted Operating Partnership units (994,821 of which are vested and exercisable), (v) 827,644 earned Out-Performance Plan units (413,819 of which are vested), (vi) 120,011 earned and vested Long-Term Performance Plan LTIP Units, (vii) 336,153 earned but unvested Long-Term Performance Plan LTIP Units and (viii) 437,642 unearned Long-Term Performance Plan LTIP Units. See Note 12 -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xml:space="preserve"> in Part II, Item 8 of this Annual Report on Form 10-K for additional information.</w:t>
      </w:r>
    </w:p>
    <w:p>
      <w:pPr>
        <w:spacing w:after="0" w:line="5" w:lineRule="exact"/>
        <w:rPr>
          <w:rFonts w:ascii="Times New Roman" w:cs="Times New Roman" w:eastAsia="Times New Roman" w:hAnsi="Times New Roman"/>
          <w:sz w:val="14"/>
          <w:szCs w:val="14"/>
          <w:b w:val="1"/>
          <w:bCs w:val="1"/>
          <w:color w:val="auto"/>
        </w:rPr>
      </w:pPr>
    </w:p>
    <w:p>
      <w:pPr>
        <w:ind w:left="320" w:hanging="315"/>
        <w:spacing w:after="0" w:line="253" w:lineRule="auto"/>
        <w:tabs>
          <w:tab w:leader="none" w:pos="312" w:val="left"/>
        </w:tabs>
        <w:numPr>
          <w:ilvl w:val="0"/>
          <w:numId w:val="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Based on awards being granted as "Full Value Awards," as defined. If we were to grant "Not Full Value Awards," as defined, the number of securities available for future grants is approximately 3,401,530 shares.</w:t>
      </w:r>
    </w:p>
    <w:p>
      <w:pPr>
        <w:spacing w:after="0" w:line="1" w:lineRule="exact"/>
        <w:rPr>
          <w:rFonts w:ascii="Times New Roman" w:cs="Times New Roman" w:eastAsia="Times New Roman" w:hAnsi="Times New Roman"/>
          <w:sz w:val="14"/>
          <w:szCs w:val="14"/>
          <w:b w:val="1"/>
          <w:bCs w:val="1"/>
          <w:color w:val="auto"/>
        </w:rPr>
      </w:pPr>
    </w:p>
    <w:p>
      <w:pPr>
        <w:jc w:val="both"/>
        <w:ind w:left="320" w:hanging="315"/>
        <w:spacing w:after="0" w:line="264" w:lineRule="auto"/>
        <w:tabs>
          <w:tab w:leader="none" w:pos="312" w:val="left"/>
        </w:tabs>
        <w:numPr>
          <w:ilvl w:val="0"/>
          <w:numId w:val="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Includes (i) 54,558 restricted Operating Partnership units granted at a market price of $37.12 per unit to Vornado Trustees that are not executives of the Company as part of their 2025 annual Trustee fees (ii) 28,919 restricted Operating Partnership units granted at a market price of $34.58 per unit to Vornado consultants that are not executives of the Company for 2025 annual consulting fees, (iii) 89,790 restricted Operating Partnership units granted in 2024, (iv) 237,536 restricted Operating Partnership units granted in 2023, and (v) 182,067 restricted Operating Partnership units granted in 2022.</w:t>
      </w:r>
    </w:p>
    <w:p>
      <w:pPr>
        <w:spacing w:after="0" w:line="8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Information relating to certain relationships and related transactions, and director independence will be contained in Vornado’s Proxy Statement referred to in Item 10, “Directors, Executive Officers and Corporate Governance,” and such information is incorporated herein by reference.</w:t>
      </w:r>
    </w:p>
    <w:p>
      <w:pPr>
        <w:spacing w:after="0" w:line="4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14.</w:t>
        <w:tab/>
        <w:t>PRINCIPAL ACCOUNTANT FEES AND SERVICES</w:t>
      </w:r>
    </w:p>
    <w:p>
      <w:pPr>
        <w:spacing w:after="0" w:line="6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Information relating to principal accountant fees and services will be contained in Vornado’s Proxy Statement referred to in Item 10, “Directors, Executive Officers and Corporate Governance,” under the caption “Ratification of The Appointment of Independent Accounting Firm” and such information is incorporated herein by reference.</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1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b w:val="1"/>
          <w:bCs w:val="1"/>
          <w:color w:val="auto"/>
        </w:rPr>
        <w:t>ITEM 15.</w:t>
        <w:tab/>
        <w:t>EXHIBITS AND FINANCIAL STATEMENT SCHEDULES</w:t>
      </w:r>
    </w:p>
    <w:p>
      <w:pPr>
        <w:spacing w:after="0" w:line="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  The following documents are filed as part of this report:</w:t>
      </w:r>
    </w:p>
    <w:p>
      <w:pPr>
        <w:spacing w:after="0" w:line="66" w:lineRule="exact"/>
        <w:rPr>
          <w:sz w:val="20"/>
          <w:szCs w:val="20"/>
          <w:color w:val="auto"/>
        </w:rPr>
      </w:pPr>
    </w:p>
    <w:p>
      <w:pPr>
        <w:ind w:left="1580" w:hanging="318"/>
        <w:spacing w:after="0"/>
        <w:tabs>
          <w:tab w:leader="none" w:pos="15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financial statements are set forth in Item 8 of this Annual Report on Form 10-K.</w:t>
      </w:r>
    </w:p>
    <w:p>
      <w:pPr>
        <w:spacing w:after="0" w:line="66" w:lineRule="exact"/>
        <w:rPr>
          <w:sz w:val="20"/>
          <w:szCs w:val="20"/>
          <w:color w:val="auto"/>
        </w:rPr>
      </w:pPr>
    </w:p>
    <w:p>
      <w:pPr>
        <w:ind w:firstLine="314"/>
        <w:spacing w:after="0" w:line="268" w:lineRule="auto"/>
        <w:rPr>
          <w:sz w:val="20"/>
          <w:szCs w:val="20"/>
          <w:color w:val="auto"/>
        </w:rPr>
      </w:pPr>
      <w:r>
        <w:rPr>
          <w:rFonts w:ascii="Times New Roman" w:cs="Times New Roman" w:eastAsia="Times New Roman" w:hAnsi="Times New Roman"/>
          <w:sz w:val="17"/>
          <w:szCs w:val="17"/>
          <w:color w:val="auto"/>
        </w:rPr>
        <w:t>The following financial statement schedules should be read in conjunction with the financial statements included in Item 8 of this Annual Report on Form 10-K.</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5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Page in this</w:t>
            </w:r>
          </w:p>
        </w:tc>
      </w:tr>
      <w:tr>
        <w:trPr>
          <w:trHeight w:val="157"/>
        </w:trPr>
        <w:tc>
          <w:tcPr>
            <w:tcW w:w="9540" w:type="dxa"/>
            <w:vAlign w:val="bottom"/>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Annual Report</w:t>
            </w:r>
          </w:p>
        </w:tc>
      </w:tr>
      <w:tr>
        <w:trPr>
          <w:trHeight w:val="208"/>
        </w:trPr>
        <w:tc>
          <w:tcPr>
            <w:tcW w:w="954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Form 10-K</w:t>
            </w:r>
          </w:p>
        </w:tc>
      </w:tr>
      <w:tr>
        <w:trPr>
          <w:trHeight w:val="201"/>
        </w:trPr>
        <w:tc>
          <w:tcPr>
            <w:tcW w:w="9540" w:type="dxa"/>
            <w:vAlign w:val="bottom"/>
          </w:tcPr>
          <w:p>
            <w:pPr>
              <w:spacing w:after="0"/>
              <w:rPr>
                <w:sz w:val="20"/>
                <w:szCs w:val="20"/>
                <w:color w:val="auto"/>
              </w:rPr>
            </w:pPr>
            <w:r>
              <w:rPr>
                <w:rFonts w:ascii="Times New Roman" w:cs="Times New Roman" w:eastAsia="Times New Roman" w:hAnsi="Times New Roman"/>
                <w:sz w:val="16"/>
                <w:szCs w:val="16"/>
                <w:color w:val="auto"/>
              </w:rPr>
              <w:t>Schedule III - Real Estate and Accumulated Depreciation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119</w:t>
            </w:r>
          </w:p>
        </w:tc>
      </w:tr>
    </w:tbl>
    <w:p>
      <w:pPr>
        <w:spacing w:after="0" w:line="129"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Schedules other than those listed above are omitted because they are not applicable or the information required is included in the consolidated financial statements or the notes thereto.</w:t>
      </w: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118" w:name="page119"/>
    <w:bookmarkEnd w:id="118"/>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SCHEDULE III</w:t>
      </w:r>
    </w:p>
    <w:p>
      <w:pPr>
        <w:spacing w:after="0" w:line="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REAL ESTATE AND ACCUMULATED DEPRECIATION</w:t>
      </w:r>
    </w:p>
    <w:p>
      <w:pPr>
        <w:spacing w:after="0" w:line="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(Amounts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5"/>
                <w:szCs w:val="15"/>
                <w:b w:val="1"/>
                <w:bCs w:val="1"/>
                <w:color w:val="auto"/>
                <w:w w:val="99"/>
              </w:rPr>
              <w:t>COLUMN</w:t>
            </w:r>
          </w:p>
        </w:tc>
        <w:tc>
          <w:tcPr>
            <w:tcW w:w="78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5"/>
                <w:szCs w:val="15"/>
                <w:b w:val="1"/>
                <w:bCs w:val="1"/>
                <w:color w:val="auto"/>
                <w:w w:val="99"/>
              </w:rPr>
              <w:t>COLUMN</w:t>
            </w: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5"/>
                <w:szCs w:val="15"/>
                <w:b w:val="1"/>
                <w:bCs w:val="1"/>
                <w:color w:val="auto"/>
              </w:rPr>
              <w:t>COLUMN A</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5"/>
                <w:szCs w:val="15"/>
                <w:b w:val="1"/>
                <w:bCs w:val="1"/>
                <w:color w:val="auto"/>
                <w:w w:val="94"/>
              </w:rPr>
              <w:t>COLUMN B</w:t>
            </w: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5"/>
                <w:szCs w:val="15"/>
                <w:b w:val="1"/>
                <w:bCs w:val="1"/>
                <w:color w:val="auto"/>
              </w:rPr>
              <w:t>COLUMN C</w:t>
            </w: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COLUMN D</w:t>
            </w: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5"/>
                <w:szCs w:val="15"/>
                <w:b w:val="1"/>
                <w:bCs w:val="1"/>
                <w:color w:val="auto"/>
                <w:w w:val="99"/>
              </w:rPr>
              <w:t>COLUMN E</w:t>
            </w:r>
          </w:p>
        </w:tc>
        <w:tc>
          <w:tcPr>
            <w:tcW w:w="7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left="12"/>
              <w:spacing w:after="0"/>
              <w:rPr>
                <w:sz w:val="20"/>
                <w:szCs w:val="20"/>
                <w:color w:val="auto"/>
              </w:rPr>
            </w:pPr>
            <w:r>
              <w:rPr>
                <w:rFonts w:ascii="Times New Roman" w:cs="Times New Roman" w:eastAsia="Times New Roman" w:hAnsi="Times New Roman"/>
                <w:sz w:val="15"/>
                <w:szCs w:val="15"/>
                <w:b w:val="1"/>
                <w:bCs w:val="1"/>
                <w:color w:val="auto"/>
                <w:w w:val="98"/>
              </w:rPr>
              <w:t>COLUMN F</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G</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H</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COLUMN I</w:t>
            </w:r>
          </w:p>
        </w:tc>
        <w:tc>
          <w:tcPr>
            <w:tcW w:w="0" w:type="dxa"/>
            <w:vAlign w:val="bottom"/>
          </w:tcPr>
          <w:p>
            <w:pPr>
              <w:spacing w:after="0"/>
              <w:rPr>
                <w:sz w:val="1"/>
                <w:szCs w:val="1"/>
                <w:color w:val="auto"/>
              </w:rPr>
            </w:pPr>
          </w:p>
        </w:tc>
      </w:tr>
      <w:tr>
        <w:trPr>
          <w:trHeight w:val="154"/>
        </w:trPr>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Initial cost to company</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Gross amount at which</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Life on which</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36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carried at close of period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depreciation</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vMerge w:val="restart"/>
          </w:tcPr>
          <w:p>
            <w:pPr>
              <w:jc w:val="center"/>
              <w:ind w:right="131"/>
              <w:spacing w:after="0" w:line="118" w:lineRule="exact"/>
              <w:rPr>
                <w:sz w:val="20"/>
                <w:szCs w:val="20"/>
                <w:color w:val="auto"/>
              </w:rPr>
            </w:pPr>
            <w:r>
              <w:rPr>
                <w:rFonts w:ascii="Times New Roman" w:cs="Times New Roman" w:eastAsia="Times New Roman" w:hAnsi="Times New Roman"/>
                <w:sz w:val="13"/>
                <w:szCs w:val="13"/>
                <w:b w:val="1"/>
                <w:bCs w:val="1"/>
                <w:color w:val="auto"/>
                <w:w w:val="98"/>
              </w:rPr>
              <w:t>Costs</w:t>
            </w:r>
          </w:p>
        </w:tc>
        <w:tc>
          <w:tcPr>
            <w:tcW w:w="6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20" w:type="dxa"/>
            <w:vAlign w:val="bottom"/>
            <w:gridSpan w:val="2"/>
            <w:vMerge w:val="restart"/>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latest</w:t>
            </w:r>
          </w:p>
        </w:tc>
        <w:tc>
          <w:tcPr>
            <w:tcW w:w="0" w:type="dxa"/>
            <w:vAlign w:val="bottom"/>
          </w:tcPr>
          <w:p>
            <w:pPr>
              <w:spacing w:after="0"/>
              <w:rPr>
                <w:sz w:val="1"/>
                <w:szCs w:val="1"/>
                <w:color w:val="auto"/>
              </w:rPr>
            </w:pPr>
          </w:p>
        </w:tc>
      </w:tr>
      <w:tr>
        <w:trPr>
          <w:trHeight w:val="45"/>
        </w:trPr>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vMerge w:val="restart"/>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rPr>
              <w:t>Buildings</w:t>
            </w:r>
          </w:p>
        </w:tc>
        <w:tc>
          <w:tcPr>
            <w:tcW w:w="1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Buildings</w:t>
            </w:r>
          </w:p>
        </w:tc>
        <w:tc>
          <w:tcPr>
            <w:tcW w:w="7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131"/>
              <w:spacing w:after="0" w:line="131" w:lineRule="exact"/>
              <w:rPr>
                <w:sz w:val="20"/>
                <w:szCs w:val="20"/>
                <w:color w:val="auto"/>
              </w:rPr>
            </w:pPr>
            <w:r>
              <w:rPr>
                <w:rFonts w:ascii="Times New Roman" w:cs="Times New Roman" w:eastAsia="Times New Roman" w:hAnsi="Times New Roman"/>
                <w:sz w:val="13"/>
                <w:szCs w:val="13"/>
                <w:b w:val="1"/>
                <w:bCs w:val="1"/>
                <w:color w:val="auto"/>
              </w:rPr>
              <w:t>capitalized</w:t>
            </w:r>
          </w:p>
        </w:tc>
        <w:tc>
          <w:tcPr>
            <w:tcW w:w="6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depreciation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 of</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Encumbrances</w:t>
            </w:r>
            <w:r>
              <w:rPr>
                <w:rFonts w:ascii="Times New Roman" w:cs="Times New Roman" w:eastAsia="Times New Roman" w:hAnsi="Times New Roman"/>
                <w:sz w:val="17"/>
                <w:szCs w:val="17"/>
                <w:b w:val="1"/>
                <w:bCs w:val="1"/>
                <w:color w:val="auto"/>
                <w:w w:val="97"/>
                <w:vertAlign w:val="superscript"/>
              </w:rPr>
              <w:t>(1)</w:t>
            </w:r>
          </w:p>
        </w:tc>
        <w:tc>
          <w:tcPr>
            <w:tcW w:w="220" w:type="dxa"/>
            <w:vAlign w:val="bottom"/>
          </w:tcPr>
          <w:p>
            <w:pPr>
              <w:spacing w:after="0"/>
              <w:rPr>
                <w:sz w:val="11"/>
                <w:szCs w:val="11"/>
                <w:color w:val="auto"/>
              </w:rPr>
            </w:pPr>
          </w:p>
        </w:tc>
        <w:tc>
          <w:tcPr>
            <w:tcW w:w="720" w:type="dxa"/>
            <w:vAlign w:val="bottom"/>
            <w:vMerge w:val="restart"/>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Land</w:t>
            </w:r>
          </w:p>
        </w:tc>
        <w:tc>
          <w:tcPr>
            <w:tcW w:w="180" w:type="dxa"/>
            <w:vAlign w:val="bottom"/>
          </w:tcPr>
          <w:p>
            <w:pPr>
              <w:spacing w:after="0"/>
              <w:rPr>
                <w:sz w:val="11"/>
                <w:szCs w:val="11"/>
                <w:color w:val="auto"/>
              </w:rPr>
            </w:pPr>
          </w:p>
        </w:tc>
        <w:tc>
          <w:tcPr>
            <w:tcW w:w="720" w:type="dxa"/>
            <w:vAlign w:val="bottom"/>
          </w:tcPr>
          <w:p>
            <w:pPr>
              <w:jc w:val="center"/>
              <w:ind w:right="70"/>
              <w:spacing w:after="0" w:line="131" w:lineRule="exact"/>
              <w:rPr>
                <w:sz w:val="20"/>
                <w:szCs w:val="20"/>
                <w:color w:val="auto"/>
              </w:rPr>
            </w:pPr>
            <w:r>
              <w:rPr>
                <w:rFonts w:ascii="Times New Roman" w:cs="Times New Roman" w:eastAsia="Times New Roman" w:hAnsi="Times New Roman"/>
                <w:sz w:val="13"/>
                <w:szCs w:val="13"/>
                <w:b w:val="1"/>
                <w:bCs w:val="1"/>
                <w:color w:val="auto"/>
              </w:rPr>
              <w:t>and</w:t>
            </w:r>
          </w:p>
        </w:tc>
        <w:tc>
          <w:tcPr>
            <w:tcW w:w="180" w:type="dxa"/>
            <w:vAlign w:val="bottom"/>
          </w:tcPr>
          <w:p>
            <w:pPr>
              <w:spacing w:after="0"/>
              <w:rPr>
                <w:sz w:val="11"/>
                <w:szCs w:val="11"/>
                <w:color w:val="auto"/>
              </w:rPr>
            </w:pPr>
          </w:p>
        </w:tc>
        <w:tc>
          <w:tcPr>
            <w:tcW w:w="860" w:type="dxa"/>
            <w:vAlign w:val="bottom"/>
          </w:tcPr>
          <w:p>
            <w:pPr>
              <w:jc w:val="center"/>
              <w:ind w:right="131"/>
              <w:spacing w:after="0" w:line="131" w:lineRule="exact"/>
              <w:rPr>
                <w:sz w:val="20"/>
                <w:szCs w:val="20"/>
                <w:color w:val="auto"/>
              </w:rPr>
            </w:pPr>
            <w:r>
              <w:rPr>
                <w:rFonts w:ascii="Times New Roman" w:cs="Times New Roman" w:eastAsia="Times New Roman" w:hAnsi="Times New Roman"/>
                <w:sz w:val="13"/>
                <w:szCs w:val="13"/>
                <w:b w:val="1"/>
                <w:bCs w:val="1"/>
                <w:color w:val="auto"/>
                <w:w w:val="99"/>
              </w:rPr>
              <w:t>subsequent</w:t>
            </w:r>
          </w:p>
        </w:tc>
        <w:tc>
          <w:tcPr>
            <w:tcW w:w="640" w:type="dxa"/>
            <w:vAlign w:val="bottom"/>
            <w:vMerge w:val="restart"/>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Land</w:t>
            </w: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and</w:t>
            </w: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7"/>
                <w:szCs w:val="17"/>
                <w:b w:val="1"/>
                <w:bCs w:val="1"/>
                <w:color w:val="auto"/>
                <w:vertAlign w:val="superscript"/>
              </w:rPr>
              <w:t>(2)</w:t>
            </w:r>
          </w:p>
        </w:tc>
        <w:tc>
          <w:tcPr>
            <w:tcW w:w="280" w:type="dxa"/>
            <w:vAlign w:val="bottom"/>
          </w:tcPr>
          <w:p>
            <w:pPr>
              <w:spacing w:after="0"/>
              <w:rPr>
                <w:sz w:val="11"/>
                <w:szCs w:val="11"/>
                <w:color w:val="auto"/>
              </w:rPr>
            </w:pPr>
          </w:p>
        </w:tc>
        <w:tc>
          <w:tcPr>
            <w:tcW w:w="640" w:type="dxa"/>
            <w:vAlign w:val="bottom"/>
          </w:tcPr>
          <w:p>
            <w:pPr>
              <w:jc w:val="center"/>
              <w:ind w:right="13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8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statement</w:t>
            </w:r>
          </w:p>
        </w:tc>
        <w:tc>
          <w:tcPr>
            <w:tcW w:w="0" w:type="dxa"/>
            <w:vAlign w:val="bottom"/>
          </w:tcPr>
          <w:p>
            <w:pPr>
              <w:spacing w:after="0"/>
              <w:rPr>
                <w:sz w:val="1"/>
                <w:szCs w:val="1"/>
                <w:color w:val="auto"/>
              </w:rPr>
            </w:pPr>
          </w:p>
        </w:tc>
      </w:tr>
      <w:tr>
        <w:trPr>
          <w:trHeight w:val="183"/>
        </w:trPr>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to acquisition</w:t>
            </w:r>
          </w:p>
        </w:tc>
        <w:tc>
          <w:tcPr>
            <w:tcW w:w="64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74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gridSpan w:val="2"/>
          </w:tcPr>
          <w:p>
            <w:pPr>
              <w:jc w:val="center"/>
              <w:ind w:left="12"/>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60" w:type="dxa"/>
            <w:vAlign w:val="bottom"/>
            <w:tcBorders>
              <w:bottom w:val="single" w:sz="8" w:color="auto"/>
            </w:tcBorders>
          </w:tcPr>
          <w:p>
            <w:pPr>
              <w:jc w:val="center"/>
              <w:spacing w:after="0" w:line="184" w:lineRule="exact"/>
              <w:rPr>
                <w:sz w:val="20"/>
                <w:szCs w:val="20"/>
                <w:color w:val="auto"/>
              </w:rPr>
            </w:pPr>
            <w:r>
              <w:rPr>
                <w:rFonts w:ascii="Times New Roman" w:cs="Times New Roman" w:eastAsia="Times New Roman" w:hAnsi="Times New Roman"/>
                <w:sz w:val="13"/>
                <w:szCs w:val="13"/>
                <w:b w:val="1"/>
                <w:bCs w:val="1"/>
                <w:color w:val="auto"/>
                <w:w w:val="96"/>
              </w:rPr>
              <w:t>construction</w:t>
            </w:r>
            <w:r>
              <w:rPr>
                <w:rFonts w:ascii="Times New Roman" w:cs="Times New Roman" w:eastAsia="Times New Roman" w:hAnsi="Times New Roman"/>
                <w:sz w:val="17"/>
                <w:szCs w:val="17"/>
                <w:b w:val="1"/>
                <w:bCs w:val="1"/>
                <w:color w:val="auto"/>
                <w:w w:val="96"/>
                <w:vertAlign w:val="superscript"/>
              </w:rPr>
              <w:t>(3)</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acquired</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is computed</w:t>
            </w:r>
          </w:p>
        </w:tc>
        <w:tc>
          <w:tcPr>
            <w:tcW w:w="0" w:type="dxa"/>
            <w:vAlign w:val="bottom"/>
          </w:tcPr>
          <w:p>
            <w:pPr>
              <w:spacing w:after="0"/>
              <w:rPr>
                <w:sz w:val="1"/>
                <w:szCs w:val="1"/>
                <w:color w:val="auto"/>
              </w:rPr>
            </w:pPr>
          </w:p>
        </w:tc>
      </w:tr>
      <w:tr>
        <w:trPr>
          <w:trHeight w:val="178"/>
        </w:trPr>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New York</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14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4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1290 Avenue of the</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950,000</w:t>
            </w: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  518,244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926,992</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370,950</w:t>
            </w: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6"/>
              </w:rPr>
              <w:t>$ 518,244</w:t>
            </w:r>
          </w:p>
        </w:tc>
        <w:tc>
          <w:tcPr>
            <w:tcW w:w="9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  1,297,942</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$ 1,816,186</w:t>
            </w:r>
          </w:p>
        </w:tc>
        <w:tc>
          <w:tcPr>
            <w:tcW w:w="28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553,859</w:t>
            </w: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1963</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2007</w:t>
            </w: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93"/>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Americas</w:t>
            </w:r>
          </w:p>
        </w:tc>
        <w:tc>
          <w:tcPr>
            <w:tcW w:w="1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One Park Avenue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525,000</w:t>
            </w:r>
          </w:p>
        </w:tc>
        <w:tc>
          <w:tcPr>
            <w:tcW w:w="2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197,057</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369,016</w:t>
            </w:r>
          </w:p>
        </w:tc>
        <w:tc>
          <w:tcPr>
            <w:tcW w:w="18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18,465</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197,057</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387,481</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584,538</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47,331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1926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350</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265,889</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363,381</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109,406</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306,034</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432,642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738,676</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203,124</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1960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2006</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 1</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412,169</w:t>
            </w:r>
          </w:p>
        </w:tc>
        <w:tc>
          <w:tcPr>
            <w:tcW w:w="18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1,079,236</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1,491,405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1,491,405</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540,473</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1972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1998</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100</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33rd Street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331,371</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361,443</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26,826</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282,953</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436,687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719,640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209,915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1911/2009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2007</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2"/>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150</w:t>
            </w: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 34th Street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2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b w:val="1"/>
                <w:bCs w:val="1"/>
                <w:color w:val="auto"/>
                <w:w w:val="94"/>
              </w:rPr>
              <w:t>(5)</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119,657</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268,509</w:t>
            </w:r>
          </w:p>
        </w:tc>
        <w:tc>
          <w:tcPr>
            <w:tcW w:w="180" w:type="dxa"/>
            <w:vAlign w:val="bottom"/>
          </w:tcPr>
          <w:p>
            <w:pPr>
              <w:spacing w:after="0"/>
              <w:rPr>
                <w:sz w:val="15"/>
                <w:szCs w:val="15"/>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119,657</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268,509</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388,166</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71,043</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1900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7"/>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 2</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220" w:type="dxa"/>
            <w:vAlign w:val="bottom"/>
            <w:vMerge w:val="continue"/>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53,615</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164,903</w:t>
            </w:r>
          </w:p>
        </w:tc>
        <w:tc>
          <w:tcPr>
            <w:tcW w:w="18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1,109,927</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52,689</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1,275,756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1,328,445</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135,733</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1968</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1997</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96"/>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90 Park Avenue</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8,000</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175,890</w:t>
            </w:r>
          </w:p>
        </w:tc>
        <w:tc>
          <w:tcPr>
            <w:tcW w:w="180" w:type="dxa"/>
            <w:vAlign w:val="bottom"/>
          </w:tcPr>
          <w:p>
            <w:pPr>
              <w:spacing w:after="0"/>
              <w:rPr>
                <w:sz w:val="17"/>
                <w:szCs w:val="17"/>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205,287</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8,000</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381,177</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389,177</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235,908</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1964</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1997</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770</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Broadway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52,898</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95,686</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(126,396)</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4,502</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17,686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22,188</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1907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1998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888</w:t>
            </w: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Seventh Avenue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244,543</w:t>
            </w:r>
          </w:p>
        </w:tc>
        <w:tc>
          <w:tcPr>
            <w:tcW w:w="2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117,269</w:t>
            </w:r>
          </w:p>
        </w:tc>
        <w:tc>
          <w:tcPr>
            <w:tcW w:w="18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176,739</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294,008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294,008</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190,015</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1980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1998</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PENN 11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40,333</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85,259</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151,331</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40,333</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236,590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276,923</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131,628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1923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1997</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909</w:t>
            </w: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Avenue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2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120,723</w:t>
            </w:r>
          </w:p>
        </w:tc>
        <w:tc>
          <w:tcPr>
            <w:tcW w:w="18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116,781</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237,504</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237,504</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152,268</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1969</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1999</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150</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East 58th Street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39,303</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80,216</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67,955</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39,303</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148,171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187,474</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88,012</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1969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1998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595</w:t>
            </w: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Madison Avenue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62,731</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62,888</w:t>
            </w:r>
          </w:p>
        </w:tc>
        <w:tc>
          <w:tcPr>
            <w:tcW w:w="18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88,633</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62,731</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151,521</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214,252</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75,329</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1968</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1999</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330</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34th Street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8,599</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168,272</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176,871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176,871</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78,402</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1925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1998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715</w:t>
            </w: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Lexington Avenue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26,903</w:t>
            </w:r>
          </w:p>
        </w:tc>
        <w:tc>
          <w:tcPr>
            <w:tcW w:w="18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21,178</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30,086</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17,995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48,081</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1923</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4 Union Square South</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24,079</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55,220</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16,237</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24,079</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71,457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95,536</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1965/2004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1993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Farley Building</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476,235</w:t>
            </w:r>
          </w:p>
        </w:tc>
        <w:tc>
          <w:tcPr>
            <w:tcW w:w="18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972,618</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1,448,853</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1,448,853</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210,961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1912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260</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Eleventh Avenue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80,482</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8,262</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88,744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88,744</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1911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606</w:t>
            </w: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Broadway</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74,494</w:t>
            </w:r>
          </w:p>
        </w:tc>
        <w:tc>
          <w:tcPr>
            <w:tcW w:w="2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45,406</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18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486</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23,930</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30,955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54,885</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435</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Seventh Avenue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19,893</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19,091</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146</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19,893</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19,237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11,326</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1997</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9"/>
              </w:rPr>
              <w:t>131-135 West 33rd Street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8,315</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21,312</w:t>
            </w:r>
          </w:p>
        </w:tc>
        <w:tc>
          <w:tcPr>
            <w:tcW w:w="180" w:type="dxa"/>
            <w:vAlign w:val="bottom"/>
          </w:tcPr>
          <w:p>
            <w:pPr>
              <w:spacing w:after="0"/>
              <w:rPr>
                <w:sz w:val="16"/>
                <w:szCs w:val="16"/>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(55)</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8,315</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21,257</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29,572</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5,099</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1131 Third Avenue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7,844</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7,844</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5,588</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7,844</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13,432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21,276</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1997</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431</w:t>
            </w: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Seventh Avenue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16,700</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18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300</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16,700</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3,051</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19,751</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2007</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42"/>
        </w:trPr>
        <w:tc>
          <w:tcPr>
            <w:tcW w:w="14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138-142 West 32nd</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9,252</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9,936</w:t>
            </w: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2,227</w:t>
            </w:r>
          </w:p>
        </w:tc>
        <w:tc>
          <w:tcPr>
            <w:tcW w:w="6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9,252</w:t>
            </w:r>
          </w:p>
        </w:tc>
        <w:tc>
          <w:tcPr>
            <w:tcW w:w="9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12,163</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21,415</w:t>
            </w:r>
          </w:p>
        </w:tc>
        <w:tc>
          <w:tcPr>
            <w:tcW w:w="2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3,363</w:t>
            </w: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1920</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93"/>
        </w:trPr>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Street</w:t>
            </w: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966</w:t>
            </w: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Avenue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8,869</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3,631</w:t>
            </w:r>
          </w:p>
        </w:tc>
        <w:tc>
          <w:tcPr>
            <w:tcW w:w="18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8,869</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3,631</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2013</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137</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33rd Street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6,398</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6,398</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1,550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7,948</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1932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5"/>
              </w:rPr>
              <w:t>825</w:t>
            </w: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Seventh Avenue</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1,483</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80" w:type="dxa"/>
            <w:vAlign w:val="bottom"/>
          </w:tcPr>
          <w:p>
            <w:pPr>
              <w:spacing w:after="0"/>
              <w:rPr>
                <w:sz w:val="16"/>
                <w:szCs w:val="16"/>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4,318</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1,483</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5,015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6,498</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8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1997</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04"/>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5"/>
              </w:rPr>
              <w:t>537</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26th Street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10,370</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17,632</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16,260</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26,631</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17,631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44,262</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-2952115</wp:posOffset>
            </wp:positionV>
            <wp:extent cx="7061835" cy="1244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61835" cy="12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74295</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400" w:top="355" w:right="379" w:bottom="1440" w:gutter="0" w:footer="0" w:header="0"/>
        </w:sectPr>
      </w:pPr>
    </w:p>
    <w:bookmarkStart w:id="119" w:name="page120"/>
    <w:bookmarkEnd w:id="119"/>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SCHEDULE III</w:t>
      </w:r>
    </w:p>
    <w:p>
      <w:pPr>
        <w:spacing w:after="0" w:line="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REAL ESTATE AND ACCUMULATED DEPRECIATION - CONTINUED</w:t>
      </w:r>
    </w:p>
    <w:p>
      <w:pPr>
        <w:spacing w:after="0" w:line="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(Amounts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3"/>
          </w:tcPr>
          <w:p>
            <w:pPr>
              <w:jc w:val="center"/>
              <w:ind w:right="80"/>
              <w:spacing w:after="0" w:line="157" w:lineRule="exact"/>
              <w:rPr>
                <w:sz w:val="20"/>
                <w:szCs w:val="20"/>
                <w:color w:val="auto"/>
              </w:rPr>
            </w:pPr>
            <w:r>
              <w:rPr>
                <w:rFonts w:ascii="Times New Roman" w:cs="Times New Roman" w:eastAsia="Times New Roman" w:hAnsi="Times New Roman"/>
                <w:sz w:val="15"/>
                <w:szCs w:val="15"/>
                <w:b w:val="1"/>
                <w:bCs w:val="1"/>
                <w:color w:val="auto"/>
                <w:w w:val="96"/>
              </w:rPr>
              <w:t>COLUMN</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center"/>
              <w:spacing w:after="0" w:line="157" w:lineRule="exact"/>
              <w:rPr>
                <w:sz w:val="20"/>
                <w:szCs w:val="20"/>
                <w:color w:val="auto"/>
              </w:rPr>
            </w:pPr>
            <w:r>
              <w:rPr>
                <w:rFonts w:ascii="Times New Roman" w:cs="Times New Roman" w:eastAsia="Times New Roman" w:hAnsi="Times New Roman"/>
                <w:sz w:val="15"/>
                <w:szCs w:val="15"/>
                <w:b w:val="1"/>
                <w:bCs w:val="1"/>
                <w:color w:val="auto"/>
                <w:w w:val="99"/>
              </w:rPr>
              <w:t>COLUMN</w:t>
            </w:r>
          </w:p>
        </w:tc>
        <w:tc>
          <w:tcPr>
            <w:tcW w:w="86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5"/>
                <w:szCs w:val="15"/>
                <w:b w:val="1"/>
                <w:bCs w:val="1"/>
                <w:color w:val="auto"/>
                <w:w w:val="99"/>
              </w:rPr>
              <w:t>COLUMN</w:t>
            </w:r>
          </w:p>
        </w:tc>
        <w:tc>
          <w:tcPr>
            <w:tcW w:w="1540" w:type="dxa"/>
            <w:vAlign w:val="bottom"/>
            <w:tcBorders>
              <w:top w:val="single" w:sz="8" w:color="auto"/>
            </w:tcBorders>
            <w:gridSpan w:val="2"/>
          </w:tcPr>
          <w:p>
            <w:pPr>
              <w:ind w:left="40"/>
              <w:spacing w:after="0" w:line="157" w:lineRule="exact"/>
              <w:rPr>
                <w:sz w:val="20"/>
                <w:szCs w:val="20"/>
                <w:color w:val="auto"/>
              </w:rPr>
            </w:pPr>
            <w:r>
              <w:rPr>
                <w:rFonts w:ascii="Times New Roman" w:cs="Times New Roman" w:eastAsia="Times New Roman" w:hAnsi="Times New Roman"/>
                <w:sz w:val="15"/>
                <w:szCs w:val="15"/>
                <w:b w:val="1"/>
                <w:bCs w:val="1"/>
                <w:color w:val="auto"/>
              </w:rPr>
              <w:t>COLUMN  COLUMN</w:t>
            </w:r>
          </w:p>
        </w:tc>
        <w:tc>
          <w:tcPr>
            <w:tcW w:w="0" w:type="dxa"/>
            <w:vAlign w:val="bottom"/>
          </w:tcPr>
          <w:p>
            <w:pPr>
              <w:spacing w:after="0"/>
              <w:rPr>
                <w:sz w:val="1"/>
                <w:szCs w:val="1"/>
                <w:color w:val="auto"/>
              </w:rPr>
            </w:pPr>
          </w:p>
        </w:tc>
      </w:tr>
      <w:tr>
        <w:trPr>
          <w:trHeight w:val="205"/>
        </w:trPr>
        <w:tc>
          <w:tcPr>
            <w:tcW w:w="16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5"/>
                <w:szCs w:val="15"/>
                <w:b w:val="1"/>
                <w:bCs w:val="1"/>
                <w:color w:val="auto"/>
              </w:rPr>
              <w:t>COLUMN A</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5"/>
                <w:szCs w:val="15"/>
                <w:b w:val="1"/>
                <w:bCs w:val="1"/>
                <w:color w:val="auto"/>
                <w:w w:val="97"/>
              </w:rPr>
              <w:t>COLUMN B</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COLUMN C</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1"/>
              </w:rPr>
              <w:t>D</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COLUMN E</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5"/>
                <w:szCs w:val="15"/>
                <w:b w:val="1"/>
                <w:bCs w:val="1"/>
                <w:color w:val="auto"/>
              </w:rPr>
              <w:t>F</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G</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H</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w:t>
            </w: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8"/>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Gross amount at which</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Life on</w:t>
            </w:r>
          </w:p>
        </w:tc>
        <w:tc>
          <w:tcPr>
            <w:tcW w:w="0" w:type="dxa"/>
            <w:vAlign w:val="bottom"/>
          </w:tcPr>
          <w:p>
            <w:pPr>
              <w:spacing w:after="0"/>
              <w:rPr>
                <w:sz w:val="1"/>
                <w:szCs w:val="1"/>
                <w:color w:val="auto"/>
              </w:rPr>
            </w:pPr>
          </w:p>
        </w:tc>
      </w:tr>
      <w:tr>
        <w:trPr>
          <w:trHeight w:val="131"/>
        </w:trPr>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Initial cost to company</w:t>
            </w:r>
          </w:p>
        </w:tc>
        <w:tc>
          <w:tcPr>
            <w:tcW w:w="120" w:type="dxa"/>
            <w:vAlign w:val="bottom"/>
          </w:tcPr>
          <w:p>
            <w:pPr>
              <w:spacing w:after="0"/>
              <w:rPr>
                <w:sz w:val="11"/>
                <w:szCs w:val="11"/>
                <w:color w:val="auto"/>
              </w:rPr>
            </w:pP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Costs</w:t>
            </w:r>
          </w:p>
        </w:tc>
        <w:tc>
          <w:tcPr>
            <w:tcW w:w="100" w:type="dxa"/>
            <w:vAlign w:val="bottom"/>
          </w:tcPr>
          <w:p>
            <w:pPr>
              <w:spacing w:after="0"/>
              <w:rPr>
                <w:sz w:val="11"/>
                <w:szCs w:val="11"/>
                <w:color w:val="auto"/>
              </w:rPr>
            </w:pPr>
          </w:p>
        </w:tc>
        <w:tc>
          <w:tcPr>
            <w:tcW w:w="2500" w:type="dxa"/>
            <w:vAlign w:val="bottom"/>
            <w:gridSpan w:val="8"/>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which</w:t>
            </w:r>
          </w:p>
        </w:tc>
        <w:tc>
          <w:tcPr>
            <w:tcW w:w="0" w:type="dxa"/>
            <w:vAlign w:val="bottom"/>
          </w:tcPr>
          <w:p>
            <w:pPr>
              <w:spacing w:after="0"/>
              <w:rPr>
                <w:sz w:val="1"/>
                <w:szCs w:val="1"/>
                <w:color w:val="auto"/>
              </w:rPr>
            </w:pPr>
          </w:p>
        </w:tc>
      </w:tr>
      <w:tr>
        <w:trPr>
          <w:trHeight w:val="131"/>
        </w:trPr>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8"/>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rPr>
              <w:t>carried at close of period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depreciation</w:t>
            </w:r>
          </w:p>
        </w:tc>
        <w:tc>
          <w:tcPr>
            <w:tcW w:w="0" w:type="dxa"/>
            <w:vAlign w:val="bottom"/>
          </w:tcPr>
          <w:p>
            <w:pPr>
              <w:spacing w:after="0"/>
              <w:rPr>
                <w:sz w:val="1"/>
                <w:szCs w:val="1"/>
                <w:color w:val="auto"/>
              </w:rPr>
            </w:pPr>
          </w:p>
        </w:tc>
      </w:tr>
      <w:tr>
        <w:trPr>
          <w:trHeight w:val="26"/>
        </w:trPr>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3"/>
            <w:vMerge w:val="restart"/>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rPr>
              <w:t>capitalized</w:t>
            </w: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restart"/>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in latest</w:t>
            </w:r>
          </w:p>
        </w:tc>
        <w:tc>
          <w:tcPr>
            <w:tcW w:w="0" w:type="dxa"/>
            <w:vAlign w:val="bottom"/>
          </w:tcPr>
          <w:p>
            <w:pPr>
              <w:spacing w:after="0"/>
              <w:rPr>
                <w:sz w:val="1"/>
                <w:szCs w:val="1"/>
                <w:color w:val="auto"/>
              </w:rPr>
            </w:pPr>
          </w:p>
        </w:tc>
      </w:tr>
      <w:tr>
        <w:trPr>
          <w:trHeight w:val="85"/>
        </w:trPr>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Buildings</w:t>
            </w:r>
          </w:p>
        </w:tc>
        <w:tc>
          <w:tcPr>
            <w:tcW w:w="8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Buildings</w:t>
            </w: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subsequent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depreciation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 of</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31"/>
        </w:trPr>
        <w:tc>
          <w:tcPr>
            <w:tcW w:w="164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Encumbrances</w:t>
            </w:r>
            <w:r>
              <w:rPr>
                <w:rFonts w:ascii="Times New Roman" w:cs="Times New Roman" w:eastAsia="Times New Roman" w:hAnsi="Times New Roman"/>
                <w:sz w:val="17"/>
                <w:szCs w:val="17"/>
                <w:b w:val="1"/>
                <w:bCs w:val="1"/>
                <w:color w:val="auto"/>
                <w:w w:val="97"/>
                <w:vertAlign w:val="superscript"/>
              </w:rPr>
              <w:t>(1)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Land</w:t>
            </w:r>
          </w:p>
        </w:tc>
        <w:tc>
          <w:tcPr>
            <w:tcW w:w="12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rPr>
              <w:t>and</w:t>
            </w:r>
          </w:p>
        </w:tc>
        <w:tc>
          <w:tcPr>
            <w:tcW w:w="120" w:type="dxa"/>
            <w:vAlign w:val="bottom"/>
          </w:tcPr>
          <w:p>
            <w:pPr>
              <w:spacing w:after="0"/>
              <w:rPr>
                <w:sz w:val="11"/>
                <w:szCs w:val="11"/>
                <w:color w:val="auto"/>
              </w:rPr>
            </w:pPr>
          </w:p>
        </w:tc>
        <w:tc>
          <w:tcPr>
            <w:tcW w:w="74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100" w:type="dxa"/>
            <w:vAlign w:val="bottom"/>
          </w:tcPr>
          <w:p>
            <w:pPr>
              <w:spacing w:after="0"/>
              <w:rPr>
                <w:sz w:val="11"/>
                <w:szCs w:val="11"/>
                <w:color w:val="auto"/>
              </w:rPr>
            </w:pPr>
          </w:p>
        </w:tc>
        <w:tc>
          <w:tcPr>
            <w:tcW w:w="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Land</w:t>
            </w:r>
          </w:p>
        </w:tc>
        <w:tc>
          <w:tcPr>
            <w:tcW w:w="12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rPr>
              <w:t>and</w:t>
            </w:r>
          </w:p>
        </w:tc>
        <w:tc>
          <w:tcPr>
            <w:tcW w:w="100" w:type="dxa"/>
            <w:vAlign w:val="bottom"/>
          </w:tcPr>
          <w:p>
            <w:pPr>
              <w:spacing w:after="0"/>
              <w:rPr>
                <w:sz w:val="11"/>
                <w:szCs w:val="11"/>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7"/>
                <w:szCs w:val="17"/>
                <w:b w:val="1"/>
                <w:bCs w:val="1"/>
                <w:color w:val="auto"/>
                <w:vertAlign w:val="superscript"/>
              </w:rPr>
              <w:t>(2)</w:t>
            </w:r>
          </w:p>
        </w:tc>
        <w:tc>
          <w:tcPr>
            <w:tcW w:w="140" w:type="dxa"/>
            <w:vAlign w:val="bottom"/>
          </w:tcPr>
          <w:p>
            <w:pPr>
              <w:spacing w:after="0"/>
              <w:rPr>
                <w:sz w:val="11"/>
                <w:szCs w:val="11"/>
                <w:color w:val="auto"/>
              </w:rPr>
            </w:pPr>
          </w:p>
        </w:tc>
        <w:tc>
          <w:tcPr>
            <w:tcW w:w="680" w:type="dxa"/>
            <w:vAlign w:val="bottom"/>
          </w:tcPr>
          <w:p>
            <w:pPr>
              <w:jc w:val="center"/>
              <w:ind w:right="70"/>
              <w:spacing w:after="0" w:line="131" w:lineRule="exact"/>
              <w:rPr>
                <w:sz w:val="20"/>
                <w:szCs w:val="20"/>
                <w:color w:val="auto"/>
              </w:rPr>
            </w:pPr>
            <w:r>
              <w:rPr>
                <w:rFonts w:ascii="Times New Roman" w:cs="Times New Roman" w:eastAsia="Times New Roman" w:hAnsi="Times New Roman"/>
                <w:sz w:val="13"/>
                <w:szCs w:val="13"/>
                <w:b w:val="1"/>
                <w:bCs w:val="1"/>
                <w:color w:val="auto"/>
              </w:rPr>
              <w:t>and</w:t>
            </w:r>
          </w:p>
        </w:tc>
        <w:tc>
          <w:tcPr>
            <w:tcW w:w="8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2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9"/>
              </w:rPr>
              <w:t>statement</w:t>
            </w: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8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improvements</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60" w:type="dxa"/>
            <w:vAlign w:val="bottom"/>
            <w:tcBorders>
              <w:bottom w:val="single" w:sz="8" w:color="auto"/>
            </w:tcBorders>
          </w:tcPr>
          <w:p>
            <w:pPr>
              <w:jc w:val="center"/>
              <w:spacing w:after="0" w:line="184" w:lineRule="exact"/>
              <w:rPr>
                <w:sz w:val="20"/>
                <w:szCs w:val="20"/>
                <w:color w:val="auto"/>
              </w:rPr>
            </w:pPr>
            <w:r>
              <w:rPr>
                <w:rFonts w:ascii="Times New Roman" w:cs="Times New Roman" w:eastAsia="Times New Roman" w:hAnsi="Times New Roman"/>
                <w:sz w:val="13"/>
                <w:szCs w:val="13"/>
                <w:b w:val="1"/>
                <w:bCs w:val="1"/>
                <w:color w:val="auto"/>
                <w:w w:val="96"/>
              </w:rPr>
              <w:t>construction</w:t>
            </w:r>
            <w:r>
              <w:rPr>
                <w:rFonts w:ascii="Times New Roman" w:cs="Times New Roman" w:eastAsia="Times New Roman" w:hAnsi="Times New Roman"/>
                <w:sz w:val="17"/>
                <w:szCs w:val="17"/>
                <w:b w:val="1"/>
                <w:bCs w:val="1"/>
                <w:color w:val="auto"/>
                <w:w w:val="96"/>
                <w:vertAlign w:val="superscript"/>
              </w:rPr>
              <w:t>(3)</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acquired</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is computed</w:t>
            </w:r>
          </w:p>
        </w:tc>
        <w:tc>
          <w:tcPr>
            <w:tcW w:w="0" w:type="dxa"/>
            <w:vAlign w:val="bottom"/>
          </w:tcPr>
          <w:p>
            <w:pPr>
              <w:spacing w:after="0"/>
              <w:rPr>
                <w:sz w:val="1"/>
                <w:szCs w:val="1"/>
                <w:color w:val="auto"/>
              </w:rPr>
            </w:pPr>
          </w:p>
        </w:tc>
      </w:tr>
      <w:tr>
        <w:trPr>
          <w:trHeight w:val="170"/>
        </w:trPr>
        <w:tc>
          <w:tcPr>
            <w:tcW w:w="16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New York - continued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339 Greenwich Street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35"/>
        </w:trPr>
        <w:tc>
          <w:tcPr>
            <w:tcW w:w="16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Hotel Pennsylvania site</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121,712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250,850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78,321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324,144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402,465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1919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1997</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2"/>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(PENN 15)</w:t>
            </w: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20" w:type="dxa"/>
            <w:vAlign w:val="bottom"/>
            <w:vMerge w:val="restart"/>
          </w:tcPr>
          <w:p>
            <w:pPr>
              <w:jc w:val="right"/>
              <w:ind w:right="55"/>
              <w:spacing w:after="0"/>
              <w:rPr>
                <w:sz w:val="20"/>
                <w:szCs w:val="20"/>
                <w:color w:val="auto"/>
              </w:rPr>
            </w:pPr>
            <w:r>
              <w:rPr>
                <w:rFonts w:ascii="Times New Roman" w:cs="Times New Roman" w:eastAsia="Times New Roman" w:hAnsi="Times New Roman"/>
                <w:sz w:val="9"/>
                <w:szCs w:val="9"/>
                <w:b w:val="1"/>
                <w:bCs w:val="1"/>
                <w:color w:val="auto"/>
                <w:w w:val="94"/>
              </w:rPr>
              <w:t>(5)</w:t>
            </w: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623 Fifth Avenue</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145,420</w:t>
            </w:r>
          </w:p>
        </w:tc>
        <w:tc>
          <w:tcPr>
            <w:tcW w:w="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96"/>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(Including Signage)</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271,594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39,781</w:t>
            </w: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23"/>
        </w:trPr>
        <w:tc>
          <w:tcPr>
            <w:tcW w:w="16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Total New York</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4,464,457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2,020,709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4,511,157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5,177,092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2,026,372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9,682,586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11,708,958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3,073,672</w:t>
            </w: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16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Other</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THE MART, Illinois</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522,188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841,327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905,862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449,935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1930</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1998</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90"/>
        </w:trPr>
        <w:tc>
          <w:tcPr>
            <w:tcW w:w="1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527 West Kinzie, Illinois</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1998</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THE MART</w:t>
            </w:r>
          </w:p>
        </w:tc>
        <w:tc>
          <w:tcPr>
            <w:tcW w:w="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69,694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319,146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522,550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69,701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841,689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911,390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449,935</w:t>
            </w:r>
          </w:p>
        </w:tc>
        <w:tc>
          <w:tcPr>
            <w:tcW w:w="8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6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555 California Street,</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223,446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895,379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300,992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223,446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1,196,371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1,419,817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518,104</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1922,1969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2007</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8"/>
        </w:trPr>
        <w:tc>
          <w:tcPr>
            <w:tcW w:w="1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California</w:t>
            </w: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-1970</w:t>
            </w: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64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Borgata Land, Atlantic City,</w:t>
            </w:r>
          </w:p>
        </w:tc>
        <w:tc>
          <w:tcPr>
            <w:tcW w:w="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83,089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2010</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NJ</w:t>
            </w: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40 East 66th Street</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8,454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13,321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(8,193)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5,273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8,309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13,582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3,981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2005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8"/>
        </w:trPr>
        <w:tc>
          <w:tcPr>
            <w:tcW w:w="164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Residential, New York</w:t>
            </w: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Annapolis, Maryland</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w:t>
            </w: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35"/>
        </w:trPr>
        <w:tc>
          <w:tcPr>
            <w:tcW w:w="16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Wayne Towne Center, New</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26,137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75,763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75,763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49,804</w:t>
            </w:r>
          </w:p>
        </w:tc>
        <w:tc>
          <w:tcPr>
            <w:tcW w:w="86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2010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88"/>
        </w:trPr>
        <w:tc>
          <w:tcPr>
            <w:tcW w:w="1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Jersey</w:t>
            </w: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Paramus, New Jersey</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12,659</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1967</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1987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90"/>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0" w:type="dxa"/>
            <w:vAlign w:val="bottom"/>
          </w:tcPr>
          <w:p>
            <w:pPr>
              <w:spacing w:after="0"/>
              <w:rPr>
                <w:sz w:val="1"/>
                <w:szCs w:val="1"/>
                <w:color w:val="auto"/>
              </w:rPr>
            </w:pPr>
          </w:p>
        </w:tc>
      </w:tr>
      <w:tr>
        <w:trPr>
          <w:trHeight w:val="190"/>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Total Other</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384,683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1,263,635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884,199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382,542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2,149,975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2,532,517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1,041,071</w:t>
            </w:r>
          </w:p>
        </w:tc>
        <w:tc>
          <w:tcPr>
            <w:tcW w:w="8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Leasehold improvements,</w:t>
            </w: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105,080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105,080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105,080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76,332</w:t>
            </w:r>
          </w:p>
        </w:tc>
        <w:tc>
          <w:tcPr>
            <w:tcW w:w="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equipment and other</w:t>
            </w: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December 31, 2025</w:t>
            </w: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5,664,457</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2,405,392</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5,774,792</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6,166,371</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2,408,914</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11,937,641</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14,346,555</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4,191,075</w:t>
            </w: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-2885440</wp:posOffset>
            </wp:positionV>
            <wp:extent cx="7136130" cy="1244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130" cy="12446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________________________________________</w:t>
      </w:r>
    </w:p>
    <w:p>
      <w:pPr>
        <w:spacing w:after="0" w:line="10" w:lineRule="exact"/>
        <w:rPr>
          <w:sz w:val="20"/>
          <w:szCs w:val="20"/>
          <w:color w:val="auto"/>
        </w:rPr>
      </w:pPr>
    </w:p>
    <w:p>
      <w:pPr>
        <w:ind w:left="320" w:hanging="315"/>
        <w:spacing w:after="0"/>
        <w:tabs>
          <w:tab w:leader="none" w:pos="320"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Represents contractual debt obligations.</w:t>
      </w:r>
    </w:p>
    <w:p>
      <w:pPr>
        <w:spacing w:after="0" w:line="5"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net basis of Vornado's assets and liabilities for tax reporting purposes is approximately $1.6 billion lower than the amounts reported for financial statement purposes.</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Date of original construction - many properties have had substantial renovation or additional construction, see "costs capitalized subsequent to acquisition" column.</w:t>
      </w:r>
    </w:p>
    <w:p>
      <w:pPr>
        <w:spacing w:after="0" w:line="9" w:lineRule="exact"/>
        <w:rPr>
          <w:rFonts w:ascii="Times New Roman" w:cs="Times New Roman" w:eastAsia="Times New Roman" w:hAnsi="Times New Roman"/>
          <w:sz w:val="14"/>
          <w:szCs w:val="14"/>
          <w:b w:val="1"/>
          <w:bCs w:val="1"/>
          <w:color w:val="auto"/>
        </w:rPr>
      </w:pPr>
    </w:p>
    <w:p>
      <w:pPr>
        <w:ind w:left="320" w:hanging="315"/>
        <w:spacing w:after="0"/>
        <w:tabs>
          <w:tab w:leader="none" w:pos="320"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Depreciation of the buildings and improvements is calculated over lives ranging from the life of the lease to forty years.</w:t>
      </w:r>
    </w:p>
    <w:p>
      <w:pPr>
        <w:ind w:left="320" w:hanging="315"/>
        <w:spacing w:after="0"/>
        <w:tabs>
          <w:tab w:leader="none" w:pos="320"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Secured amount outstanding on revolving credit facilities.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0" w:name="page121"/>
    <w:bookmarkEnd w:id="120"/>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VORNADO REALTY TRUST AND VORNADO REALTY L.P.</w:t>
      </w:r>
    </w:p>
    <w:p>
      <w:pPr>
        <w:spacing w:after="0" w:line="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SCHEDULE III</w:t>
      </w:r>
    </w:p>
    <w:p>
      <w:pPr>
        <w:spacing w:after="0" w:line="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REAL ESTATE AND ACCUMULATED DEPRECIATION</w:t>
      </w:r>
    </w:p>
    <w:p>
      <w:pPr>
        <w:spacing w:after="0" w:line="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following is a reconciliation of real estate assets and accumulated depreciation: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14,091,632</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13,801,204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13,314,755</w:t>
            </w:r>
          </w:p>
        </w:tc>
        <w:tc>
          <w:tcPr>
            <w:tcW w:w="0" w:type="dxa"/>
            <w:vAlign w:val="bottom"/>
          </w:tcPr>
          <w:p>
            <w:pPr>
              <w:spacing w:after="0"/>
              <w:rPr>
                <w:sz w:val="1"/>
                <w:szCs w:val="1"/>
                <w:color w:val="auto"/>
              </w:rPr>
            </w:pPr>
          </w:p>
        </w:tc>
      </w:tr>
      <w:tr>
        <w:trPr>
          <w:trHeight w:val="189"/>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during the period: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Land</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55,575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40,145</w:t>
            </w:r>
          </w:p>
        </w:tc>
        <w:tc>
          <w:tcPr>
            <w:tcW w:w="0" w:type="dxa"/>
            <w:vAlign w:val="bottom"/>
          </w:tcPr>
          <w:p>
            <w:pPr>
              <w:spacing w:after="0"/>
              <w:rPr>
                <w:sz w:val="1"/>
                <w:szCs w:val="1"/>
                <w:color w:val="auto"/>
              </w:rPr>
            </w:pPr>
          </w:p>
        </w:tc>
      </w:tr>
      <w:tr>
        <w:trPr>
          <w:trHeight w:val="190"/>
        </w:trPr>
        <w:tc>
          <w:tcPr>
            <w:tcW w:w="6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Buildings &amp; improvements and other</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628,493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431,999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713,740</w:t>
            </w: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14,775,700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14,233,203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14,068,640</w:t>
            </w:r>
          </w:p>
        </w:tc>
        <w:tc>
          <w:tcPr>
            <w:tcW w:w="0" w:type="dxa"/>
            <w:vAlign w:val="bottom"/>
          </w:tcPr>
          <w:p>
            <w:pPr>
              <w:spacing w:after="0"/>
              <w:rPr>
                <w:sz w:val="1"/>
                <w:szCs w:val="1"/>
                <w:color w:val="auto"/>
              </w:rPr>
            </w:pPr>
          </w:p>
        </w:tc>
      </w:tr>
      <w:tr>
        <w:trPr>
          <w:trHeight w:val="19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Assets sold, written-off, reclassified to ready for sale and deconsolidated</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429,145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141,571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267,436</w:t>
            </w:r>
          </w:p>
        </w:tc>
        <w:tc>
          <w:tcPr>
            <w:tcW w:w="0" w:type="dxa"/>
            <w:vAlign w:val="bottom"/>
          </w:tcPr>
          <w:p>
            <w:pPr>
              <w:spacing w:after="0"/>
              <w:rPr>
                <w:sz w:val="1"/>
                <w:szCs w:val="1"/>
                <w:color w:val="auto"/>
              </w:rPr>
            </w:pPr>
          </w:p>
        </w:tc>
      </w:tr>
      <w:tr>
        <w:trPr>
          <w:trHeight w:val="221"/>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14,346,555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14,091,632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13,801,204</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 Depreciation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6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4,025,349</w:t>
            </w: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3,752,827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3,470,991</w:t>
            </w:r>
          </w:p>
        </w:tc>
        <w:tc>
          <w:tcPr>
            <w:tcW w:w="0" w:type="dxa"/>
            <w:vAlign w:val="bottom"/>
          </w:tcPr>
          <w:p>
            <w:pPr>
              <w:spacing w:after="0"/>
              <w:rPr>
                <w:sz w:val="1"/>
                <w:szCs w:val="1"/>
                <w:color w:val="auto"/>
              </w:rPr>
            </w:pPr>
          </w:p>
        </w:tc>
      </w:tr>
      <w:tr>
        <w:trPr>
          <w:trHeight w:val="19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expense</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418,192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396,231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382,638</w:t>
            </w: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4,443,541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4,149,058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3,853,629</w:t>
            </w:r>
          </w:p>
        </w:tc>
        <w:tc>
          <w:tcPr>
            <w:tcW w:w="0" w:type="dxa"/>
            <w:vAlign w:val="bottom"/>
          </w:tcPr>
          <w:p>
            <w:pPr>
              <w:spacing w:after="0"/>
              <w:rPr>
                <w:sz w:val="1"/>
                <w:szCs w:val="1"/>
                <w:color w:val="auto"/>
              </w:rPr>
            </w:pPr>
          </w:p>
        </w:tc>
      </w:tr>
      <w:tr>
        <w:trPr>
          <w:trHeight w:val="19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on assets sold, written-off and deconsolidated</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252,466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123,709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100,802</w:t>
            </w:r>
          </w:p>
        </w:tc>
        <w:tc>
          <w:tcPr>
            <w:tcW w:w="0" w:type="dxa"/>
            <w:vAlign w:val="bottom"/>
          </w:tcPr>
          <w:p>
            <w:pPr>
              <w:spacing w:after="0"/>
              <w:rPr>
                <w:sz w:val="1"/>
                <w:szCs w:val="1"/>
                <w:color w:val="auto"/>
              </w:rPr>
            </w:pPr>
          </w:p>
        </w:tc>
      </w:tr>
      <w:tr>
        <w:trPr>
          <w:trHeight w:val="221"/>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4,191,075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4,025,349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3,752,827</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591" w:right="339" w:bottom="1440" w:gutter="0" w:footer="0" w:header="0"/>
        </w:sectPr>
      </w:pPr>
    </w:p>
    <w:bookmarkStart w:id="121" w:name="page122"/>
    <w:bookmarkEnd w:id="121"/>
    <w:p>
      <w:pPr>
        <w:spacing w:after="0"/>
        <w:tabs>
          <w:tab w:leader="none" w:pos="360" w:val="left"/>
        </w:tabs>
        <w:rPr>
          <w:sz w:val="20"/>
          <w:szCs w:val="20"/>
          <w:color w:val="auto"/>
        </w:rPr>
      </w:pPr>
      <w:r>
        <w:rPr>
          <w:rFonts w:ascii="Times New Roman" w:cs="Times New Roman" w:eastAsia="Times New Roman" w:hAnsi="Times New Roman"/>
          <w:sz w:val="17"/>
          <w:szCs w:val="17"/>
          <w:color w:val="auto"/>
        </w:rPr>
        <w:t>(b)</w:t>
        <w:tab/>
        <w:t>Exhibits:</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4"/>
        </w:trPr>
        <w:tc>
          <w:tcPr>
            <w:tcW w:w="1000" w:type="dxa"/>
            <w:vAlign w:val="bottom"/>
          </w:tcPr>
          <w:p>
            <w:pPr>
              <w:jc w:val="center"/>
              <w:ind w:right="230"/>
              <w:spacing w:after="0" w:line="155" w:lineRule="exact"/>
              <w:rPr>
                <w:rFonts w:ascii="Times New Roman" w:cs="Times New Roman" w:eastAsia="Times New Roman" w:hAnsi="Times New Roman"/>
                <w:sz w:val="14"/>
                <w:szCs w:val="14"/>
                <w:color w:val="0E32E1"/>
              </w:rPr>
            </w:pPr>
            <w:hyperlink r:id="rId159">
              <w:r>
                <w:rPr>
                  <w:rFonts w:ascii="Times New Roman" w:cs="Times New Roman" w:eastAsia="Times New Roman" w:hAnsi="Times New Roman"/>
                  <w:sz w:val="14"/>
                  <w:szCs w:val="14"/>
                  <w:color w:val="0E32E1"/>
                </w:rPr>
                <w:t>3.1</w:t>
              </w:r>
            </w:hyperlink>
          </w:p>
        </w:tc>
        <w:tc>
          <w:tcPr>
            <w:tcW w:w="500" w:type="dxa"/>
            <w:vAlign w:val="bottom"/>
          </w:tcPr>
          <w:p>
            <w:pPr>
              <w:ind w:left="3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Articles of Restatement of Vornado Realty Trust, as filed with the State Department of Assessments and Taxation of Maryland on July 30, 2007 - Incorporated by</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135"/>
        </w:trPr>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reference to Exhibit 3.75 to Vornado Realty Trust’s Quarterly Report on Form 10-Q for the quarter ended June 30, 2007 (File No. 001-11954), filed on July 31,</w:t>
            </w:r>
          </w:p>
        </w:tc>
        <w:tc>
          <w:tcPr>
            <w:tcW w:w="100" w:type="dxa"/>
            <w:vAlign w:val="bottom"/>
          </w:tcPr>
          <w:p>
            <w:pPr>
              <w:spacing w:after="0"/>
              <w:rPr>
                <w:sz w:val="11"/>
                <w:szCs w:val="11"/>
                <w:color w:val="auto"/>
              </w:rPr>
            </w:pP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5"/>
                <w:szCs w:val="15"/>
                <w:color w:val="auto"/>
              </w:rPr>
            </w:pPr>
          </w:p>
        </w:tc>
      </w:tr>
      <w:tr>
        <w:trPr>
          <w:trHeight w:val="246"/>
        </w:trPr>
        <w:tc>
          <w:tcPr>
            <w:tcW w:w="1000" w:type="dxa"/>
            <w:vAlign w:val="bottom"/>
          </w:tcPr>
          <w:p>
            <w:pPr>
              <w:jc w:val="center"/>
              <w:ind w:right="230"/>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3.2</w:t>
              </w:r>
            </w:hyperlink>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Amended and Restated Bylaws of Vornado Realty Trust, as amended on July 28, 2022 - Incorporated by reference to Exhibit 3.2 to Vornado Realty Trust's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Quarterly Report on Form 10-Q for the quarter ended June 30, 2022 (File No. 001-11954), filed on August 1, 2022</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1">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3</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Articles of Amendment to Declaration of Trust, dated September 30, 2016 – Incorporated by reference to Exhibit 3.3 to Vornado Realty Trust’s Annual Report on</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Form 10-K for the year ended December 31, 2020 (File No. 001-11954), filed on February 16, 2021</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2">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4</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Articles of Amendment of Vornado Realty Trust, as filed with the State Department of Assessments and Taxation of Maryland on October 4, 2016—Incorporated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by reference to Annex B to Vornado Realty Trust's Definitive Proxy Statement on Schedule 14A (File No. 001-11954), filed on April 8, 2016</w:t>
            </w:r>
          </w:p>
        </w:tc>
        <w:tc>
          <w:tcPr>
            <w:tcW w:w="100" w:type="dxa"/>
            <w:vAlign w:val="bottom"/>
          </w:tcPr>
          <w:p>
            <w:pPr>
              <w:spacing w:after="0"/>
              <w:rPr>
                <w:sz w:val="15"/>
                <w:szCs w:val="15"/>
                <w:color w:val="auto"/>
              </w:rPr>
            </w:pPr>
          </w:p>
        </w:tc>
      </w:tr>
      <w:tr>
        <w:trPr>
          <w:trHeight w:val="250"/>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3">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Articles of Amendment to Declaration of Trust, dated June 13, 2018 - Incorporated by reference to Exhibit 3.54 to Vornado Realty Trust's Quarterly Report on</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Form 10-Q for the quarter ended June 30, 2018 (File No. 001-11954), filed on July 30, 2018</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4">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6</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Articles of Amendment to Declaration of Trust, dated August 7, 2019 - Incorporated by reference to Exhibit 3.1 to Vornado Realty Trust's Current Report on Form</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8-K (File No. 001-11954), filed on August 8, 2019</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5">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7</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Articles Supplementary, 5.40% Series L Cumulative Redeemable Preferred Shares of Beneficial Interest, liquidation preference $25.00 per share, no par value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Incorporated by reference to Exhibit 3.6 to Vornado Realty Trust’s Registration Statement on Form 8-A (File No. 001-11954), filed on January 25, 2013</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6">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8</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9"/>
              </w:rPr>
              <w:t>Articles Supplementary Classifying Vornado Realty Trust's 5.25% Series M Cumulative Redeemable Preferred Shares of Beneficial Interest, liquidation preference *</w:t>
            </w:r>
          </w:p>
        </w:tc>
      </w:tr>
      <w:tr>
        <w:trPr>
          <w:trHeight w:val="135"/>
        </w:trPr>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$25.00 per share, no par value - Incorporated by reference to Exhibit 3.7 to Vornado Realty Trust's Registration Statement on Form 8-A (File No. 001-11954),</w:t>
            </w:r>
          </w:p>
        </w:tc>
        <w:tc>
          <w:tcPr>
            <w:tcW w:w="100" w:type="dxa"/>
            <w:vAlign w:val="bottom"/>
          </w:tcPr>
          <w:p>
            <w:pPr>
              <w:spacing w:after="0"/>
              <w:rPr>
                <w:sz w:val="11"/>
                <w:szCs w:val="11"/>
                <w:color w:val="auto"/>
              </w:rPr>
            </w:pP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filed on December 13, 2017</w:t>
            </w:r>
          </w:p>
        </w:tc>
        <w:tc>
          <w:tcPr>
            <w:tcW w:w="100" w:type="dxa"/>
            <w:vAlign w:val="bottom"/>
          </w:tcPr>
          <w:p>
            <w:pPr>
              <w:spacing w:after="0"/>
              <w:rPr>
                <w:sz w:val="15"/>
                <w:szCs w:val="15"/>
                <w:color w:val="auto"/>
              </w:rPr>
            </w:pPr>
          </w:p>
        </w:tc>
      </w:tr>
      <w:tr>
        <w:trPr>
          <w:trHeight w:val="246"/>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7">
              <w:r>
                <w:rPr>
                  <w:rFonts w:ascii="Times New Roman" w:cs="Times New Roman" w:eastAsia="Times New Roman" w:hAnsi="Times New Roman"/>
                  <w:sz w:val="14"/>
                  <w:szCs w:val="14"/>
                  <w:color w:val="0E32E1"/>
                </w:rPr>
                <w:t>3.9</w:t>
              </w:r>
            </w:hyperlink>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Articles Supplementary Classifying Vornado Realty Trust's 5.25% Series N Cumulative Redeemable Preferred Shares of Beneficial Interest, liquidation preference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$25.00 per share, no par value - Incorporated by reference to Exhibit 3.1 to Vornado Realty Trust's Current Report on Form 8-K (File No. 001-11954), filed on</w:t>
            </w:r>
          </w:p>
        </w:tc>
        <w:tc>
          <w:tcPr>
            <w:tcW w:w="100" w:type="dxa"/>
            <w:vAlign w:val="bottom"/>
          </w:tcPr>
          <w:p>
            <w:pPr>
              <w:spacing w:after="0"/>
              <w:rPr>
                <w:sz w:val="11"/>
                <w:szCs w:val="11"/>
                <w:color w:val="auto"/>
              </w:rPr>
            </w:pP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November 24, 2020</w:t>
            </w:r>
          </w:p>
        </w:tc>
        <w:tc>
          <w:tcPr>
            <w:tcW w:w="100" w:type="dxa"/>
            <w:vAlign w:val="bottom"/>
          </w:tcPr>
          <w:p>
            <w:pPr>
              <w:spacing w:after="0"/>
              <w:rPr>
                <w:sz w:val="15"/>
                <w:szCs w:val="15"/>
                <w:color w:val="auto"/>
              </w:rPr>
            </w:pPr>
          </w:p>
        </w:tc>
      </w:tr>
      <w:tr>
        <w:trPr>
          <w:trHeight w:val="20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68">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10</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Articles Supplementary Classifying Vornado Realty Trust's 4.45% Series O Cumulative Redeemable Preferred Shares of Beneficial Interest, liquidation preference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$25.00 per share, no par value - Incorporated by reference to Exhibit 3.1 to Vornado Realty Trust's Current Report on Form 8-K (File No. 001-11954), filed on</w:t>
            </w:r>
          </w:p>
        </w:tc>
        <w:tc>
          <w:tcPr>
            <w:tcW w:w="100" w:type="dxa"/>
            <w:vAlign w:val="bottom"/>
          </w:tcPr>
          <w:p>
            <w:pPr>
              <w:spacing w:after="0"/>
              <w:rPr>
                <w:sz w:val="11"/>
                <w:szCs w:val="11"/>
                <w:color w:val="auto"/>
              </w:rPr>
            </w:pP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September 22, 2021</w:t>
            </w:r>
          </w:p>
        </w:tc>
        <w:tc>
          <w:tcPr>
            <w:tcW w:w="100" w:type="dxa"/>
            <w:vAlign w:val="bottom"/>
          </w:tcPr>
          <w:p>
            <w:pPr>
              <w:spacing w:after="0"/>
              <w:rPr>
                <w:sz w:val="15"/>
                <w:szCs w:val="15"/>
                <w:color w:val="auto"/>
              </w:rPr>
            </w:pPr>
          </w:p>
        </w:tc>
      </w:tr>
      <w:tr>
        <w:trPr>
          <w:trHeight w:val="207"/>
        </w:trPr>
        <w:tc>
          <w:tcPr>
            <w:tcW w:w="1000" w:type="dxa"/>
            <w:vAlign w:val="bottom"/>
          </w:tcPr>
          <w:p>
            <w:pPr>
              <w:jc w:val="center"/>
              <w:ind w:right="230"/>
              <w:spacing w:after="0"/>
              <w:rPr>
                <w:rFonts w:ascii="Times New Roman" w:cs="Times New Roman" w:eastAsia="Times New Roman" w:hAnsi="Times New Roman"/>
                <w:sz w:val="14"/>
                <w:szCs w:val="14"/>
                <w:color w:val="0E32E1"/>
                <w:w w:val="89"/>
              </w:rPr>
            </w:pPr>
            <w:hyperlink r:id="rId169">
              <w:r>
                <w:rPr>
                  <w:rFonts w:ascii="Times New Roman" w:cs="Times New Roman" w:eastAsia="Times New Roman" w:hAnsi="Times New Roman"/>
                  <w:sz w:val="14"/>
                  <w:szCs w:val="14"/>
                  <w:color w:val="0E32E1"/>
                  <w:w w:val="89"/>
                </w:rPr>
                <w:t>3.</w:t>
              </w:r>
            </w:hyperlink>
            <w:r>
              <w:rPr>
                <w:rFonts w:ascii="Times New Roman" w:cs="Times New Roman" w:eastAsia="Times New Roman" w:hAnsi="Times New Roman"/>
                <w:sz w:val="14"/>
                <w:szCs w:val="14"/>
                <w:color w:val="0E32E1"/>
                <w:w w:val="89"/>
              </w:rPr>
              <w:t>11</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Second Amended and Restated Agreement of Limited Partnership of Vornado Realty L.P., dated as of October 20, 1997 (the “Partnership Agreement”)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w w:val="99"/>
              </w:rPr>
              <w:t>Incorporated by reference to Exhibit 3.26 to Vornado Realty Trust’s Quarterly Report on Form 10-Q for the quarter ended March 31, 2003 (File No. 001-11954),</w:t>
            </w:r>
          </w:p>
        </w:tc>
        <w:tc>
          <w:tcPr>
            <w:tcW w:w="100" w:type="dxa"/>
            <w:vAlign w:val="bottom"/>
          </w:tcPr>
          <w:p>
            <w:pPr>
              <w:spacing w:after="0"/>
              <w:rPr>
                <w:sz w:val="11"/>
                <w:szCs w:val="11"/>
                <w:color w:val="auto"/>
              </w:rPr>
            </w:pP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filed on May 8, 2003</w:t>
            </w:r>
          </w:p>
        </w:tc>
        <w:tc>
          <w:tcPr>
            <w:tcW w:w="100" w:type="dxa"/>
            <w:vAlign w:val="bottom"/>
          </w:tcPr>
          <w:p>
            <w:pPr>
              <w:spacing w:after="0"/>
              <w:rPr>
                <w:sz w:val="15"/>
                <w:szCs w:val="15"/>
                <w:color w:val="auto"/>
              </w:rPr>
            </w:pPr>
          </w:p>
        </w:tc>
      </w:tr>
      <w:tr>
        <w:trPr>
          <w:trHeight w:val="246"/>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70">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12</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Amendment to the Partnership Agreement, dated as of December 16, 1997 – Incorporated by reference to Exhibit 3.27 to Vornado Realty Trust’s Quarterly Report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Form 10-Q for the quarter ended March 31, 2003 (File No. 001-11954), filed on May 8, 2003</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71">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13</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Second Amendment to the Partnership Agreement, dated as of April 1, 1998 – Incorporated by reference to Exhibit 3.5 to Vornado Realty Trust’s Registration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Statement on Form S-3 (File No. 333-50095), filed on April 14, 1998</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72">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14</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Third Amendment to the Partnership Agreement, dated as of November 12, 1998 - Incorporated by reference to Exhibit 3.2 to Vornado Realty Trust’s 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001-11954), filed on November 30, 1998</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73">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15</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Fourth Amendment to the Partnership Agreement, dated as of November 30, 1998 - Incorporated by reference to Exhibit 3.1 to Vornado Realty Trust’s 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001-11954), filed on February 9, 1999</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74">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16</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Fifth Amendment to the Partnership Agreement, dated as of March 3, 1999 - Incorporated by reference to Exhibit 3.1 to Vornado Realty Trust’s Current Report on</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Form 8-K (File No. 001-11954), filed on March 17, 1999</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75">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17</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Sixth Amendment to the Partnership Agreement, dated as of March 17, 1999 - Incorporated by reference to Exhibit 3.2 to Vornado Realty Trust’s Current Report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Form 8-K (File No. 001-11954), filed on July 7, 1999</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75">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18</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Seventh Amendment to the Partnership Agreement, dated as of May 20, 1999 - Incorporated by reference to Exhibit 3.3 to Vornado Realty Trust’s Current Report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Form 8-K (File No. 001-11954), filed on July 7, 1999</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75">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19</w:t>
            </w:r>
          </w:p>
        </w:tc>
        <w:tc>
          <w:tcPr>
            <w:tcW w:w="98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w w:val="99"/>
              </w:rPr>
              <w:t>—  Eighth Amendment to the Partnership Agreement, dated as of May 27, 1999 - Incorporated by reference to Exhibit 3.4 to Vornado Realty Trust’s Current Report on *</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Form 8-K (File No. 001-11954), filed on July 7, 1999</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76">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20</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Ninth Amendment to the Partnership Agreement, dated as of September 3, 1999 - Incorporated by reference to Exhibit 3.3 to Vornado Realty Trust’s 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001-11954), filed on October 25, 1999</w:t>
            </w:r>
          </w:p>
        </w:tc>
        <w:tc>
          <w:tcPr>
            <w:tcW w:w="100" w:type="dxa"/>
            <w:vAlign w:val="bottom"/>
          </w:tcPr>
          <w:p>
            <w:pPr>
              <w:spacing w:after="0"/>
              <w:rPr>
                <w:sz w:val="15"/>
                <w:szCs w:val="15"/>
                <w:color w:val="auto"/>
              </w:rPr>
            </w:pPr>
          </w:p>
        </w:tc>
      </w:tr>
      <w:tr>
        <w:trPr>
          <w:trHeight w:val="23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76">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21</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Tenth Amendment to the Partnership Agreement, dated as of September 3, 1999 - Incorporated by reference to Exhibit 3.4 to Vornado Realty Trust's 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001-11954), filed on October 25, 1999</w:t>
            </w:r>
          </w:p>
        </w:tc>
        <w:tc>
          <w:tcPr>
            <w:tcW w:w="100" w:type="dxa"/>
            <w:vAlign w:val="bottom"/>
          </w:tcPr>
          <w:p>
            <w:pPr>
              <w:spacing w:after="0"/>
              <w:rPr>
                <w:sz w:val="15"/>
                <w:szCs w:val="15"/>
                <w:color w:val="auto"/>
              </w:rPr>
            </w:pPr>
          </w:p>
        </w:tc>
      </w:tr>
      <w:tr>
        <w:trPr>
          <w:trHeight w:val="197"/>
        </w:trPr>
        <w:tc>
          <w:tcPr>
            <w:tcW w:w="1000" w:type="dxa"/>
            <w:vAlign w:val="bottom"/>
          </w:tcPr>
          <w:p>
            <w:pPr>
              <w:jc w:val="center"/>
              <w:ind w:right="230"/>
              <w:spacing w:after="0"/>
              <w:rPr>
                <w:rFonts w:ascii="Times New Roman" w:cs="Times New Roman" w:eastAsia="Times New Roman" w:hAnsi="Times New Roman"/>
                <w:sz w:val="14"/>
                <w:szCs w:val="14"/>
                <w:color w:val="0E32E1"/>
              </w:rPr>
            </w:pPr>
            <w:hyperlink r:id="rId177">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22</w:t>
            </w:r>
          </w:p>
        </w:tc>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Eleventh Amendment to the Partnership Agreement, dated as of November 24, 1999 - Incorporated by reference to Exhibit 3.2 to Vornado Realty Trust’s 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001-11954), filed on December 23, 1999</w:t>
            </w:r>
          </w:p>
        </w:tc>
        <w:tc>
          <w:tcPr>
            <w:tcW w:w="100" w:type="dxa"/>
            <w:vAlign w:val="bottom"/>
          </w:tcPr>
          <w:p>
            <w:pPr>
              <w:spacing w:after="0"/>
              <w:rPr>
                <w:sz w:val="15"/>
                <w:szCs w:val="15"/>
                <w:color w:val="auto"/>
              </w:rPr>
            </w:pPr>
          </w:p>
        </w:tc>
      </w:tr>
    </w:tbl>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35" w:lineRule="exact"/>
        <w:rPr>
          <w:sz w:val="20"/>
          <w:szCs w:val="20"/>
          <w:color w:val="auto"/>
        </w:rPr>
      </w:pPr>
    </w:p>
    <w:p>
      <w:pPr>
        <w:ind w:left="1700" w:hanging="748"/>
        <w:spacing w:after="0"/>
        <w:tabs>
          <w:tab w:leader="none" w:pos="17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320" w:top="1064" w:right="6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61"/>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79">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23</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9"/>
              </w:rPr>
              <w:t>Twelfth Amendment to the Partnership Agreement, dated as of May 1, 2000 - Incorporated by reference to Exhibit 3.2 to Vornado Realty Trust’s Current Report on *</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Form 8-K (File No. 001-11954), filed on May 19, 2000</w:t>
            </w:r>
          </w:p>
        </w:tc>
        <w:tc>
          <w:tcPr>
            <w:tcW w:w="120" w:type="dxa"/>
            <w:vAlign w:val="bottom"/>
          </w:tcPr>
          <w:p>
            <w:pPr>
              <w:spacing w:after="0"/>
              <w:rPr>
                <w:sz w:val="15"/>
                <w:szCs w:val="15"/>
                <w:color w:val="auto"/>
              </w:rPr>
            </w:pPr>
          </w:p>
        </w:tc>
      </w:tr>
      <w:tr>
        <w:trPr>
          <w:trHeight w:val="23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0">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24</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Thirteenth Amendment to the Partnership Agreement, dated as of May 25, 2000 - Incorporated by reference to Exhibit 3.2 to Vornado Realty Trust’s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001-11954), filed on June 16, 2000</w:t>
            </w:r>
          </w:p>
        </w:tc>
        <w:tc>
          <w:tcPr>
            <w:tcW w:w="120" w:type="dxa"/>
            <w:vAlign w:val="bottom"/>
          </w:tcPr>
          <w:p>
            <w:pPr>
              <w:spacing w:after="0"/>
              <w:rPr>
                <w:sz w:val="15"/>
                <w:szCs w:val="15"/>
                <w:color w:val="auto"/>
              </w:rPr>
            </w:pPr>
          </w:p>
        </w:tc>
      </w:tr>
      <w:tr>
        <w:trPr>
          <w:trHeight w:val="23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1">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25</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Fourteenth Amendment to the Partnership Agreement, dated as of December 8, 2000 - Incorporated by reference to Exhibit 3.2 to Vornado Realty Trust’s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001-11954), filed on December 28, 2000</w:t>
            </w:r>
          </w:p>
        </w:tc>
        <w:tc>
          <w:tcPr>
            <w:tcW w:w="120" w:type="dxa"/>
            <w:vAlign w:val="bottom"/>
          </w:tcPr>
          <w:p>
            <w:pPr>
              <w:spacing w:after="0"/>
              <w:rPr>
                <w:sz w:val="15"/>
                <w:szCs w:val="15"/>
                <w:color w:val="auto"/>
              </w:rPr>
            </w:pPr>
          </w:p>
        </w:tc>
      </w:tr>
      <w:tr>
        <w:trPr>
          <w:trHeight w:val="23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2">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26</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Fifteenth Amendment to the Partnership Agreement, dated as of December 15, 2000 - Incorporated by reference to Exhibit 4.35 to Vornado Realty Trust’s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Registration Statement on Form S-8 (File No. 333-68462), filed on August 27, 2001</w:t>
            </w:r>
          </w:p>
        </w:tc>
        <w:tc>
          <w:tcPr>
            <w:tcW w:w="120" w:type="dxa"/>
            <w:vAlign w:val="bottom"/>
          </w:tcPr>
          <w:p>
            <w:pPr>
              <w:spacing w:after="0"/>
              <w:rPr>
                <w:sz w:val="15"/>
                <w:szCs w:val="15"/>
                <w:color w:val="auto"/>
              </w:rPr>
            </w:pPr>
          </w:p>
        </w:tc>
      </w:tr>
      <w:tr>
        <w:trPr>
          <w:trHeight w:val="23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3">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27</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Sixteenth Amendment to the Partnership Agreement, dated as of July 25, 2001 - Incorporated by reference to Exhibit 3.3 to Vornado Realty Trust’s Current Report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Form 8-K (File No. 001-11954), filed on October 12, 2001</w:t>
            </w:r>
          </w:p>
        </w:tc>
        <w:tc>
          <w:tcPr>
            <w:tcW w:w="120" w:type="dxa"/>
            <w:vAlign w:val="bottom"/>
          </w:tcPr>
          <w:p>
            <w:pPr>
              <w:spacing w:after="0"/>
              <w:rPr>
                <w:sz w:val="15"/>
                <w:szCs w:val="15"/>
                <w:color w:val="auto"/>
              </w:rPr>
            </w:pPr>
          </w:p>
        </w:tc>
      </w:tr>
      <w:tr>
        <w:trPr>
          <w:trHeight w:val="250"/>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4">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28</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Seventeenth Amendment to the Partnership Agreement, dated as of September 21, 2001 - Incorporated by reference to Exhibit 3.4 to Vornado Realty Trust’s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Report on Form 8-K (File No. 001-11954), filed on October 12, 2001</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5">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29</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Eighteenth Amendment to the Partnership Agreement, dated as of January 1, 2002 - Incorporated by reference to Exhibit 3.1 to Vornado Realty Trust’s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8-K/A (File No. 001-11954), filed on March 18, 2002</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6">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30</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Nineteenth Amendment to the Partnership Agreement, dated as of July 1, 2002 - Incorporated by reference to Exhibit 3.47 to Vornado Realty Trust’s Quarterly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10-Q for the quarter ended June 30, 2002 (File No. 001-11954), filed on August 7, 2002</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7">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31</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Twentieth Amendment to the Partnership Agreement, dated April 9, 2003 - Incorporated by reference to Exhibit 3.46 to Vornado Realty Trust’s Quarterly Report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Form 10-Q for the quarter ended March 31, 2003 (File No. 001-11954), filed on May 8, 2003</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8">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32</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Twenty-First Amendment to the Partnership Agreement, dated as of July 31, 2003 - Incorporated by reference to Exhibit 3.47 to Vornado Realty Trust’s Quarterly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10-Q for the quarter ended September 30, 2003 (File No. 001-11954), filed on November 7, 2003</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89">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33</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Twenty-Second Amendment to the Partnership Agreement, dated as of November 17, 2003 – Incorporated by reference to Exhibit 3.49 to Vornado Realty Trust’s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Annual Report on Form 10-K for the year ended December 31, 2003 (File No. 001-11954), filed on March 3, 2004</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0">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34</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Twenty-Third Amendment to the Partnership Agreement, dated May 27, 2004 – Incorporated by reference to Exhibit 99.2 to Vornado Realty Trust’s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001-11954), filed on June 14, 2004</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1">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35</w:t>
            </w:r>
          </w:p>
        </w:tc>
        <w:tc>
          <w:tcPr>
            <w:tcW w:w="99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w w:val="99"/>
              </w:rPr>
              <w:t>—  Twenty-Fourth Amendment to the Partnership Agreement, dated August 17, 2004 – Incorporated by reference to Exhibit 3.57 to Vornado Realty Trust and Vornado *</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Realty L.P.’s Registration Statement on Form S-3 (File No. 333-122306), filed on January 26, 2005</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2">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36</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Twenty-Fifth Amendment to the Partnership Agreement, dated November 17, 2004 – Incorporated by reference to Exhibit 3.58 to Vornado Realty Trust and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Vornado Realty L.P.’s Registration Statement on Form S-3 (File No. 333-122306), filed on January 26, 2005</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3">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37</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Twenty-Sixth Amendment to the Partnership Agreement, dated December 17, 2004 – Incorporated by reference to Exhibit 3.1 to Vornado Realty L.P.’s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000-22685), filed on December 21, 2004</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4">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38</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Twenty-Seventh Amendment to the Partnership Agreement, dated December 20, 2004 – Incorporated by reference to Exhibit 3.2 to Vornado Realty L.P.’s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000-22685), filed on December 21, 2004</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5">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39</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Twenty-Eighth Amendment to the Partnership Agreement, dated December 30, 2004 - Incorporated by reference to Exhibit 3.1 to Vornado Realty L.P.’s Current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8-K (File No. 000-22685), filed on January 4, 2005</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6">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40</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Twenty-Ninth Amendment to the Partnership Agreement, dated June 17, 2005 - Incorporated by reference to Exhibit 3.1 to Vornado Realty L.P.’s Current Report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Form 8-K (File No. 000-22685), filed on June 21, 2005</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7">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41</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Thirtieth Amendment to the Partnership Agreement, dated August 31, 2005 - Incorporated by reference to Exhibit 3.1 to Vornado Realty L.P.’s Current Report on</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Form 8-K (File No. 000-22685), filed on September 1, 2005</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8">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42</w:t>
            </w:r>
          </w:p>
        </w:tc>
        <w:tc>
          <w:tcPr>
            <w:tcW w:w="994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w w:val="99"/>
              </w:rPr>
              <w:t>—  Thirty-First Amendment to the Partnership Agreement, dated September 9, 2005 - Incorporated by reference to Exhibit 3.1 to Vornado Realty L.P.’s Current Report *</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Form 8-K (File No. 000-22685), filed on September 14, 2005</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199">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43</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Thirty-Second Amendment and Restated Agreement of Limited Partnership, dated as of December 19, 2005 – Incorporated by reference to Exhibit 3.59 to</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Vornado Realty L.P.’s Quarterly Report on Form 10-Q for the quarter ended March 31, 2006 (File No. 000-22685), filed on May 8, 2006</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200">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44</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Thirty-Third Amendment to Second Amended and Restated Agreement of Limited Partnership, dated as of April 25, 2006 – Incorporated by reference to Exhibit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10.2 to Vornado Realty Trust’s Form 8-K (File No. 001-11954), filed on May 1, 2006</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201">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45</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Thirty-Fourth Amendment to Second Amended and Restated Agreement of Limited Partnership, dated as of May 2, 2006 – Incorporated by reference to Exhibit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3.1 to Vornado Realty L.P.’s Current Report on Form 8-K (File No. 000-22685), filed on May 3, 2006</w:t>
            </w:r>
          </w:p>
        </w:tc>
        <w:tc>
          <w:tcPr>
            <w:tcW w:w="120" w:type="dxa"/>
            <w:vAlign w:val="bottom"/>
          </w:tcPr>
          <w:p>
            <w:pPr>
              <w:spacing w:after="0"/>
              <w:rPr>
                <w:sz w:val="15"/>
                <w:szCs w:val="15"/>
                <w:color w:val="auto"/>
              </w:rPr>
            </w:pPr>
          </w:p>
        </w:tc>
      </w:tr>
      <w:tr>
        <w:trPr>
          <w:trHeight w:val="197"/>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202">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46</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Thirty-Fifth Amendment to Second Amended and Restated Agreement of Limited Partnership, dated as of August 17, 2006 – Incorporated by reference to Exhibit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3.1 to Vornado Realty L.P.’s Form 8-K (File No. 000-22685), filed on August 23, 2006</w:t>
            </w:r>
          </w:p>
        </w:tc>
        <w:tc>
          <w:tcPr>
            <w:tcW w:w="120" w:type="dxa"/>
            <w:vAlign w:val="bottom"/>
          </w:tcPr>
          <w:p>
            <w:pPr>
              <w:spacing w:after="0"/>
              <w:rPr>
                <w:sz w:val="15"/>
                <w:szCs w:val="15"/>
                <w:color w:val="auto"/>
              </w:rPr>
            </w:pPr>
          </w:p>
        </w:tc>
      </w:tr>
      <w:tr>
        <w:trPr>
          <w:trHeight w:val="250"/>
        </w:trPr>
        <w:tc>
          <w:tcPr>
            <w:tcW w:w="660" w:type="dxa"/>
            <w:vAlign w:val="bottom"/>
          </w:tcPr>
          <w:p>
            <w:pPr>
              <w:jc w:val="right"/>
              <w:ind w:right="330"/>
              <w:spacing w:after="0"/>
              <w:rPr>
                <w:rFonts w:ascii="Times New Roman" w:cs="Times New Roman" w:eastAsia="Times New Roman" w:hAnsi="Times New Roman"/>
                <w:sz w:val="14"/>
                <w:szCs w:val="14"/>
                <w:color w:val="0E32E1"/>
                <w:w w:val="97"/>
              </w:rPr>
            </w:pPr>
            <w:hyperlink r:id="rId203">
              <w:r>
                <w:rPr>
                  <w:rFonts w:ascii="Times New Roman" w:cs="Times New Roman" w:eastAsia="Times New Roman" w:hAnsi="Times New Roman"/>
                  <w:sz w:val="14"/>
                  <w:szCs w:val="14"/>
                  <w:color w:val="0E32E1"/>
                  <w:w w:val="97"/>
                </w:rPr>
                <w:t>3.</w:t>
              </w:r>
            </w:hyperlink>
            <w:r>
              <w:rPr>
                <w:rFonts w:ascii="Times New Roman" w:cs="Times New Roman" w:eastAsia="Times New Roman" w:hAnsi="Times New Roman"/>
                <w:sz w:val="14"/>
                <w:szCs w:val="14"/>
                <w:color w:val="0E32E1"/>
                <w:w w:val="97"/>
              </w:rPr>
              <w:t>47</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Thirty-Sixth Amendment to Second Amended and Restated Agreement of Limited Partnership, dated as of October 2, 2006 – Incorporated by reference to Exhibit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3.1 to Vornado Realty L.P.’s Form 8-K (File No. 000-22685), filed on January 22, 2007</w:t>
            </w:r>
          </w:p>
        </w:tc>
        <w:tc>
          <w:tcPr>
            <w:tcW w:w="120" w:type="dxa"/>
            <w:vAlign w:val="bottom"/>
          </w:tcPr>
          <w:p>
            <w:pPr>
              <w:spacing w:after="0"/>
              <w:rPr>
                <w:sz w:val="15"/>
                <w:szCs w:val="15"/>
                <w:color w:val="auto"/>
              </w:rPr>
            </w:pPr>
          </w:p>
        </w:tc>
      </w:tr>
    </w:tbl>
    <w:p>
      <w:pPr>
        <w:spacing w:after="0" w:line="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__________________________________</w:t>
      </w:r>
    </w:p>
    <w:p>
      <w:pPr>
        <w:spacing w:after="0" w:line="35" w:lineRule="exact"/>
        <w:rPr>
          <w:sz w:val="20"/>
          <w:szCs w:val="20"/>
          <w:color w:val="auto"/>
        </w:rPr>
      </w:pPr>
    </w:p>
    <w:p>
      <w:pPr>
        <w:ind w:left="1360" w:hanging="748"/>
        <w:spacing w:after="0"/>
        <w:tabs>
          <w:tab w:leader="none" w:pos="13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74295</wp:posOffset>
            </wp:positionV>
            <wp:extent cx="716153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00"/>
          </w:cols>
          <w:pgMar w:left="660" w:top="1066" w:right="6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61"/>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05">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48</w:t>
            </w:r>
          </w:p>
        </w:tc>
        <w:tc>
          <w:tcPr>
            <w:tcW w:w="480" w:type="dxa"/>
            <w:vAlign w:val="bottom"/>
          </w:tcPr>
          <w:p>
            <w:pPr>
              <w:spacing w:after="0"/>
              <w:rPr>
                <w:sz w:val="13"/>
                <w:szCs w:val="13"/>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Thirty-Seventh Amendment to Second Amended and Restated Agreement of Limited Partnership, dated as of June 28, 2007 – Incorporated by reference to Exhibit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3.1 to Vornado Realty L.P.'s Current Report on Form 8-K (File No. 000-22685), filed on June 27, 2007</w:t>
            </w:r>
          </w:p>
        </w:tc>
        <w:tc>
          <w:tcPr>
            <w:tcW w:w="240" w:type="dxa"/>
            <w:vAlign w:val="bottom"/>
          </w:tcPr>
          <w:p>
            <w:pPr>
              <w:spacing w:after="0"/>
              <w:rPr>
                <w:sz w:val="15"/>
                <w:szCs w:val="15"/>
                <w:color w:val="auto"/>
              </w:rPr>
            </w:pPr>
          </w:p>
        </w:tc>
      </w:tr>
      <w:tr>
        <w:trPr>
          <w:trHeight w:val="19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06">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49</w:t>
            </w:r>
          </w:p>
        </w:tc>
        <w:tc>
          <w:tcPr>
            <w:tcW w:w="48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Thirty-Eighth Amendment to Second Amended and Restated Agreement of Limited Partnership, dated as of June 28, 2007 – Incorporated by reference to Exhibit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3.2 to Vornado Realty L.P.'s Current Report on Form 8-K (File No. 000-22685), filed on June 27, 2007</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07">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50</w:t>
            </w:r>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Thirty-Ninth Amendment to Second Amended and Restated Agreement of Limited Partnership, dated as of June 28, 2007 – Incorporated by reference to Exhibit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 to Vornado Realty L.P.’s Current Report on Form 8-K (File No. 000-22685), filed on June 27, 2007</w:t>
            </w:r>
          </w:p>
        </w:tc>
        <w:tc>
          <w:tcPr>
            <w:tcW w:w="240" w:type="dxa"/>
            <w:vAlign w:val="bottom"/>
          </w:tcPr>
          <w:p>
            <w:pPr>
              <w:spacing w:after="0"/>
              <w:rPr>
                <w:sz w:val="15"/>
                <w:szCs w:val="15"/>
                <w:color w:val="auto"/>
              </w:rPr>
            </w:pPr>
          </w:p>
        </w:tc>
      </w:tr>
      <w:tr>
        <w:trPr>
          <w:trHeight w:val="19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08">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51</w:t>
            </w:r>
          </w:p>
        </w:tc>
        <w:tc>
          <w:tcPr>
            <w:tcW w:w="48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Fortieth Amendment to Second Amended and Restated Agreement of Limited Partnership, dated as of June 28, 2007 – Incorporated by reference to Exhibit 3.4 to</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Vornado Realty L.P.’s Current Report on Form 8-K (File No. 000-22685), filed on June 27, 2007</w:t>
            </w:r>
          </w:p>
        </w:tc>
        <w:tc>
          <w:tcPr>
            <w:tcW w:w="240" w:type="dxa"/>
            <w:vAlign w:val="bottom"/>
          </w:tcPr>
          <w:p>
            <w:pPr>
              <w:spacing w:after="0"/>
              <w:rPr>
                <w:sz w:val="15"/>
                <w:szCs w:val="15"/>
                <w:color w:val="auto"/>
              </w:rPr>
            </w:pPr>
          </w:p>
        </w:tc>
      </w:tr>
      <w:tr>
        <w:trPr>
          <w:trHeight w:val="19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09">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52</w:t>
            </w:r>
          </w:p>
        </w:tc>
        <w:tc>
          <w:tcPr>
            <w:tcW w:w="48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Forty-First Amendment to Second Amended and Restated Agreement of Limited Partnership, dated as of March 31, 2008 – Incorporated by reference to Exhibit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3.44 to Vornado Realty Trust’s Quarterly Report on Form 10-Q for the quarter ended March 31, 2008 (file No. 001-11954), filed on May 6, 2008</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0">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53</w:t>
            </w:r>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Forty-Second Amendment to Second Amended and Restated Agreement of Limited Partnership, dated as of December 17, 2010 – Incorporated by reference to</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Exhibit 99.1 to Vornado Realty L.P.'s Current Report on Form 8-K (File No 000-22685), filed on December 21, 2010</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1">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54</w:t>
            </w:r>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Forty-Third Amendment to Second Amended and Restated Agreement of Limited Partnership, dated as of April 20, 2011 – Incorporated by reference to Exhibit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3.1 to Vornado Realty L.P.'s Current Report on Form 8-K (File No. 000-22685), filed on April 21, 2011</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2">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55</w:t>
            </w:r>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Forty-Fourth Amendment to Second Amended and Restated Agreement of Limited Partnership of Vornado Realty L.P., dated as, of March 30, 2012 - Incorporated</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by reference to Exhibit 99.1 to Vornado Realty L.P.'s Current Report on Form 8-K (File No. 001-34482), filed on April 5, 2012</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3">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56</w:t>
            </w:r>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Forty-Fourth Amendment to Second Amended and Restated Agreement of Limited Partnership dated as of July 18, 2012 – Incorporated by reference to Exhibit 3.1</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 Vornado Realty L.P.’s Current Report on Form 8-K (File No. 001-34482), filed on July 18, 2012</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4">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57</w:t>
            </w:r>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Forty-Fifth Amendment to Second Amended and Restated Agreement of Limited Partnership, dated as of January 25, 2013 – Incorporated by reference to Exhibit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3.1 to Vornado Realty L.P.’s Current Report on Form 8-K (File No. 001-34482), filed on January 25, 2013</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5">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58</w:t>
            </w:r>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Forty-Sixth Amendment to Second Amended and Restated Agreement of Limited Partnership of Vornado Realty L.P., dated April 1, 2015 - Incorporated by</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reference to Exhibit 3.1 to Vornado Realty L.P.'s Current Report on Form 8-K (File No. 001-34482), filed on April 2, 2015</w:t>
            </w:r>
          </w:p>
        </w:tc>
        <w:tc>
          <w:tcPr>
            <w:tcW w:w="240" w:type="dxa"/>
            <w:vAlign w:val="bottom"/>
          </w:tcPr>
          <w:p>
            <w:pPr>
              <w:spacing w:after="0"/>
              <w:rPr>
                <w:sz w:val="15"/>
                <w:szCs w:val="15"/>
                <w:color w:val="auto"/>
              </w:rPr>
            </w:pPr>
          </w:p>
        </w:tc>
      </w:tr>
      <w:tr>
        <w:trPr>
          <w:trHeight w:val="243"/>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6">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59</w:t>
            </w:r>
          </w:p>
        </w:tc>
        <w:tc>
          <w:tcPr>
            <w:tcW w:w="480" w:type="dxa"/>
            <w:vAlign w:val="bottom"/>
          </w:tcPr>
          <w:p>
            <w:pPr>
              <w:spacing w:after="0"/>
              <w:rPr>
                <w:sz w:val="21"/>
                <w:szCs w:val="21"/>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Forty-Seventh Amendment to Second Amended and Restated Agreement of Limited Partnership of Vornado Realty L.P., dated December 13, 2017 - Incorporated</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by reference to Exhibit 3.2 to Vornado Realty L.P.'s Current Report on Form 8-K (File No. 001-34482), filed on December 13, 2017</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7">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60</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9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Forty-Eighth Amendment to Second Amended and Restated Agreement of Limited Partnership of Vornado Realty L.P., dated as of January 12, 2018 - Incorporated *</w:t>
            </w:r>
          </w:p>
        </w:tc>
      </w:tr>
      <w:tr>
        <w:trPr>
          <w:trHeight w:val="128"/>
        </w:trPr>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0" w:type="dxa"/>
            <w:vAlign w:val="bottom"/>
          </w:tcPr>
          <w:p>
            <w:pPr>
              <w:ind w:left="220"/>
              <w:spacing w:after="0" w:line="128" w:lineRule="exact"/>
              <w:rPr>
                <w:sz w:val="20"/>
                <w:szCs w:val="20"/>
                <w:color w:val="auto"/>
              </w:rPr>
            </w:pPr>
            <w:r>
              <w:rPr>
                <w:rFonts w:ascii="Times New Roman" w:cs="Times New Roman" w:eastAsia="Times New Roman" w:hAnsi="Times New Roman"/>
                <w:sz w:val="14"/>
                <w:szCs w:val="14"/>
                <w:color w:val="auto"/>
              </w:rPr>
              <w:t>by reference to Exhibit 3.53 to Vornado Realty Trust's Annual Report on 10-K for the year ended December 31, 2017 (File No. 001-11954), filed on February</w:t>
            </w:r>
          </w:p>
        </w:tc>
        <w:tc>
          <w:tcPr>
            <w:tcW w:w="240" w:type="dxa"/>
            <w:vAlign w:val="bottom"/>
          </w:tcPr>
          <w:p>
            <w:pPr>
              <w:spacing w:after="0"/>
              <w:rPr>
                <w:sz w:val="11"/>
                <w:szCs w:val="11"/>
                <w:color w:val="auto"/>
              </w:rPr>
            </w:pP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12, 2018</w:t>
            </w:r>
          </w:p>
        </w:tc>
        <w:tc>
          <w:tcPr>
            <w:tcW w:w="240" w:type="dxa"/>
            <w:vAlign w:val="bottom"/>
          </w:tcPr>
          <w:p>
            <w:pPr>
              <w:spacing w:after="0"/>
              <w:rPr>
                <w:sz w:val="15"/>
                <w:szCs w:val="15"/>
                <w:color w:val="auto"/>
              </w:rPr>
            </w:pPr>
          </w:p>
        </w:tc>
      </w:tr>
      <w:tr>
        <w:trPr>
          <w:trHeight w:val="246"/>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8">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61</w:t>
            </w:r>
          </w:p>
        </w:tc>
        <w:tc>
          <w:tcPr>
            <w:tcW w:w="480" w:type="dxa"/>
            <w:vAlign w:val="bottom"/>
          </w:tcPr>
          <w:p>
            <w:pPr>
              <w:spacing w:after="0"/>
              <w:rPr>
                <w:sz w:val="21"/>
                <w:szCs w:val="21"/>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Forty-Ninth Amendment to Second Amended and Restated Agreement of Limited Partnership of Vornado Realty L.P., dated as of August 7, 2019 - Incorporated</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by reference to Exhibit 3.2 to Vornado Realty Trust's Current Report on Form 8-K (File No. 001-11954), filed on August 8, 2019</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19">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62</w:t>
            </w:r>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Fiftieth Amendment to Second Amended and Restated Agreement of Limited Partnership of Vornado Realty L.P., dated as of November 24, 2020 - Incorporated</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by reference to Exhibit 3.2 to Vornado Realty Trust's Current Report on Form 8-K (File No. 001-11954), filed on November 24, 2020</w:t>
            </w:r>
          </w:p>
        </w:tc>
        <w:tc>
          <w:tcPr>
            <w:tcW w:w="240" w:type="dxa"/>
            <w:vAlign w:val="bottom"/>
          </w:tcPr>
          <w:p>
            <w:pPr>
              <w:spacing w:after="0"/>
              <w:rPr>
                <w:sz w:val="15"/>
                <w:szCs w:val="15"/>
                <w:color w:val="auto"/>
              </w:rPr>
            </w:pPr>
          </w:p>
        </w:tc>
      </w:tr>
      <w:tr>
        <w:trPr>
          <w:trHeight w:val="19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20">
              <w:r>
                <w:rPr>
                  <w:rFonts w:ascii="Times New Roman" w:cs="Times New Roman" w:eastAsia="Times New Roman" w:hAnsi="Times New Roman"/>
                  <w:sz w:val="14"/>
                  <w:szCs w:val="14"/>
                  <w:color w:val="0E32E1"/>
                </w:rPr>
                <w:t>3.</w:t>
              </w:r>
            </w:hyperlink>
            <w:r>
              <w:rPr>
                <w:rFonts w:ascii="Times New Roman" w:cs="Times New Roman" w:eastAsia="Times New Roman" w:hAnsi="Times New Roman"/>
                <w:sz w:val="14"/>
                <w:szCs w:val="14"/>
                <w:color w:val="0E32E1"/>
              </w:rPr>
              <w:t>63</w:t>
            </w:r>
          </w:p>
        </w:tc>
        <w:tc>
          <w:tcPr>
            <w:tcW w:w="48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Fifty-First Amendment to Second Amended and Restated Agreement of Limited Partnership of Vornado Realty L.P., dated as of September 22, 2021 -</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Incorporated by reference to Exhibit 3.2 to Vornado Realty Trust's Current Report on Form 8-K (File No. 001-11954), filed on September 22, 2021</w:t>
            </w:r>
          </w:p>
        </w:tc>
        <w:tc>
          <w:tcPr>
            <w:tcW w:w="240" w:type="dxa"/>
            <w:vAlign w:val="bottom"/>
          </w:tcPr>
          <w:p>
            <w:pPr>
              <w:spacing w:after="0"/>
              <w:rPr>
                <w:sz w:val="15"/>
                <w:szCs w:val="15"/>
                <w:color w:val="auto"/>
              </w:rPr>
            </w:pPr>
          </w:p>
        </w:tc>
      </w:tr>
      <w:tr>
        <w:trPr>
          <w:trHeight w:val="19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21">
              <w:r>
                <w:rPr>
                  <w:rFonts w:ascii="Times New Roman" w:cs="Times New Roman" w:eastAsia="Times New Roman" w:hAnsi="Times New Roman"/>
                  <w:sz w:val="14"/>
                  <w:szCs w:val="14"/>
                  <w:color w:val="0E32E1"/>
                </w:rPr>
                <w:t>4.1</w:t>
              </w:r>
            </w:hyperlink>
          </w:p>
        </w:tc>
        <w:tc>
          <w:tcPr>
            <w:tcW w:w="480" w:type="dxa"/>
            <w:vAlign w:val="bottom"/>
          </w:tcPr>
          <w:p>
            <w:pPr>
              <w:spacing w:after="0"/>
              <w:rPr>
                <w:sz w:val="17"/>
                <w:szCs w:val="17"/>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Indenture, dated as of November 25, 2003, between Vornado Realty L.P. and The Bank of New York, as Trustee - Incorporated by reference to Exhibit 4.10 to</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Vornado Realty Trust’s Quarterly Report on Form 10-Q for the quarter ended March 31, 2005 (File No. 001-11954), filed on April 28, 2005</w:t>
            </w:r>
          </w:p>
        </w:tc>
        <w:tc>
          <w:tcPr>
            <w:tcW w:w="240" w:type="dxa"/>
            <w:vAlign w:val="bottom"/>
          </w:tcPr>
          <w:p>
            <w:pPr>
              <w:spacing w:after="0"/>
              <w:rPr>
                <w:sz w:val="15"/>
                <w:szCs w:val="15"/>
                <w:color w:val="auto"/>
              </w:rPr>
            </w:pPr>
          </w:p>
        </w:tc>
      </w:tr>
      <w:tr>
        <w:trPr>
          <w:trHeight w:val="237"/>
        </w:trPr>
        <w:tc>
          <w:tcPr>
            <w:tcW w:w="440" w:type="dxa"/>
            <w:vAlign w:val="bottom"/>
          </w:tcPr>
          <w:p>
            <w:pPr>
              <w:jc w:val="center"/>
              <w:ind w:right="110"/>
              <w:spacing w:after="0"/>
              <w:rPr>
                <w:rFonts w:ascii="Times New Roman" w:cs="Times New Roman" w:eastAsia="Times New Roman" w:hAnsi="Times New Roman"/>
                <w:sz w:val="14"/>
                <w:szCs w:val="14"/>
                <w:color w:val="0E32E1"/>
              </w:rPr>
            </w:pPr>
            <w:hyperlink r:id="rId222">
              <w:r>
                <w:rPr>
                  <w:rFonts w:ascii="Times New Roman" w:cs="Times New Roman" w:eastAsia="Times New Roman" w:hAnsi="Times New Roman"/>
                  <w:sz w:val="14"/>
                  <w:szCs w:val="14"/>
                  <w:color w:val="0E32E1"/>
                </w:rPr>
                <w:t>4.2</w:t>
              </w:r>
            </w:hyperlink>
          </w:p>
        </w:tc>
        <w:tc>
          <w:tcPr>
            <w:tcW w:w="480" w:type="dxa"/>
            <w:vAlign w:val="bottom"/>
          </w:tcPr>
          <w:p>
            <w:pPr>
              <w:spacing w:after="0"/>
              <w:rPr>
                <w:sz w:val="20"/>
                <w:szCs w:val="20"/>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Indenture, dated as of November 20, 2006, among Vornado Realty Trust, as Issuer, Vornado Realty L.P., as Guarantor and The Bank of New York, as Trustee –</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Incorporated by reference to Exhibit 4.1 to Vornado Realty Trust’s Current Report on Form 8-K (File No. 001-11954), filed on November 27, 2006</w:t>
            </w:r>
          </w:p>
        </w:tc>
        <w:tc>
          <w:tcPr>
            <w:tcW w:w="240" w:type="dxa"/>
            <w:vAlign w:val="bottom"/>
          </w:tcPr>
          <w:p>
            <w:pPr>
              <w:spacing w:after="0"/>
              <w:rPr>
                <w:sz w:val="15"/>
                <w:szCs w:val="15"/>
                <w:color w:val="auto"/>
              </w:rPr>
            </w:pPr>
          </w:p>
        </w:tc>
      </w:tr>
      <w:tr>
        <w:trPr>
          <w:trHeight w:val="145"/>
        </w:trPr>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i w:val="1"/>
                <w:iCs w:val="1"/>
                <w:color w:val="auto"/>
              </w:rPr>
              <w:t>Certain instruments defining the rights of holders of long-term debt securities of Vornado Realty Trust and its subsidiaries are omitted pursuant to Item 601(b)(4)</w:t>
            </w:r>
          </w:p>
        </w:tc>
        <w:tc>
          <w:tcPr>
            <w:tcW w:w="240" w:type="dxa"/>
            <w:vAlign w:val="bottom"/>
          </w:tcPr>
          <w:p>
            <w:pPr>
              <w:spacing w:after="0"/>
              <w:rPr>
                <w:sz w:val="12"/>
                <w:szCs w:val="12"/>
                <w:color w:val="auto"/>
              </w:rPr>
            </w:pPr>
          </w:p>
        </w:tc>
      </w:tr>
      <w:tr>
        <w:trPr>
          <w:trHeight w:val="184"/>
        </w:trPr>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w w:val="99"/>
              </w:rPr>
              <w:t>(iii) of Regulation S-K. Vornado Realty Trust hereby undertakes to furnish to the Securities and Exchange Commission, upon request, copies of such instruments</w:t>
            </w:r>
          </w:p>
        </w:tc>
        <w:tc>
          <w:tcPr>
            <w:tcW w:w="240" w:type="dxa"/>
            <w:vAlign w:val="bottom"/>
          </w:tcPr>
          <w:p>
            <w:pPr>
              <w:spacing w:after="0"/>
              <w:rPr>
                <w:sz w:val="16"/>
                <w:szCs w:val="16"/>
                <w:color w:val="auto"/>
              </w:rPr>
            </w:pPr>
          </w:p>
        </w:tc>
      </w:tr>
      <w:tr>
        <w:trPr>
          <w:trHeight w:val="277"/>
        </w:trPr>
        <w:tc>
          <w:tcPr>
            <w:tcW w:w="44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0000FF"/>
              </w:rPr>
              <w:t>4.3</w:t>
            </w:r>
          </w:p>
        </w:tc>
        <w:tc>
          <w:tcPr>
            <w:tcW w:w="480" w:type="dxa"/>
            <w:vAlign w:val="bottom"/>
          </w:tcPr>
          <w:p>
            <w:pPr>
              <w:spacing w:after="0"/>
              <w:rPr>
                <w:sz w:val="24"/>
                <w:szCs w:val="24"/>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Description of Vornado Realty Trust securities registered pursuant to Section 12 of the Securities Exchange Act of 1934</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rPr>
              <w:t>***</w:t>
            </w:r>
          </w:p>
        </w:tc>
      </w:tr>
      <w:tr>
        <w:trPr>
          <w:trHeight w:val="288"/>
        </w:trPr>
        <w:tc>
          <w:tcPr>
            <w:tcW w:w="44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0000FF"/>
              </w:rPr>
              <w:t>4.4</w:t>
            </w:r>
          </w:p>
        </w:tc>
        <w:tc>
          <w:tcPr>
            <w:tcW w:w="480" w:type="dxa"/>
            <w:vAlign w:val="bottom"/>
          </w:tcPr>
          <w:p>
            <w:pPr>
              <w:spacing w:after="0"/>
              <w:rPr>
                <w:sz w:val="24"/>
                <w:szCs w:val="24"/>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Description of Class A units of Vornado Realty L.P. and certain provisions of its agreement of limited partnership</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rPr>
              <w:t>***</w:t>
            </w:r>
          </w:p>
        </w:tc>
      </w:tr>
      <w:tr>
        <w:trPr>
          <w:trHeight w:val="196"/>
        </w:trPr>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__________________________________________</w:t>
            </w:r>
          </w:p>
        </w:tc>
        <w:tc>
          <w:tcPr>
            <w:tcW w:w="240" w:type="dxa"/>
            <w:vAlign w:val="bottom"/>
          </w:tcPr>
          <w:p>
            <w:pPr>
              <w:spacing w:after="0"/>
              <w:rPr>
                <w:sz w:val="17"/>
                <w:szCs w:val="17"/>
                <w:color w:val="auto"/>
              </w:rPr>
            </w:pPr>
          </w:p>
        </w:tc>
      </w:tr>
    </w:tbl>
    <w:p>
      <w:pPr>
        <w:spacing w:after="0" w:line="14" w:lineRule="exact"/>
        <w:rPr>
          <w:sz w:val="20"/>
          <w:szCs w:val="20"/>
          <w:color w:val="auto"/>
        </w:rPr>
      </w:pPr>
    </w:p>
    <w:p>
      <w:pPr>
        <w:ind w:left="1360" w:hanging="748"/>
        <w:spacing w:after="0"/>
        <w:tabs>
          <w:tab w:leader="none" w:pos="13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w:t>
      </w:r>
    </w:p>
    <w:p>
      <w:pPr>
        <w:spacing w:after="0" w:line="35" w:lineRule="exact"/>
        <w:rPr>
          <w:sz w:val="20"/>
          <w:szCs w:val="20"/>
          <w:color w:val="auto"/>
        </w:rPr>
      </w:pPr>
    </w:p>
    <w:p>
      <w:pPr>
        <w:ind w:left="1360" w:hanging="748"/>
        <w:spacing w:after="0"/>
        <w:tabs>
          <w:tab w:leader="none" w:pos="13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agreement</w:t>
      </w:r>
    </w:p>
    <w:p>
      <w:pPr>
        <w:spacing w:after="0" w:line="35" w:lineRule="exact"/>
        <w:rPr>
          <w:rFonts w:ascii="Times New Roman" w:cs="Times New Roman" w:eastAsia="Times New Roman" w:hAnsi="Times New Roman"/>
          <w:sz w:val="14"/>
          <w:szCs w:val="14"/>
          <w:color w:val="auto"/>
        </w:rPr>
      </w:pPr>
    </w:p>
    <w:p>
      <w:pPr>
        <w:ind w:left="1360" w:hanging="748"/>
        <w:spacing w:after="0"/>
        <w:tabs>
          <w:tab w:leader="none" w:pos="13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74295</wp:posOffset>
            </wp:positionV>
            <wp:extent cx="716153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40"/>
          </w:cols>
          <w:pgMar w:left="660" w:top="1118" w:right="49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4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0E32E1"/>
              </w:rPr>
              <w:t>10.1</w:t>
            </w:r>
          </w:p>
        </w:tc>
        <w:tc>
          <w:tcPr>
            <w:tcW w:w="480" w:type="dxa"/>
            <w:vAlign w:val="bottom"/>
          </w:tcPr>
          <w:p>
            <w:pPr>
              <w:spacing w:after="0"/>
              <w:rPr>
                <w:sz w:val="13"/>
                <w:szCs w:val="13"/>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Registration Rights Agreement between Vornado, Inc. and Steven Roth, dated December 29, 1992 - Incorporated by reference to Vornado Realty Trust’s Annual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10-K for the year ended December 31, 1992 (File No. 001-11954), filed February 16, 1993</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0E32E1"/>
              </w:rPr>
              <w:t>10.2</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Management Agreement between Interstate Properties and Vornado, Inc. dated July 13, 1992 – Incorporated by reference to Vornado, Inc.’s Annual Report on</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Form 10-K for the year ended December 31, 1992 (File No. 001-11954), filed February 16, 1993</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rPr>
            </w:pPr>
            <w:hyperlink r:id="rId224">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3</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Vornado Realty Trust's 2010 Omnibus Share Plan - Incorporated by reference to Exhibit 10.41 to Vornado Realty Trust's Quarterly Report on Form 10-Q for the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quarter ended June 30, 2010 (File No. 001-11954) filed on August 3, 2010</w:t>
            </w:r>
          </w:p>
        </w:tc>
        <w:tc>
          <w:tcPr>
            <w:tcW w:w="120" w:type="dxa"/>
            <w:vAlign w:val="bottom"/>
          </w:tcPr>
          <w:p>
            <w:pPr>
              <w:spacing w:after="0"/>
              <w:rPr>
                <w:sz w:val="15"/>
                <w:szCs w:val="15"/>
                <w:color w:val="auto"/>
              </w:rPr>
            </w:pPr>
          </w:p>
        </w:tc>
      </w:tr>
      <w:tr>
        <w:trPr>
          <w:trHeight w:val="237"/>
        </w:trPr>
        <w:tc>
          <w:tcPr>
            <w:tcW w:w="460" w:type="dxa"/>
            <w:vAlign w:val="bottom"/>
          </w:tcPr>
          <w:p>
            <w:pPr>
              <w:jc w:val="center"/>
              <w:ind w:right="90"/>
              <w:spacing w:after="0"/>
              <w:rPr>
                <w:rFonts w:ascii="Times New Roman" w:cs="Times New Roman" w:eastAsia="Times New Roman" w:hAnsi="Times New Roman"/>
                <w:sz w:val="14"/>
                <w:szCs w:val="14"/>
                <w:color w:val="0E32E1"/>
              </w:rPr>
            </w:pPr>
            <w:hyperlink r:id="rId225">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4</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of Vornado Realty Trust 2010 Omnibus Share Plan Restricted LTIP Unit Agreement - Incorporated by reference to Exhibit 99.3 to Vornado Realty Trust's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Report on Form 8-K (File No. 001-11954) filed on April 5, 2012</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rPr>
            </w:pPr>
            <w:hyperlink r:id="rId226">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5</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Employment agreement between Vornado Realty Trust and Michael J. Franco dated January 10, 2014 - Incorporated by reference to Exhibit 10.52 to Vornado</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Realty Trust's Quarterly Report on Form 10-Q for the quarter ended March 31, 2014 (File No. 001-11954), filed on May 5, 2014</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rPr>
            </w:pPr>
            <w:hyperlink r:id="rId227">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6</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Form of Vornado Realty Trust 2010 Omnibus Share Plan AO LTIP Unit Award Agreement - Incorporated by reference to Exhibit 10.34 to Vornado Realty Trust's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Annual Report on Form 10-K for the year ended December 31, 2017 (File No. 001-11954), filed on February 12, 2018</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rPr>
            </w:pPr>
            <w:hyperlink r:id="rId228">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7</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9"/>
              </w:rPr>
              <w:t>Form of 2019 Amendment to Restricted LTIP Unit and Restricted Stock Agreements - Incorporated by reference to Exhibit 10.37 to Vornado Realty Trust's Annual *</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 on Form 10-K for the year ended December 31, 2018 (File No. 001-11954), filed on February 11, 2019</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rPr>
            </w:pPr>
            <w:hyperlink r:id="rId229">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8</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of Vornado Realty Trust 2010 Omnibus Share Plan Restricted LTIP Unit Agreement - Incorporated by reference to Exhibit 10.38 to Vornado Realty Trust's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Annual Report on Form 10-K for the year ended December 31, 2018 (File No. 001-11954), filed on February 11, 2019</w:t>
            </w:r>
          </w:p>
        </w:tc>
        <w:tc>
          <w:tcPr>
            <w:tcW w:w="120" w:type="dxa"/>
            <w:vAlign w:val="bottom"/>
          </w:tcPr>
          <w:p>
            <w:pPr>
              <w:spacing w:after="0"/>
              <w:rPr>
                <w:sz w:val="15"/>
                <w:szCs w:val="15"/>
                <w:color w:val="auto"/>
              </w:rPr>
            </w:pPr>
          </w:p>
        </w:tc>
      </w:tr>
      <w:tr>
        <w:trPr>
          <w:trHeight w:val="239"/>
        </w:trPr>
        <w:tc>
          <w:tcPr>
            <w:tcW w:w="460" w:type="dxa"/>
            <w:vAlign w:val="bottom"/>
          </w:tcPr>
          <w:p>
            <w:pPr>
              <w:jc w:val="center"/>
              <w:ind w:right="90"/>
              <w:spacing w:after="0"/>
              <w:rPr>
                <w:rFonts w:ascii="Times New Roman" w:cs="Times New Roman" w:eastAsia="Times New Roman" w:hAnsi="Times New Roman"/>
                <w:sz w:val="14"/>
                <w:szCs w:val="14"/>
                <w:color w:val="0E32E1"/>
              </w:rPr>
            </w:pPr>
            <w:hyperlink r:id="rId230">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9</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534"/>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Vornado Realty Trust 2019 Omnibus Share Plan - Incorporated by reference to Annex B to Vornado Realty Trust's Proxy Statement dated April 5, 2019 (File No.</w:t>
            </w:r>
          </w:p>
        </w:tc>
        <w:tc>
          <w:tcPr>
            <w:tcW w:w="120" w:type="dxa"/>
            <w:vAlign w:val="bottom"/>
          </w:tcPr>
          <w:p>
            <w:pPr>
              <w:spacing w:after="0"/>
              <w:rPr>
                <w:sz w:val="24"/>
                <w:szCs w:val="24"/>
                <w:color w:val="auto"/>
              </w:rPr>
            </w:pP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001-11954), filed on April 5, 2019</w:t>
            </w:r>
          </w:p>
        </w:tc>
        <w:tc>
          <w:tcPr>
            <w:tcW w:w="120" w:type="dxa"/>
            <w:vAlign w:val="bottom"/>
          </w:tcPr>
          <w:p>
            <w:pPr>
              <w:spacing w:after="0"/>
              <w:rPr>
                <w:sz w:val="15"/>
                <w:szCs w:val="15"/>
                <w:color w:val="auto"/>
              </w:rPr>
            </w:pPr>
          </w:p>
        </w:tc>
      </w:tr>
      <w:tr>
        <w:trPr>
          <w:trHeight w:val="23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1">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10</w:t>
            </w:r>
          </w:p>
        </w:tc>
        <w:tc>
          <w:tcPr>
            <w:tcW w:w="48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Transaction Agreement between Vornado Realty L.P. and Crown Jewel Partner LLC, dated April 18, 2019 - Incorporated by reference to Exhibit 10.42 to Vornado</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Realty Trust's Quarterly Report on Form 10-Q for the quarter ended June 30, 2019 (File No. 001-11954), filed on July 29, 2019</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2">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11</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of Vornado Realty Trust 2019 Omnibus Share Plan Restricted LTIP Unit Agreement - Incorporated by reference to Exhibit 10.33 to Vornado Realty Trust's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Quarterly Report on Form 10-K for the year ended December 31, 2019 (File No. 001-11954), filed on February 18, 2020</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3">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12</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of Vornado Realty Trust 2019 Omnibus Share Plan Incentive/Non-Qualified Stock Option Agreement - Incorporated by reference to Exhibit 10.34 to</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Vornado Realty Trust's Quarterly Report on Form 10-K for the year ended December 31, 2019 (File No. 001-11954), filed on February 18, 2020</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4">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13</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Employment agreement between Vornado Realty Trust and Glen J. Weiss dated May 25, 2018 - Incorporated by reference to Exhibit 10.35 to Vornado Realty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Trust's Quarterly Report on Form 10-Q for the quarter ended March 31, 2020 (File No. 001-11954), filed on May 4, 2020</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5">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14</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Employment agreement between Vornado Realty Trust and Haim Chera dated April 19, 2019 - Incorporated by reference to Exhibit 10.36 to Vornado Realty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Trust's Quarterly Report on Form 10-Q for the quarter ended March 31, 2020 (File No. 001-11954), filed on May 4, 2020</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6">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15</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of Vornado Realty Trust 2022 Long-term Performance Plan LTIP Unit Award Agreement - Incorporated by reference to Exhibit 10.36 to Vornado Realty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Trust's Annual Report on form 10-K for the year ended December 31, 2021 (File No. 001-11954), filed on February 14, 2022</w:t>
            </w:r>
          </w:p>
        </w:tc>
        <w:tc>
          <w:tcPr>
            <w:tcW w:w="120" w:type="dxa"/>
            <w:vAlign w:val="bottom"/>
          </w:tcPr>
          <w:p>
            <w:pPr>
              <w:spacing w:after="0"/>
              <w:rPr>
                <w:sz w:val="15"/>
                <w:szCs w:val="15"/>
                <w:color w:val="auto"/>
              </w:rPr>
            </w:pPr>
          </w:p>
        </w:tc>
      </w:tr>
      <w:tr>
        <w:trPr>
          <w:trHeight w:val="23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7">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16</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9"/>
              </w:rPr>
              <w:t>Employment agreement between Vornado Realty Trust and Barry Langer dated June 4, 2018 - Incorporated by reference to Exhibit 10.37 to Vornado Realty Trust's *</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Quarterly Report on Form 10-Q for the quarter ended March 31, 2022 (File No. 001-11954), filed on May 2, 2022</w:t>
            </w:r>
          </w:p>
        </w:tc>
        <w:tc>
          <w:tcPr>
            <w:tcW w:w="120" w:type="dxa"/>
            <w:vAlign w:val="bottom"/>
          </w:tcPr>
          <w:p>
            <w:pPr>
              <w:spacing w:after="0"/>
              <w:rPr>
                <w:sz w:val="15"/>
                <w:szCs w:val="15"/>
                <w:color w:val="auto"/>
              </w:rPr>
            </w:pPr>
          </w:p>
        </w:tc>
      </w:tr>
      <w:tr>
        <w:trPr>
          <w:trHeight w:val="19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8">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17</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Form of Vornado Realty Trust 2019 Omnibus Share Plan Restricted LTIP Unit Agreement granted in 2023 - Incorporated by reference to Exhibit 10.36 to Vornado</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Realty Trust's Annual Report on Form 10-K for the year ended December 31, 2022 (File No. 001-11954), filed on February 13, 2023</w:t>
            </w:r>
          </w:p>
        </w:tc>
        <w:tc>
          <w:tcPr>
            <w:tcW w:w="120" w:type="dxa"/>
            <w:vAlign w:val="bottom"/>
          </w:tcPr>
          <w:p>
            <w:pPr>
              <w:spacing w:after="0"/>
              <w:rPr>
                <w:sz w:val="15"/>
                <w:szCs w:val="15"/>
                <w:color w:val="auto"/>
              </w:rPr>
            </w:pPr>
          </w:p>
        </w:tc>
      </w:tr>
      <w:tr>
        <w:trPr>
          <w:trHeight w:val="237"/>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39">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18</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of Vornado Realty Trust 2023 Long-term Performance Plan LTPP Unit Award Agreement - Incorporated by reference to Exhibit 10.37 to Vornado Realty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Trust's Annual Report on Form 10-K for the year ended December 31, 2022 (File No. 001-11954), filed on February 13, 2023</w:t>
            </w:r>
          </w:p>
        </w:tc>
        <w:tc>
          <w:tcPr>
            <w:tcW w:w="120" w:type="dxa"/>
            <w:vAlign w:val="bottom"/>
          </w:tcPr>
          <w:p>
            <w:pPr>
              <w:spacing w:after="0"/>
              <w:rPr>
                <w:sz w:val="15"/>
                <w:szCs w:val="15"/>
                <w:color w:val="auto"/>
              </w:rPr>
            </w:pPr>
          </w:p>
        </w:tc>
      </w:tr>
      <w:tr>
        <w:trPr>
          <w:trHeight w:val="250"/>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40">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19</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Form of Vornado Realty Trust’s 2023 Omnibus Share Plan - Incorporated by reference to Annex A to Vornado Realty Trust’s Proxy Statement dated April 7,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(File No. 001-11954), filed on April 7, 2023</w:t>
            </w:r>
          </w:p>
        </w:tc>
        <w:tc>
          <w:tcPr>
            <w:tcW w:w="120" w:type="dxa"/>
            <w:vAlign w:val="bottom"/>
          </w:tcPr>
          <w:p>
            <w:pPr>
              <w:spacing w:after="0"/>
              <w:rPr>
                <w:sz w:val="15"/>
                <w:szCs w:val="15"/>
                <w:color w:val="auto"/>
              </w:rPr>
            </w:pPr>
          </w:p>
        </w:tc>
      </w:tr>
      <w:tr>
        <w:trPr>
          <w:trHeight w:val="250"/>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41">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20</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of Vornado Realty Trust 2023 Omnibus Share Plan Restricted LTIP Unit Agreement - Incorporated by reference to Exhibit 10.1 to Vornado Realty Trust’s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Report on Form 8-K (File No. 001-11954), filed on July 3, 2023</w:t>
            </w:r>
          </w:p>
        </w:tc>
        <w:tc>
          <w:tcPr>
            <w:tcW w:w="120" w:type="dxa"/>
            <w:vAlign w:val="bottom"/>
          </w:tcPr>
          <w:p>
            <w:pPr>
              <w:spacing w:after="0"/>
              <w:rPr>
                <w:sz w:val="15"/>
                <w:szCs w:val="15"/>
                <w:color w:val="auto"/>
              </w:rPr>
            </w:pPr>
          </w:p>
        </w:tc>
      </w:tr>
      <w:tr>
        <w:trPr>
          <w:trHeight w:val="250"/>
        </w:trPr>
        <w:tc>
          <w:tcPr>
            <w:tcW w:w="460" w:type="dxa"/>
            <w:vAlign w:val="bottom"/>
          </w:tcPr>
          <w:p>
            <w:pPr>
              <w:jc w:val="center"/>
              <w:ind w:right="90"/>
              <w:spacing w:after="0"/>
              <w:rPr>
                <w:rFonts w:ascii="Times New Roman" w:cs="Times New Roman" w:eastAsia="Times New Roman" w:hAnsi="Times New Roman"/>
                <w:sz w:val="14"/>
                <w:szCs w:val="14"/>
                <w:color w:val="0E32E1"/>
                <w:w w:val="95"/>
              </w:rPr>
            </w:pPr>
            <w:hyperlink r:id="rId242">
              <w:r>
                <w:rPr>
                  <w:rFonts w:ascii="Times New Roman" w:cs="Times New Roman" w:eastAsia="Times New Roman" w:hAnsi="Times New Roman"/>
                  <w:sz w:val="14"/>
                  <w:szCs w:val="14"/>
                  <w:color w:val="0E32E1"/>
                  <w:w w:val="95"/>
                </w:rPr>
                <w:t>10.</w:t>
              </w:r>
            </w:hyperlink>
            <w:r>
              <w:rPr>
                <w:rFonts w:ascii="Times New Roman" w:cs="Times New Roman" w:eastAsia="Times New Roman" w:hAnsi="Times New Roman"/>
                <w:sz w:val="14"/>
                <w:szCs w:val="14"/>
                <w:color w:val="0E32E1"/>
                <w:w w:val="95"/>
              </w:rPr>
              <w:t>21</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99"/>
              </w:rPr>
              <w:t>Form of Vornado Realty Trust 2023 Omnibus Share Plan Performance Conditioned AO LTIP Unit Award Agreement - Incorporated by reference to Exhibit 10.2 to *</w:t>
            </w:r>
          </w:p>
        </w:tc>
      </w:tr>
      <w:tr>
        <w:trPr>
          <w:trHeight w:val="182"/>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Vornado Realty Trust’s Current Report on Form 8-K (File No. 001-11954), filed on July 3, 2023</w:t>
            </w:r>
          </w:p>
        </w:tc>
        <w:tc>
          <w:tcPr>
            <w:tcW w:w="120" w:type="dxa"/>
            <w:vAlign w:val="bottom"/>
          </w:tcPr>
          <w:p>
            <w:pPr>
              <w:spacing w:after="0"/>
              <w:rPr>
                <w:sz w:val="15"/>
                <w:szCs w:val="15"/>
                <w:color w:val="auto"/>
              </w:rPr>
            </w:pPr>
          </w:p>
        </w:tc>
      </w:tr>
    </w:tbl>
    <w:p>
      <w:pPr>
        <w:spacing w:after="0" w:line="3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__________________________________________</w:t>
      </w:r>
    </w:p>
    <w:p>
      <w:pPr>
        <w:spacing w:after="0" w:line="35" w:lineRule="exact"/>
        <w:rPr>
          <w:sz w:val="20"/>
          <w:szCs w:val="20"/>
          <w:color w:val="auto"/>
        </w:rPr>
      </w:pPr>
    </w:p>
    <w:p>
      <w:pPr>
        <w:ind w:left="1380" w:hanging="748"/>
        <w:spacing w:after="0"/>
        <w:tabs>
          <w:tab w:leader="none" w:pos="13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w:t>
      </w:r>
    </w:p>
    <w:p>
      <w:pPr>
        <w:spacing w:after="0" w:line="35" w:lineRule="exact"/>
        <w:rPr>
          <w:sz w:val="20"/>
          <w:szCs w:val="20"/>
          <w:color w:val="auto"/>
        </w:rPr>
      </w:pPr>
    </w:p>
    <w:p>
      <w:pPr>
        <w:ind w:left="1380" w:hanging="748"/>
        <w:spacing w:after="0"/>
        <w:tabs>
          <w:tab w:leader="none" w:pos="13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74295</wp:posOffset>
            </wp:positionV>
            <wp:extent cx="716153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20"/>
          </w:cols>
          <w:pgMar w:left="640" w:top="1066" w:right="639" w:bottom="1440" w:gutter="0" w:footer="0" w:header="0"/>
        </w:sectPr>
      </w:pPr>
    </w:p>
    <w:bookmarkStart w:id="125" w:name="page126"/>
    <w:bookmarkEnd w:id="125"/>
    <w:p>
      <w:pPr>
        <w:ind w:left="1100" w:right="140" w:hanging="1542"/>
        <w:spacing w:after="0" w:line="216" w:lineRule="auto"/>
        <w:tabs>
          <w:tab w:leader="none" w:pos="1080" w:val="left"/>
        </w:tabs>
        <w:rPr>
          <w:rFonts w:ascii="Times New Roman" w:cs="Times New Roman" w:eastAsia="Times New Roman" w:hAnsi="Times New Roman"/>
          <w:sz w:val="14"/>
          <w:szCs w:val="14"/>
          <w:color w:val="0E32E1"/>
        </w:rPr>
      </w:pPr>
      <w:hyperlink r:id="rId244">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22</w:t>
        <w:tab/>
        <w:t>— Third Amended and Restated Revolving Credit Agreement dated as of May 3, 2024, among Vornado Realty L.P., as Borrower, Vornado Realty Trust as General * Partner, the Banks listed on the signature pages thereof, and JPMorgan Chase Bank N.A., as Administrative Agent for the Banks - Incorporated by reference to</w:t>
      </w:r>
    </w:p>
    <w:p>
      <w:pPr>
        <w:spacing w:after="0" w:line="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Exhibit 10.34 to Vornado Realty Trust's Quarterly Report on Form 10-Q for the quarter ended June 30, 2024 (File No. 001-11954), filed on August 5, 2024</w:t>
      </w:r>
    </w:p>
    <w:p>
      <w:pPr>
        <w:sectPr>
          <w:pgSz w:w="11900" w:h="16838" w:orient="portrait"/>
          <w:cols w:equalWidth="0" w:num="1">
            <w:col w:w="10760"/>
          </w:cols>
          <w:pgMar w:left="640" w:top="1086" w:right="499" w:bottom="1440" w:gutter="0" w:footer="0" w:header="0"/>
        </w:sectPr>
      </w:pPr>
    </w:p>
    <w:p>
      <w:pPr>
        <w:spacing w:after="0" w:line="124" w:lineRule="exact"/>
        <w:rPr>
          <w:sz w:val="20"/>
          <w:szCs w:val="20"/>
          <w:color w:val="auto"/>
        </w:rPr>
      </w:pPr>
    </w:p>
    <w:p>
      <w:pPr>
        <w:jc w:val="center"/>
        <w:ind w:right="340"/>
        <w:spacing w:after="0" w:line="233" w:lineRule="auto"/>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color w:val="0E32E1"/>
        </w:rPr>
        <w:t>.23</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  Third Amended and Restated Term Loan Agreement dated as of January 7, 2026, among Vornado Realty L.P., as Borrower, Vornado Realty Trust as General</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Partner, the Banks listed on the signature pages thereof, and JPMorgan Chase Bank N.A., as Administrative Agent for the Banks</w:t>
      </w:r>
    </w:p>
    <w:p>
      <w:pPr>
        <w:spacing w:after="0" w:line="120" w:lineRule="exact"/>
        <w:rPr>
          <w:sz w:val="20"/>
          <w:szCs w:val="20"/>
          <w:color w:val="auto"/>
        </w:rPr>
      </w:pPr>
    </w:p>
    <w:p>
      <w:pPr>
        <w:ind w:left="1100" w:right="140" w:hanging="1542"/>
        <w:spacing w:after="0" w:line="233" w:lineRule="auto"/>
        <w:tabs>
          <w:tab w:leader="none" w:pos="1080" w:val="left"/>
        </w:tabs>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color w:val="0E32E1"/>
        </w:rPr>
        <w:t>.24</w:t>
      </w:r>
      <w:r>
        <w:rPr>
          <w:sz w:val="20"/>
          <w:szCs w:val="20"/>
          <w:color w:val="auto"/>
        </w:rPr>
        <w:tab/>
      </w:r>
      <w:r>
        <w:rPr>
          <w:rFonts w:ascii="Times New Roman" w:cs="Times New Roman" w:eastAsia="Times New Roman" w:hAnsi="Times New Roman"/>
          <w:sz w:val="14"/>
          <w:szCs w:val="14"/>
          <w:color w:val="auto"/>
        </w:rPr>
        <w:t>— Amendment No. 1 to Third Amended and Restated Revolving Credit Agreement dated as of January 7, 2026, among Vornado Realty L.P., as Borrower, Vornado Realty Trust as General Partner, the Banks listed on the signature pages thereof, and JPMorgan Chase Bank N.A., as Administrative Agent for the Banks</w:t>
      </w:r>
    </w:p>
    <w:p>
      <w:pPr>
        <w:spacing w:after="0" w:line="120" w:lineRule="exact"/>
        <w:rPr>
          <w:sz w:val="20"/>
          <w:szCs w:val="20"/>
          <w:color w:val="auto"/>
        </w:rPr>
      </w:pPr>
    </w:p>
    <w:p>
      <w:pPr>
        <w:ind w:left="1100" w:right="420" w:hanging="1542"/>
        <w:spacing w:after="0" w:line="233" w:lineRule="auto"/>
        <w:tabs>
          <w:tab w:leader="none" w:pos="1080" w:val="left"/>
        </w:tabs>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color w:val="0E32E1"/>
        </w:rPr>
        <w:t>.25</w:t>
      </w:r>
      <w:r>
        <w:rPr>
          <w:sz w:val="20"/>
          <w:szCs w:val="20"/>
          <w:color w:val="auto"/>
        </w:rPr>
        <w:tab/>
      </w:r>
      <w:r>
        <w:rPr>
          <w:rFonts w:ascii="Times New Roman" w:cs="Times New Roman" w:eastAsia="Times New Roman" w:hAnsi="Times New Roman"/>
          <w:sz w:val="14"/>
          <w:szCs w:val="14"/>
          <w:color w:val="auto"/>
        </w:rPr>
        <w:t>— Fourth Amended and Restated Revolving Credit Agreement dated as of January 7, 2026, among Vornado Realty L.P., as Borrower, Vornado Realty Trust as General Partner, the Banks listed on the signature pages thereof, and JPMorgan Chase Bank N.A., as Administrative Agent for the Banks</w:t>
      </w:r>
    </w:p>
    <w:p>
      <w:pPr>
        <w:spacing w:after="0" w:line="120" w:lineRule="exact"/>
        <w:rPr>
          <w:sz w:val="20"/>
          <w:szCs w:val="20"/>
          <w:color w:val="auto"/>
        </w:rPr>
      </w:pPr>
    </w:p>
    <w:p>
      <w:pPr>
        <w:ind w:left="1100" w:hanging="1542"/>
        <w:spacing w:after="0" w:line="233" w:lineRule="auto"/>
        <w:tabs>
          <w:tab w:leader="none" w:pos="1080" w:val="left"/>
        </w:tabs>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color w:val="0E32E1"/>
        </w:rPr>
        <w:t>.26</w:t>
      </w:r>
      <w:r>
        <w:rPr>
          <w:sz w:val="20"/>
          <w:szCs w:val="20"/>
          <w:color w:val="auto"/>
        </w:rPr>
        <w:tab/>
      </w:r>
      <w:r>
        <w:rPr>
          <w:rFonts w:ascii="Times New Roman" w:cs="Times New Roman" w:eastAsia="Times New Roman" w:hAnsi="Times New Roman"/>
          <w:sz w:val="14"/>
          <w:szCs w:val="14"/>
          <w:color w:val="auto"/>
        </w:rPr>
        <w:t>— Amendment No. 1 to Fourth Amended and Restated Revolving Credit Agreement dated as of February 4, 2026, among Vornado Realty L.P., as Borrower, Vornado Realty Trust as General Partner, the Banks listed on the signature pages thereof, and JPMorgan Chase Bank N.A., as Administrative Agent for the Banks</w:t>
      </w:r>
    </w:p>
    <w:p>
      <w:pPr>
        <w:spacing w:after="0" w:line="120" w:lineRule="exact"/>
        <w:rPr>
          <w:sz w:val="20"/>
          <w:szCs w:val="20"/>
          <w:color w:val="auto"/>
        </w:rPr>
      </w:pPr>
    </w:p>
    <w:p>
      <w:pPr>
        <w:ind w:left="1100" w:right="320" w:hanging="1542"/>
        <w:spacing w:after="0" w:line="216" w:lineRule="auto"/>
        <w:tabs>
          <w:tab w:leader="none" w:pos="1080" w:val="left"/>
        </w:tabs>
        <w:rPr>
          <w:sz w:val="20"/>
          <w:szCs w:val="20"/>
          <w:color w:val="auto"/>
        </w:rPr>
      </w:pPr>
      <w:r>
        <w:rPr>
          <w:rFonts w:ascii="Times New Roman" w:cs="Times New Roman" w:eastAsia="Times New Roman" w:hAnsi="Times New Roman"/>
          <w:sz w:val="14"/>
          <w:szCs w:val="14"/>
          <w:color w:val="0E32E1"/>
        </w:rPr>
        <w:t>10.27</w:t>
      </w:r>
      <w:r>
        <w:rPr>
          <w:sz w:val="20"/>
          <w:szCs w:val="20"/>
          <w:color w:val="auto"/>
        </w:rPr>
        <w:tab/>
      </w:r>
      <w:r>
        <w:rPr>
          <w:rFonts w:ascii="Times New Roman" w:cs="Times New Roman" w:eastAsia="Times New Roman" w:hAnsi="Times New Roman"/>
          <w:sz w:val="14"/>
          <w:szCs w:val="14"/>
          <w:color w:val="auto"/>
        </w:rPr>
        <w:t>— Real Estate Retention Agreement dated as of July 20, 1992, between Vornado Realty Trust and Keen Realty Consultants, Inc., each as special real estate consultants, and Alexander’s Inc. Incorporated herein by reference to Exhibit 10(i)(O) to Alexander Inc.’s Annual Report on Form 10-K for the fiscal year</w:t>
      </w:r>
    </w:p>
    <w:p>
      <w:pPr>
        <w:spacing w:after="0" w:line="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ended July 25, 1992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82" w:lineRule="exact"/>
        <w:rPr>
          <w:sz w:val="20"/>
          <w:szCs w:val="20"/>
          <w:color w:val="auto"/>
        </w:rPr>
      </w:pPr>
    </w:p>
    <w:p>
      <w:pPr>
        <w:sectPr>
          <w:pgSz w:w="11900" w:h="16838" w:orient="portrait"/>
          <w:cols w:equalWidth="0" w:num="2">
            <w:col w:w="10480" w:space="60"/>
            <w:col w:w="220"/>
          </w:cols>
          <w:pgMar w:left="640" w:top="1086" w:right="49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700" w:type="dxa"/>
            <w:vAlign w:val="bottom"/>
          </w:tcPr>
          <w:p>
            <w:pPr>
              <w:jc w:val="right"/>
              <w:ind w:right="330"/>
              <w:spacing w:after="0"/>
              <w:rPr>
                <w:rFonts w:ascii="Times New Roman" w:cs="Times New Roman" w:eastAsia="Times New Roman" w:hAnsi="Times New Roman"/>
                <w:sz w:val="14"/>
                <w:szCs w:val="14"/>
                <w:color w:val="0E32E1"/>
                <w:w w:val="88"/>
              </w:rPr>
            </w:pPr>
            <w:hyperlink r:id="rId245">
              <w:r>
                <w:rPr>
                  <w:rFonts w:ascii="Times New Roman" w:cs="Times New Roman" w:eastAsia="Times New Roman" w:hAnsi="Times New Roman"/>
                  <w:sz w:val="14"/>
                  <w:szCs w:val="14"/>
                  <w:color w:val="0E32E1"/>
                  <w:w w:val="88"/>
                </w:rPr>
                <w:t>10.</w:t>
              </w:r>
            </w:hyperlink>
            <w:r>
              <w:rPr>
                <w:rFonts w:ascii="Times New Roman" w:cs="Times New Roman" w:eastAsia="Times New Roman" w:hAnsi="Times New Roman"/>
                <w:sz w:val="14"/>
                <w:szCs w:val="14"/>
                <w:color w:val="0E32E1"/>
                <w:w w:val="88"/>
              </w:rPr>
              <w:t>28</w:t>
            </w:r>
          </w:p>
        </w:tc>
        <w:tc>
          <w:tcPr>
            <w:tcW w:w="9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Extension Agreement to the Real Estate Retention Agreement, dated as of February 6, 1995, between Alexander’s Inc. and Vornado Realty Trust. Incorporated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herein by reference to Exhibit 10(i)(G)(2) to Alexander’s Inc. Annual Report on Form 10-K for the year ended December 31, 1994</w:t>
            </w:r>
          </w:p>
        </w:tc>
        <w:tc>
          <w:tcPr>
            <w:tcW w:w="100" w:type="dxa"/>
            <w:vAlign w:val="bottom"/>
          </w:tcPr>
          <w:p>
            <w:pPr>
              <w:spacing w:after="0"/>
              <w:rPr>
                <w:sz w:val="15"/>
                <w:szCs w:val="15"/>
                <w:color w:val="auto"/>
              </w:rPr>
            </w:pPr>
          </w:p>
        </w:tc>
      </w:tr>
      <w:tr>
        <w:trPr>
          <w:trHeight w:val="237"/>
        </w:trPr>
        <w:tc>
          <w:tcPr>
            <w:tcW w:w="700" w:type="dxa"/>
            <w:vAlign w:val="bottom"/>
          </w:tcPr>
          <w:p>
            <w:pPr>
              <w:jc w:val="right"/>
              <w:ind w:right="330"/>
              <w:spacing w:after="0"/>
              <w:rPr>
                <w:rFonts w:ascii="Times New Roman" w:cs="Times New Roman" w:eastAsia="Times New Roman" w:hAnsi="Times New Roman"/>
                <w:sz w:val="14"/>
                <w:szCs w:val="14"/>
                <w:color w:val="0E32E1"/>
                <w:w w:val="88"/>
              </w:rPr>
            </w:pPr>
            <w:hyperlink r:id="rId246">
              <w:r>
                <w:rPr>
                  <w:rFonts w:ascii="Times New Roman" w:cs="Times New Roman" w:eastAsia="Times New Roman" w:hAnsi="Times New Roman"/>
                  <w:sz w:val="14"/>
                  <w:szCs w:val="14"/>
                  <w:color w:val="0E32E1"/>
                  <w:w w:val="88"/>
                </w:rPr>
                <w:t>10.</w:t>
              </w:r>
            </w:hyperlink>
            <w:r>
              <w:rPr>
                <w:rFonts w:ascii="Times New Roman" w:cs="Times New Roman" w:eastAsia="Times New Roman" w:hAnsi="Times New Roman"/>
                <w:sz w:val="14"/>
                <w:szCs w:val="14"/>
                <w:color w:val="0E32E1"/>
                <w:w w:val="88"/>
              </w:rPr>
              <w:t>29</w:t>
            </w:r>
          </w:p>
        </w:tc>
        <w:tc>
          <w:tcPr>
            <w:tcW w:w="9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First Amendment to Real Estate Retention Agreement, dated as of July 3, 2002, by and between Alexander’s, Inc. and Vornado Realty, L.P. Incorporated herein by</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reference to Exhibit 10(i)(E)(3) to Alexander Inc.’s Quarterly Report on Form 10-Q for the quarter ended June 30, 2002, filed on August 7, 2002</w:t>
            </w:r>
          </w:p>
        </w:tc>
        <w:tc>
          <w:tcPr>
            <w:tcW w:w="100" w:type="dxa"/>
            <w:vAlign w:val="bottom"/>
          </w:tcPr>
          <w:p>
            <w:pPr>
              <w:spacing w:after="0"/>
              <w:rPr>
                <w:sz w:val="15"/>
                <w:szCs w:val="15"/>
                <w:color w:val="auto"/>
              </w:rPr>
            </w:pPr>
          </w:p>
        </w:tc>
      </w:tr>
      <w:tr>
        <w:trPr>
          <w:trHeight w:val="237"/>
        </w:trPr>
        <w:tc>
          <w:tcPr>
            <w:tcW w:w="700" w:type="dxa"/>
            <w:vAlign w:val="bottom"/>
          </w:tcPr>
          <w:p>
            <w:pPr>
              <w:jc w:val="right"/>
              <w:ind w:right="330"/>
              <w:spacing w:after="0"/>
              <w:rPr>
                <w:rFonts w:ascii="Times New Roman" w:cs="Times New Roman" w:eastAsia="Times New Roman" w:hAnsi="Times New Roman"/>
                <w:sz w:val="14"/>
                <w:szCs w:val="14"/>
                <w:color w:val="0E32E1"/>
                <w:w w:val="88"/>
              </w:rPr>
            </w:pPr>
            <w:hyperlink r:id="rId247">
              <w:r>
                <w:rPr>
                  <w:rFonts w:ascii="Times New Roman" w:cs="Times New Roman" w:eastAsia="Times New Roman" w:hAnsi="Times New Roman"/>
                  <w:sz w:val="14"/>
                  <w:szCs w:val="14"/>
                  <w:color w:val="0E32E1"/>
                  <w:w w:val="88"/>
                </w:rPr>
                <w:t>10.</w:t>
              </w:r>
            </w:hyperlink>
            <w:r>
              <w:rPr>
                <w:rFonts w:ascii="Times New Roman" w:cs="Times New Roman" w:eastAsia="Times New Roman" w:hAnsi="Times New Roman"/>
                <w:sz w:val="14"/>
                <w:szCs w:val="14"/>
                <w:color w:val="0E32E1"/>
                <w:w w:val="88"/>
              </w:rPr>
              <w:t>30</w:t>
            </w:r>
          </w:p>
        </w:tc>
        <w:tc>
          <w:tcPr>
            <w:tcW w:w="9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Amended and Restated Management and Development Agreement, dated as of July 3, 2002, by and between Alexander’s, Inc., the subsidiaries party thereto and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Vornado Management Corp. Incorporated herein by reference to Exhibit 10(i)(F)(1) to Alexander Inc.’s Quarterly Report on Form 10-Q for the quarter ended</w:t>
            </w:r>
          </w:p>
        </w:tc>
        <w:tc>
          <w:tcPr>
            <w:tcW w:w="100" w:type="dxa"/>
            <w:vAlign w:val="bottom"/>
          </w:tcPr>
          <w:p>
            <w:pPr>
              <w:spacing w:after="0"/>
              <w:rPr>
                <w:sz w:val="11"/>
                <w:szCs w:val="11"/>
                <w:color w:val="auto"/>
              </w:rPr>
            </w:pPr>
          </w:p>
        </w:tc>
      </w:tr>
      <w:tr>
        <w:trPr>
          <w:trHeight w:val="182"/>
        </w:trPr>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June 30, 2002, filed on August 7, 2002</w:t>
            </w:r>
          </w:p>
        </w:tc>
        <w:tc>
          <w:tcPr>
            <w:tcW w:w="100" w:type="dxa"/>
            <w:vAlign w:val="bottom"/>
          </w:tcPr>
          <w:p>
            <w:pPr>
              <w:spacing w:after="0"/>
              <w:rPr>
                <w:sz w:val="15"/>
                <w:szCs w:val="15"/>
                <w:color w:val="auto"/>
              </w:rPr>
            </w:pPr>
          </w:p>
        </w:tc>
      </w:tr>
      <w:tr>
        <w:trPr>
          <w:trHeight w:val="246"/>
        </w:trPr>
        <w:tc>
          <w:tcPr>
            <w:tcW w:w="700" w:type="dxa"/>
            <w:vAlign w:val="bottom"/>
          </w:tcPr>
          <w:p>
            <w:pPr>
              <w:jc w:val="right"/>
              <w:ind w:right="330"/>
              <w:spacing w:after="0"/>
              <w:rPr>
                <w:rFonts w:ascii="Times New Roman" w:cs="Times New Roman" w:eastAsia="Times New Roman" w:hAnsi="Times New Roman"/>
                <w:sz w:val="14"/>
                <w:szCs w:val="14"/>
                <w:color w:val="0E32E1"/>
                <w:w w:val="88"/>
              </w:rPr>
            </w:pPr>
            <w:hyperlink r:id="rId248">
              <w:r>
                <w:rPr>
                  <w:rFonts w:ascii="Times New Roman" w:cs="Times New Roman" w:eastAsia="Times New Roman" w:hAnsi="Times New Roman"/>
                  <w:sz w:val="14"/>
                  <w:szCs w:val="14"/>
                  <w:color w:val="0E32E1"/>
                  <w:w w:val="88"/>
                </w:rPr>
                <w:t>10.</w:t>
              </w:r>
            </w:hyperlink>
            <w:r>
              <w:rPr>
                <w:rFonts w:ascii="Times New Roman" w:cs="Times New Roman" w:eastAsia="Times New Roman" w:hAnsi="Times New Roman"/>
                <w:sz w:val="14"/>
                <w:szCs w:val="14"/>
                <w:color w:val="0E32E1"/>
                <w:w w:val="88"/>
              </w:rPr>
              <w:t>31</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Second Amendment to Real Estate Retention Agreement, dated as of January 1, 2007, by and between Alexander’s, Inc. and Vornado Realty L.P. Incorporated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herein by reference to Exhibit 10.64 to Alexander Inc.’s Annual Report on Form 10-K for the year ended December 31, 2006, filed on February 26, 2007</w:t>
            </w:r>
          </w:p>
        </w:tc>
        <w:tc>
          <w:tcPr>
            <w:tcW w:w="100" w:type="dxa"/>
            <w:vAlign w:val="bottom"/>
          </w:tcPr>
          <w:p>
            <w:pPr>
              <w:spacing w:after="0"/>
              <w:rPr>
                <w:sz w:val="15"/>
                <w:szCs w:val="15"/>
                <w:color w:val="auto"/>
              </w:rPr>
            </w:pPr>
          </w:p>
        </w:tc>
      </w:tr>
      <w:tr>
        <w:trPr>
          <w:trHeight w:val="250"/>
        </w:trPr>
        <w:tc>
          <w:tcPr>
            <w:tcW w:w="700" w:type="dxa"/>
            <w:vAlign w:val="bottom"/>
          </w:tcPr>
          <w:p>
            <w:pPr>
              <w:jc w:val="right"/>
              <w:ind w:right="330"/>
              <w:spacing w:after="0"/>
              <w:rPr>
                <w:rFonts w:ascii="Times New Roman" w:cs="Times New Roman" w:eastAsia="Times New Roman" w:hAnsi="Times New Roman"/>
                <w:sz w:val="14"/>
                <w:szCs w:val="14"/>
                <w:color w:val="0000FF"/>
                <w:w w:val="88"/>
              </w:rPr>
            </w:pPr>
            <w:hyperlink r:id="rId249">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color w:val="0E32E1"/>
                <w:w w:val="88"/>
              </w:rPr>
              <w:t>.32</w:t>
            </w:r>
          </w:p>
        </w:tc>
        <w:tc>
          <w:tcPr>
            <w:tcW w:w="9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First Amendment to Amended and Restated Management and Development Agreement, dated as of July 6, 2005, by and between Alexander’s, Inc., the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subsidiaries party thereto and Vornado Management Corp. Incorporated herein by reference to Exhibit 10.52 to Alexander Inc.’s Annual Report on Form 10-K,</w:t>
            </w:r>
          </w:p>
        </w:tc>
        <w:tc>
          <w:tcPr>
            <w:tcW w:w="100" w:type="dxa"/>
            <w:vAlign w:val="bottom"/>
          </w:tcPr>
          <w:p>
            <w:pPr>
              <w:spacing w:after="0"/>
              <w:rPr>
                <w:sz w:val="11"/>
                <w:szCs w:val="11"/>
                <w:color w:val="auto"/>
              </w:rPr>
            </w:pPr>
          </w:p>
        </w:tc>
      </w:tr>
      <w:tr>
        <w:trPr>
          <w:trHeight w:val="182"/>
        </w:trPr>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 the year ended December 31, 2007, filed on February 25, 2008</w:t>
            </w:r>
          </w:p>
        </w:tc>
        <w:tc>
          <w:tcPr>
            <w:tcW w:w="100" w:type="dxa"/>
            <w:vAlign w:val="bottom"/>
          </w:tcPr>
          <w:p>
            <w:pPr>
              <w:spacing w:after="0"/>
              <w:rPr>
                <w:sz w:val="15"/>
                <w:szCs w:val="15"/>
                <w:color w:val="auto"/>
              </w:rPr>
            </w:pPr>
          </w:p>
        </w:tc>
      </w:tr>
      <w:tr>
        <w:trPr>
          <w:trHeight w:val="259"/>
        </w:trPr>
        <w:tc>
          <w:tcPr>
            <w:tcW w:w="700" w:type="dxa"/>
            <w:vAlign w:val="bottom"/>
          </w:tcPr>
          <w:p>
            <w:pPr>
              <w:jc w:val="right"/>
              <w:ind w:right="330"/>
              <w:spacing w:after="0"/>
              <w:rPr>
                <w:rFonts w:ascii="Times New Roman" w:cs="Times New Roman" w:eastAsia="Times New Roman" w:hAnsi="Times New Roman"/>
                <w:sz w:val="14"/>
                <w:szCs w:val="14"/>
                <w:color w:val="0000FF"/>
                <w:w w:val="88"/>
              </w:rPr>
            </w:pPr>
            <w:hyperlink r:id="rId250">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color w:val="0E32E1"/>
                <w:w w:val="88"/>
              </w:rPr>
              <w:t>.33</w:t>
            </w:r>
          </w:p>
        </w:tc>
        <w:tc>
          <w:tcPr>
            <w:tcW w:w="9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Second Amendment to Amended and Restated Management and Development Agreement, dated as of December 20, 2007, by and between Alexander’s, Inc., the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subsidiaries party thereto and Vornado Management Corp. Incorporated herein by reference to Exhibit 10.53 to Alexander Inc.’s Annual Report on Form 10-K,</w:t>
            </w:r>
          </w:p>
        </w:tc>
        <w:tc>
          <w:tcPr>
            <w:tcW w:w="100" w:type="dxa"/>
            <w:vAlign w:val="bottom"/>
          </w:tcPr>
          <w:p>
            <w:pPr>
              <w:spacing w:after="0"/>
              <w:rPr>
                <w:sz w:val="11"/>
                <w:szCs w:val="11"/>
                <w:color w:val="auto"/>
              </w:rPr>
            </w:pPr>
          </w:p>
        </w:tc>
      </w:tr>
      <w:tr>
        <w:trPr>
          <w:trHeight w:val="182"/>
        </w:trPr>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 the year ended December 31, 2007, filed on February 25, 2008</w:t>
            </w:r>
          </w:p>
        </w:tc>
        <w:tc>
          <w:tcPr>
            <w:tcW w:w="100" w:type="dxa"/>
            <w:vAlign w:val="bottom"/>
          </w:tcPr>
          <w:p>
            <w:pPr>
              <w:spacing w:after="0"/>
              <w:rPr>
                <w:sz w:val="15"/>
                <w:szCs w:val="15"/>
                <w:color w:val="auto"/>
              </w:rPr>
            </w:pPr>
          </w:p>
        </w:tc>
      </w:tr>
      <w:tr>
        <w:trPr>
          <w:trHeight w:val="246"/>
        </w:trPr>
        <w:tc>
          <w:tcPr>
            <w:tcW w:w="700" w:type="dxa"/>
            <w:vAlign w:val="bottom"/>
          </w:tcPr>
          <w:p>
            <w:pPr>
              <w:jc w:val="right"/>
              <w:ind w:right="330"/>
              <w:spacing w:after="0"/>
              <w:rPr>
                <w:rFonts w:ascii="Times New Roman" w:cs="Times New Roman" w:eastAsia="Times New Roman" w:hAnsi="Times New Roman"/>
                <w:sz w:val="14"/>
                <w:szCs w:val="14"/>
                <w:color w:val="0000FF"/>
                <w:w w:val="88"/>
              </w:rPr>
            </w:pPr>
            <w:hyperlink r:id="rId251">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color w:val="0E32E1"/>
                <w:w w:val="88"/>
              </w:rPr>
              <w:t>.34</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Third Amendment to Real Estate Retention Agreement, dated as of December 20, 2007, by and between Alexander’s, Inc., and Vornado Realty L.P. Incorporated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herein by reference to Exhibit 10.55 to Alexander Inc.’s Annual Report on Form 10-K, for the year ended December 31, 2007, filed on February 25, 2008</w:t>
            </w:r>
          </w:p>
        </w:tc>
        <w:tc>
          <w:tcPr>
            <w:tcW w:w="100" w:type="dxa"/>
            <w:vAlign w:val="bottom"/>
          </w:tcPr>
          <w:p>
            <w:pPr>
              <w:spacing w:after="0"/>
              <w:rPr>
                <w:sz w:val="15"/>
                <w:szCs w:val="15"/>
                <w:color w:val="auto"/>
              </w:rPr>
            </w:pPr>
          </w:p>
        </w:tc>
      </w:tr>
      <w:tr>
        <w:trPr>
          <w:trHeight w:val="250"/>
        </w:trPr>
        <w:tc>
          <w:tcPr>
            <w:tcW w:w="700" w:type="dxa"/>
            <w:vAlign w:val="bottom"/>
          </w:tcPr>
          <w:p>
            <w:pPr>
              <w:jc w:val="right"/>
              <w:ind w:right="330"/>
              <w:spacing w:after="0"/>
              <w:rPr>
                <w:rFonts w:ascii="Times New Roman" w:cs="Times New Roman" w:eastAsia="Times New Roman" w:hAnsi="Times New Roman"/>
                <w:sz w:val="14"/>
                <w:szCs w:val="14"/>
                <w:color w:val="0000FF"/>
                <w:w w:val="88"/>
              </w:rPr>
            </w:pPr>
            <w:hyperlink r:id="rId252">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color w:val="0E32E1"/>
                <w:w w:val="88"/>
              </w:rPr>
              <w:t>.35</w:t>
            </w:r>
          </w:p>
        </w:tc>
        <w:tc>
          <w:tcPr>
            <w:tcW w:w="9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Third Amendment to Amended and Restated Management and Development Agreement, dated as of November 30, 2011, by and between Alexander’s, Inc., the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subsidiaries party thereto and Vornado Management Corp. Incorporated herein by reference to Exhibit 10.49 to Alexander Inc.’s Annual Report on Form 10-K</w:t>
            </w:r>
          </w:p>
        </w:tc>
        <w:tc>
          <w:tcPr>
            <w:tcW w:w="100" w:type="dxa"/>
            <w:vAlign w:val="bottom"/>
          </w:tcPr>
          <w:p>
            <w:pPr>
              <w:spacing w:after="0"/>
              <w:rPr>
                <w:sz w:val="11"/>
                <w:szCs w:val="11"/>
                <w:color w:val="auto"/>
              </w:rPr>
            </w:pPr>
          </w:p>
        </w:tc>
      </w:tr>
      <w:tr>
        <w:trPr>
          <w:trHeight w:val="182"/>
        </w:trPr>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 the year ended December 31, 2011, filed on February 27, 2012</w:t>
            </w:r>
          </w:p>
        </w:tc>
        <w:tc>
          <w:tcPr>
            <w:tcW w:w="100" w:type="dxa"/>
            <w:vAlign w:val="bottom"/>
          </w:tcPr>
          <w:p>
            <w:pPr>
              <w:spacing w:after="0"/>
              <w:rPr>
                <w:sz w:val="15"/>
                <w:szCs w:val="15"/>
                <w:color w:val="auto"/>
              </w:rPr>
            </w:pPr>
          </w:p>
        </w:tc>
      </w:tr>
      <w:tr>
        <w:trPr>
          <w:trHeight w:val="259"/>
        </w:trPr>
        <w:tc>
          <w:tcPr>
            <w:tcW w:w="700" w:type="dxa"/>
            <w:vAlign w:val="bottom"/>
          </w:tcPr>
          <w:p>
            <w:pPr>
              <w:jc w:val="right"/>
              <w:ind w:right="330"/>
              <w:spacing w:after="0"/>
              <w:rPr>
                <w:rFonts w:ascii="Times New Roman" w:cs="Times New Roman" w:eastAsia="Times New Roman" w:hAnsi="Times New Roman"/>
                <w:sz w:val="14"/>
                <w:szCs w:val="14"/>
                <w:color w:val="0000FF"/>
                <w:w w:val="88"/>
              </w:rPr>
            </w:pPr>
            <w:hyperlink r:id="rId253">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color w:val="0E32E1"/>
                <w:w w:val="88"/>
              </w:rPr>
              <w:t>.36</w:t>
            </w:r>
          </w:p>
        </w:tc>
        <w:tc>
          <w:tcPr>
            <w:tcW w:w="9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Fourth Amendment to Amended and Restated Management and Development Agreement, dated as of August 1, 2012, by and between Alexander’s, Inc., the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subsidiaries party thereto and Vornado Management Corp. Incorporated herein by reference to Exhibit 10.2 to Alexander Inc.’s Quarterly Report on Form 10-Q</w:t>
            </w:r>
          </w:p>
        </w:tc>
        <w:tc>
          <w:tcPr>
            <w:tcW w:w="100" w:type="dxa"/>
            <w:vAlign w:val="bottom"/>
          </w:tcPr>
          <w:p>
            <w:pPr>
              <w:spacing w:after="0"/>
              <w:rPr>
                <w:sz w:val="11"/>
                <w:szCs w:val="11"/>
                <w:color w:val="auto"/>
              </w:rPr>
            </w:pPr>
          </w:p>
        </w:tc>
      </w:tr>
      <w:tr>
        <w:trPr>
          <w:trHeight w:val="182"/>
        </w:trPr>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 the quarter ended September 30, 2012, filed on November 1, 2012</w:t>
            </w:r>
          </w:p>
        </w:tc>
        <w:tc>
          <w:tcPr>
            <w:tcW w:w="100" w:type="dxa"/>
            <w:vAlign w:val="bottom"/>
          </w:tcPr>
          <w:p>
            <w:pPr>
              <w:spacing w:after="0"/>
              <w:rPr>
                <w:sz w:val="15"/>
                <w:szCs w:val="15"/>
                <w:color w:val="auto"/>
              </w:rPr>
            </w:pPr>
          </w:p>
        </w:tc>
      </w:tr>
      <w:tr>
        <w:trPr>
          <w:trHeight w:val="259"/>
        </w:trPr>
        <w:tc>
          <w:tcPr>
            <w:tcW w:w="700" w:type="dxa"/>
            <w:vAlign w:val="bottom"/>
          </w:tcPr>
          <w:p>
            <w:pPr>
              <w:jc w:val="right"/>
              <w:ind w:right="330"/>
              <w:spacing w:after="0"/>
              <w:rPr>
                <w:rFonts w:ascii="Times New Roman" w:cs="Times New Roman" w:eastAsia="Times New Roman" w:hAnsi="Times New Roman"/>
                <w:sz w:val="14"/>
                <w:szCs w:val="14"/>
                <w:color w:val="0000FF"/>
                <w:w w:val="88"/>
              </w:rPr>
            </w:pPr>
            <w:hyperlink r:id="rId254">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color w:val="0E32E1"/>
                <w:w w:val="88"/>
              </w:rPr>
              <w:t>.37</w:t>
            </w:r>
          </w:p>
        </w:tc>
        <w:tc>
          <w:tcPr>
            <w:tcW w:w="9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Fifth Amendment to Amended and Restated Management and Development Agreement, dated as of December 1, 2012, by and between Alexander’s, Inc., the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w w:val="99"/>
              </w:rPr>
              <w:t>subsidiaries party thereto and Vornado Management Corp. Incorporated herein by reference to Exhibit 10.54 to Alexander’s Inc.’s Annual Report on Form 10-K</w:t>
            </w:r>
          </w:p>
        </w:tc>
        <w:tc>
          <w:tcPr>
            <w:tcW w:w="100" w:type="dxa"/>
            <w:vAlign w:val="bottom"/>
          </w:tcPr>
          <w:p>
            <w:pPr>
              <w:spacing w:after="0"/>
              <w:rPr>
                <w:sz w:val="11"/>
                <w:szCs w:val="11"/>
                <w:color w:val="auto"/>
              </w:rPr>
            </w:pPr>
          </w:p>
        </w:tc>
      </w:tr>
      <w:tr>
        <w:trPr>
          <w:trHeight w:val="182"/>
        </w:trPr>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 the year ended December 31, 2012, filed on February 26, 2013</w:t>
            </w:r>
          </w:p>
        </w:tc>
        <w:tc>
          <w:tcPr>
            <w:tcW w:w="100" w:type="dxa"/>
            <w:vAlign w:val="bottom"/>
          </w:tcPr>
          <w:p>
            <w:pPr>
              <w:spacing w:after="0"/>
              <w:rPr>
                <w:sz w:val="15"/>
                <w:szCs w:val="15"/>
                <w:color w:val="auto"/>
              </w:rPr>
            </w:pPr>
          </w:p>
        </w:tc>
      </w:tr>
      <w:tr>
        <w:trPr>
          <w:trHeight w:val="259"/>
        </w:trPr>
        <w:tc>
          <w:tcPr>
            <w:tcW w:w="700" w:type="dxa"/>
            <w:vAlign w:val="bottom"/>
          </w:tcPr>
          <w:p>
            <w:pPr>
              <w:jc w:val="right"/>
              <w:ind w:right="330"/>
              <w:spacing w:after="0"/>
              <w:rPr>
                <w:rFonts w:ascii="Times New Roman" w:cs="Times New Roman" w:eastAsia="Times New Roman" w:hAnsi="Times New Roman"/>
                <w:sz w:val="14"/>
                <w:szCs w:val="14"/>
                <w:color w:val="0000FF"/>
                <w:w w:val="88"/>
              </w:rPr>
            </w:pPr>
            <w:hyperlink r:id="rId255">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color w:val="0E32E1"/>
                <w:w w:val="88"/>
              </w:rPr>
              <w:t>.38</w:t>
            </w:r>
          </w:p>
        </w:tc>
        <w:tc>
          <w:tcPr>
            <w:tcW w:w="9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Real Estate Sub-Retention Agreement dated as of February 28, 2014, by and between Alexander’s Management LLC, as Agent, and Vornado Realty L.P., as Sub-</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w w:val="99"/>
              </w:rPr>
              <w:t>Agent. Incorporated herein by reference to Exhibit 10.8 to Alexander Inc.’s Quarterly Report on Form 10-Q for the quarter ended March 31, 2014, filed on May</w:t>
            </w:r>
          </w:p>
        </w:tc>
        <w:tc>
          <w:tcPr>
            <w:tcW w:w="100" w:type="dxa"/>
            <w:vAlign w:val="bottom"/>
          </w:tcPr>
          <w:p>
            <w:pPr>
              <w:spacing w:after="0"/>
              <w:rPr>
                <w:sz w:val="11"/>
                <w:szCs w:val="11"/>
                <w:color w:val="auto"/>
              </w:rPr>
            </w:pPr>
          </w:p>
        </w:tc>
      </w:tr>
      <w:tr>
        <w:trPr>
          <w:trHeight w:val="182"/>
        </w:trPr>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5, 2014</w:t>
            </w:r>
          </w:p>
        </w:tc>
        <w:tc>
          <w:tcPr>
            <w:tcW w:w="100" w:type="dxa"/>
            <w:vAlign w:val="bottom"/>
          </w:tcPr>
          <w:p>
            <w:pPr>
              <w:spacing w:after="0"/>
              <w:rPr>
                <w:sz w:val="15"/>
                <w:szCs w:val="15"/>
                <w:color w:val="auto"/>
              </w:rPr>
            </w:pPr>
          </w:p>
        </w:tc>
      </w:tr>
      <w:tr>
        <w:trPr>
          <w:trHeight w:val="259"/>
        </w:trPr>
        <w:tc>
          <w:tcPr>
            <w:tcW w:w="700" w:type="dxa"/>
            <w:vAlign w:val="bottom"/>
          </w:tcPr>
          <w:p>
            <w:pPr>
              <w:jc w:val="right"/>
              <w:ind w:right="330"/>
              <w:spacing w:after="0"/>
              <w:rPr>
                <w:rFonts w:ascii="Times New Roman" w:cs="Times New Roman" w:eastAsia="Times New Roman" w:hAnsi="Times New Roman"/>
                <w:sz w:val="14"/>
                <w:szCs w:val="14"/>
                <w:color w:val="0000FF"/>
                <w:w w:val="88"/>
              </w:rPr>
            </w:pPr>
            <w:hyperlink r:id="rId256">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color w:val="0E32E1"/>
                <w:w w:val="88"/>
              </w:rPr>
              <w:t>.39</w:t>
            </w:r>
          </w:p>
        </w:tc>
        <w:tc>
          <w:tcPr>
            <w:tcW w:w="9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Sixth Amendment to Amended and Restated Management and Development Agreement, dated as of March 21, 2014, by and between Alexander’s, Inc., the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color w:val="auto"/>
              </w:rPr>
              <w:t>subsidiaries party thereto and Vornado Management Corp. Incorporated herein by reference to Exhibit 10.9 to Alexander Inc.’s Quarterly Report on Form 10-Q</w:t>
            </w:r>
          </w:p>
        </w:tc>
        <w:tc>
          <w:tcPr>
            <w:tcW w:w="100" w:type="dxa"/>
            <w:vAlign w:val="bottom"/>
          </w:tcPr>
          <w:p>
            <w:pPr>
              <w:spacing w:after="0"/>
              <w:rPr>
                <w:sz w:val="11"/>
                <w:szCs w:val="11"/>
                <w:color w:val="auto"/>
              </w:rPr>
            </w:pPr>
          </w:p>
        </w:tc>
      </w:tr>
      <w:tr>
        <w:trPr>
          <w:trHeight w:val="182"/>
        </w:trPr>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 the quarter ended March 31, 2014, filed on May 5, 2014</w:t>
            </w:r>
          </w:p>
        </w:tc>
        <w:tc>
          <w:tcPr>
            <w:tcW w:w="100" w:type="dxa"/>
            <w:vAlign w:val="bottom"/>
          </w:tcPr>
          <w:p>
            <w:pPr>
              <w:spacing w:after="0"/>
              <w:rPr>
                <w:sz w:val="15"/>
                <w:szCs w:val="15"/>
                <w:color w:val="auto"/>
              </w:rPr>
            </w:pPr>
          </w:p>
        </w:tc>
      </w:tr>
      <w:tr>
        <w:trPr>
          <w:trHeight w:val="266"/>
        </w:trPr>
        <w:tc>
          <w:tcPr>
            <w:tcW w:w="700" w:type="dxa"/>
            <w:vAlign w:val="bottom"/>
          </w:tcPr>
          <w:p>
            <w:pPr>
              <w:jc w:val="right"/>
              <w:ind w:right="330"/>
              <w:spacing w:after="0"/>
              <w:rPr>
                <w:rFonts w:ascii="Times New Roman" w:cs="Times New Roman" w:eastAsia="Times New Roman" w:hAnsi="Times New Roman"/>
                <w:sz w:val="14"/>
                <w:szCs w:val="14"/>
                <w:color w:val="0000FF"/>
                <w:w w:val="88"/>
              </w:rPr>
            </w:pPr>
            <w:hyperlink r:id="rId257">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color w:val="0E32E1"/>
                <w:w w:val="88"/>
              </w:rPr>
              <w:t>.40</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Rego Park II Residential Management and Development Agreement, dated as of March 21, 2014 by and between Alexander’s of Rego Residential LLC and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ind w:left="1540" w:right="280"/>
        <w:spacing w:after="0" w:line="231" w:lineRule="auto"/>
        <w:rPr>
          <w:sz w:val="20"/>
          <w:szCs w:val="20"/>
          <w:color w:val="auto"/>
        </w:rPr>
      </w:pPr>
      <w:r>
        <w:rPr>
          <w:rFonts w:ascii="Times New Roman" w:cs="Times New Roman" w:eastAsia="Times New Roman" w:hAnsi="Times New Roman"/>
          <w:sz w:val="14"/>
          <w:szCs w:val="14"/>
          <w:color w:val="auto"/>
        </w:rPr>
        <w:t>Vornado Management Corp. Incorporated herein by reference to Exhibit 10.10 to Alexander Inc.’s Quarterly Report on Form 10-Q for the quarter ended March 31, 2014, filed on May 5, 2014</w:t>
      </w:r>
    </w:p>
    <w:p>
      <w:pPr>
        <w:spacing w:after="0" w:line="1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__________________________________________</w:t>
      </w:r>
    </w:p>
    <w:p>
      <w:pPr>
        <w:spacing w:after="0" w:line="35" w:lineRule="exact"/>
        <w:rPr>
          <w:sz w:val="20"/>
          <w:szCs w:val="20"/>
          <w:color w:val="auto"/>
        </w:rPr>
      </w:pPr>
    </w:p>
    <w:p>
      <w:pPr>
        <w:ind w:left="1380" w:hanging="748"/>
        <w:spacing w:after="0"/>
        <w:tabs>
          <w:tab w:leader="none" w:pos="13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w:t>
      </w:r>
    </w:p>
    <w:p>
      <w:pPr>
        <w:spacing w:after="0" w:line="35" w:lineRule="exact"/>
        <w:rPr>
          <w:sz w:val="20"/>
          <w:szCs w:val="20"/>
          <w:color w:val="auto"/>
        </w:rPr>
      </w:pPr>
    </w:p>
    <w:p>
      <w:pPr>
        <w:ind w:left="1380" w:hanging="748"/>
        <w:spacing w:after="0"/>
        <w:tabs>
          <w:tab w:leader="none" w:pos="13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agreement</w:t>
      </w:r>
    </w:p>
    <w:p>
      <w:pPr>
        <w:spacing w:after="0" w:line="35" w:lineRule="exact"/>
        <w:rPr>
          <w:rFonts w:ascii="Times New Roman" w:cs="Times New Roman" w:eastAsia="Times New Roman" w:hAnsi="Times New Roman"/>
          <w:sz w:val="14"/>
          <w:szCs w:val="14"/>
          <w:color w:val="auto"/>
        </w:rPr>
      </w:pPr>
    </w:p>
    <w:p>
      <w:pPr>
        <w:ind w:left="1380" w:hanging="748"/>
        <w:spacing w:after="0"/>
        <w:tabs>
          <w:tab w:leader="none" w:pos="138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74295</wp:posOffset>
            </wp:positionV>
            <wp:extent cx="71615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60"/>
          </w:cols>
          <w:pgMar w:left="640" w:top="1086" w:right="49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161"/>
        </w:trPr>
        <w:tc>
          <w:tcPr>
            <w:tcW w:w="700" w:type="dxa"/>
            <w:vAlign w:val="bottom"/>
          </w:tcPr>
          <w:p>
            <w:pPr>
              <w:jc w:val="center"/>
              <w:ind w:right="330"/>
              <w:spacing w:after="0"/>
              <w:rPr>
                <w:rFonts w:ascii="Times New Roman" w:cs="Times New Roman" w:eastAsia="Times New Roman" w:hAnsi="Times New Roman"/>
                <w:sz w:val="14"/>
                <w:szCs w:val="14"/>
                <w:color w:val="0000FF"/>
                <w:w w:val="95"/>
              </w:rPr>
            </w:pPr>
            <w:hyperlink r:id="rId259">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color w:val="0E32E1"/>
                <w:w w:val="95"/>
              </w:rPr>
              <w:t>.41</w:t>
            </w:r>
          </w:p>
        </w:tc>
        <w:tc>
          <w:tcPr>
            <w:tcW w:w="9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Fourth Amendment to Real Estate Retention Agreement, dated December 22, 2014 by and between Alexander’s, Inc. and Vornado Realty, L.P. Incorporated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98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herein by reference to Exhibit 10.56 to Alexander Inc.’s Annual Report on Form 10-K for the year ended December 31, 2014, filed on February 17, 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00" w:type="dxa"/>
            <w:vAlign w:val="bottom"/>
          </w:tcPr>
          <w:p>
            <w:pPr>
              <w:jc w:val="center"/>
              <w:ind w:right="330"/>
              <w:spacing w:after="0"/>
              <w:rPr>
                <w:rFonts w:ascii="Times New Roman" w:cs="Times New Roman" w:eastAsia="Times New Roman" w:hAnsi="Times New Roman"/>
                <w:sz w:val="14"/>
                <w:szCs w:val="14"/>
                <w:color w:val="0000FF"/>
                <w:w w:val="95"/>
              </w:rPr>
            </w:pPr>
            <w:hyperlink r:id="rId260">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color w:val="0E32E1"/>
                <w:w w:val="95"/>
              </w:rPr>
              <w:t>.42</w:t>
            </w:r>
          </w:p>
        </w:tc>
        <w:tc>
          <w:tcPr>
            <w:tcW w:w="9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First Amendment to Rego II Real Estate Sub-Retention Agreement, dated December 22, 2014 by and between Alexander’s, Inc. and Vornado Realty L.P.</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9800" w:type="dxa"/>
            <w:vAlign w:val="bottom"/>
          </w:tcPr>
          <w:p>
            <w:pPr>
              <w:ind w:left="840"/>
              <w:spacing w:after="0" w:line="135" w:lineRule="exact"/>
              <w:rPr>
                <w:sz w:val="20"/>
                <w:szCs w:val="20"/>
                <w:color w:val="auto"/>
              </w:rPr>
            </w:pPr>
            <w:r>
              <w:rPr>
                <w:rFonts w:ascii="Times New Roman" w:cs="Times New Roman" w:eastAsia="Times New Roman" w:hAnsi="Times New Roman"/>
                <w:sz w:val="14"/>
                <w:szCs w:val="14"/>
                <w:color w:val="auto"/>
              </w:rPr>
              <w:t>Incorporated herein by reference to Exhibit 10.58 to Alexander Inc.’s Annual Report on Form 10-K for the year ended December 31, 2014, filed on February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98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17, 2015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700" w:type="dxa"/>
            <w:vAlign w:val="bottom"/>
          </w:tcPr>
          <w:p>
            <w:pPr>
              <w:jc w:val="center"/>
              <w:ind w:right="330"/>
              <w:spacing w:after="0"/>
              <w:rPr>
                <w:rFonts w:ascii="Times New Roman" w:cs="Times New Roman" w:eastAsia="Times New Roman" w:hAnsi="Times New Roman"/>
                <w:sz w:val="14"/>
                <w:szCs w:val="14"/>
                <w:color w:val="0000FF"/>
                <w:w w:val="95"/>
              </w:rPr>
            </w:pPr>
            <w:hyperlink r:id="rId261">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color w:val="0E32E1"/>
                <w:w w:val="95"/>
              </w:rPr>
              <w:t>.43</w:t>
            </w:r>
          </w:p>
        </w:tc>
        <w:tc>
          <w:tcPr>
            <w:tcW w:w="9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First Amendment to Real-Estate Sub-Retention Agreement, dated December 22, 2014 by and between Alexander’s Management LLC and Vornado Realty, L.P.</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9800" w:type="dxa"/>
            <w:vAlign w:val="bottom"/>
          </w:tcPr>
          <w:p>
            <w:pPr>
              <w:ind w:left="840"/>
              <w:spacing w:after="0" w:line="135" w:lineRule="exact"/>
              <w:rPr>
                <w:sz w:val="20"/>
                <w:szCs w:val="20"/>
                <w:color w:val="auto"/>
              </w:rPr>
            </w:pPr>
            <w:r>
              <w:rPr>
                <w:rFonts w:ascii="Times New Roman" w:cs="Times New Roman" w:eastAsia="Times New Roman" w:hAnsi="Times New Roman"/>
                <w:sz w:val="14"/>
                <w:szCs w:val="14"/>
                <w:color w:val="auto"/>
              </w:rPr>
              <w:t>Incorporated herein by reference to Exhibit 10.59 to Alexander Inc.’s Annual Report on Form 10-K for the year ended December 31, 2014, filed on February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98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17, 2015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700" w:type="dxa"/>
            <w:vAlign w:val="bottom"/>
          </w:tcPr>
          <w:p>
            <w:pPr>
              <w:jc w:val="center"/>
              <w:ind w:right="330"/>
              <w:spacing w:after="0"/>
              <w:rPr>
                <w:rFonts w:ascii="Times New Roman" w:cs="Times New Roman" w:eastAsia="Times New Roman" w:hAnsi="Times New Roman"/>
                <w:sz w:val="14"/>
                <w:szCs w:val="14"/>
                <w:color w:val="0000FF"/>
                <w:w w:val="95"/>
              </w:rPr>
            </w:pPr>
            <w:hyperlink r:id="rId262">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color w:val="0E32E1"/>
                <w:w w:val="95"/>
              </w:rPr>
              <w:t>.44</w:t>
            </w:r>
          </w:p>
        </w:tc>
        <w:tc>
          <w:tcPr>
            <w:tcW w:w="9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Second Amendment to Rego II Real Estate Sub-Retention Agreement, dated as of June 18, 2024 by and between Alexander’s, Inc. and Vornado Realty L.P.</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9800" w:type="dxa"/>
            <w:vAlign w:val="bottom"/>
          </w:tcPr>
          <w:p>
            <w:pPr>
              <w:ind w:left="840"/>
              <w:spacing w:after="0" w:line="135" w:lineRule="exact"/>
              <w:rPr>
                <w:sz w:val="20"/>
                <w:szCs w:val="20"/>
                <w:color w:val="auto"/>
              </w:rPr>
            </w:pPr>
            <w:r>
              <w:rPr>
                <w:rFonts w:ascii="Times New Roman" w:cs="Times New Roman" w:eastAsia="Times New Roman" w:hAnsi="Times New Roman"/>
                <w:sz w:val="14"/>
                <w:szCs w:val="14"/>
                <w:color w:val="auto"/>
              </w:rPr>
              <w:t>Incorporated herein by reference to Exhibit 10.9 to Alexander Inc.’s Quarterly Report on Form 10-Q for the quarter ended June 30, 2024, filed on August 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98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700" w:type="dxa"/>
            <w:vAlign w:val="bottom"/>
          </w:tcPr>
          <w:p>
            <w:pPr>
              <w:jc w:val="center"/>
              <w:ind w:right="330"/>
              <w:spacing w:after="0"/>
              <w:rPr>
                <w:rFonts w:ascii="Times New Roman" w:cs="Times New Roman" w:eastAsia="Times New Roman" w:hAnsi="Times New Roman"/>
                <w:sz w:val="14"/>
                <w:szCs w:val="14"/>
                <w:color w:val="0000FF"/>
                <w:w w:val="95"/>
              </w:rPr>
            </w:pPr>
            <w:hyperlink r:id="rId263">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color w:val="0E32E1"/>
                <w:w w:val="95"/>
              </w:rPr>
              <w:t>45</w:t>
            </w:r>
          </w:p>
        </w:tc>
        <w:tc>
          <w:tcPr>
            <w:tcW w:w="9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Second Amendment to Real-Estate Sub-Retention Agreement, dated September 30, 2024 by and between Alexander's Management LLC and Vornado Realty, L.P.</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9800" w:type="dxa"/>
            <w:vAlign w:val="bottom"/>
          </w:tcPr>
          <w:p>
            <w:pPr>
              <w:ind w:left="840"/>
              <w:spacing w:after="0" w:line="135" w:lineRule="exact"/>
              <w:rPr>
                <w:sz w:val="20"/>
                <w:szCs w:val="20"/>
                <w:color w:val="auto"/>
              </w:rPr>
            </w:pPr>
            <w:r>
              <w:rPr>
                <w:rFonts w:ascii="Times New Roman" w:cs="Times New Roman" w:eastAsia="Times New Roman" w:hAnsi="Times New Roman"/>
                <w:sz w:val="14"/>
                <w:szCs w:val="14"/>
                <w:color w:val="auto"/>
              </w:rPr>
              <w:t>Incorporated herein by reference to Exhibit 10.13 to Alexander Inc.’s Quarterly Report on Form 10-Q for the quarter ended September 30, 2024, filed on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98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November 4, 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700" w:type="dxa"/>
            <w:vAlign w:val="bottom"/>
          </w:tcPr>
          <w:p>
            <w:pPr>
              <w:jc w:val="center"/>
              <w:ind w:right="330"/>
              <w:spacing w:after="0"/>
              <w:rPr>
                <w:rFonts w:ascii="Times New Roman" w:cs="Times New Roman" w:eastAsia="Times New Roman" w:hAnsi="Times New Roman"/>
                <w:sz w:val="14"/>
                <w:szCs w:val="14"/>
                <w:color w:val="0000FF"/>
                <w:w w:val="95"/>
              </w:rPr>
            </w:pPr>
            <w:hyperlink r:id="rId264">
              <w:r>
                <w:rPr>
                  <w:rFonts w:ascii="Times New Roman" w:cs="Times New Roman" w:eastAsia="Times New Roman" w:hAnsi="Times New Roman"/>
                  <w:sz w:val="14"/>
                  <w:szCs w:val="14"/>
                  <w:color w:val="0000FF"/>
                  <w:w w:val="95"/>
                </w:rPr>
                <w:t>10</w:t>
              </w:r>
            </w:hyperlink>
            <w:r>
              <w:rPr>
                <w:rFonts w:ascii="Times New Roman" w:cs="Times New Roman" w:eastAsia="Times New Roman" w:hAnsi="Times New Roman"/>
                <w:sz w:val="14"/>
                <w:szCs w:val="14"/>
                <w:color w:val="0E32E1"/>
                <w:w w:val="95"/>
              </w:rPr>
              <w:t>.46</w:t>
            </w:r>
          </w:p>
        </w:tc>
        <w:tc>
          <w:tcPr>
            <w:tcW w:w="9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Real-Estate Sub-Retention Agreement, dated January 1, 2026 by and between Alexander's Management LLC and Vornado Realty, L.P. Incorporated herein by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98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reference to Exhibit 10.40 to Alexander Inc.’s Annual Report on Form 10-K for the year ended December 31, 2025, filed on February 9, 2026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00" w:type="dxa"/>
            <w:vAlign w:val="bottom"/>
          </w:tcPr>
          <w:p>
            <w:pPr>
              <w:jc w:val="center"/>
              <w:ind w:right="330"/>
              <w:spacing w:after="0"/>
              <w:rPr>
                <w:rFonts w:ascii="Times New Roman" w:cs="Times New Roman" w:eastAsia="Times New Roman" w:hAnsi="Times New Roman"/>
                <w:sz w:val="14"/>
                <w:szCs w:val="14"/>
                <w:color w:val="0E32E1"/>
              </w:rPr>
            </w:pPr>
            <w:hyperlink r:id="rId265">
              <w:r>
                <w:rPr>
                  <w:rFonts w:ascii="Times New Roman" w:cs="Times New Roman" w:eastAsia="Times New Roman" w:hAnsi="Times New Roman"/>
                  <w:sz w:val="14"/>
                  <w:szCs w:val="14"/>
                  <w:color w:val="0E32E1"/>
                </w:rPr>
                <w:t>19.1</w:t>
              </w:r>
            </w:hyperlink>
          </w:p>
        </w:tc>
        <w:tc>
          <w:tcPr>
            <w:tcW w:w="9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Insider Trading Policy - Incorporated by reference to Exhibit 19.1 to Vornado Realty Trust's Annual Report on Form 10-K for the year ended December 31, 2024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98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(File No. 001-11954), filed on February 10, 2025</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00" w:type="dxa"/>
            <w:vAlign w:val="bottom"/>
          </w:tcPr>
          <w:p>
            <w:pPr>
              <w:jc w:val="center"/>
              <w:ind w:right="330"/>
              <w:spacing w:after="0"/>
              <w:rPr>
                <w:rFonts w:ascii="Times New Roman" w:cs="Times New Roman" w:eastAsia="Times New Roman" w:hAnsi="Times New Roman"/>
                <w:sz w:val="14"/>
                <w:szCs w:val="14"/>
                <w:color w:val="0E32E1"/>
              </w:rPr>
            </w:pPr>
            <w:hyperlink r:id="rId266">
              <w:r>
                <w:rPr>
                  <w:rFonts w:ascii="Times New Roman" w:cs="Times New Roman" w:eastAsia="Times New Roman" w:hAnsi="Times New Roman"/>
                  <w:sz w:val="14"/>
                  <w:szCs w:val="14"/>
                  <w:color w:val="0E32E1"/>
                </w:rPr>
                <w:t>97.1</w:t>
              </w:r>
            </w:hyperlink>
          </w:p>
        </w:tc>
        <w:tc>
          <w:tcPr>
            <w:tcW w:w="98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  Vornado Realty Trust Restatement Clawback Policy - Incorporated by reference to Exhibit 97.1 to Vornado Realty Trust's Annual Report on Form 10-K for the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98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year ended December 31, 2023 (File No. 001-11954), filed on February 12, 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__________________________________________</w:t>
      </w:r>
    </w:p>
    <w:p>
      <w:pPr>
        <w:spacing w:after="0" w:line="35" w:lineRule="exact"/>
        <w:rPr>
          <w:sz w:val="20"/>
          <w:szCs w:val="20"/>
          <w:color w:val="auto"/>
        </w:rPr>
      </w:pPr>
    </w:p>
    <w:p>
      <w:pPr>
        <w:ind w:left="1380" w:hanging="748"/>
        <w:spacing w:after="0"/>
        <w:tabs>
          <w:tab w:leader="none" w:pos="13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by reference</w:t>
      </w:r>
    </w:p>
    <w:p>
      <w:pPr>
        <w:spacing w:after="0" w:line="35" w:lineRule="exact"/>
        <w:rPr>
          <w:sz w:val="20"/>
          <w:szCs w:val="20"/>
          <w:color w:val="auto"/>
        </w:rPr>
      </w:pPr>
    </w:p>
    <w:p>
      <w:pPr>
        <w:ind w:left="1380" w:hanging="748"/>
        <w:spacing w:after="0"/>
        <w:tabs>
          <w:tab w:leader="none" w:pos="138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agreement</w:t>
      </w:r>
    </w:p>
    <w:p>
      <w:pPr>
        <w:spacing w:after="0" w:line="35" w:lineRule="exact"/>
        <w:rPr>
          <w:rFonts w:ascii="Times New Roman" w:cs="Times New Roman" w:eastAsia="Times New Roman" w:hAnsi="Times New Roman"/>
          <w:sz w:val="14"/>
          <w:szCs w:val="14"/>
          <w:color w:val="auto"/>
        </w:rPr>
      </w:pPr>
    </w:p>
    <w:p>
      <w:pPr>
        <w:ind w:left="1380" w:hanging="748"/>
        <w:spacing w:after="0"/>
        <w:tabs>
          <w:tab w:leader="none" w:pos="138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74295</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20"/>
          </w:cols>
          <w:pgMar w:left="640" w:top="1170" w:right="639" w:bottom="1440" w:gutter="0" w:footer="0" w:header="0"/>
        </w:sectPr>
      </w:pPr>
    </w:p>
    <w:bookmarkStart w:id="127" w:name="page128"/>
    <w:bookmarkEnd w:id="127"/>
    <w:tbl>
      <w:tblPr>
        <w:tblLayout w:type="fixed"/>
        <w:tblInd w:w="340" w:type="dxa"/>
        <w:tblCellMar>
          <w:top w:w="0" w:type="dxa"/>
          <w:left w:w="0" w:type="dxa"/>
          <w:bottom w:w="0" w:type="dxa"/>
          <w:right w:w="0" w:type="dxa"/>
        </w:tblCellMar>
      </w:tblPr>
      <w:tr>
        <w:trPr>
          <w:trHeight w:val="182"/>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w w:val="99"/>
              </w:rPr>
              <w:t>21</w:t>
            </w:r>
          </w:p>
        </w:tc>
        <w:tc>
          <w:tcPr>
            <w:tcW w:w="98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Subsidiaries of Vornado Realty Trust and Vornado Realty L.P.</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23.1</w:t>
            </w:r>
          </w:p>
        </w:tc>
        <w:tc>
          <w:tcPr>
            <w:tcW w:w="98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Consent of Independent Registered Public Accounting Firm for Vornado Realty Trust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23.2</w:t>
            </w:r>
          </w:p>
        </w:tc>
        <w:tc>
          <w:tcPr>
            <w:tcW w:w="98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Consent of Independent Registered Public Accounting Firm for Vornado Realty L.P.</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31.1</w:t>
            </w:r>
          </w:p>
        </w:tc>
        <w:tc>
          <w:tcPr>
            <w:tcW w:w="1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Rule 13a-14</w:t>
            </w:r>
          </w:p>
        </w:tc>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Certification of the Chief Executive Officer of Vornado Realty Trust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31.2</w:t>
            </w:r>
          </w:p>
        </w:tc>
        <w:tc>
          <w:tcPr>
            <w:tcW w:w="1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Rule 13a-14</w:t>
            </w:r>
          </w:p>
        </w:tc>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Certification of the Chief Financial Officer of Vornado Realty Trust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31.3</w:t>
            </w:r>
          </w:p>
        </w:tc>
        <w:tc>
          <w:tcPr>
            <w:tcW w:w="1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Rule 13a-14</w:t>
            </w:r>
          </w:p>
        </w:tc>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Certification of the Chief Executive Officer of Vornado Realty L.P.</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31.4</w:t>
            </w:r>
          </w:p>
        </w:tc>
        <w:tc>
          <w:tcPr>
            <w:tcW w:w="1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Rule 13a-14</w:t>
            </w:r>
          </w:p>
        </w:tc>
        <w:tc>
          <w:tcPr>
            <w:tcW w:w="8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Certification of the Chief Financial Officer of Vornado Realty L.P.</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32.1</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Section 1350</w:t>
            </w:r>
          </w:p>
        </w:tc>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the Chief Executive Officer of Vornado Realty Trust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32.2</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Section 1350</w:t>
            </w:r>
          </w:p>
        </w:tc>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the Chief Financial Officer of Vornado Realty Trust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32.3</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Section 1350</w:t>
            </w:r>
          </w:p>
        </w:tc>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the Chief Executive Officer of Vornado Realty L.P.</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9"/>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0E32E1"/>
              </w:rPr>
              <w:t>32.4</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Section 1350</w:t>
            </w:r>
          </w:p>
        </w:tc>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the Chief Financial Officer of Vornado Realty L.P.</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auto"/>
              </w:rPr>
              <w:t>101</w:t>
            </w:r>
          </w:p>
        </w:tc>
        <w:tc>
          <w:tcPr>
            <w:tcW w:w="98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The following financial information from Vornado Realty Trust and Vornado Realty L.P. Annual Report on Form 10-K for the year ended December 31, 2025,</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0"/>
        </w:trPr>
        <w:tc>
          <w:tcPr>
            <w:tcW w:w="620" w:type="dxa"/>
            <w:vAlign w:val="bottom"/>
          </w:tcPr>
          <w:p>
            <w:pPr>
              <w:spacing w:after="0"/>
              <w:rPr>
                <w:sz w:val="12"/>
                <w:szCs w:val="12"/>
                <w:color w:val="auto"/>
              </w:rPr>
            </w:pPr>
          </w:p>
        </w:tc>
        <w:tc>
          <w:tcPr>
            <w:tcW w:w="9880" w:type="dxa"/>
            <w:vAlign w:val="bottom"/>
            <w:gridSpan w:val="3"/>
          </w:tcPr>
          <w:p>
            <w:pPr>
              <w:ind w:left="840"/>
              <w:spacing w:after="0" w:line="141" w:lineRule="exact"/>
              <w:rPr>
                <w:sz w:val="20"/>
                <w:szCs w:val="20"/>
                <w:color w:val="auto"/>
              </w:rPr>
            </w:pPr>
            <w:r>
              <w:rPr>
                <w:rFonts w:ascii="Times New Roman" w:cs="Times New Roman" w:eastAsia="Times New Roman" w:hAnsi="Times New Roman"/>
                <w:sz w:val="14"/>
                <w:szCs w:val="14"/>
                <w:color w:val="auto"/>
              </w:rPr>
              <w:t>formatted in Inline Extensible Business Reporting Language (iXBRL) includes: (i) consolidated balance sheets, (ii) consolidated statements of income, (iii)</w:t>
            </w:r>
          </w:p>
        </w:tc>
        <w:tc>
          <w:tcPr>
            <w:tcW w:w="260" w:type="dxa"/>
            <w:vAlign w:val="bottom"/>
          </w:tcPr>
          <w:p>
            <w:pPr>
              <w:spacing w:after="0"/>
              <w:rPr>
                <w:sz w:val="12"/>
                <w:szCs w:val="12"/>
                <w:color w:val="auto"/>
              </w:rPr>
            </w:pPr>
          </w:p>
        </w:tc>
      </w:tr>
      <w:tr>
        <w:trPr>
          <w:trHeight w:val="135"/>
        </w:trPr>
        <w:tc>
          <w:tcPr>
            <w:tcW w:w="620" w:type="dxa"/>
            <w:vAlign w:val="bottom"/>
          </w:tcPr>
          <w:p>
            <w:pPr>
              <w:spacing w:after="0"/>
              <w:rPr>
                <w:sz w:val="11"/>
                <w:szCs w:val="11"/>
                <w:color w:val="auto"/>
              </w:rPr>
            </w:pPr>
          </w:p>
        </w:tc>
        <w:tc>
          <w:tcPr>
            <w:tcW w:w="9880" w:type="dxa"/>
            <w:vAlign w:val="bottom"/>
            <w:gridSpan w:val="3"/>
          </w:tcPr>
          <w:p>
            <w:pPr>
              <w:ind w:left="840"/>
              <w:spacing w:after="0" w:line="135" w:lineRule="exact"/>
              <w:rPr>
                <w:sz w:val="20"/>
                <w:szCs w:val="20"/>
                <w:color w:val="auto"/>
              </w:rPr>
            </w:pPr>
            <w:r>
              <w:rPr>
                <w:rFonts w:ascii="Times New Roman" w:cs="Times New Roman" w:eastAsia="Times New Roman" w:hAnsi="Times New Roman"/>
                <w:sz w:val="14"/>
                <w:szCs w:val="14"/>
                <w:color w:val="auto"/>
                <w:w w:val="99"/>
              </w:rPr>
              <w:t>consolidated statements of comprehensive income, (iv) consolidated statements of changes in equity, (v) consolidated statements of cash flows, and (vi) the notes</w:t>
            </w:r>
          </w:p>
        </w:tc>
        <w:tc>
          <w:tcPr>
            <w:tcW w:w="260" w:type="dxa"/>
            <w:vAlign w:val="bottom"/>
          </w:tcPr>
          <w:p>
            <w:pPr>
              <w:spacing w:after="0"/>
              <w:rPr>
                <w:sz w:val="11"/>
                <w:szCs w:val="11"/>
                <w:color w:val="auto"/>
              </w:rPr>
            </w:pPr>
          </w:p>
        </w:tc>
      </w:tr>
      <w:tr>
        <w:trPr>
          <w:trHeight w:val="182"/>
        </w:trPr>
        <w:tc>
          <w:tcPr>
            <w:tcW w:w="620" w:type="dxa"/>
            <w:vAlign w:val="bottom"/>
          </w:tcPr>
          <w:p>
            <w:pPr>
              <w:spacing w:after="0"/>
              <w:rPr>
                <w:sz w:val="15"/>
                <w:szCs w:val="15"/>
                <w:color w:val="auto"/>
              </w:rPr>
            </w:pPr>
          </w:p>
        </w:tc>
        <w:tc>
          <w:tcPr>
            <w:tcW w:w="988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to consolidated financial statements.</w:t>
            </w:r>
          </w:p>
        </w:tc>
        <w:tc>
          <w:tcPr>
            <w:tcW w:w="260" w:type="dxa"/>
            <w:vAlign w:val="bottom"/>
          </w:tcPr>
          <w:p>
            <w:pPr>
              <w:spacing w:after="0"/>
              <w:rPr>
                <w:sz w:val="15"/>
                <w:szCs w:val="15"/>
                <w:color w:val="auto"/>
              </w:rPr>
            </w:pPr>
          </w:p>
        </w:tc>
      </w:tr>
      <w:tr>
        <w:trPr>
          <w:trHeight w:val="211"/>
        </w:trPr>
        <w:tc>
          <w:tcPr>
            <w:tcW w:w="620" w:type="dxa"/>
            <w:vAlign w:val="bottom"/>
          </w:tcPr>
          <w:p>
            <w:pPr>
              <w:jc w:val="center"/>
              <w:ind w:right="290"/>
              <w:spacing w:after="0"/>
              <w:rPr>
                <w:sz w:val="20"/>
                <w:szCs w:val="20"/>
                <w:color w:val="auto"/>
              </w:rPr>
            </w:pPr>
            <w:r>
              <w:rPr>
                <w:rFonts w:ascii="Times New Roman" w:cs="Times New Roman" w:eastAsia="Times New Roman" w:hAnsi="Times New Roman"/>
                <w:sz w:val="14"/>
                <w:szCs w:val="14"/>
                <w:color w:val="auto"/>
              </w:rPr>
              <w:t>104</w:t>
            </w:r>
          </w:p>
        </w:tc>
        <w:tc>
          <w:tcPr>
            <w:tcW w:w="98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   The cover page from the Vornado Realty Trust and Vornado Realty L.P. Annual Report on Form 10-K for the year ended December 31, 2025, formatted as iXBRL</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20" w:type="dxa"/>
            <w:vAlign w:val="bottom"/>
          </w:tcPr>
          <w:p>
            <w:pPr>
              <w:spacing w:after="0"/>
              <w:rPr>
                <w:sz w:val="15"/>
                <w:szCs w:val="15"/>
                <w:color w:val="auto"/>
              </w:rPr>
            </w:pPr>
          </w:p>
        </w:tc>
        <w:tc>
          <w:tcPr>
            <w:tcW w:w="988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and contained in Exhibit 101.</w:t>
            </w:r>
          </w:p>
        </w:tc>
        <w:tc>
          <w:tcPr>
            <w:tcW w:w="260" w:type="dxa"/>
            <w:vAlign w:val="bottom"/>
          </w:tcPr>
          <w:p>
            <w:pPr>
              <w:spacing w:after="0"/>
              <w:rPr>
                <w:sz w:val="15"/>
                <w:szCs w:val="15"/>
                <w:color w:val="auto"/>
              </w:rPr>
            </w:pPr>
          </w:p>
        </w:tc>
      </w:tr>
    </w:tbl>
    <w:p>
      <w:pPr>
        <w:spacing w:after="0" w:line="5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color w:val="auto"/>
        </w:rPr>
        <w:t>_____________________________</w:t>
      </w:r>
    </w:p>
    <w:p>
      <w:pPr>
        <w:spacing w:after="0" w:line="32" w:lineRule="exact"/>
        <w:rPr>
          <w:sz w:val="20"/>
          <w:szCs w:val="20"/>
          <w:color w:val="auto"/>
        </w:rPr>
      </w:pPr>
    </w:p>
    <w:p>
      <w:pPr>
        <w:ind w:left="1640" w:hanging="688"/>
        <w:spacing w:after="0"/>
        <w:tabs>
          <w:tab w:leader="none" w:pos="16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047" w:right="479" w:bottom="1440" w:gutter="0" w:footer="0" w:header="0"/>
        </w:sectPr>
      </w:pPr>
    </w:p>
    <w:bookmarkStart w:id="128" w:name="page129"/>
    <w:bookmarkEnd w:id="128"/>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68"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80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9">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2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7"/>
          <w:szCs w:val="17"/>
          <w:color w:val="auto"/>
        </w:rPr>
        <w:t>(Registrant)</w:t>
      </w:r>
    </w:p>
    <w:p>
      <w:pPr>
        <w:spacing w:after="0" w:line="250" w:lineRule="exact"/>
        <w:rPr>
          <w:sz w:val="20"/>
          <w:szCs w:val="20"/>
          <w:color w:val="auto"/>
        </w:rPr>
      </w:pPr>
    </w:p>
    <w:p>
      <w:pPr>
        <w:ind w:left="20"/>
        <w:spacing w:after="0"/>
        <w:tabs>
          <w:tab w:leader="none" w:pos="5000" w:val="left"/>
          <w:tab w:leader="none" w:pos="5940" w:val="left"/>
        </w:tabs>
        <w:rPr>
          <w:sz w:val="20"/>
          <w:szCs w:val="20"/>
          <w:color w:val="auto"/>
        </w:rPr>
      </w:pPr>
      <w:r>
        <w:rPr>
          <w:rFonts w:ascii="Times New Roman" w:cs="Times New Roman" w:eastAsia="Times New Roman" w:hAnsi="Times New Roman"/>
          <w:sz w:val="17"/>
          <w:szCs w:val="17"/>
          <w:color w:val="auto"/>
        </w:rPr>
        <w:t>February 9,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Deirdre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80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0">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Deirdre Maddock, Chief Accounting Officer</w:t>
      </w:r>
    </w:p>
    <w:p>
      <w:pPr>
        <w:ind w:left="5760"/>
        <w:spacing w:after="0"/>
        <w:rPr>
          <w:sz w:val="20"/>
          <w:szCs w:val="20"/>
          <w:color w:val="auto"/>
        </w:rPr>
      </w:pPr>
      <w:r>
        <w:rPr>
          <w:rFonts w:ascii="Times New Roman" w:cs="Times New Roman" w:eastAsia="Times New Roman" w:hAnsi="Times New Roman"/>
          <w:sz w:val="17"/>
          <w:szCs w:val="17"/>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29" w:name="page130"/>
    <w:bookmarkEnd w:id="129"/>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SIGNATURES - CONTINUED</w:t>
      </w:r>
    </w:p>
    <w:p>
      <w:pPr>
        <w:spacing w:after="0" w:line="68"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20" w:type="dxa"/>
            <w:vAlign w:val="bottom"/>
          </w:tcPr>
          <w:p>
            <w:pPr>
              <w:spacing w:after="0"/>
              <w:rPr>
                <w:sz w:val="19"/>
                <w:szCs w:val="19"/>
                <w:color w:val="auto"/>
              </w:rPr>
            </w:pPr>
          </w:p>
        </w:tc>
        <w:tc>
          <w:tcPr>
            <w:tcW w:w="534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0" w:type="dxa"/>
            <w:vAlign w:val="bottom"/>
          </w:tcPr>
          <w:p>
            <w:pPr>
              <w:spacing w:after="0"/>
              <w:rPr>
                <w:sz w:val="19"/>
                <w:szCs w:val="19"/>
                <w:color w:val="auto"/>
              </w:rPr>
            </w:pPr>
          </w:p>
        </w:tc>
        <w:tc>
          <w:tcPr>
            <w:tcW w:w="27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7"/>
                <w:szCs w:val="17"/>
                <w:b w:val="1"/>
                <w:bCs w:val="1"/>
                <w:color w:val="auto"/>
              </w:rPr>
              <w:t>Date</w:t>
            </w:r>
          </w:p>
        </w:tc>
      </w:tr>
      <w:tr>
        <w:trPr>
          <w:trHeight w:val="451"/>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/s/Steven Roth</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of the Board of Trustees</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164"/>
        </w:trPr>
        <w:tc>
          <w:tcPr>
            <w:tcW w:w="560" w:type="dxa"/>
            <w:vAlign w:val="bottom"/>
          </w:tcPr>
          <w:p>
            <w:pPr>
              <w:spacing w:after="0"/>
              <w:rPr>
                <w:sz w:val="14"/>
                <w:szCs w:val="14"/>
                <w:color w:val="auto"/>
              </w:rPr>
            </w:pPr>
          </w:p>
        </w:tc>
        <w:tc>
          <w:tcPr>
            <w:tcW w:w="2360" w:type="dxa"/>
            <w:vAlign w:val="bottom"/>
          </w:tcPr>
          <w:p>
            <w:pPr>
              <w:ind w:left="140"/>
              <w:spacing w:after="0" w:line="164" w:lineRule="exact"/>
              <w:rPr>
                <w:sz w:val="20"/>
                <w:szCs w:val="20"/>
                <w:color w:val="auto"/>
              </w:rPr>
            </w:pPr>
            <w:r>
              <w:rPr>
                <w:rFonts w:ascii="Times New Roman" w:cs="Times New Roman" w:eastAsia="Times New Roman" w:hAnsi="Times New Roman"/>
                <w:sz w:val="17"/>
                <w:szCs w:val="17"/>
                <w:color w:val="auto"/>
              </w:rPr>
              <w:t>(Steven Roth)</w:t>
            </w:r>
          </w:p>
        </w:tc>
        <w:tc>
          <w:tcPr>
            <w:tcW w:w="120" w:type="dxa"/>
            <w:vAlign w:val="bottom"/>
          </w:tcPr>
          <w:p>
            <w:pPr>
              <w:spacing w:after="0"/>
              <w:rPr>
                <w:sz w:val="14"/>
                <w:szCs w:val="14"/>
                <w:color w:val="auto"/>
              </w:rPr>
            </w:pPr>
          </w:p>
        </w:tc>
        <w:tc>
          <w:tcPr>
            <w:tcW w:w="5440" w:type="dxa"/>
            <w:vAlign w:val="bottom"/>
            <w:gridSpan w:val="2"/>
          </w:tcPr>
          <w:p>
            <w:pPr>
              <w:ind w:left="40"/>
              <w:spacing w:after="0" w:line="164" w:lineRule="exact"/>
              <w:rPr>
                <w:sz w:val="20"/>
                <w:szCs w:val="20"/>
                <w:color w:val="auto"/>
              </w:rPr>
            </w:pPr>
            <w:r>
              <w:rPr>
                <w:rFonts w:ascii="Times New Roman" w:cs="Times New Roman" w:eastAsia="Times New Roman" w:hAnsi="Times New Roman"/>
                <w:sz w:val="17"/>
                <w:szCs w:val="17"/>
                <w:color w:val="auto"/>
              </w:rPr>
              <w:t>and Chief Executive Officer</w:t>
            </w:r>
          </w:p>
        </w:tc>
        <w:tc>
          <w:tcPr>
            <w:tcW w:w="2760" w:type="dxa"/>
            <w:vAlign w:val="bottom"/>
          </w:tcPr>
          <w:p>
            <w:pPr>
              <w:spacing w:after="0"/>
              <w:rPr>
                <w:sz w:val="14"/>
                <w:szCs w:val="14"/>
                <w:color w:val="auto"/>
              </w:rPr>
            </w:pPr>
          </w:p>
        </w:tc>
      </w:tr>
      <w:tr>
        <w:trPr>
          <w:trHeight w:val="228"/>
        </w:trPr>
        <w:tc>
          <w:tcPr>
            <w:tcW w:w="5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760" w:type="dxa"/>
            <w:vAlign w:val="bottom"/>
          </w:tcPr>
          <w:p>
            <w:pPr>
              <w:spacing w:after="0"/>
              <w:rPr>
                <w:sz w:val="19"/>
                <w:szCs w:val="19"/>
                <w:color w:val="auto"/>
              </w:rPr>
            </w:pPr>
          </w:p>
        </w:tc>
      </w:tr>
      <w:tr>
        <w:trPr>
          <w:trHeight w:val="44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/s/Candace K. Beinecke</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(Candace K. Beinecke)</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/s/Michael D. Fascitelli</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(Michael D. Fascitelli)</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7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/s/Beatrice Hamza Bassey</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(Beatrice Hamza Bassey)</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/s/William W. Helman IV</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(William W. Helman IV)</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/s/David Mandelbaum</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(David Mandelbaum)</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/s/Raymond J. McGuire</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(Raymond J. McGuire)</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7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/s/Mandakini Puri</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(Mandakini Puri)</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/s/Daniel R. Tisch</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(Daniel R. Tisch)</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/s/Russell B. Wight, Jr.</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(Russell B. Wight, Jr.)</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7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/s/Michael J. Franco</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and Chief Financial Officer</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(Michael J. Franco)</w:t>
            </w:r>
          </w:p>
        </w:tc>
        <w:tc>
          <w:tcPr>
            <w:tcW w:w="1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760" w:type="dxa"/>
            <w:vAlign w:val="bottom"/>
          </w:tcPr>
          <w:p>
            <w:pPr>
              <w:spacing w:after="0"/>
              <w:rPr>
                <w:sz w:val="19"/>
                <w:szCs w:val="19"/>
                <w:color w:val="auto"/>
              </w:rPr>
            </w:pPr>
          </w:p>
        </w:tc>
      </w:tr>
      <w:tr>
        <w:trPr>
          <w:trHeight w:val="270"/>
        </w:trPr>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/s/Deirdre Maddock</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Accounting Officer</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6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(Deirdre Maddock)</w:t>
            </w:r>
          </w:p>
        </w:tc>
        <w:tc>
          <w:tcPr>
            <w:tcW w:w="1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760" w:type="dxa"/>
            <w:vAlign w:val="bottom"/>
          </w:tcPr>
          <w:p>
            <w:pPr>
              <w:spacing w:after="0"/>
              <w:rPr>
                <w:sz w:val="19"/>
                <w:szCs w:val="19"/>
                <w:color w:val="auto"/>
              </w:rPr>
            </w:pPr>
          </w:p>
        </w:tc>
      </w:tr>
      <w:tr>
        <w:trPr>
          <w:trHeight w:val="938"/>
        </w:trPr>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460" w:type="dxa"/>
            <w:vAlign w:val="bottom"/>
            <w:gridSpan w:val="2"/>
          </w:tcPr>
          <w:p>
            <w:pPr>
              <w:jc w:val="right"/>
              <w:ind w:right="2373"/>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11"/>
        </w:trPr>
        <w:tc>
          <w:tcPr>
            <w:tcW w:w="56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30" w:name="page131"/>
    <w:bookmarkEnd w:id="130"/>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68"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7"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7"/>
          <w:szCs w:val="17"/>
          <w:b w:val="1"/>
          <w:bCs w:val="1"/>
          <w:color w:val="auto"/>
        </w:rPr>
        <w:t>VORNADO REALTY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80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74">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2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7"/>
          <w:szCs w:val="17"/>
          <w:color w:val="auto"/>
        </w:rPr>
        <w:t>(Registrant)</w:t>
      </w:r>
    </w:p>
    <w:p>
      <w:pPr>
        <w:spacing w:after="0" w:line="250" w:lineRule="exact"/>
        <w:rPr>
          <w:sz w:val="20"/>
          <w:szCs w:val="20"/>
          <w:color w:val="auto"/>
        </w:rPr>
      </w:pPr>
    </w:p>
    <w:p>
      <w:pPr>
        <w:ind w:left="20"/>
        <w:spacing w:after="0"/>
        <w:tabs>
          <w:tab w:leader="none" w:pos="5000" w:val="left"/>
          <w:tab w:leader="none" w:pos="5940" w:val="left"/>
        </w:tabs>
        <w:rPr>
          <w:sz w:val="20"/>
          <w:szCs w:val="20"/>
          <w:color w:val="auto"/>
        </w:rPr>
      </w:pPr>
      <w:r>
        <w:rPr>
          <w:rFonts w:ascii="Times New Roman" w:cs="Times New Roman" w:eastAsia="Times New Roman" w:hAnsi="Times New Roman"/>
          <w:sz w:val="17"/>
          <w:szCs w:val="17"/>
          <w:color w:val="auto"/>
        </w:rPr>
        <w:t>February 9,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Deirdre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80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75">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Deirdre Maddock, Chief Accounting Officer of Vornado Realty Trust, sole</w:t>
      </w:r>
    </w:p>
    <w:p>
      <w:pPr>
        <w:ind w:left="5760"/>
        <w:spacing w:after="0" w:line="225" w:lineRule="auto"/>
        <w:rPr>
          <w:sz w:val="20"/>
          <w:szCs w:val="20"/>
          <w:color w:val="auto"/>
        </w:rPr>
      </w:pPr>
      <w:r>
        <w:rPr>
          <w:rFonts w:ascii="Times New Roman" w:cs="Times New Roman" w:eastAsia="Times New Roman" w:hAnsi="Times New Roman"/>
          <w:sz w:val="17"/>
          <w:szCs w:val="17"/>
          <w:color w:val="auto"/>
        </w:rPr>
        <w:t>General Partner of Vornado Realty L.P. (duly authorized officer and principal</w:t>
      </w:r>
    </w:p>
    <w:p>
      <w:pPr>
        <w:ind w:left="5760"/>
        <w:spacing w:after="0"/>
        <w:rPr>
          <w:sz w:val="20"/>
          <w:szCs w:val="20"/>
          <w:color w:val="auto"/>
        </w:rPr>
      </w:pPr>
      <w:r>
        <w:rPr>
          <w:rFonts w:ascii="Times New Roman" w:cs="Times New Roman" w:eastAsia="Times New Roman" w:hAnsi="Times New Roman"/>
          <w:sz w:val="17"/>
          <w:szCs w:val="17"/>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31" w:name="page132"/>
    <w:bookmarkEnd w:id="131"/>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SIGNATURES - CONTINUED</w:t>
      </w:r>
    </w:p>
    <w:p>
      <w:pPr>
        <w:spacing w:after="0" w:line="68"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19"/>
                <w:szCs w:val="19"/>
                <w:color w:val="auto"/>
              </w:rPr>
            </w:pP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20" w:type="dxa"/>
            <w:vAlign w:val="bottom"/>
          </w:tcPr>
          <w:p>
            <w:pPr>
              <w:spacing w:after="0"/>
              <w:rPr>
                <w:sz w:val="19"/>
                <w:szCs w:val="19"/>
                <w:color w:val="auto"/>
              </w:rPr>
            </w:pPr>
          </w:p>
        </w:tc>
        <w:tc>
          <w:tcPr>
            <w:tcW w:w="534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0" w:type="dxa"/>
            <w:vAlign w:val="bottom"/>
          </w:tcPr>
          <w:p>
            <w:pPr>
              <w:spacing w:after="0"/>
              <w:rPr>
                <w:sz w:val="19"/>
                <w:szCs w:val="19"/>
                <w:color w:val="auto"/>
              </w:rPr>
            </w:pPr>
          </w:p>
        </w:tc>
        <w:tc>
          <w:tcPr>
            <w:tcW w:w="27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7"/>
                <w:szCs w:val="17"/>
                <w:b w:val="1"/>
                <w:bCs w:val="1"/>
                <w:color w:val="auto"/>
              </w:rPr>
              <w:t>Date</w:t>
            </w:r>
          </w:p>
        </w:tc>
      </w:tr>
      <w:tr>
        <w:trPr>
          <w:trHeight w:val="438"/>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/s/Steven Roth</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of the Board of Trustees and</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164"/>
        </w:trPr>
        <w:tc>
          <w:tcPr>
            <w:tcW w:w="540" w:type="dxa"/>
            <w:vAlign w:val="bottom"/>
          </w:tcPr>
          <w:p>
            <w:pPr>
              <w:spacing w:after="0"/>
              <w:rPr>
                <w:sz w:val="14"/>
                <w:szCs w:val="14"/>
                <w:color w:val="auto"/>
              </w:rPr>
            </w:pPr>
          </w:p>
        </w:tc>
        <w:tc>
          <w:tcPr>
            <w:tcW w:w="2360" w:type="dxa"/>
            <w:vAlign w:val="bottom"/>
          </w:tcPr>
          <w:p>
            <w:pPr>
              <w:ind w:left="140"/>
              <w:spacing w:after="0" w:line="164" w:lineRule="exact"/>
              <w:rPr>
                <w:sz w:val="20"/>
                <w:szCs w:val="20"/>
                <w:color w:val="auto"/>
              </w:rPr>
            </w:pPr>
            <w:r>
              <w:rPr>
                <w:rFonts w:ascii="Times New Roman" w:cs="Times New Roman" w:eastAsia="Times New Roman" w:hAnsi="Times New Roman"/>
                <w:sz w:val="17"/>
                <w:szCs w:val="17"/>
                <w:color w:val="auto"/>
              </w:rPr>
              <w:t>(Steven Roth)</w:t>
            </w:r>
          </w:p>
        </w:tc>
        <w:tc>
          <w:tcPr>
            <w:tcW w:w="120" w:type="dxa"/>
            <w:vAlign w:val="bottom"/>
          </w:tcPr>
          <w:p>
            <w:pPr>
              <w:spacing w:after="0"/>
              <w:rPr>
                <w:sz w:val="14"/>
                <w:szCs w:val="14"/>
                <w:color w:val="auto"/>
              </w:rPr>
            </w:pPr>
          </w:p>
        </w:tc>
        <w:tc>
          <w:tcPr>
            <w:tcW w:w="5440" w:type="dxa"/>
            <w:vAlign w:val="bottom"/>
            <w:gridSpan w:val="2"/>
          </w:tcPr>
          <w:p>
            <w:pPr>
              <w:spacing w:after="0" w:line="164" w:lineRule="exact"/>
              <w:rPr>
                <w:sz w:val="20"/>
                <w:szCs w:val="20"/>
                <w:color w:val="auto"/>
              </w:rPr>
            </w:pPr>
            <w:r>
              <w:rPr>
                <w:rFonts w:ascii="Times New Roman" w:cs="Times New Roman" w:eastAsia="Times New Roman" w:hAnsi="Times New Roman"/>
                <w:sz w:val="17"/>
                <w:szCs w:val="17"/>
                <w:color w:val="auto"/>
              </w:rPr>
              <w:t>Chief Executive Officer of Vornado Realty Trust</w:t>
            </w:r>
          </w:p>
        </w:tc>
        <w:tc>
          <w:tcPr>
            <w:tcW w:w="2760" w:type="dxa"/>
            <w:vAlign w:val="bottom"/>
          </w:tcPr>
          <w:p>
            <w:pPr>
              <w:spacing w:after="0"/>
              <w:rPr>
                <w:sz w:val="14"/>
                <w:szCs w:val="14"/>
                <w:color w:val="auto"/>
              </w:rPr>
            </w:pPr>
          </w:p>
        </w:tc>
      </w:tr>
      <w:tr>
        <w:trPr>
          <w:trHeight w:val="228"/>
        </w:trPr>
        <w:tc>
          <w:tcPr>
            <w:tcW w:w="5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760" w:type="dxa"/>
            <w:vAlign w:val="bottom"/>
          </w:tcPr>
          <w:p>
            <w:pPr>
              <w:spacing w:after="0"/>
              <w:rPr>
                <w:sz w:val="19"/>
                <w:szCs w:val="19"/>
                <w:color w:val="auto"/>
              </w:rPr>
            </w:pPr>
          </w:p>
        </w:tc>
      </w:tr>
      <w:tr>
        <w:trPr>
          <w:trHeight w:val="44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/s/Candace K. Beinecke</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(Candace K. Beinecke)</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/s/Michael D. Fascitelli</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(Michael D. Fascitelli)</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/s/Beatrice Hamza Bassey</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(Beatrice Hamza Bassey)</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/s/William W. Helman IV</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(William W. Helman IV)</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/s/David Mandelbaum</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(David Mandelbaum)</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/s/Raymond J. McGuire</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(Raymond J. McGuire)</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/s/Mandakini Puri</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(Mandakini Puri)</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/s/Daniel R. Tisch</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(Daniel R. Tisch)</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4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/s/Russell B. Wight, Jr.</w:t>
            </w:r>
          </w:p>
        </w:tc>
        <w:tc>
          <w:tcPr>
            <w:tcW w:w="12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Trustee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(Russell B. Wight, Jr.)</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/s/Michael J. Franco</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and Chief Financial Officer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(Michael J. Franco)</w:t>
            </w:r>
          </w:p>
        </w:tc>
        <w:tc>
          <w:tcPr>
            <w:tcW w:w="1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760" w:type="dxa"/>
            <w:vAlign w:val="bottom"/>
          </w:tcPr>
          <w:p>
            <w:pPr>
              <w:spacing w:after="0"/>
              <w:rPr>
                <w:sz w:val="19"/>
                <w:szCs w:val="19"/>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/s/Deirdre Maddock</w:t>
            </w:r>
          </w:p>
        </w:tc>
        <w:tc>
          <w:tcPr>
            <w:tcW w:w="120" w:type="dxa"/>
            <w:vAlign w:val="bottom"/>
          </w:tcPr>
          <w:p>
            <w:pPr>
              <w:spacing w:after="0"/>
              <w:rPr>
                <w:sz w:val="23"/>
                <w:szCs w:val="2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Accounting Officer of Vornado Realty Trust</w:t>
            </w:r>
          </w:p>
        </w:tc>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February 9, 2026</w:t>
            </w:r>
          </w:p>
        </w:tc>
      </w:tr>
      <w:tr>
        <w:trPr>
          <w:trHeight w:val="221"/>
        </w:trPr>
        <w:tc>
          <w:tcPr>
            <w:tcW w:w="540" w:type="dxa"/>
            <w:vAlign w:val="bottom"/>
          </w:tcPr>
          <w:p>
            <w:pPr>
              <w:spacing w:after="0"/>
              <w:rPr>
                <w:sz w:val="19"/>
                <w:szCs w:val="19"/>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(Deirdre Maddock)</w:t>
            </w:r>
          </w:p>
        </w:tc>
        <w:tc>
          <w:tcPr>
            <w:tcW w:w="1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7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132</w:t>
      </w:r>
    </w:p>
    <w:p>
      <w:pPr>
        <w:sectPr>
          <w:pgSz w:w="11900" w:h="16838" w:orient="portrait"/>
          <w:cols w:equalWidth="0" w:num="1">
            <w:col w:w="11240"/>
          </w:cols>
          <w:pgMar w:left="320" w:top="1010"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VORNADO REALTY TRUST SECURITIES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PURSUANT TO SECTION 12 OF THE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73"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The following description of the material terms of the shares of beneficial interest of Vornado Realty Trust is only a summary and is subject to, and qualified in its entirety by reference to, the more complete descriptions of the shares in the following documents: (a) Vornado Realty Trust’s Declaration of Trust, as amended and supplemented (including the applicable articles supplementary), which we refer to as our Declaration of Trust, and (b) Vornado Realty Trust’s amended and restated bylaws, which we refer to as our bylaws, copies of which are exhibits to this Annual Report on Form 10-K. Please note that references to “Vornado,” “we,” “our” and “us” refer only to Vornado Realty Trust. Capitalized terms used but not defined herein have the meanings set forth in the Annual Report on Form 10-K to which this description is an exhibit.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08"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The Declaration of Trust authorizes the issuance of up to 720,000,000 shares of beneficial interest, consisting of 250,000,000 common shares of beneficial interest, $.04 par value per share (the "Common Shares"), 110,000,000 preferred shares of beneficial interest, no par value per share (the “Preferred Shares”), and 360,000,000 excess shares, $.04 par value per share. The Board of Trustees may classify or reclassify any unissued Preferred Shares from time to time in one or more series, without shareholder approval, with such designations, preferences, conversion or other rights, voting powers, restrictions, limitations as to dividends, qualifications and terms and conditions of redemption thereof as established by our Board of Trustees.</w:t>
      </w:r>
    </w:p>
    <w:p>
      <w:pPr>
        <w:spacing w:after="0" w:line="5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As permitted by Maryland law, the Declaration of Trust authorizes our Board of Trustees, without any action by our shareholders, to amend the Declaration of Trust from time to time to increase or decrease the aggregate number of shares of beneficial interest or the number of shares of beneficial interest of any class that we are authorized to issue. The effect of this provision in our Declaration of Trust is to permit our Board of Trustees, without shareholder action, to increase or decrease (a) the total number of authorized shares of beneficial interest of Vornado Realty Trust and/or (b) the number of authorized shares of beneficial interest of any one or more classes. Maryland law permits a real estate investment trust to have shares of beneficial interest that are assigned to a particular class as well as shares that are not assigned to a particular class but are available to be classified by the Board of Trustees at a later time. Thus, the total number of authorized shares of beneficial interest may exceed the total number of authorized shares of all classes. Currently, all of our authorized shares of beneficial interest are assigned to one of the three classes set forth above.</w:t>
      </w:r>
    </w:p>
    <w:p>
      <w:pPr>
        <w:spacing w:after="0" w:line="46" w:lineRule="exact"/>
        <w:rPr>
          <w:sz w:val="20"/>
          <w:szCs w:val="20"/>
          <w:color w:val="auto"/>
        </w:rPr>
      </w:pPr>
    </w:p>
    <w:p>
      <w:pPr>
        <w:ind w:left="400" w:right="7940" w:hanging="356"/>
        <w:spacing w:after="0" w:line="371" w:lineRule="auto"/>
        <w:tabs>
          <w:tab w:leader="none" w:pos="394"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Common Shares, $0.04 par value share </w:t>
      </w:r>
      <w:r>
        <w:rPr>
          <w:rFonts w:ascii="Times New Roman" w:cs="Times New Roman" w:eastAsia="Times New Roman" w:hAnsi="Times New Roman"/>
          <w:sz w:val="17"/>
          <w:szCs w:val="17"/>
          <w:b w:val="1"/>
          <w:bCs w:val="1"/>
          <w:i w:val="1"/>
          <w:iCs w:val="1"/>
          <w:color w:val="auto"/>
        </w:rPr>
        <w:t>Dividend Rights</w:t>
      </w: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The holders of Common Shares are entitled to receive dividends when, if and as authorized by the Board of Trustees and declared by Vornado out of assets legally available to pay dividends, if receipt of the dividends is in compliance with the provisions in the Declaration of Trust restricting the ownership and transfer of shares of beneficial interest. However, the terms of Vornado’s issued and outstanding Preferred Shares provide that, other than in compliance with requirements of an employee incentive or benefit plan or as permitted under Article IV of the Declaration of Trust, Vornado may only pay dividends or other distributions on Common Shares or purchase Common Shares if full cumulative dividends have, for all past dividend periods and the then-current dividend period, been paid or set apart for payment on all outstanding Preferred Shares. The terms of the Preferred Shares that are now issued and outstanding do not provide for any mandatory sinking fund in connection with the payment of dividends on Preferred Shares.</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110"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Subject to the provisions of the Declaration of Trust regarding the restrictions on ownership and transfer of Common Shares, the holders of Common Shares are entitled to one vote for each share on all matters on which shareholders are entitled to vote, including elections of Trustees. There is no cumulative voting in the election of Trustees, which means that the holders of a majority of the outstanding Common Shares may elect all of the Trustees then standing for election. The holders of Common Shares do not have any conversion, redemption or preemptive rights to subscribe to any securities of Vornado.</w:t>
      </w:r>
    </w:p>
    <w:p>
      <w:pPr>
        <w:spacing w:after="0" w:line="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Listing of Common Shares</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Common Shares are listed on the New York Stock Exchange under the symbol “VNO”.</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Rights Upon Liquidation</w:t>
      </w:r>
    </w:p>
    <w:p>
      <w:pPr>
        <w:spacing w:after="0" w:line="110"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If Vornado is dissolved, liquidated or wound up, holders of Common Shares are entitled to share proportionally in any assets available for distribution after the prior rights of creditors, including holders of Vornado’s indebtedness, and the aggregate liquidation preference of any Preferred Shares then outstanding are satisfied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682"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Restrictions on Ownership of Common Shares</w:t>
      </w:r>
    </w:p>
    <w:p>
      <w:pPr>
        <w:spacing w:after="0" w:line="93"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Common Shares Beneficial Ownership Limit. </w:t>
      </w:r>
      <w:r>
        <w:rPr>
          <w:rFonts w:ascii="Times New Roman" w:cs="Times New Roman" w:eastAsia="Times New Roman" w:hAnsi="Times New Roman"/>
          <w:sz w:val="17"/>
          <w:szCs w:val="17"/>
          <w:color w:val="auto"/>
        </w:rPr>
        <w:t>For Vornado to maintain its qualification as a REIT under the Internal Revenue Code of 1986,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amended (the "Code"), not more than 50% of the value of its outstanding shares of beneficial interest may be owned, directly or indirectly, by five or fewer individuals at any time during the last half of a taxable year and the shares of beneficial interest must be beneficially owned by 100 or more persons during at least 335 days of a taxable year of 12 months, or during a proportionate part of a shorter taxable year. The Code defines “individuals” to include some entities for purposes of the preceding sentence. All references to a shareholder’s ownership of Common Shares in this section “ — The Common Shares Beneficial Ownership Limit” assume application of the applicable attribution rules of the Code under which, for example, a shareholder is deemed to own shares owned by his or her spouse.</w:t>
      </w:r>
    </w:p>
    <w:p>
      <w:pPr>
        <w:spacing w:after="0" w:line="57"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The Declaration of Trust contains a number of provisions that restrict the ownership and transfer of shares and are designed to safeguard Vornado against loss of its REIT status. These provisions may also have the effect of deterring non-negotiated acquisitions of, and proxy fights for, us by third parties. The Declaration of Trust contains a limitation that restricts, with some exceptions, shareholders from owning more than a specified percentage of the outstanding Common Shares. We call this percentage the “common shares beneficial ownership limit.” The common shares beneficial ownership limit was initially set at 2.0% of the outstanding Common Shares. Our Board of Trustees subsequently adopted a resolution raising the common shares beneficial ownership limit from 2.0% to 6.7% of the outstanding Common Shares and has the authority to grant exemptions from the common shares beneficial ownership limit. The shareholders who owned more than 6.7% of the Common Shares immediately after the merger of Vornado, Inc. into Vornado in May 1993 may continue to do so and may acquire additional Common Shares through stock option and similar plans or from other shareholders who owned more than 6.7% of the Common Shares immediately after that merger. However, Common Shares may not be transferred if, as a result, more than 50% in value of the outstanding shares of Vornado would be owned by five or fewer individuals. While the shareholders who owned more than 6.7% of the Common Shares immediately after the merger of Vornado, Inc. into Vornado in May 1993 are not generally permitted to acquire additional Common Shares from any other source, these shareholders may acquire additional Common Shares from any source if Vornado issues additional Common Shares, up to the percentage held by them immediately before Vornado issues the additional shares.</w:t>
      </w:r>
    </w:p>
    <w:p>
      <w:pPr>
        <w:spacing w:after="0" w:line="275"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Shareholders should be aware that events other than a purchase or other transfer of Common Shares may result in ownership, under the applicable attribution rules of the Code, of Common Shares in excess of the common shares beneficial ownership limit. For instance, if two shareholders, each of whom owns 3.5% of the outstanding Common Shares, were to marry, then after their marriage both shareholders would be deemed to own 7.0% of the outstanding Common Shares, which is in excess of the common shares beneficial ownership limit. Similarly, if a shareholder who owns 4.9% of the outstanding Common Shares were to acquire a 50% interest in a corporation which owns 4.8% of the outstanding Common Shares, then the shareholder would be deemed to own 7.3% of the outstanding Common Shares. You should consult your own tax advisors concerning the application of the attribution rules of the Code in your particular circumstances.</w:t>
      </w:r>
    </w:p>
    <w:p>
      <w:pPr>
        <w:spacing w:after="0" w:line="251"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The Constructive Ownership Limit</w:t>
      </w:r>
      <w:r>
        <w:rPr>
          <w:rFonts w:ascii="Times New Roman" w:cs="Times New Roman" w:eastAsia="Times New Roman" w:hAnsi="Times New Roman"/>
          <w:sz w:val="17"/>
          <w:szCs w:val="17"/>
          <w:color w:val="auto"/>
        </w:rPr>
        <w:t>. Under the Code, rental income received by a REIT from persons in which the REIT is treated, under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applicable attribution rules of the Code, as owning a 10% or greater interest does not constitute qualifying income for purposes of the income requirements that REITs must satisfy. For these purposes, a REIT is treated as owning any stock owned, under the applicable attribution rules of the Code, by a person that owns 10% or more of the value of the outstanding shares of the REIT. The attribution rules of the Code applicable for these purposes are different from those applicable with respect to the common shares beneficial ownership limit. All references to a shareholder’s ownership of Common Shares in this section “— The Constructive Ownership Limit” assume application of the applicable attribution rules of the Code.</w:t>
      </w:r>
    </w:p>
    <w:p>
      <w:pPr>
        <w:spacing w:after="0" w:line="53"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In order to ensure that rental income of Vornado will not be treated as nonqualifying income under the rule described in the preceding paragraph, and thus to ensure that Vornado will not lose its REIT status as a result of the ownership of shares by a tenant, or a person that holds an interest in a tenant, the Declaration of Trust contains an ownership limit that restricts, with some exceptions, shareholders from owning more than 9.9% of the outstanding shares of any class. We refer to this 9.9% ownership limit as the “constructive ownership limit.” The shareholders who owned shares in excess of the constructive ownership limit immediately after the merger of Vornado, Inc. into Vornado in May 1993 generally are not subject to the constructive ownership limit. The Declaration of Trust also contains restrictions that are designed to ensure that the shareholders who owned shares in excess of the constructive ownership limit immediately after the merger of Vornado, Inc. into Vornado in May 1993 will not, in the aggregate, own a large enough interest in a tenant or subtenant of the REIT to cause rental income received, directly or indirectly, by the REIT from that tenant or subtenant to be treated as nonqualifying income for purposes of the income requirements that REITs must satisfy. The restrictions described in the preceding sentence have an exception for tenants and subtenants from whom the REIT receives, directly or indirectly, rental income that is not in excess of a specified threshold.</w:t>
      </w:r>
    </w:p>
    <w:p>
      <w:pPr>
        <w:spacing w:after="0" w:line="62"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Shareholders should be aware that events other than a purchase or other transfer of shares may result in ownership, under the applicable attribution rules of the Code, of shares in excess of the constructive ownership limit. As the attribution rules that apply with respect to the constructive ownership limit differ from those that apply with respect to the common shares beneficial ownership limit, the events other than a purchase or other transfer of shares which may result in share ownership in excess of the constructive ownership limit may differ from those which may result in share ownership in excess of the common shares beneficial ownership limit. You should consult your own tax advisors concerning the application of the attribution rules of the Code in your particular circumstances.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680" w:right="339" w:bottom="1440" w:gutter="0" w:footer="0" w:header="0"/>
        </w:sectPr>
      </w:pPr>
    </w:p>
    <w:bookmarkStart w:id="134" w:name="page135"/>
    <w:bookmarkEnd w:id="134"/>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DREIT Ownership Limit</w:t>
      </w:r>
      <w:r>
        <w:rPr>
          <w:rFonts w:ascii="Times New Roman" w:cs="Times New Roman" w:eastAsia="Times New Roman" w:hAnsi="Times New Roman"/>
          <w:sz w:val="17"/>
          <w:szCs w:val="17"/>
          <w:color w:val="auto"/>
        </w:rPr>
        <w:t>. Under the Code, a domestically controlled qualified investment entity includes a REIT in which, at all times during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relevant testing period, less than 50% in value of the REIT’s stock was held directly or indirectly by foreign persons, as such term is used in the provision of the Code defining a domestically controlled qualified investment entity. Our qualification as a domestically controlled qualified investment entity (which, in our case, would mean that we would be a domestically controlled REIT) would mean that foreign investors that enter into joint venture structures with us that utilize subsidiary REITs may be able to treat our interest in such subsidiary REITs as being held entirely by U.S. persons for purposes of determining whether the subsidiary REIT is itself a domestically controlled qualified investment entity (and, therefore, a domestically controlled REIT), thereby enabling such foreign investors to avail themselves of certain tax benefits under the Foreign Investment in Real Property Tax Act of 1980 that may not otherwise be available.</w:t>
      </w:r>
    </w:p>
    <w:p>
      <w:pPr>
        <w:spacing w:after="0" w:line="4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The Declaration of Trust contains provisions that restrict the ownership and transfer of shares and are designed to assist us prospectively in qualifying as a domestically controlled qualified investment entity. Specifically, if any transfer or non-transfer event involving our capital shares would result in Vornado failing to qualify as a domestically controlled qualified investment entity, the purported transferee or affected holder will be a “prohibited owner” and would not acquire any right or interest in those shares.</w:t>
      </w:r>
    </w:p>
    <w:p>
      <w:pPr>
        <w:spacing w:after="0" w:line="46"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Issuance of Excess Shares If the Ownership Limits Are Violated. </w:t>
      </w:r>
      <w:r>
        <w:rPr>
          <w:rFonts w:ascii="Times New Roman" w:cs="Times New Roman" w:eastAsia="Times New Roman" w:hAnsi="Times New Roman"/>
          <w:sz w:val="17"/>
          <w:szCs w:val="17"/>
          <w:color w:val="auto"/>
        </w:rPr>
        <w:t>The Declaration of Trust provides that a transfer of Common Shares that would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otherwise result in ownership, under the applicable attribution rules of the Code, of Common Shares in excess of the common shares beneficial ownership limit or the constructive ownership limit, or which would cause the shares of beneficial interest of Vornado to be beneficially owned by fewer than 100 persons, will be void and the purported transferee will acquire no rights or economic interest in the Common Shares. In addition, the Declaration of Trust provides that Common Shares that would otherwise be owned, under the applicable attribution rules of the Code, in excess of the common shares beneficial ownership limit or the constructive ownership limit will be automatically exchanged for excess shares. The Declaration of Trust further provides that, if there is a purported transfer or any other event that would, if effective, result in Vornado failing to qualify as a domestically controlled qualified investment entity, then the smallest number of Common Shares owned or purported to be owned, directly or indirectly within the meaning of Section 897(h)(4)(B) of the Code, by the purported transferee or affected holder which, if exchanged for excess shares, would not cause Vornado to fail to qualify as a domestically controlled qualified investment entity shall be automatically exchanged for an equal number of excess shares. These excess shares will be transferred, by operation of law, to Vornado as trustee of a trust for the exclusive benefit of a beneficiary designated by the purported transferee or purported holder. While so held in trust, excess shares are not entitled to vote and are not entitled to participate in any dividends or distributions made by Vornado. Any dividends or distributions received by the purported transferee or other purported holder of the excess shares before Vornado discovers the automatic exchange for excess shares must be repaid to Vornado upon demand.</w:t>
      </w:r>
    </w:p>
    <w:p>
      <w:pPr>
        <w:spacing w:after="0" w:line="277"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If the purported transferee or purported holder elects to designate a beneficiary of an interest in the trust with respect to the excess shares, he or she may designate only a person whose ownership of the shares will not violate the common shares beneficial ownership limit or the constructive ownership limit. When the designation is made, the excess shares will be automatically exchanged for Common Shares. The Declaration of Trust contains provisions designed to ensure that the purported transferee or other purported holder of the excess shares may not receive, in return for transferring an interest in the trust with respect to the excess shares, an amount that reflects any appreciation in the Common Shares for which the excess shares were exchanged during the period that the excess shares were outstanding but will bear the burden of any decline in value during that period. Any amount received by a purported transferee or other purported holder for designating a beneficiary in excess of the amount permitted to be received must be turned over to Vornado. The Declaration of Trust provides that Vornado, or its designee, may purchase any excess shares that have been automatically exchanged for Common Shares as a result of a purported transfer or other event. The price at which Vornado, or its designee, may purchase the excess shares will be equal to the lesser of:</w:t>
      </w:r>
    </w:p>
    <w:p>
      <w:pPr>
        <w:spacing w:after="0" w:line="44" w:lineRule="exact"/>
        <w:rPr>
          <w:sz w:val="20"/>
          <w:szCs w:val="20"/>
          <w:color w:val="auto"/>
        </w:rPr>
      </w:pPr>
    </w:p>
    <w:p>
      <w:pPr>
        <w:jc w:val="both"/>
        <w:ind w:left="940" w:hanging="306"/>
        <w:spacing w:after="0" w:line="276" w:lineRule="auto"/>
        <w:tabs>
          <w:tab w:leader="none" w:pos="936"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excess shares resulting from a purported transfer for value, the price per share in the purported transfer that resulted in the automatic exchange for excess shares, or in the case of excess shares resulting from some other event, the market price of the Common Shares exchanged on the date of the automatic exchange for excess shares; and</w:t>
      </w:r>
    </w:p>
    <w:p>
      <w:pPr>
        <w:spacing w:after="0" w:line="45" w:lineRule="exact"/>
        <w:rPr>
          <w:rFonts w:ascii="Times New Roman" w:cs="Times New Roman" w:eastAsia="Times New Roman" w:hAnsi="Times New Roman"/>
          <w:sz w:val="17"/>
          <w:szCs w:val="17"/>
          <w:color w:val="auto"/>
        </w:rPr>
      </w:pPr>
    </w:p>
    <w:p>
      <w:pPr>
        <w:ind w:left="860" w:hanging="226"/>
        <w:spacing w:after="0"/>
        <w:tabs>
          <w:tab w:leader="none" w:pos="86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the Common Shares exchanged for the excess shares on the date that Vornado accepts the deemed offer to sell the excess shares.</w:t>
      </w:r>
    </w:p>
    <w:p>
      <w:pPr>
        <w:spacing w:after="0" w:line="10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Vornado’s right to buy the excess shares will exist for 90 days, beginning on the date that the automatic exchange for excess shares occurred or, if Vornado did not receive a notice concerning the purported transfer that resulted in the automatic exchange for excess shares, the date on which the Board of Trustees determines in good faith that an exchange for excess shares has occurred.</w:t>
      </w:r>
    </w:p>
    <w:p>
      <w:pPr>
        <w:spacing w:after="0" w:line="29"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Provisions Concerning the Restrictions on Ownership. </w:t>
      </w:r>
      <w:r>
        <w:rPr>
          <w:rFonts w:ascii="Times New Roman" w:cs="Times New Roman" w:eastAsia="Times New Roman" w:hAnsi="Times New Roman"/>
          <w:sz w:val="17"/>
          <w:szCs w:val="17"/>
          <w:color w:val="auto"/>
        </w:rPr>
        <w:t>Our Board of Trustees may exempt persons from the common shares beneficial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ownership limit or the constructive ownership limit, including the limitations applicable to holders who owned in excess of 6.7% of the Common Shares immediately after the merger of Vornado, Inc. into Vornado in May 1993, if evidence satisfactory to the Board of Trustees is presented showing that the exemption will not jeopardize Vornado’s status as a REIT under the Code. No exemption to a person that is an individual for purposes of Section 542(a)(2) of the Code, however, may permit the individual to have beneficial ownership in excess of 9.9% of the outstanding shares of the class. Before granting an exemption of this kind, the Board of Trustees is required to obtain a ruling from the IRS or an opinion of counsel satisfactory to it and representations and undertakings, including representations, from the applicant, that demonstrate, to the reasonable satisfaction of the Board of Trustees, that such ownership would not jeopardize the REIT status of Vornado.</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680" w:right="339" w:bottom="1440" w:gutter="0" w:footer="0" w:header="0"/>
        </w:sectPr>
      </w:pPr>
    </w:p>
    <w:bookmarkStart w:id="135" w:name="page136"/>
    <w:bookmarkEnd w:id="135"/>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foregoing restrictions on transfer and ownership will not apply if the Board of Trustees determines that it is no longer in the best interests of Vornado to attempt to qualify, or to continue to qualify, as a REIT.</w:t>
      </w:r>
    </w:p>
    <w:p>
      <w:pPr>
        <w:spacing w:after="0" w:line="16"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All persons who own, directly or by virtue of the applicable attribution rules of the Code, more than 2.0% of the outstanding Common Shares must give a written notice to Vornado containing the information specified in the Declaration of Trust by January 31 of each year. In addition, each shareholder will be required to disclose to Vornado upon demand any information that Vornado may request, in good faith, to determine Vornado’s status as a REIT or to comply with Treasury regulations promulgated under the REIT provisions of the Code.</w:t>
      </w:r>
    </w:p>
    <w:p>
      <w:pPr>
        <w:spacing w:after="0" w:line="5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ownership restrictions described above may have the effect of precluding acquisition of control of Vornado unless the Vornado Board determines that maintenance of REIT status is no longer in the best interests of Vornado.</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  Preferred Shares of beneficial interest, no par value</w:t>
      </w:r>
    </w:p>
    <w:p>
      <w:pPr>
        <w:spacing w:after="0" w:line="95"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Declaration of Trust authorizes the issuance of 110,000,000 preferred shares. Of the 110,000,000 authorized preferred shares, as of December 31, 2025, the Declaration of Trust authorizes Vornado to issue:</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8,450 as $3.25 Series A Convertible Preferred Shares (the “Series A Convertible Preferred Shares”);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3,200,000 as Series D-10 7.00% Cumulative Redeemable Preferred Shares;</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1,400,000 as Series D-11 7.20% Cumulative Redeemable Preferred Shares;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800,000 as Series D-12 6.55% Cumulative Redeemable Preferred Shares;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4,000,000 as Series D-14 6.75% Cumulative Redeemable Preferred Shares;</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1,800,000 as Series D-15 6.875% Cumulative Redeemable Preferred Shares;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13,800,000 as 5.40% Series L Cumulative Redeemable Preferred Shares (the “Series L Preferred Shares”);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13,800,000 as 5.25% Series M Cumulative Redeemable Preferred Shares (the “Series M Preferred Shares”);</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12,000,000 as 5.25% Series N Cumulative Redeemable Preferred Shares (the “Series N Preferred Shares”); and</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12,000,000 as 4.45% Series O Cumulative Redeemable Preferred Shares (the “Series O Preferred Shares”).</w:t>
      </w:r>
    </w:p>
    <w:p>
      <w:pPr>
        <w:spacing w:after="0" w:line="119"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17"/>
          <w:szCs w:val="17"/>
          <w:color w:val="auto"/>
        </w:rPr>
        <w:t>As of December 31, 2025, 8,450 of $3.25 Series A Convertible Preferred Shares, 12,000,000 of 5.40% Series L Preferred Shares, 12,780,000 of 5.25% Series M Preferred Shares, 12,000,000 of 5.25% Series N Preferred Shares, 12,000,000 of 4.45% Series O Preferred Shares and no other series of preferred shares, were issued and outstanding. Series D-10 7.00% Cumulative Redeemable Preferred Shares, Series D-11 7.20% Cumulative Redeemable Preferred Shares, Series D-12 6.55% Cumulative Redeemable Preferred Shares, Series D-14 6.75% Cumulative Redeemable Preferred Shares or Series D-15 6.875% Cumulative Redeemable Preferred Shares may be issued upon the redemption of preferred units of limited partnership interest of Vornado Realty L.P. of a corresponding series.</w:t>
      </w:r>
    </w:p>
    <w:p>
      <w:pPr>
        <w:spacing w:after="0" w:line="253"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Item 601(b)(4)(vi) of Regulation S-K requires a description of each class of equity securities registered under Section 12 of the Securities Exchange Act of 1934, as amended, or the Exchange Act. Accordingly, the only series of preferred shares described below are the Series A Convertible Preferred Shares and the Series L, M, N and O Preferred Shares.</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Dividend Rights</w:t>
      </w:r>
    </w:p>
    <w:p>
      <w:pPr>
        <w:spacing w:after="0" w:line="11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Dividends on the Series A Convertible Preferred Shares are cumulative from the date of original issue of this series and payable quarterly in arrears on January 1, April 1, July 1 and October 1 of each year, commencing on July 1, 1997, at the rate of $3.25 per Series A Convertible Preferred Share per annum.</w:t>
      </w:r>
    </w:p>
    <w:p>
      <w:pPr>
        <w:spacing w:after="0" w:line="29"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Dividends on the Series L Preferred Shares are cumulative from the date of original issue of this series and payable quarterly in arrears on January 1, April 1, July 1 and October 1 of each year, commencing April 1, 2013, at the rate of 5.40% of the liquidation preference per annum, or $1.35 per Series L Preferred Share per annum.</w:t>
      </w:r>
    </w:p>
    <w:p>
      <w:pPr>
        <w:spacing w:after="0" w:line="33"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Dividends on the Series M Preferred Shares are cumulative from the date of original issue of this series and payable quarterly in arrears on January 1, April 1, July 1 and October 1 of each year, commencing on April 1, 2018, at the rate of 5.25% of the liquidation preference per annum, or $1.3125 per Series M Preferred Share per annum.</w:t>
      </w:r>
    </w:p>
    <w:p>
      <w:pPr>
        <w:spacing w:after="0" w:line="4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Dividends on the Series N Preferred Shares are cumulative from the date of original issue of this series and payable quarterly in arrears on January 1, April 1, July 1 and October 1 of each year, commencing on January 1, 2021, at the rate of 5.25% of the liquidation preference per annum, or $1.3125 per Series N Preferred Share per annum.</w:t>
      </w:r>
    </w:p>
    <w:p>
      <w:pPr>
        <w:spacing w:after="0" w:line="4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Dividends on the Series O Preferred Shares are cumulative from the date of original issue of this series and payable quarterly in arrears on January 1, April 1, July 1 and October 1 of each year, commencing on January 1, 2022, at the rate of 4.45% of the liquidation preference per annum, or $1.1125 per Series O Preferred Share per annum.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684" w:right="339" w:bottom="1440" w:gutter="0" w:footer="0" w:header="0"/>
        </w:sectPr>
      </w:pPr>
    </w:p>
    <w:bookmarkStart w:id="136" w:name="page137"/>
    <w:bookmarkEnd w:id="136"/>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Redemption at Option of Vornado</w:t>
      </w:r>
    </w:p>
    <w:p>
      <w:pPr>
        <w:spacing w:after="0" w:line="97"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The Series A Convertible Preferred Shares are currently redeemable by the Company, in whole or in part, at the option of the Company, for such number of Common Shares as are issuable at the initial conversion rate of 0.68728 Common Share for each Series A Convertible Preferred Share, subject to adjustment in certain circumstances. The conversion rate as of December 31, 2025 is 1.9531 Common Share for each Series A Convertible Preferred Share. The Company may exercise this option only if for 20 trading days within any period of 30 consecutive trading days, including the last trading day of such period, the closing price of the Common Shares on the New York Stock Exchange ("NYSE") exceeds $87.30 per share, subject to adjustment in certain circumstances. In order to exercise its redemption option, the Company must issue a press release announcing the redemption prior to the opening of business on the second trading day after the conditions described in the preceding sentences have, from time to time, been met. The Series A Convertible Preferred Shares are not redeemable for cash.</w:t>
      </w:r>
    </w:p>
    <w:p>
      <w:pPr>
        <w:spacing w:after="0" w:line="269"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We may redeem the Series L Preferred Shares in whole at any time or in part from time to time at a redemption price of $25.00 per share, plus any accrued and unpaid dividends through the date of redemption. The Series L Preferred Shares have no maturity date and will remain outstanding indefinitely unless redeemed. We are not required to set aside funds to redeem the Series L Preferred Shares.</w:t>
      </w:r>
    </w:p>
    <w:p>
      <w:pPr>
        <w:spacing w:after="0" w:line="4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We may redeem the Series M Preferred Shares in whole at any time or in part from time to time at a redemption price of $25.00 per share, plus any accrued and unpaid dividends through the date of redemption. The Series M Preferred Shares have no maturity date and will remain outstanding indefinitely unless redeemed. We are not required to set aside funds to redeem the Series M Preferred Shares.</w:t>
      </w:r>
    </w:p>
    <w:p>
      <w:pPr>
        <w:spacing w:after="0" w:line="33"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We may redeem the Series N Preferred Shares in whole at any time or in part from time to time at a redemption price of $25.00 per share, plus any accrued and unpaid dividends through the date of redemption. The Series N Preferred Shares have no maturity date and will remain outstanding indefinitely unless redeemed. We are not required to set aside funds to redeem the Series N Preferred Shares.</w:t>
      </w:r>
    </w:p>
    <w:p>
      <w:pPr>
        <w:spacing w:after="0" w:line="46"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Except in instances relating to preservation of our status as a real estate investment trust, the Series O Preferred Shares are not redeemable until September 22, 2026. On and after September 22, 2026, we may redeem the Series O Preferred Shares in whole at any time or in part from time to time at a redemption price of $25.00 per share, plus any accrued and unpaid dividends through the date of redemption. The Series O Preferred Shares have no maturity date and will remain outstanding indefinitely unless redeemed. We are not required to set aside funds to redeem the Series O Preferred Shares.</w:t>
      </w:r>
    </w:p>
    <w:p>
      <w:pPr>
        <w:spacing w:after="0" w:line="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Liquidation Preference</w:t>
      </w:r>
    </w:p>
    <w:p>
      <w:pPr>
        <w:spacing w:after="0" w:line="97"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The holders of Series A Convertible Preferred Shares will be entitled to receive in the event of any liquidation, dissolution or winding up of Vornado, whether voluntary or involuntary, $50.00 per Series A Convertible Preferred Share, and the holders of Series L, M, N and O Preferred Shares will be entitled to receive in the event of any liquidation, dissolution or winding up of Vornado, whether voluntary or involuntary, $25.00 per Preferred Share (such amounts, the "Liquidation Preference") plus an amount per Preferred Share equal to all dividends (whether or not earned or declared) accrued and unpaid thereon to the date of final distribution to such holders.</w:t>
      </w:r>
    </w:p>
    <w:p>
      <w:pPr>
        <w:spacing w:after="0" w:line="5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Until the holders of the Series A Convertible Preferred Shares and the Series L, M, N and O Preferred Shares have been paid the Liquidation Preference and all accrued and unpaid dividends in full, no payment will be made to any holder of Junior Shares upon the liquidation, dissolution or winding up of Vornado. If, upon any liquidation, dissolution or winding up of Vornado, the assets of Vornado, or proceeds thereof, distributable among the holders of the Parity Shares (as defined below under "—Ranking") are insufficient to pay in full the Liquidation Preference and all accrued and unpaid dividends and the liquidation preference and all accrued and unpaid dividends with respect to any other shares of Parity Shares, then such assets, or the proceeds thereof, will be distributed among the holders of Preferred Shares and any such Parity Shares ratably in accordance with the respective amounts which would be payable on such Preferred Shares and any such Parity Shares if all amounts payable thereon were paid in full. None of (i) a consolidation or merger of Vornado with one or more entities, (ii) a statutory share exchange by Vornado or (iii) a sale or transfer of all or substantially all of Vornado's assets will be considered a liquidation, dissolution or winding up, voluntary or involuntary, of Vornado.</w:t>
      </w:r>
    </w:p>
    <w:p>
      <w:pPr>
        <w:spacing w:after="0" w:line="57"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term "Junior Shares" means the Common Shares, and any other class of capital stock of Vornado now or hereafter issued and outstanding that ranks junior as to the payment of dividends or amounts upon liquidation, dissolution and winding up to the Series A Convertible Preferred Shares and the Series L, M, N and O Preferred Shares.</w:t>
      </w: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Ranking</w:t>
      </w:r>
    </w:p>
    <w:p>
      <w:pPr>
        <w:spacing w:after="0" w:line="110"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The Series A Convertible Preferred Shares and the Series L, M, N and O Preferred Shares rank senior to the Junior Shares, including the Common Shares, with respect to payment of dividends and amounts upon liquidation, dissolution or winding up. While any Series A Convertible Preferred Shares or any L, M, N or O Preferred Shares are outstanding, we may not authorize, create or increase the authorized amount of any class or series of beneficial interest that ranks senior to the Series A Convertible Preferred Shares or the Series L, M, N and O Preferred Shares with respect to the payment of amounts upon liquidation, dissolution or winding up without the consent of the holders of two-thirds of the outstanding Series A Convertible Preferred Shares, and the Series L, M, N and O Preferred Shares and all other shares of Voting Preferred Shares (as defined under "—Voting Rights" below), voting as a single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680" w:right="339" w:bottom="1440" w:gutter="0" w:footer="0" w:header="0"/>
        </w:sectPr>
      </w:pPr>
    </w:p>
    <w:bookmarkStart w:id="137" w:name="page138"/>
    <w:bookmarkEnd w:id="137"/>
    <w:p>
      <w:pPr>
        <w:jc w:val="both"/>
        <w:spacing w:after="0" w:line="270" w:lineRule="auto"/>
        <w:rPr>
          <w:sz w:val="20"/>
          <w:szCs w:val="20"/>
          <w:color w:val="auto"/>
        </w:rPr>
      </w:pPr>
      <w:r>
        <w:rPr>
          <w:rFonts w:ascii="Times New Roman" w:cs="Times New Roman" w:eastAsia="Times New Roman" w:hAnsi="Times New Roman"/>
          <w:sz w:val="17"/>
          <w:szCs w:val="17"/>
          <w:color w:val="auto"/>
        </w:rPr>
        <w:t>class. However, we may create additional classes of beneficial interest, increase the authorized number of Preferred Shares or issue series of Preferred Shares ranking on parity with the Series A Convertible Preferred Shares or the Series L, M, N or O Preferred Shares with respect, in each case, to the payment of dividends and amounts upon liquidation, dissolution or winding up ("Parity Shares") without the consent of any holder of Series A Convertible Preferred Shares or Series L, M, N or O Preferred Shares.</w:t>
      </w:r>
    </w:p>
    <w:p>
      <w:pPr>
        <w:spacing w:after="0" w:line="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110"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17"/>
          <w:szCs w:val="17"/>
          <w:color w:val="auto"/>
        </w:rPr>
        <w:t>The holders of the Series A Convertible Preferred Shares and the L, M, N and O Preferred Shares will generally have no voting rights. However, if dividends on any series of the Preferred Shares upon which like voting rights have been conferred and are exercisable, (together with the Series A Convertible Preferred Shares and the L, M, N and O Preferred Shares, the “Voting Preferred Shares”) are in arrears for six quarterly dividend periods (whether or not consecutive), the holders of the Voting Preferred Shares (voting separately as a class with holders of all other series of parity preferred shares upon which like voting rights have been conferred and are exercisable) will have the right to elect two additional trustees to serve on our Board of Trustees until such dividend arrearage is eliminated.</w:t>
      </w:r>
    </w:p>
    <w:p>
      <w:pPr>
        <w:spacing w:after="0" w:line="5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The approval of two-thirds of the votes entitled to be cast by the holders of outstanding Series A Convertible Preferred Shares and all other series of Voting Preferred Shares, acting as a single class either at a meeting of shareholders or by written consent, is required in order to (i) amend, alter or repeal any of the provisions of the Declaration of Trust to materially and adversely affect the voting powers, rights or preferences of the Series A Convertible Preferred Shares and the Voting Preferred Shares; provided that any filing with the State Department of Assessments and Taxation of Maryland in connection with a merger, consolidation or sale of all or substantially all the assets of Vornado shall not be deemed to be an amendment, alteration or repeal of any provisions of the Declaration of Trust, or (ii) to authorize, create, or increase the authorized amount of, any shares of any class or series or any security convertible into shares of any class or series having rights senior to the Series A Convertible Preferred Shares with respect to the payment of dividends or amounts upon liquidation, dissolution or winding up.</w:t>
      </w:r>
    </w:p>
    <w:p>
      <w:pPr>
        <w:spacing w:after="0" w:line="256"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The approval of two-thirds of the votes entitled to be cast by the holders of outstanding Series L, M, N and O Preferred Shares and all other series of Voting Preferred Shares, acting as a single class either at a meeting of shareholders or by written consent, is required in order (i) to amend, alter or repeal any provisions of the Declaration of Trust, whether by merger, consolidation or otherwise, to affect materially and adversely the voting powers, rights or preferences of the holders of the Series L, M, N or O Preferred Shares, unless in connection with any such amendment, alteration or repeal, each such share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identical to those of the applicable Preferred Shares (except for changes that do not materially and adversely affect the holders of such shares), or (ii) to authorize, create, or increase the authorized amount of, any class or series of beneficial interest having rights senior to the Series L, M, N or O Preferred Shares with respect to the payment of dividends or amounts upon liquidation, dissolution or winding up.</w:t>
      </w:r>
    </w:p>
    <w:p>
      <w:pPr>
        <w:spacing w:after="0" w:line="57"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For all Voting Preferred Shares, if such amendment affects materially and adversely the rights, preferences, privileges or voting powers of one or more but not all of the series of Voting Preferred Shares, then only the consent of the holders of at least two-thirds of the votes entitled to be cast by the series so affected is required in lieu of the consent of the holders of two-thirds of the Voting Preferred Shares as a class.</w:t>
      </w:r>
    </w:p>
    <w:p>
      <w:pPr>
        <w:spacing w:after="0" w:line="46"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17"/>
          <w:szCs w:val="17"/>
          <w:color w:val="auto"/>
        </w:rPr>
        <w:t>We may create additional classes of shares that rank junior to or on parity with the Series A Convertible Preferred Shares or the Series L, M, N and O Preferred Shares, increase the authorized number of shares of classes that rank junior to or on parity with the Series A Convertible Preferred Shares or the Series L, M, N and O Preferred Shares and issue additional shares of classes that rank junior to or on parity with the Series A Convertible Preferred Shares or the Series L, M, N and O Preferred Shares without the consent of any holder of the Series A Convertible Preferred Shares or the Series L, M, N and O Preferred Shares.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Listing of Preferred Shares</w:t>
      </w:r>
    </w:p>
    <w:p>
      <w:pPr>
        <w:spacing w:after="0" w:line="11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As of the date of filing of this Exhibit 4.3, our Series L, M, N and O Preferred Shares are listed on the New York Stock Exchange under the symbols “VNO Pr L,” “VNO Pr M,” “VNO Pr N,” and “VNO Pr O,” respectively.</w:t>
      </w:r>
    </w:p>
    <w:p>
      <w:pPr>
        <w:spacing w:after="0" w:line="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Conversion Rights</w:t>
      </w:r>
    </w:p>
    <w:p>
      <w:pPr>
        <w:spacing w:after="0" w:line="97"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Series A Convertible A Preferred Shares are convertible, in whole or in part, at the option of the holder at any time, unless previously redeemed, into Common Shares, at an initial conversion price of $72.75 of Liquidation Preference per Common Share, subject to adjustment in certain circumstances. As of December 31, 2025, the conversion price is $1.9531 per Common Share.</w:t>
      </w:r>
    </w:p>
    <w:p>
      <w:pPr>
        <w:spacing w:after="0" w:line="46" w:lineRule="exact"/>
        <w:rPr>
          <w:sz w:val="20"/>
          <w:szCs w:val="20"/>
          <w:color w:val="auto"/>
        </w:rPr>
      </w:pPr>
    </w:p>
    <w:p>
      <w:pPr>
        <w:ind w:left="400" w:right="1400" w:firstLine="236"/>
        <w:spacing w:after="0" w:line="361" w:lineRule="auto"/>
        <w:rPr>
          <w:sz w:val="20"/>
          <w:szCs w:val="20"/>
          <w:color w:val="auto"/>
        </w:rPr>
      </w:pPr>
      <w:r>
        <w:rPr>
          <w:rFonts w:ascii="Times New Roman" w:cs="Times New Roman" w:eastAsia="Times New Roman" w:hAnsi="Times New Roman"/>
          <w:sz w:val="17"/>
          <w:szCs w:val="17"/>
          <w:color w:val="auto"/>
        </w:rPr>
        <w:t xml:space="preserve">The Series L, M, N and O Preferred Shares are not convertible into or exchangeable for any other property or securities of Vornado. </w:t>
      </w:r>
      <w:r>
        <w:rPr>
          <w:rFonts w:ascii="Times New Roman" w:cs="Times New Roman" w:eastAsia="Times New Roman" w:hAnsi="Times New Roman"/>
          <w:sz w:val="17"/>
          <w:szCs w:val="17"/>
          <w:b w:val="1"/>
          <w:bCs w:val="1"/>
          <w:i w:val="1"/>
          <w:iCs w:val="1"/>
          <w:color w:val="auto"/>
        </w:rPr>
        <w:t>Restrictions on Ownership of Preferred Shares</w:t>
      </w:r>
    </w:p>
    <w:p>
      <w:pPr>
        <w:spacing w:after="0" w:line="1"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As noted above, for us to maintain our qualification as a REIT under the Code, not more than 50% in value of our outstanding shares of beneficial interest may be owned, beneficially or constructively, by five or fewer individuals (as defined in the Code to include certain entities) at any time during the last half of a taxable year, and the shares of beneficial interest must be beneficially owned by 100 or more persons during at least 335 days of a taxable year of 12 months (or during a proportionate part of 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684" w:right="339" w:bottom="1440" w:gutter="0" w:footer="0" w:header="0"/>
        </w:sectPr>
      </w:pPr>
    </w:p>
    <w:bookmarkStart w:id="138" w:name="page139"/>
    <w:bookmarkEnd w:id="138"/>
    <w:p>
      <w:pPr>
        <w:jc w:val="both"/>
        <w:spacing w:after="0" w:line="296" w:lineRule="auto"/>
        <w:rPr>
          <w:sz w:val="20"/>
          <w:szCs w:val="20"/>
          <w:color w:val="auto"/>
        </w:rPr>
      </w:pPr>
      <w:r>
        <w:rPr>
          <w:rFonts w:ascii="Times New Roman" w:cs="Times New Roman" w:eastAsia="Times New Roman" w:hAnsi="Times New Roman"/>
          <w:sz w:val="17"/>
          <w:szCs w:val="17"/>
          <w:color w:val="auto"/>
        </w:rPr>
        <w:t>shorter taxable year). For this and other reasons, the Declaration of Trust and the Articles Supplementary for each series of Preferred Shares contain provisions that restrict the ownership and transfer of shares of beneficial interest.</w:t>
      </w:r>
    </w:p>
    <w:p>
      <w:pPr>
        <w:spacing w:after="0" w:line="16" w:lineRule="exact"/>
        <w:rPr>
          <w:sz w:val="20"/>
          <w:szCs w:val="20"/>
          <w:color w:val="auto"/>
        </w:rPr>
      </w:pPr>
    </w:p>
    <w:p>
      <w:pPr>
        <w:jc w:val="both"/>
        <w:ind w:firstLine="629"/>
        <w:spacing w:after="0" w:line="261" w:lineRule="auto"/>
        <w:rPr>
          <w:sz w:val="20"/>
          <w:szCs w:val="20"/>
          <w:color w:val="auto"/>
        </w:rPr>
      </w:pPr>
      <w:r>
        <w:rPr>
          <w:rFonts w:ascii="Times New Roman" w:cs="Times New Roman" w:eastAsia="Times New Roman" w:hAnsi="Times New Roman"/>
          <w:sz w:val="17"/>
          <w:szCs w:val="17"/>
          <w:color w:val="auto"/>
        </w:rPr>
        <w:t>Our Declaration of Trust contains a Preferred Share ownership limit that restricts shareholders from owning, under the applicable attribution rules of the Code, more than 9.9% of the outstanding Preferred Shares of any class or series and a Common Share ownership limit that generally restricts shareholders from owning, under the applicable attribution rules of the Code, more than 6.7% of the Outstanding Common Shares. In addition, our Declaration of Trust contains provisions that limit ownership under the applicable attribution rules of the Code of our Preferred Shares and our Common Shares to the extent that such ownership of such shares would cause us to fail to qualify as a “domestically controlled qualified investment entity” within the meaning of Section 897(h)</w:t>
      </w:r>
    </w:p>
    <w:p>
      <w:pPr>
        <w:spacing w:after="0" w:line="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(4)(B) of the Code. Shares owned in excess of any of these limits will be automatically exchanged for excess shares pursuant to our Declaration of Trust. Excess shares will be held in trust by us and, while held in trust, will not be entitled to vote or participate in dividends or distributions made by us.</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(c) Certain Provisions of Maryland Law and of our Declaration of Trust and our bylaws</w:t>
      </w:r>
    </w:p>
    <w:p>
      <w:pPr>
        <w:spacing w:after="0" w:line="108"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following description of certain provisions of Maryland law and of our Declaration of Trust and bylaws is only a summary. For a complete description, we refer you to Maryland law, our Declaration of Trust and our bylaws.</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Board of Trustees</w:t>
      </w:r>
    </w:p>
    <w:p>
      <w:pPr>
        <w:spacing w:after="0" w:line="110"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17"/>
          <w:szCs w:val="17"/>
          <w:color w:val="auto"/>
        </w:rPr>
        <w:t>Our Declaration of Trust provides that the number of trustees of the Company will not be more than fifteen and may be increased or decreased by a vote of the trustees then in office. Our bylaws provide that any vacancy on the Board may be filled only by a majority of the remaining trustees, even if the remaining trustees do not constitute a quorum. Any trustee elected to fill a vacancy will hold office for the remainder of the full term of the class of trustees in which the vacancy occurred and until a successor is duly elected and qualifies. Pursuant to our Declaration of Trust and bylaws, each member of our Board of Trustees is elected by our shareholders to serve until the next annual meeting of shareholders and until his or her successor is duly elected and qualifies. Holders of Common Shares have no right to cumulative voting in the election of trustees and trustees will be elected by a plurality of the votes cast in the election of trustees.</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Removal of Trustees</w:t>
      </w:r>
    </w:p>
    <w:p>
      <w:pPr>
        <w:spacing w:after="0" w:line="97"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Our Declaration of Trust provides that a trustee may be removed only for cause and only by the affirmative vote of at least two-thirds of the votes entitled to be cast in the election of trustees. This provision, when coupled with the provision in our bylaws authorizing the Board of Trustees to fill vacant trusteeships, precludes shareholders from removing incumbent trustees except for cause and by a substantial affirmative vote and thereafter filling the vacancies created by the removal with their own nominees.</w:t>
      </w:r>
    </w:p>
    <w:p>
      <w:pPr>
        <w:spacing w:after="0" w:line="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10"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Under Maryland law, "business combinations" between a Maryland real estate investment trust and an interested shareholder or an affiliate of an interested shareholder are prohibited for five years after the most recent date on which the interested shareholder becomes an interested shareholder. These business combinations include a merger, consolidation, share exchange, or, in circumstances specified in the statute, an asset transfer or issuance or reclassification of equity securities. An interested shareholder is defined as:</w:t>
      </w:r>
    </w:p>
    <w:p>
      <w:pPr>
        <w:spacing w:after="0" w:line="37" w:lineRule="exact"/>
        <w:rPr>
          <w:sz w:val="20"/>
          <w:szCs w:val="20"/>
          <w:color w:val="auto"/>
        </w:rPr>
      </w:pPr>
    </w:p>
    <w:p>
      <w:pPr>
        <w:ind w:left="940" w:hanging="306"/>
        <w:spacing w:after="0"/>
        <w:tabs>
          <w:tab w:leader="none" w:pos="9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beneficially owns, directly or indirectly, ten percent or more of the voting power of the trust's outstanding shares; or</w:t>
      </w:r>
    </w:p>
    <w:p>
      <w:pPr>
        <w:spacing w:after="0" w:line="105" w:lineRule="exact"/>
        <w:rPr>
          <w:rFonts w:ascii="Times New Roman" w:cs="Times New Roman" w:eastAsia="Times New Roman" w:hAnsi="Times New Roman"/>
          <w:sz w:val="17"/>
          <w:szCs w:val="17"/>
          <w:color w:val="auto"/>
        </w:rPr>
      </w:pPr>
    </w:p>
    <w:p>
      <w:pPr>
        <w:ind w:left="940" w:hanging="306"/>
        <w:spacing w:after="0" w:line="296" w:lineRule="auto"/>
        <w:tabs>
          <w:tab w:leader="none" w:pos="936"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affiliate or associate of the trust who, at any time within the two-year period prior to the date in question, was the beneficial owner, directly or indirectly, of ten percent or more of the voting power of the then-outstanding voting shares of the trust.</w:t>
      </w:r>
    </w:p>
    <w:p>
      <w:pPr>
        <w:spacing w:after="0" w:line="29"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A person is not an interested shareholder under the statute if the Board of Trustees approved in advance the transaction by which the interested shareholder otherwise would have become an interested shareholder. However, in approving a transaction, the Board of Trustees may provide that its approval is subject to compliance, at or after the time of approval, with any terms and conditions determined by the Board.</w:t>
      </w:r>
    </w:p>
    <w:p>
      <w:pPr>
        <w:spacing w:after="0" w:line="33"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After the five-year prohibition, any business combination between the Maryland trust and an interested shareholder generally must be recommended by the Board of Trustees of the trust and approved by the affirmative vote of at least:</w:t>
      </w:r>
    </w:p>
    <w:p>
      <w:pPr>
        <w:spacing w:after="0" w:line="29" w:lineRule="exact"/>
        <w:rPr>
          <w:sz w:val="20"/>
          <w:szCs w:val="20"/>
          <w:color w:val="auto"/>
        </w:rPr>
      </w:pPr>
    </w:p>
    <w:p>
      <w:pPr>
        <w:ind w:left="940" w:hanging="306"/>
        <w:spacing w:after="0"/>
        <w:tabs>
          <w:tab w:leader="none" w:pos="9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 of the votes entitled to be cast by holders of outstanding shares of the trust; and</w:t>
      </w:r>
    </w:p>
    <w:p>
      <w:pPr>
        <w:spacing w:after="0" w:line="105" w:lineRule="exact"/>
        <w:rPr>
          <w:rFonts w:ascii="Times New Roman" w:cs="Times New Roman" w:eastAsia="Times New Roman" w:hAnsi="Times New Roman"/>
          <w:sz w:val="17"/>
          <w:szCs w:val="17"/>
          <w:color w:val="auto"/>
        </w:rPr>
      </w:pPr>
    </w:p>
    <w:p>
      <w:pPr>
        <w:ind w:left="940" w:hanging="306"/>
        <w:spacing w:after="0" w:line="296" w:lineRule="auto"/>
        <w:tabs>
          <w:tab w:leader="none" w:pos="936"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two-thirds of the votes entitled to be cast by holders of voting shares of the trust other than voting shares held by the interested shareholder with whom or with whose affiliate the business combination is to be effected or held by an affiliate or associate of the interested shareholder.</w:t>
      </w:r>
    </w:p>
    <w:p>
      <w:pPr>
        <w:spacing w:after="0" w:line="16"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These super-majority vote requirements do not apply if the holders of the trust's Common Shares receive a minimum price, as defined under Maryland law, for their shares in the form of cash or other consideration in the same form as previously paid by the interested shareholder for its shares.</w:t>
      </w:r>
    </w:p>
    <w:p>
      <w:pPr>
        <w:spacing w:after="0" w:line="29"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The statute permits various exemptions from its provisions, including business combinations that are exempted by the Board of Trustees before the time that the interested shareholder becomes an interested shareholder.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684" w:right="339" w:bottom="1440" w:gutter="0" w:footer="0" w:header="0"/>
        </w:sectPr>
      </w:pPr>
    </w:p>
    <w:bookmarkStart w:id="139" w:name="page140"/>
    <w:bookmarkEnd w:id="139"/>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Our Board of Trustees has adopted a resolution exempting any business combination between any trustee or officer of Vornado, or their affiliates, and Vornado. Consequently, the five-year prohibition and the super-majority vote requirements will not apply to business combinations between us and any of them. As a result, the trustees and officers of Vornado and their affiliates may be able to enter into business combinations with us without compliance with the super-majority vote requirements and the other provisions of the statute. With respect to business combinations with other persons, the business combination provisions of Maryland law may have the effect of delaying, deferring or preventing a change in control of Vornado or other transaction that might involve a premium price or otherwise be in the best interest of the shareholders. The business combination statute may discourage others from trying to acquire control of Vornado and increase the difficulty of consummating any offer.</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Control Share Acquisitions</w:t>
      </w:r>
    </w:p>
    <w:p>
      <w:pPr>
        <w:spacing w:after="0" w:line="110"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Maryland law provides that control shares of a Maryland real estate investment trust acquired in a control share acquisition have no voting rights except to the extent approved by a vote of two-thirds of the votes entitled to be cast on the matter. Shares owned by the acquiror, by officers or by employees who are trustees of the trust are excluded from shares entitled to vote on the matter. Control shares are voting shares which, if aggregated with all other shares owned by the acquiror or in respect of which the acquiror is able to exercise or direct the exercise of voting power (except solely by virtue of a revocable proxy), would entitle the acquiror to exercise voting power in electing trustees within one of the following ranges of voting power:</w:t>
      </w:r>
    </w:p>
    <w:p>
      <w:pPr>
        <w:spacing w:after="0" w:line="52" w:lineRule="exact"/>
        <w:rPr>
          <w:sz w:val="20"/>
          <w:szCs w:val="20"/>
          <w:color w:val="auto"/>
        </w:rPr>
      </w:pPr>
    </w:p>
    <w:p>
      <w:pPr>
        <w:ind w:left="1260" w:hanging="312"/>
        <w:spacing w:after="0"/>
        <w:tabs>
          <w:tab w:leader="none" w:pos="12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one-tenth or more but less than one-third,</w:t>
      </w:r>
    </w:p>
    <w:p>
      <w:pPr>
        <w:spacing w:after="0" w:line="92"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one-third or more but less than a majority, or</w:t>
      </w:r>
    </w:p>
    <w:p>
      <w:pPr>
        <w:spacing w:after="0" w:line="105"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or more of all voting power.</w:t>
      </w:r>
    </w:p>
    <w:p>
      <w:pPr>
        <w:spacing w:after="0" w:line="106"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Control shares do not include shares the acquiring person is then entitled to vote as a result of having previously obtained shareholder approval, or shares acquired directly from the trust. A control share acquisition means the acquisition of control shares, subject to certain exceptions.</w:t>
      </w:r>
    </w:p>
    <w:p>
      <w:pPr>
        <w:spacing w:after="0" w:line="16"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A person who has made or proposes to make a control share acquisition may compel the board of trustees of the trust to call a special meeting of shareholders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trust may itself present the question at any shareholders meeting.</w:t>
      </w:r>
    </w:p>
    <w:p>
      <w:pPr>
        <w:spacing w:after="0" w:line="5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If voting rights are not approved at the meeting or if the acquiring person does not deliver an acquiring person statement as required by the statute, then the trust may redeem for fair value any or all of the control shares, except those for which voting rights have previously been approved. The right of the trust to redeem control shares is subject to certain conditions and limitations. Fair value is determined, without regard to the absence of voting rights for the control shares, as of the date of the last control share acquisition by the acquiror or of any meeting of shareholders at which the voting rights of the shares are considered and not approved. If voting rights for control shares are approved at a shareholders meeting and the acquiror becomes entitled to vote a majority of the shares entitled to vote, all other shareholders may exercise appraisal rights. The fair value of the shares as determined for purposes of appraisal rights may not be less than the highest price per share paid by the acquiror in the control share acquisition.</w:t>
      </w:r>
    </w:p>
    <w:p>
      <w:pPr>
        <w:spacing w:after="0" w:line="59"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control share acquisition statute does not apply (a) to shares acquired in a merger, consolidation or share exchange if the trust is a party to the transaction, or (b) to acquisitions approved or exempted by the declaration of trust or bylaws of the trust.</w:t>
      </w:r>
    </w:p>
    <w:p>
      <w:pPr>
        <w:spacing w:after="0" w:line="16"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Our bylaws contain a provision exempting from the control share acquisition statute any and all acquisitions by any person of our shares. There can be no assurance that this provision will not be amended or eliminated at any time in the future.</w:t>
      </w:r>
    </w:p>
    <w:p>
      <w:pPr>
        <w:spacing w:after="0" w:line="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Approval of Extraordinary Trust Action; Amendment of Declaration of Trust and Bylaws</w:t>
      </w:r>
    </w:p>
    <w:p>
      <w:pPr>
        <w:spacing w:after="0" w:line="110"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17"/>
          <w:szCs w:val="17"/>
          <w:color w:val="auto"/>
        </w:rPr>
        <w:t>Under Maryland law, a Maryland real estate investment trust generally may not amend its declaration of trust, dissolve, merge or consolidate with or convert into another entity, sell all or substantially all of its assets or engage in a statutory share exchange, unless approved by the affirmative vote of shareholders holding at least two-thirds of the shares entitled to vote on the matter. However, a Maryland real estate investment trust may provide in its declaration of trust for approval of these matters by a lesser percentage, but not less than a majority of all of the votes entitled to be cast on the matter. Vornado may take any of these actions if approved by the Board of Trustees and by the affirmative vote of not less than a majority of all of the votes entitled to be cast on the matter. Similarly, our Declaration of Trust provides for approval of amendments by the affirmative vote of a majority of the votes entitled to be cast on the matter. Some limited exceptions (including amendments to the provisions of our Declaration of Trust related to the removal of trustees, ownership and transfer restrictions and amendments) require the affirmative vote of shareholders holding at least two-thirds of the shares entitled to vote on the matter.</w:t>
      </w:r>
    </w:p>
    <w:p>
      <w:pPr>
        <w:spacing w:after="0" w:line="48"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Under Maryland law, the declaration of trust of a Maryland real estate investment trust may permit the trustees, by a two-thirds vote, to amend the declaration of trust from time to time to qualify as a REIT under the Code or the Maryland REIT Law, without the affirmative vote or written consent of the shareholders. Our Declaration of Trust permits such action by the Board of Trustees. In addition, our Declaration of Trust, as permitted by Maryland law, contains a provision that permits our Board, without a shareholder vote, to amend the Declaration of Trust to increase or decrease the total number of shares of beneficial interest that we are authorized to issue and the number of authorized shares of any class or series of beneficial interest that we are authorized to issue.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684" w:right="339" w:bottom="1440" w:gutter="0" w:footer="0" w:header="0"/>
        </w:sectPr>
      </w:pPr>
    </w:p>
    <w:bookmarkStart w:id="140" w:name="page141"/>
    <w:bookmarkEnd w:id="140"/>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Board of Trustees has the right to adopt and amend the bylaws. Additionally, our bylaws provide that shareholders may adopt, alter or repeal any bylaw by the affirmative vote of a majority of the votes entitled to be cast on the matter, to the extent permitted by law.</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Advance Notice of Trustee Nominations and New Business</w:t>
      </w:r>
    </w:p>
    <w:p>
      <w:pPr>
        <w:spacing w:after="0" w:line="11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Our bylaws provide that with respect to an annual meeting of shareholders, nominations of persons for election to the Board of Trustees and the proposal of business to be considered by shareholders may be made only (i) pursuant to our notice of the meeting, (ii) by the Board of Trustees or (iii) by a shareholder or record who is entitled to vote at the meeting and who has complied with the advance notice procedures of our bylaws. With respect to special meetings of shareholders, only the business specified in our notice of the meeting may be brought before the meeting. Nominations of persons for election to the Board of Trustees at a special meeting may be made only (i) by the Board of Trustees, or (ii) pursuant to our notice of the meeting, provided that the Board of Trustees has determined that trustees will be elected at the meeting, by a shareholder of record who is entitled to vote at the meeting and who has complied with the advance notice provisions of our bylaws.</w:t>
      </w:r>
    </w:p>
    <w:p>
      <w:pPr>
        <w:spacing w:after="0" w:line="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Proxy Access Procedures for Qualifying Shareholders</w:t>
      </w:r>
    </w:p>
    <w:p>
      <w:pPr>
        <w:spacing w:after="0" w:line="97"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Our bylaws permit a shareholder, or a group of up to 20 stockholders, that owns 3% or more of our outstanding Common Shares, continuously for at least three years, to nominate and include in our proxy statement for an annual meeting of shareholders, trustee nominees constituting up to the greater of two nominees or 20% of our Board of Trustees, provided that the shareholder(s) and the trustee nominee(s) satisfy the requirements specified in our bylaws.</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Subtitle 8</w:t>
      </w:r>
    </w:p>
    <w:p>
      <w:pPr>
        <w:spacing w:after="0" w:line="110"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Maryland law permits a Maryland real estate investment trust with a class of equity securities registered under the Exchange Act and at least three independent trustees to elect, without shareholder approval, to classify our Board of Trustees.</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Anti-takeover Effect of Certain Provisions of Maryland Law and of the Declaration of Trust and Bylaws</w:t>
      </w:r>
    </w:p>
    <w:p>
      <w:pPr>
        <w:spacing w:after="0" w:line="110"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business combination provisions and, if the applicable provision in our bylaws is rescinded, the control share acquisition provisions of Maryland law, the provisions in our Declaration of Trust on removal of trustees and the advance notice provisions of our bylaws could delay, defer or prevent a transaction or a change in control of Vornado that might involve a premium price for holders of Common Shares or otherwise be in their best interest.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684"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9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DESCRIPTION OF CLASS A UNITS OF VORNADO REALTY L.P. AND</w:t>
      </w:r>
    </w:p>
    <w:p>
      <w:pPr>
        <w:spacing w:after="0" w:line="3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b w:val="1"/>
          <w:bCs w:val="1"/>
          <w:color w:val="auto"/>
        </w:rPr>
        <w:t>CERTAIN PROVISIONS OF ITS AGREEMENT OF LIMITED PARTNERSHIP</w:t>
      </w:r>
    </w:p>
    <w:p>
      <w:pPr>
        <w:spacing w:after="0" w:line="8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following description of the material terms of the class A units of Vornado Realty L.P., which we refer to as the “operating partnership,” and some material provisions of the operating partnership’s agreement of limited partnership, which we refer to as the “partnership agreement,” does not describe every aspect of the units or the partnership agreement and is only a summary of, and qualified in its entirety by reference to, applicable provisions of Delaware law and the partnership agreement. A copy of the partnership agreement is filed as an exhibit to the Annual Report on Form 10-K to which this Exhibit is attached.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Operating Partnership's Outstanding Classes of Units</w:t>
      </w:r>
    </w:p>
    <w:p>
      <w:pPr>
        <w:spacing w:after="0" w:line="95"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Holders of units, other than Vornado Realty Trust in its capacity as general partner, hold a limited partnership interest in the operating partnership. All holders of units, including Vornado Realty Trust in its capacity as general partner, are entitled to share in cash distributions from, and in the profits and losses of, the operating partnership.</w:t>
      </w:r>
    </w:p>
    <w:p>
      <w:pPr>
        <w:spacing w:after="0" w:line="4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Holders of units have the rights to which limited partners are entitled under the partnership agreement and the Delaware Revised Uniform Limited Partnership Act. Class A units are registered with the SEC under the Exchange Act. No other class of units is registered under Federal law and no units are registered under any state securities laws, and no units are listed on any exchange or quoted on any national market system. The partnership agreement imposes restrictions on the transfer of units. See "—Restrictions on Transfers of Units by Limited Partners" below for further information about these restrictions.</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2025, there were outstanding:</w:t>
      </w:r>
    </w:p>
    <w:p>
      <w:pPr>
        <w:spacing w:after="0" w:line="93" w:lineRule="exact"/>
        <w:rPr>
          <w:sz w:val="20"/>
          <w:szCs w:val="20"/>
          <w:color w:val="auto"/>
        </w:rPr>
      </w:pPr>
    </w:p>
    <w:p>
      <w:pPr>
        <w:ind w:left="940" w:hanging="306"/>
        <w:spacing w:after="0"/>
        <w:tabs>
          <w:tab w:leader="none" w:pos="9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8,450 series A preferred units;</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12,000,000 series L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12,780,000 series M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12,000,000 series N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12,000,000 series O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1,867,311 series D-13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141,400 series D-17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5,828 series G-1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14,424 series G-2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43,532 series G-3 preferred units;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72,776 series G-4 preferred units;</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21,003,359 restricted operating partnership units, including 14,484,260 performance conditioned appreciation-only long-term incentive plan units and 535,867 appreciation-only long-term incentive plan units issued in connection with out-performance plan awards; and</w:t>
      </w:r>
    </w:p>
    <w:p>
      <w:pPr>
        <w:ind w:left="940" w:hanging="306"/>
        <w:spacing w:after="0"/>
        <w:tabs>
          <w:tab w:leader="none" w:pos="9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201,771,490 Class A units, including 11,105,123 not held by Vornado Realty Trust.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Distributions with Respect to Units</w:t>
      </w:r>
    </w:p>
    <w:p>
      <w:pPr>
        <w:spacing w:after="0" w:line="108"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The partnership agreement provides for distributions, as determined in the manner provided in the partnership agreement, to Vornado Realty Trust and the limited partners in proportion to their percentage interests in the operating partnership, subject to the distribution preferences that are described in the next paragraph. As general partner of the operating partnership, Vornado Realty Trust has the exclusive right to declare and cause the operating partnership to make distributions as and when it deems appropriate or desirable in its discretion. For so long as Vornado Realty Trust elects to qualify as a REIT, it will make reasonable efforts, as determined by Vornado Realty Trust in its sole discretion, to make distributions to partners in amounts such that it will be able to pay shareholder dividends that will satisfy the requirements for qualification as a REIT and avoid any federal income or excise tax liability for Vornado Realty Trust.</w:t>
      </w:r>
    </w:p>
    <w:p>
      <w:pPr>
        <w:spacing w:after="0" w:line="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Distributions vary among the holders of different classes of units:</w:t>
      </w:r>
    </w:p>
    <w:p>
      <w:pPr>
        <w:spacing w:after="0" w:line="106" w:lineRule="exact"/>
        <w:rPr>
          <w:sz w:val="20"/>
          <w:szCs w:val="20"/>
          <w:color w:val="auto"/>
        </w:rPr>
      </w:pPr>
    </w:p>
    <w:p>
      <w:pPr>
        <w:jc w:val="both"/>
        <w:ind w:left="940" w:hanging="306"/>
        <w:spacing w:after="0" w:line="264" w:lineRule="auto"/>
        <w:tabs>
          <w:tab w:leader="none" w:pos="936"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A preferred units entitle Vornado Realty Trust as their holder to a cumulative preferential distribution at an annual rate of $3.25 per series A preferred unit, which we refer to as the "series A preferred distribution preference." The series A preferred units correspond to Vornado Realty Trust’s series A convertible preferred shares.</w:t>
      </w:r>
    </w:p>
    <w:p>
      <w:pPr>
        <w:spacing w:after="0" w:line="1"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L preferred units entitle their holder to a preferential distribution at the annual rate of $1.35 per unit, which we refer to as the "series L preferred distribution preference." The series L preferred units correspond to Vornado Realty Trust’s series L preferred shares.</w:t>
      </w:r>
    </w:p>
    <w:p>
      <w:pPr>
        <w:ind w:left="940" w:hanging="306"/>
        <w:spacing w:after="0" w:line="257" w:lineRule="auto"/>
        <w:tabs>
          <w:tab w:leader="none" w:pos="936"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M preferred units entitle their holder to a preferential distribution at the annual rate of $1.3125 per unit, which we refer to as the "series M preferred distribution preference." The series M preferred units correspond to Vornado Realty Trust's series M preferred shares.</w:t>
      </w:r>
    </w:p>
    <w:p>
      <w:pPr>
        <w:ind w:left="940" w:hanging="306"/>
        <w:spacing w:after="0" w:line="274" w:lineRule="auto"/>
        <w:tabs>
          <w:tab w:leader="none" w:pos="936"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N preferred units entitle their holder to a preferential distribution at the annual rate of $1.3125 per unit, which we refer to as the "series N preferred distribution preference." The series N preferred units correspond to Vornado Realty Trust's series N preferred shares.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682" w:right="339" w:bottom="1440" w:gutter="0" w:footer="0" w:header="0"/>
        </w:sectPr>
      </w:pPr>
    </w:p>
    <w:bookmarkStart w:id="142" w:name="page143"/>
    <w:bookmarkEnd w:id="142"/>
    <w:p>
      <w:pPr>
        <w:ind w:left="940" w:hanging="306"/>
        <w:spacing w:after="0" w:line="268" w:lineRule="auto"/>
        <w:tabs>
          <w:tab w:leader="none" w:pos="936"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O preferred units entitle their holder to a preferential distribution at the annual rate of $1.1125 per unit, which we refer to as the "series O preferred distribution preference." The series O preferred units correspond to Vornado Realty Trust's series O preferred shares.</w:t>
      </w:r>
    </w:p>
    <w:p>
      <w:pPr>
        <w:ind w:left="940" w:hanging="306"/>
        <w:spacing w:after="0" w:line="257" w:lineRule="auto"/>
        <w:tabs>
          <w:tab w:leader="none" w:pos="936"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D-13 preferred units entitle their holder to a preferential distribution at the annual rate of $0.75 per unit, which we refer to as the "series D-13 preferred distribution preference."</w:t>
      </w:r>
    </w:p>
    <w:p>
      <w:pPr>
        <w:ind w:left="940" w:hanging="306"/>
        <w:spacing w:after="0" w:line="257" w:lineRule="auto"/>
        <w:tabs>
          <w:tab w:leader="none" w:pos="936"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D-17 preferred units entitle their holder to a preferential distribution at the annual rate of $0.8125 per unit, which we refer to as the "series D-17 preferred distribution preference."</w:t>
      </w:r>
    </w:p>
    <w:p>
      <w:pPr>
        <w:ind w:left="940" w:hanging="306"/>
        <w:spacing w:after="0" w:line="257" w:lineRule="auto"/>
        <w:tabs>
          <w:tab w:leader="none" w:pos="936"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G-1 preferred units entitle their holder to a preferential distribution at the annual rate of SOFR plus 1.16 basis points per unit, which we refer to as the "series G-1 preferred distribution preference."</w:t>
      </w:r>
    </w:p>
    <w:p>
      <w:pPr>
        <w:ind w:left="940" w:hanging="306"/>
        <w:spacing w:after="0" w:line="257" w:lineRule="auto"/>
        <w:tabs>
          <w:tab w:leader="none" w:pos="936"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G-2 preferred units entitle their holder to a preferential distribution at the annual rate of $1.375 per unit, which we refer to as the "series G-2 preferred distribution preference."</w:t>
      </w:r>
    </w:p>
    <w:p>
      <w:pPr>
        <w:ind w:left="940" w:hanging="306"/>
        <w:spacing w:after="0" w:line="257" w:lineRule="auto"/>
        <w:tabs>
          <w:tab w:leader="none" w:pos="936"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G-3 preferred units entitle their holder to a preferential distribution at the annual rate of SOFR plus 1.16 basis points per unit, which we refer to as the "series G-3 preferred distribution preference."</w:t>
      </w:r>
    </w:p>
    <w:p>
      <w:pPr>
        <w:ind w:left="940" w:hanging="306"/>
        <w:spacing w:after="0" w:line="274" w:lineRule="auto"/>
        <w:tabs>
          <w:tab w:leader="none" w:pos="936"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G-4 preferred units entitle their holder to a preferential distribution at the annual rate of $1.375 per unit, which we call the "series G-4 preferred distribution preference."</w:t>
      </w:r>
    </w:p>
    <w:p>
      <w:pPr>
        <w:spacing w:after="0" w:line="46"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In this description we sometimes refer to the series A preferred distribution preference, the series L distribution preference, the series M preferred distribution preference, the series N preferred distribution preference, the series O preferred distribution preference, the series D-13 preferred distribution preference, the series D-17 preferred distribution preference, the series G-1 preferred distribution preference, the series G-2 preferred distribution preference, the series G-3 preferred distribution preference, and the series G-4 preferred distribution preference as the "preferred distribution preferences."</w:t>
      </w:r>
    </w:p>
    <w:p>
      <w:pPr>
        <w:spacing w:after="0" w:line="37"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value of each class A unit, which is the operating partnership’s common unit, regardless of its class, equates to one common share of Vornado Realty Trust. Preferred units do not have a value equating to one common share, but have the liquidation preferences and conversion prices for conversion into class A units or terms for redemption for cash or corresponding preferred shares that are established in the partnership agreement. LTIP units have a value equating to one class A unit if and when the LTIP unit becomes exchangeable for one class A unit.</w:t>
      </w:r>
    </w:p>
    <w:p>
      <w:pPr>
        <w:spacing w:after="0" w:line="50"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The partnership agreement provides that the operating partnership will make distributions when, as and if declared by Vornado Realty Trust in the order of preference provided for in the partnership agreement. The order of preference in the partnership agreement provides that distributions will be paid first to Vornado Realty Trust as necessary to enable Vornado Realty Trust to pay REIT expenses. The partnership agreement defines "REIT expenses" to mean the following in respect of Vornado Realty Trust:</w:t>
      </w:r>
    </w:p>
    <w:p>
      <w:pPr>
        <w:spacing w:after="0" w:line="50" w:lineRule="exact"/>
        <w:rPr>
          <w:sz w:val="20"/>
          <w:szCs w:val="20"/>
          <w:color w:val="auto"/>
        </w:rPr>
      </w:pPr>
    </w:p>
    <w:p>
      <w:pPr>
        <w:ind w:left="940" w:hanging="306"/>
        <w:spacing w:after="0"/>
        <w:tabs>
          <w:tab w:leader="none" w:pos="9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expenses relating to the continuity of is existence and any entity in which Vornado Realty Trust owns an equity interest;</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expenses relating to any of the offer or registration of securities;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expenses associated with preparing and filing of periodic reports under federal, state and local laws, including SEC filings;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expenses associated with its compliance with laws, rules and regulations applicable to it; and</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operating or administrative expenses incurred in the ordinary course of its business.</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After the operating partnership pays Vornado Realty Trust distributions as necessary to enable it to pay REIT expenses, distributions will be paid:</w:t>
      </w:r>
    </w:p>
    <w:p>
      <w:pPr>
        <w:spacing w:after="0" w:line="106" w:lineRule="exact"/>
        <w:rPr>
          <w:sz w:val="20"/>
          <w:szCs w:val="20"/>
          <w:color w:val="auto"/>
        </w:rPr>
      </w:pPr>
    </w:p>
    <w:p>
      <w:pPr>
        <w:ind w:left="940" w:hanging="306"/>
        <w:spacing w:after="0"/>
        <w:tabs>
          <w:tab w:leader="none" w:pos="9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to holders of any class of preferred units ranking senior, as to distributions or redemption or voting rights, to class A units and LTIP units; and</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second, to holders of class A units and LTIP units.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Ranking of Units</w:t>
      </w:r>
    </w:p>
    <w:p>
      <w:pPr>
        <w:spacing w:after="0" w:line="95"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The series A preferred units, series L preferred units, series M preferred units, series N preferred units, series O preferred units, series D-13 preferred units, series D-17 preferred units, series G-1 preferred units, series G-2 preferred units, series G-3 preferred units, and series G-4 preferred units rank senior to the class A and LTIP units with respect to the payment of distributions and amounts upon liquidation, dissolution or winding up of the operating partnership. The series A preferred units, series L preferred units, series M preferred units, series N preferred units, series O preferred units, series D-13 preferred units, series D-17 preferred units, series G-1 preferred units, series G-2 preferred units, series G-3 preferred units, and series G-4 preferred units and any other units designated as "parity units" all rank on a parity with each other, in each case with respect to the payment of distributions and amounts upon liquidation, dissolution or winding up of the operating partnership, without preference or priority of one over the other.</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series of preferred units have the following liquidation preferences:</w:t>
      </w:r>
    </w:p>
    <w:p>
      <w:pPr>
        <w:spacing w:after="0" w:line="106" w:lineRule="exact"/>
        <w:rPr>
          <w:sz w:val="20"/>
          <w:szCs w:val="20"/>
          <w:color w:val="auto"/>
        </w:rPr>
      </w:pPr>
    </w:p>
    <w:p>
      <w:pPr>
        <w:ind w:left="940" w:hanging="306"/>
        <w:spacing w:after="0"/>
        <w:tabs>
          <w:tab w:leader="none" w:pos="9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$50.00 per series A preferred unit; and</w:t>
      </w:r>
    </w:p>
    <w:p>
      <w:pPr>
        <w:spacing w:after="0" w:line="32" w:lineRule="exact"/>
        <w:rPr>
          <w:rFonts w:ascii="Times New Roman" w:cs="Times New Roman" w:eastAsia="Times New Roman" w:hAnsi="Times New Roman"/>
          <w:sz w:val="17"/>
          <w:szCs w:val="17"/>
          <w:color w:val="auto"/>
        </w:rPr>
      </w:pPr>
    </w:p>
    <w:p>
      <w:pPr>
        <w:ind w:left="940" w:hanging="306"/>
        <w:spacing w:after="0" w:line="274" w:lineRule="auto"/>
        <w:tabs>
          <w:tab w:leader="none" w:pos="936"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$25.00 per series L preferred unit, series M preferred unit, series N preferred unit, series O preferred unit, series D-13 preferred unit, series D-17 preferred unit, series G-1 preferred unit, series G-2 preferred unit, series G-3 preferred unit and series G-4 preferred unit.</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593" w:right="339" w:bottom="1440" w:gutter="0" w:footer="0" w:header="0"/>
        </w:sectPr>
      </w:pPr>
    </w:p>
    <w:bookmarkStart w:id="143" w:name="page144"/>
    <w:bookmarkEnd w:id="143"/>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From time to time as determined by Vornado Realty Trust, in its discretion, the operating partnership may create additional series of preference units or classes of other units senior to or on parity with the class A units with respect to the payment of distributions and amounts upon liquidation, dissolution or winding up of the partnership.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Redemption or Conversion of Units</w:t>
      </w:r>
    </w:p>
    <w:p>
      <w:pPr>
        <w:spacing w:after="0" w:line="10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holders of class A units, other than Vornado Realty Trust or any of its subsidiaries, have the right to redeem their units for cash or, at the option of Vornado Realty Trust, an equivalent number of Vornado Realty Trust’s common shares.</w:t>
      </w:r>
    </w:p>
    <w:p>
      <w:pPr>
        <w:spacing w:after="0" w:line="29"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series A preferred units became redeemable at Vornado Realty Trust’s option for class A units on April 1, 2001, and are convertible at its option into class A units at any time, provided that an equivalent number of series A preferred shares are concurrently converted into common shares by their holders. The number of class A units into which the series A preferred units are redeemable or convertible is equal to the aggregate liquidation preference of the series A preferred units being redeemed or converted divided by their conversion price. The conversion price of the series A preferred units is now 1.9531 and may be adjusted from time to time to take account of stock dividends and other transactions.</w:t>
      </w:r>
    </w:p>
    <w:p>
      <w:pPr>
        <w:spacing w:after="0" w:line="39"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series L, series M, series N and series O preferred units are redeemable for cash equal to the liquidation preference of $25.00 per unit plus any accrued and unpaid distributions at the option of Vornado Realty Trust, provided that an equivalent number of series L, series M, series N or series O preferred shares of Vornado Realty Trust, respectively, are concurrently redeemed by Vornado Realty Trust.</w:t>
      </w:r>
    </w:p>
    <w:p>
      <w:pPr>
        <w:spacing w:after="0" w:line="46"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series D-13 preferred units are redeemable by the holder for cash equal to the liquidation preference of $25.00 per unit plus any accrued and unpaid distribution, provided that Vornado Realty Trust may determine, at its option, to deliver its common shares with a value equal to the liquidation preference of $25.00 per unit plus any accrued and unpaid distributions.</w:t>
      </w:r>
    </w:p>
    <w:p>
      <w:pPr>
        <w:spacing w:after="0" w:line="4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series D-17 preferred units are redeemable for cash (i) at the option of Vornado Realty Trust and (ii) at the option of the holder, in each case following certain events equal to the liquidation preference of $25.00 per unit plus any accrued and unpaid distributions.</w:t>
      </w:r>
    </w:p>
    <w:p>
      <w:pPr>
        <w:spacing w:after="0" w:line="16"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Any redemption of units must comply with the delivery and other requirements of the operating partnership agreement which may limit the ability of a holder to redeem their units at a particular time or in a particular quantity.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Formation of the Operating Partnership</w:t>
      </w:r>
    </w:p>
    <w:p>
      <w:pPr>
        <w:spacing w:after="0" w:line="10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operating partnership was formed as a limited partnership under the Delaware Revised Uniform Limited Partnership Act on October 2, 1996. Vornado Realty Trust is the sole general partner of, and owned approximately 91.3% of the common limited partnership interest in, the operating partnership at December 31,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Purposes, Business and Management of the Operating Partnership</w:t>
      </w:r>
    </w:p>
    <w:p>
      <w:pPr>
        <w:spacing w:after="0" w:line="10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purpose of the operating partnership includes the conduct of any business that may be lawfully conducted by a limited partnership formed under the Delaware Revised Uniform Limited Partnership Act, except that the partnership agreement requires the business of the operating partnership to be conducted in a manner that will permit Vornado Realty Trust to be classified as a REIT under Section 856 of the Internal Revenue Code, unless it ceases to qualify as a REIT for any reason. In furtherance of its business, the operating partnership may enter into partnerships, joint ventures, limited liability companies or similar arrangements and may own interests in any other entity engaged, directly or indirectly, in any of the foregoing.</w:t>
      </w:r>
    </w:p>
    <w:p>
      <w:pPr>
        <w:spacing w:after="0" w:line="52"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As the general partner of the operating partnership, Vornado Realty Trust has the exclusive power and authority to conduct the business of the operating partnership, except that the consent of the limited partners is required in some limited circumstances discussed under "—Meetings and Voting" below. No limited partner may take part in the operation, management or control of the business of the operating partnership by virtue of being a holder of units.</w:t>
      </w:r>
    </w:p>
    <w:p>
      <w:pPr>
        <w:spacing w:after="0" w:line="33"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In particular, the limited partners expressly acknowledge in the partnership agreement that the general partner is acting on behalf of the operating partnership and the shareholders of Vornado Realty Trust collectively, and is under no obligation to consider the tax consequences to, or other separate interests of, limited partners when making decisions on behalf of the operating partnership. Except as required by lockup agreements described below, Vornado Realty Trust intends to make decisions in its capacity as general partner of the operating partnership taking into account its interests and the operating partnership as a whole, independent of the tax effects on the limited partners. See "—Borrowing by the Operating Partnership" below for a discussion of lockup agreements. Vornado Realty Trust and its trustees and officers will have no liability to the operating partnership or to any partner or assignee for any losses sustained, liabilities incurred or benefits not derived as a result of errors in judgment or mistakes of fact or law or any act or omission if it acted in good faith.</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Ability to Engage in Other Businesses; Conflicts of Interest</w:t>
      </w:r>
    </w:p>
    <w:p>
      <w:pPr>
        <w:spacing w:after="0" w:line="108"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Vornado Realty Trust generally may not conduct any business other than through the operating partnership without the consent of the holders of a majority of the common limited partnership interests, excluding the limited partnership interests held by it. Other persons including Vornado Realty Trust’s officers, trustees, employees, agents and its other affiliates are not prohibited under the partnership agreement from engaging in other business activities and are not required to present any business opportunities to the operating partnership. In addition, the partnership agreement does not prevent another person or entity that acquires control of</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684" w:right="339" w:bottom="1440" w:gutter="0" w:footer="0" w:header="0"/>
        </w:sectPr>
      </w:pPr>
    </w:p>
    <w:bookmarkStart w:id="144" w:name="page145"/>
    <w:bookmarkEnd w:id="144"/>
    <w:p>
      <w:pPr>
        <w:jc w:val="both"/>
        <w:spacing w:after="0" w:line="296" w:lineRule="auto"/>
        <w:rPr>
          <w:sz w:val="20"/>
          <w:szCs w:val="20"/>
          <w:color w:val="auto"/>
        </w:rPr>
      </w:pPr>
      <w:r>
        <w:rPr>
          <w:rFonts w:ascii="Times New Roman" w:cs="Times New Roman" w:eastAsia="Times New Roman" w:hAnsi="Times New Roman"/>
          <w:sz w:val="17"/>
          <w:szCs w:val="17"/>
          <w:color w:val="auto"/>
        </w:rPr>
        <w:t>Vornado Realty Trust in the future from conducting other businesses or owning other assets, even though those businesses or assets may be ones that it would be in the best interests of the limited partners for the operating partnership to own.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Borrowing by the Operating Partnership</w:t>
      </w:r>
    </w:p>
    <w:p>
      <w:pPr>
        <w:spacing w:after="0" w:line="10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Vornado Realty Trust is authorized to cause the operating partnership to borrow money and to issue and guarantee debt as it deems necessary for the conduct of the activities of the operating partnership. The operating partnership's debt may be secured by mortgages, deeds of trust, liens or encumbrances on the operating partnership's properties. Vornado Realty Trust also may cause the operating partnership to borrow money to enable the operating partnership to make distributions, including distributions in an amount sufficient to permit us to avoid the payment of any federal income tax.</w:t>
      </w:r>
    </w:p>
    <w:p>
      <w:pPr>
        <w:spacing w:after="0" w:line="50" w:lineRule="exact"/>
        <w:rPr>
          <w:sz w:val="20"/>
          <w:szCs w:val="20"/>
          <w:color w:val="auto"/>
        </w:rPr>
      </w:pPr>
    </w:p>
    <w:p>
      <w:pPr>
        <w:jc w:val="both"/>
        <w:ind w:firstLine="314"/>
        <w:spacing w:after="0" w:line="262" w:lineRule="auto"/>
        <w:rPr>
          <w:sz w:val="20"/>
          <w:szCs w:val="20"/>
          <w:color w:val="auto"/>
        </w:rPr>
      </w:pPr>
      <w:r>
        <w:rPr>
          <w:rFonts w:ascii="Times New Roman" w:cs="Times New Roman" w:eastAsia="Times New Roman" w:hAnsi="Times New Roman"/>
          <w:sz w:val="17"/>
          <w:szCs w:val="17"/>
          <w:color w:val="auto"/>
        </w:rPr>
        <w:t>From time to time in connection with acquisitions of properties or other assets in exchange for limited partner interests in the operating partnership, Vornado Realty Trust and the operating partnership have entered into contractual arrangements that impose restrictions on the operating partnership's ability to sell, finance, refinance and, in some instances, pay down existing financing on certain of the operating partnership's properties or other assets. These arrangements are sometimes referred to as "lockup agreements" and include, for example, arrangements in which the operating partnership agrees that it will not sell the property or other assets in question for a period of years unless the operating partnership also pays the contributing partner a portion of the federal income tax liability that will accrue to that partner as a result of the sale. Arrangements of this kind may significantly reduce the operating partnership's ability to sell, finance or repay indebtedness secured by the subject properties or assets. Vornado Realty Trust expects to cause the operating partnership to continue entering into transactions of this type in the future and may do so without obtaining the consent of any partners in the operating partnership.</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Reimbursement; Transactions with Vornado Realty Trust and Its Affiliates</w:t>
      </w:r>
    </w:p>
    <w:p>
      <w:pPr>
        <w:spacing w:after="0" w:line="108" w:lineRule="exact"/>
        <w:rPr>
          <w:sz w:val="20"/>
          <w:szCs w:val="20"/>
          <w:color w:val="auto"/>
        </w:rPr>
      </w:pPr>
    </w:p>
    <w:p>
      <w:pPr>
        <w:jc w:val="both"/>
        <w:ind w:firstLine="171"/>
        <w:spacing w:after="0" w:line="263" w:lineRule="auto"/>
        <w:rPr>
          <w:sz w:val="20"/>
          <w:szCs w:val="20"/>
          <w:color w:val="auto"/>
        </w:rPr>
      </w:pPr>
      <w:r>
        <w:rPr>
          <w:rFonts w:ascii="Times New Roman" w:cs="Times New Roman" w:eastAsia="Times New Roman" w:hAnsi="Times New Roman"/>
          <w:sz w:val="17"/>
          <w:szCs w:val="17"/>
          <w:color w:val="auto"/>
        </w:rPr>
        <w:t>Vornado Realty Trust does not receive any compensation for its services as general partner of the operating partnership. However, as a partner in the operating partnership, it has the same right to allocations and distributions with respect to the units it holds as other partners in the operating partnership holding the same classes of units. In addition, the operating partnership reimburses Vornado Realty Trust for all expenses it incurs relating to its ongoing operations and any offering of additional partnership interests in the operating partnership, its securities or rights, options, warrants or convertible or exchangeable securities, including expenses in connection with the registration of Vornado Realty Trust’s common shares for issuance in exchange for units if it assumes the obligation to redeem units and elects to redeem them for common shares instead of cash when a limited partner in the operating partnership exercises the right to redeem units. See "Redemption or Conversion of Units" above for further information about the right to redeem units.</w:t>
      </w:r>
    </w:p>
    <w:p>
      <w:pPr>
        <w:spacing w:after="0" w:line="59" w:lineRule="exact"/>
        <w:rPr>
          <w:sz w:val="20"/>
          <w:szCs w:val="20"/>
          <w:color w:val="auto"/>
        </w:rPr>
      </w:pPr>
    </w:p>
    <w:p>
      <w:pPr>
        <w:jc w:val="both"/>
        <w:ind w:firstLine="195"/>
        <w:spacing w:after="0" w:line="270" w:lineRule="auto"/>
        <w:rPr>
          <w:sz w:val="20"/>
          <w:szCs w:val="20"/>
          <w:color w:val="auto"/>
        </w:rPr>
      </w:pPr>
      <w:r>
        <w:rPr>
          <w:rFonts w:ascii="Times New Roman" w:cs="Times New Roman" w:eastAsia="Times New Roman" w:hAnsi="Times New Roman"/>
          <w:sz w:val="17"/>
          <w:szCs w:val="17"/>
          <w:color w:val="auto"/>
        </w:rPr>
        <w:t>Except as expressly permitted by the partnership agreement, the operating partnership will not, directly or indirectly, sell, transfer or convey any property to, or purchase any property from, or borrow funds from, or lend funds to, any partner in the operating partnership or any affiliate of the operating partnership or Vornado Realty Trust that is not also a subsidiary of the operating partnership, except in a transaction that has been approved by a majority of Vornado Realty Trust’s disinterested trustees, taking into account its fiduciary duties to the limited partners of the operating partnership.</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Vornado Realty Trust’s Liability and Limited Partners</w:t>
      </w:r>
    </w:p>
    <w:p>
      <w:pPr>
        <w:spacing w:after="0" w:line="10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Vornado Realty Trust, as general partner of the operating partnership, is liable for all general recourse obligations of the operating partnership to the extent not paid by the operating partnership. Vornado Realty Trust is not liable for the nonrecourse obligations of the operating partnership.</w:t>
      </w:r>
    </w:p>
    <w:p>
      <w:pPr>
        <w:spacing w:after="0" w:line="29"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The limited partners in the operating partnership are not required to make additional contributions to the operating partnership. Assuming that a limited partner does not take part in the control of the business of the operating partnership and otherwise complies with the provisions of the partnership agreement, the liability of a limited partner for obligations of the operating partnership under the partnership agreement and the Delaware Revised Uniform Limited Partnership Act will be limited, with some exceptions, generally to the loss of the limited partner's investment in the operating partnership represented by his or her units. Under the Delaware Revised Uniform Limited Partnership Act, a limited partner may not receive a distribution from the operating partnership if, at the time of the distribution and after giving effect to the distribution, the liabilities of the operating partnership, other than liabilities to parties on account of their interests in the operating partnership and liabilities for which recourse is limited to specified property of the operating partnership, exceed the fair value of the operating partnership's assets, other than the fair value of any property subject to nonrecourse liabilities of the operating partnership, but only to the extent of such liabilities. The Delaware Revised Uniform Limited Partnership Act provides that a limited partner who receives a distribution knowing at the time that it violates the foregoing prohibition is liable to the operating partnership for the amount of the distribution. Unless otherwise agreed, a limited partner in the circumstances described in the preceding sentence will not be liable for the return of the distribution after the expiration of three years from the date of the distribution.</w:t>
      </w:r>
    </w:p>
    <w:p>
      <w:pPr>
        <w:spacing w:after="0" w:line="255" w:lineRule="exact"/>
        <w:rPr>
          <w:sz w:val="20"/>
          <w:szCs w:val="20"/>
          <w:color w:val="auto"/>
        </w:rPr>
      </w:pPr>
    </w:p>
    <w:p>
      <w:pPr>
        <w:jc w:val="both"/>
        <w:ind w:firstLine="314"/>
        <w:spacing w:after="0" w:line="268" w:lineRule="auto"/>
        <w:rPr>
          <w:sz w:val="20"/>
          <w:szCs w:val="20"/>
          <w:color w:val="auto"/>
        </w:rPr>
      </w:pPr>
      <w:r>
        <w:rPr>
          <w:rFonts w:ascii="Times New Roman" w:cs="Times New Roman" w:eastAsia="Times New Roman" w:hAnsi="Times New Roman"/>
          <w:sz w:val="17"/>
          <w:szCs w:val="17"/>
          <w:color w:val="auto"/>
        </w:rPr>
        <w:t>The operating partnership has qualified to conduct business in the State of New York and may qualify in certain other jurisdictions. Maintenance of limited liability status may require compliance with legal requirements of those jurisdictions and some other jurisdictions. Limitations on the liability of a limited partner for the obligations of a limited partnership have not been clearly established in many jurisdictions. Accordingly, if it were determined that the right, or exercise of the right by the limited partners, to make some amendments to the partnership agreement or to take other action under the partnership agreement constituted "control" 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684" w:right="339" w:bottom="1440" w:gutter="0" w:footer="0" w:header="0"/>
        </w:sectPr>
      </w:pPr>
    </w:p>
    <w:bookmarkStart w:id="145" w:name="page146"/>
    <w:bookmarkEnd w:id="145"/>
    <w:p>
      <w:pPr>
        <w:jc w:val="both"/>
        <w:spacing w:after="0" w:line="296" w:lineRule="auto"/>
        <w:rPr>
          <w:sz w:val="20"/>
          <w:szCs w:val="20"/>
          <w:color w:val="auto"/>
        </w:rPr>
      </w:pPr>
      <w:r>
        <w:rPr>
          <w:rFonts w:ascii="Times New Roman" w:cs="Times New Roman" w:eastAsia="Times New Roman" w:hAnsi="Times New Roman"/>
          <w:sz w:val="17"/>
          <w:szCs w:val="17"/>
          <w:color w:val="auto"/>
        </w:rPr>
        <w:t>the operating partnership's business for the purposes of the statutes of any relevant jurisdiction, the limited partners might be held personally liable for the operating partnership's obligations.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Exculpation and Indemnification of Vornado Realty Trust</w:t>
      </w:r>
    </w:p>
    <w:p>
      <w:pPr>
        <w:spacing w:after="0" w:line="10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The partnership agreement generally provides that Vornado Realty Trust, as general partner of the operating partnership, will incur no liability to the operating partnership or any limited partner for losses sustained, liabilities incurred or benefits not derived as a result of errors in judgment or mistakes of fact or law or any act or omission, if it acted in good faith. In addition, Vornado Realty Trust is not responsible for any misconduct or negligence on the part of its agents, provided it appointed those agents in good faith. Vornado Realty Trust may consult with legal counsel, accountants, appraisers, management consultants, investment bankers and other consultants and advisors, and any action it takes or omits to take in reliance upon the opinion of those persons, as to matters that it reasonably believes to be within their professional or expert competence, will be conclusively presumed to have been done or omitted in good faith and in accordance with the opinion of those persons.</w:t>
      </w:r>
    </w:p>
    <w:p>
      <w:pPr>
        <w:spacing w:after="0" w:line="59"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17"/>
          <w:szCs w:val="17"/>
          <w:color w:val="auto"/>
        </w:rPr>
        <w:t>The partnership agreement also provides for indemnification of Vornado Realty Trust and the indemnification of its trustees and officers and any other persons that it may from time to time designate against any and all losses, claims, damages, liabilities, expenses, judgments, fines, settlements and other amounts incurred by an indemnified person in connection with any proceeding and related to the operating partnership or Vornado Realty Trust, the formation and operations of the operating partnership or Vornado Realty Trust or the ownership of property by the operating partnership or Vornado Realty Trust, unless it is established by a final determination of a court of competent jurisdiction that:</w:t>
      </w:r>
    </w:p>
    <w:p>
      <w:pPr>
        <w:spacing w:after="0" w:line="39" w:lineRule="exact"/>
        <w:rPr>
          <w:sz w:val="20"/>
          <w:szCs w:val="20"/>
          <w:color w:val="auto"/>
        </w:rPr>
      </w:pPr>
    </w:p>
    <w:p>
      <w:pPr>
        <w:ind w:left="940" w:hanging="306"/>
        <w:spacing w:after="0" w:line="268" w:lineRule="auto"/>
        <w:tabs>
          <w:tab w:leader="none" w:pos="936"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 or omission of the indemnified person was material to the matter giving rise to the proceeding and either was committed in bad faith or was the result of active and deliberate dishonesty;</w:t>
      </w:r>
    </w:p>
    <w:p>
      <w:pPr>
        <w:ind w:left="940" w:hanging="306"/>
        <w:spacing w:after="0"/>
        <w:tabs>
          <w:tab w:leader="none" w:pos="9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indemnified person actually received an improper personal benefit in money, property or services; or</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criminal proceeding, the indemnified person had reasonable cause to believe that the act or omission was unlawful.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of Assets</w:t>
      </w:r>
    </w:p>
    <w:p>
      <w:pPr>
        <w:spacing w:after="0" w:line="88"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Under the partnership agreement, Vornado Realty Trust generally has the exclusive authority to determine whether, when and on what terms assets of the operating partnership will be sold, as long as any sale of a property covered by a lockup agreement complies with such agreement. The partnership agreement prohibits Vornado Realty Trust from engaging in any merger, consolidation or other combination with or into another person, sale of all or substantially all of its assets or any reclassification, recapitalization or change of the terms of any outstanding common shares unless, in connection with the transaction, all limited partners other than Vornado Realty Trust and entities controlled by Vornado Realty Trust will have the right to elect to receive, or will receive, for each unit an amount of cash, securities or other property equal to the conversion factor multiplied by the greatest amount of cash, securities or other property paid to a holder of shares of beneficial interest of Vornado, if any, corresponding to that unit in consideration of one share of that kind. Vornado Realty Trust refers to transactions described in the preceding sentence as "termination transactions." The conversion factor is initially 1.0, but will be adjusted as necessary to prevent dilution or inflation of the interests of limited partners that would result if Vornado Realty Trust were to pay a dividend on its outstanding shares of beneficial interest in shares of beneficial interest, subdivide its outstanding shares of beneficial interest or combine its outstanding shares of beneficial interest into a smaller number of shares, in each case without a corresponding issuance to, or redemption or exchange of interests held by, limited partners in the operating partnership.</w:t>
      </w:r>
    </w:p>
    <w:p>
      <w:pPr>
        <w:spacing w:after="0" w:line="26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See "—Borrowing by the Operating Partnership" above for information about lockup agreements which limit the ability of Vornado Realty Trust to sell some of its properties.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Removal of the General Partner; Transfer of Interests of Vornado Realty Trust</w:t>
      </w:r>
    </w:p>
    <w:p>
      <w:pPr>
        <w:spacing w:after="0" w:line="108"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The partnership agreement provides that the limited partners may not remove Vornado Realty Trust as general partner of the operating partnership with or without cause. The partnership agreement also generally prohibits Vornado Realty Trust from withdrawing as general partner of the operating partnership or transferring any of its interests in the operating partnership to any other person, except in each case, in connection with a termination transaction. In addition, the partnership agreement prohibits Vornado Realty Trust from engaging in any termination transaction unless all limited partners other than Vornado Realty Trust and entities controlled by Vornado Realty Trust will have the right in the termination transaction to elect to receive, or will receive, for each unit an amount of cash, securities or other property equal to the conversion factor multiplied by the greatest amount of cash, securities or other property paid to a holder of shares of beneficial interest of Vornado, if any, corresponding to that unit in consideration of one share of Vornado. The lock-up provisions and the gross-up provisions do not apply to a sale or other transfer by Vornado Realty Trust of is interests as a partner in the operating partnership, but they would apply to transfers of assets of the operating partnership undertaken during the period when the lock-up agreements are in effect as part of any sale or other transfer by Vornado Realty Trust of its interests as a partner in the operating partnership. See "—Borrowing by the Operating Partnership" for a description of the restrictions on transfers of assets under the lock-up agreements.</w:t>
      </w:r>
    </w:p>
    <w:p>
      <w:pPr>
        <w:spacing w:after="0" w:line="59"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partnership agreement does not prevent a transaction in which another entity acquires control or all of Vornado Realty Trust’s shares nor does it prevent any holder of interests in Vornado Realty Trust from owning assets or conducting businesses outside of the operating partnership.</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684"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color w:val="auto"/>
        </w:rPr>
        <w:t>Restrictions on Transfers of Units by Limited Partners</w:t>
      </w:r>
    </w:p>
    <w:p>
      <w:pPr>
        <w:spacing w:after="0" w:line="95"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Subject to the percentage limitations discussed below, a limited partner, other than Vornado Realty Trust and some members of the Mendik group and FW/Mendik REIT, is permitted to transfer all or any portion of his or her units without restriction, provided that the limited partner obtains the prior written consent of Vornado Realty Trust, which it may withhold only if (a) it determines in its sole discretion exercised in good faith that the transfer would cause the operating partnership or any or all of the partners other than the partner seeking to make the transfer to incur tax liability or (b) if it determines that any of the circumstances referred to in the next paragraph exist. In addition, limited partners other than Vornado Realty Trust or any of its subsidiaries are permitted to dispose of their units by exercising their right to redeem units as described under "Redemption and Conversion of Units" above.</w:t>
      </w:r>
    </w:p>
    <w:p>
      <w:pPr>
        <w:spacing w:after="0" w:line="54" w:lineRule="exact"/>
        <w:rPr>
          <w:sz w:val="20"/>
          <w:szCs w:val="20"/>
          <w:color w:val="auto"/>
        </w:rPr>
      </w:pPr>
    </w:p>
    <w:p>
      <w:pPr>
        <w:jc w:val="both"/>
        <w:ind w:firstLine="314"/>
        <w:spacing w:after="0" w:line="259" w:lineRule="auto"/>
        <w:rPr>
          <w:sz w:val="20"/>
          <w:szCs w:val="20"/>
          <w:color w:val="auto"/>
        </w:rPr>
      </w:pPr>
      <w:r>
        <w:rPr>
          <w:rFonts w:ascii="Times New Roman" w:cs="Times New Roman" w:eastAsia="Times New Roman" w:hAnsi="Times New Roman"/>
          <w:sz w:val="17"/>
          <w:szCs w:val="17"/>
          <w:color w:val="auto"/>
        </w:rPr>
        <w:t xml:space="preserve">Vornado Realty Trust may withhold its consent to any proposed transfer (including any sale, assignment, gift, pledge, encumbrance or other disposition by law or otherwise, and including any redemption pursuant to the redemption rights described under "—Redemption or Conversion of Units" above) for a variety of reasons set forth in Article XI of the partnership agreement. These reasons include, without limitation, a determination by Vornado Realty Trust, in its sole and absolute discretion, that the transfer in question would (i) cause a termination of the operating partnership for tax purposes, (ii) cause the operating partnership to become a "party-in-interest" or a "disqualified person" with respect to any employee benefit plan subject to ERISA, (iii) cause the operating partnership to become a publicly-traded partnership (as defined in Section 469(k)(2) or Section 7704 of the Internal Revenue Code), (iv) cause the operating partnership to become subject to regulation under the Investment Company Act of 1940 or ERISA, (v) adversely affect Vornado Realty Trust’s ability to continue to qualify as a REIT or (vi) subject Vornado Realty Trust or the operating partnership to any additional taxes under Section 857 or Section 4981 of the Internal Revenue Code. In addition, no partner of the operating partnership may pledge or transfer any of its units to a lender to the operating partnership or any person who is related (within the meaning of Section 1.752-4(b) of the Treasury regulations) to any lender to the operating partnership whose loan constitutes a nonrecourse liability without the consent of Vornado Realty Trust, in its sole and absolute discretion, and without entering into an agreement with Vornado Realty Trust as described in the partnership agreement. The partnership agreement also </w:t>
      </w:r>
      <w:r>
        <w:rPr>
          <w:rFonts w:ascii="Times New Roman" w:cs="Times New Roman" w:eastAsia="Times New Roman" w:hAnsi="Times New Roman"/>
          <w:sz w:val="17"/>
          <w:szCs w:val="17"/>
          <w:color w:val="212529"/>
        </w:rPr>
        <w:t>provides that unless exempt due to a waiver granted by Vornado Realty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Trust, no limited partnership interest in the operating partnership or portion thereof may be transferred in whole or in part, directly or indirectly, if such transfer would cause (i) any “foreign person” (as such term is used in Section 897(h)(4)(b) of the Internal Revenue Code) who already owns any limited partnership interest, to increase its direct or indirect ownership of limited partnership interests, or (ii) any foreign person, other than an a foreign person that owns any direct or indirect interest in the operating partnership on and as of August 7, 2019, to directly or indirectly own any such limited partnership interests. Any purported transfer to a foreign person in violation of the foregoing shall be deemed void ab initio and shall have no force or effect.</w:t>
      </w:r>
    </w:p>
    <w:p>
      <w:pPr>
        <w:spacing w:after="0" w:line="68"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Transfers of operating partnership units (other than "private transfers" as defined in the regulations under the Internal Revenue Code) are limited in any one taxable year of the operating partnership to 2% of the interests in capital or profits not held by Vornado Realty Trust or certain of its affiliates, and Vornado Realty Trust has the right and currently intends to refuse to permit any attempted transfer of operating partnership units by a holder of such units that, when aggregated with prior redemptions and transfers by other holders of operating partnership units, would exceed this limit. In addition, redemptions of operating partnership units by the operating partnership pursuant to the redemption right of such units and transfers of operating partnership units to Vornado Realty Trust as a result of its assumption and performance of the operating partnership's obligation with respect to the redemption right of units, together with other transfers and redemptions (other than certain of the redemptions or transfers qualifying as "private transfers" under the regulations under Section 7704 of the Internal Revenue Code), are limited in any one taxable year to 10% of the interests in capital or profits not held by Vornado Realty Trust or certain of its affiliates, and it has the right and currently intends to refuse to permit certain redemptions and other transfers of operating partnership units that, when aggregated with prior redemptions and transfers, would exceed this limit.</w:t>
      </w:r>
    </w:p>
    <w:p>
      <w:pPr>
        <w:spacing w:after="0" w:line="4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Any permitted transferee of units may become a substituted limited partner only with Vornado Realty Trust’s consent, and it may withhold its consent in its sole and absolute discretion. If it does not consent to the admission of a transferee of units as a substituted limited partner, then the transferee will succeed to the economic rights and benefits attributable to the units, including the right to redeem units, but will not become a limited partner or possess any other rights of limited partners, including the right to vote.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Withdrawal by Limited Partners</w:t>
      </w:r>
    </w:p>
    <w:p>
      <w:pPr>
        <w:spacing w:after="0" w:line="108"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No limited partner has the right to withdraw from or reduce his or her capital contribution to the operating partnership, except as a result of the redemption, exchange or transfer of units under the terms of the partnership agreement.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Issuance of Limited Partnership Interests</w:t>
      </w:r>
    </w:p>
    <w:p>
      <w:pPr>
        <w:spacing w:after="0" w:line="108"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Vornado Realty Trust is authorized, without the consent of the limited partners, to cause the operating partnership to issue limited partnership interests to Vornado Realty Trust, to the limited partners and to other persons for the consideration and upon the terms and conditions that it deems appropriate. The operating partnership also may issue partnership interests in different series or classes. Units may be issued to Vornado Realty Trust only if it issues shares of beneficial interest and contributes to the operating partnership the proceeds received by it from the issuance of the shares. Consideration for partnership interests may be cash or any property or other assets permitted by the Delaware Revised Uniform Limited Partnership Act. Except to the extent expressly granted by Vornado Realty Trust on behalf of the partnership pursuant to another agreement, no limited partner has preemptive, preferential or similar rights with respect to capital contributions to the operating partnership or the issuance or sale of any partnership interests.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682"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color w:val="auto"/>
        </w:rPr>
        <w:t>Meetings and Voting</w:t>
      </w:r>
    </w:p>
    <w:p>
      <w:pPr>
        <w:spacing w:after="0" w:line="95" w:lineRule="exact"/>
        <w:rPr>
          <w:sz w:val="20"/>
          <w:szCs w:val="20"/>
          <w:color w:val="auto"/>
        </w:rPr>
      </w:pPr>
    </w:p>
    <w:p>
      <w:pPr>
        <w:jc w:val="both"/>
        <w:ind w:firstLine="314"/>
        <w:spacing w:after="0" w:line="261" w:lineRule="auto"/>
        <w:rPr>
          <w:sz w:val="20"/>
          <w:szCs w:val="20"/>
          <w:color w:val="auto"/>
        </w:rPr>
      </w:pPr>
      <w:r>
        <w:rPr>
          <w:rFonts w:ascii="Times New Roman" w:cs="Times New Roman" w:eastAsia="Times New Roman" w:hAnsi="Times New Roman"/>
          <w:sz w:val="17"/>
          <w:szCs w:val="17"/>
          <w:color w:val="auto"/>
        </w:rPr>
        <w:t>Meetings of the limited partners may be proposed and called only by Vornado Realty Trust. Limited partners may vote either in person or by proxy at meetings. Any action that is required or permitted to be taken by the limited partners may be taken either at a meeting of the limited partners or without a meeting if consents in writing stating the action so taken are signed by limited partners owning not less than the minimum number of units that would be necessary to authorize or take the action at a meeting of the limited partners at which all limited partners entitled to vote on the action were present. On matters in which limited partners are entitled to vote, each limited partner, including Vornado Realty Trust to the extent it holds units, will have a vote equal to the number of common units he or she holds. At this time, there is no voting preference among the classes of common units. The preferred units have no voting rights, except as required by law or the terms of a particular series of preferred units. A transferee of units who has not been admitted as a substituted limited partner with respect to his or her transferred units will have no voting rights with respect to those units, even if the transferee holds other units as to which he or she has been admitted as a limited partner, and units owned by the transferee will be deemed to be voted on any matter in the same proportion as all other interests held by limited partners are voted. The partnership agreement does not provide for annual meetings of the limited partners, and Vornado Realty Trust does not anticipate calling such meetings.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of the Partnership Agreement</w:t>
      </w:r>
    </w:p>
    <w:p>
      <w:pPr>
        <w:spacing w:after="0" w:line="108" w:lineRule="exact"/>
        <w:rPr>
          <w:sz w:val="20"/>
          <w:szCs w:val="20"/>
          <w:color w:val="auto"/>
        </w:rPr>
      </w:pPr>
    </w:p>
    <w:p>
      <w:pPr>
        <w:jc w:val="both"/>
        <w:ind w:firstLine="314"/>
        <w:spacing w:after="0" w:line="270" w:lineRule="auto"/>
        <w:rPr>
          <w:sz w:val="20"/>
          <w:szCs w:val="20"/>
          <w:color w:val="auto"/>
        </w:rPr>
      </w:pPr>
      <w:r>
        <w:rPr>
          <w:rFonts w:ascii="Times New Roman" w:cs="Times New Roman" w:eastAsia="Times New Roman" w:hAnsi="Times New Roman"/>
          <w:sz w:val="17"/>
          <w:szCs w:val="17"/>
          <w:color w:val="auto"/>
        </w:rPr>
        <w:t>Amendments to the partnership agreement may be proposed only by Vornado Realty Trust. Vornado Realty Trust generally has the power, without the consent of any limited partners, to amend the partnership agreement as may be required to reflect any changes to the agreement that it deems necessary or appropriate in its sole discretion, provided that the amendment does not adversely affect or eliminate any right granted to a limited partner that is protected by the special voting provisions described below. Limitations on its power to amend the partnership agreement are described below.</w:t>
      </w:r>
    </w:p>
    <w:p>
      <w:pPr>
        <w:spacing w:after="0" w:line="37"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partnership agreement provides that it generally may not be amended with respect to any partner adversely affected by the amendment without the consent of that partner if the amendment would:</w:t>
      </w:r>
    </w:p>
    <w:p>
      <w:pPr>
        <w:spacing w:after="0" w:line="29" w:lineRule="exact"/>
        <w:rPr>
          <w:sz w:val="20"/>
          <w:szCs w:val="20"/>
          <w:color w:val="auto"/>
        </w:rPr>
      </w:pPr>
    </w:p>
    <w:p>
      <w:pPr>
        <w:ind w:left="940" w:hanging="306"/>
        <w:spacing w:after="0"/>
        <w:tabs>
          <w:tab w:leader="none" w:pos="9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 a limited partner's interest into a general partner's interest;</w:t>
      </w:r>
    </w:p>
    <w:p>
      <w:pPr>
        <w:spacing w:after="0" w:line="32"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the limited liability of a limited partner;</w:t>
      </w:r>
    </w:p>
    <w:p>
      <w:pPr>
        <w:spacing w:after="0" w:line="14" w:lineRule="exact"/>
        <w:rPr>
          <w:rFonts w:ascii="Times New Roman" w:cs="Times New Roman" w:eastAsia="Times New Roman" w:hAnsi="Times New Roman"/>
          <w:sz w:val="17"/>
          <w:szCs w:val="17"/>
          <w:color w:val="auto"/>
        </w:rPr>
      </w:pPr>
    </w:p>
    <w:p>
      <w:pPr>
        <w:jc w:val="both"/>
        <w:ind w:left="940" w:hanging="306"/>
        <w:spacing w:after="0" w:line="265" w:lineRule="auto"/>
        <w:tabs>
          <w:tab w:leader="none" w:pos="936"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Section 7.11.A, which prohibits Vornado Realty Trust from taking any action in contravention of an express prohibition or limitation in the partnership agreement without the written consent of all partners adversely affected by the action or any lower percentage of the limited partnership interests that may be specifically provided for in the partnership agreement or under the Delaware Revised Uniform Limited Partnership Act;</w:t>
      </w:r>
    </w:p>
    <w:p>
      <w:pPr>
        <w:spacing w:after="0" w:line="190" w:lineRule="exact"/>
        <w:rPr>
          <w:rFonts w:ascii="Times New Roman" w:cs="Times New Roman" w:eastAsia="Times New Roman" w:hAnsi="Times New Roman"/>
          <w:sz w:val="17"/>
          <w:szCs w:val="17"/>
          <w:color w:val="auto"/>
        </w:rPr>
      </w:pPr>
    </w:p>
    <w:p>
      <w:pPr>
        <w:jc w:val="both"/>
        <w:ind w:left="940" w:hanging="306"/>
        <w:spacing w:after="0" w:line="257" w:lineRule="auto"/>
        <w:tabs>
          <w:tab w:leader="none" w:pos="936"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Article V, which governs distributions, Article VI, which governs allocations of income and loss for capital account purposes, or Section 13.2.A(3), which provides for distributions, after payment of partnership debts, among partners according to their capital accounts upon a winding up of the operating partnership;</w:t>
      </w:r>
    </w:p>
    <w:p>
      <w:pPr>
        <w:ind w:left="940" w:hanging="306"/>
        <w:spacing w:after="0"/>
        <w:tabs>
          <w:tab w:leader="none" w:pos="9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Section 8.6, which provides redemption rights; or</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the provision being described in this paragraph.</w:t>
      </w:r>
    </w:p>
    <w:p>
      <w:pPr>
        <w:spacing w:after="0" w:line="101" w:lineRule="exact"/>
        <w:rPr>
          <w:sz w:val="20"/>
          <w:szCs w:val="20"/>
          <w:color w:val="auto"/>
        </w:rPr>
      </w:pPr>
    </w:p>
    <w:p>
      <w:pPr>
        <w:ind w:firstLine="314"/>
        <w:spacing w:after="0" w:line="268" w:lineRule="auto"/>
        <w:rPr>
          <w:sz w:val="20"/>
          <w:szCs w:val="20"/>
          <w:color w:val="auto"/>
        </w:rPr>
      </w:pPr>
      <w:r>
        <w:rPr>
          <w:rFonts w:ascii="Times New Roman" w:cs="Times New Roman" w:eastAsia="Times New Roman" w:hAnsi="Times New Roman"/>
          <w:sz w:val="17"/>
          <w:szCs w:val="17"/>
          <w:color w:val="auto"/>
        </w:rPr>
        <w:t>In addition, except with the consent of a majority of the common limited partners, excluding Vornado Realty Trust and entities controlled by Vornado Realty Trust, Vornado Realty Trust may not amend:</w:t>
      </w:r>
    </w:p>
    <w:p>
      <w:pPr>
        <w:spacing w:after="0" w:line="1" w:lineRule="exact"/>
        <w:rPr>
          <w:sz w:val="20"/>
          <w:szCs w:val="20"/>
          <w:color w:val="auto"/>
        </w:rPr>
      </w:pPr>
    </w:p>
    <w:p>
      <w:pPr>
        <w:ind w:left="940" w:hanging="306"/>
        <w:spacing w:after="0"/>
        <w:tabs>
          <w:tab w:leader="none" w:pos="9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4.2.A, which authorizes issuance of additional limited partnership interests;</w:t>
      </w:r>
    </w:p>
    <w:p>
      <w:pPr>
        <w:spacing w:after="0" w:line="14" w:lineRule="exact"/>
        <w:rPr>
          <w:rFonts w:ascii="Times New Roman" w:cs="Times New Roman" w:eastAsia="Times New Roman" w:hAnsi="Times New Roman"/>
          <w:sz w:val="17"/>
          <w:szCs w:val="17"/>
          <w:color w:val="auto"/>
        </w:rPr>
      </w:pPr>
    </w:p>
    <w:p>
      <w:pPr>
        <w:ind w:left="940" w:hanging="306"/>
        <w:spacing w:after="0" w:line="257" w:lineRule="auto"/>
        <w:tabs>
          <w:tab w:leader="none" w:pos="936"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5.1.C, which requires that if Vornado Realty Trust is not a REIT or a publicly traded entity it must for each taxable year make cash distributions equal to at least 95% of the operating partnership's taxable income;</w:t>
      </w:r>
    </w:p>
    <w:p>
      <w:pPr>
        <w:jc w:val="both"/>
        <w:ind w:left="940" w:hanging="306"/>
        <w:spacing w:after="0" w:line="257" w:lineRule="auto"/>
        <w:tabs>
          <w:tab w:leader="none" w:pos="936"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7.5, which prohibits Vornado Realty Trust from conducting any business other than in connection with the ownership of interests in the operating partnership except with the consent of a majority of the common limited partners, excluding Vornado Realty Trust and any entity controlled by Vornado Realty Trust;</w:t>
      </w:r>
    </w:p>
    <w:p>
      <w:pPr>
        <w:ind w:left="940" w:hanging="306"/>
        <w:spacing w:after="0"/>
        <w:tabs>
          <w:tab w:leader="none" w:pos="9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7.6, which limits the operating partnership's ability to enter into transactions with affiliates;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7.8, which establishes limits on Vornado Realty Trust’s liabilities to the operating partnership and the limited partners;</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11.2, which limits Vornado Realty Trust’ ability to transfer its interests in the operating partnership;</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13.1, which describes the manner and circumstances in which the operating partnership will be dissolved;</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14.1.C, which establishes the limitations on amendments being described in this paragraph; or</w:t>
      </w:r>
    </w:p>
    <w:p>
      <w:pPr>
        <w:spacing w:after="0" w:line="1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14.2, which establishes the rules governing meetings of partners.</w:t>
      </w:r>
    </w:p>
    <w:p>
      <w:pPr>
        <w:spacing w:after="0" w:line="88" w:lineRule="exact"/>
        <w:rPr>
          <w:sz w:val="20"/>
          <w:szCs w:val="20"/>
          <w:color w:val="auto"/>
        </w:rPr>
      </w:pPr>
    </w:p>
    <w:p>
      <w:pPr>
        <w:jc w:val="both"/>
        <w:ind w:firstLine="359"/>
        <w:spacing w:after="0" w:line="276" w:lineRule="auto"/>
        <w:rPr>
          <w:sz w:val="20"/>
          <w:szCs w:val="20"/>
          <w:color w:val="auto"/>
        </w:rPr>
      </w:pPr>
      <w:r>
        <w:rPr>
          <w:rFonts w:ascii="Times New Roman" w:cs="Times New Roman" w:eastAsia="Times New Roman" w:hAnsi="Times New Roman"/>
          <w:sz w:val="17"/>
          <w:szCs w:val="17"/>
          <w:color w:val="auto"/>
        </w:rPr>
        <w:t>In addition, any amendment that would affect those lockup agreements that are part of the partnership agreement requires the consent of 75% of the limited partners benefited by those lockup agreements, with some exceptions. See "—Borrowing by the Operating Partnership" above for information about the lockup agreements.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Books and Reports</w:t>
      </w:r>
    </w:p>
    <w:p>
      <w:pPr>
        <w:spacing w:after="0" w:line="108" w:lineRule="exact"/>
        <w:rPr>
          <w:sz w:val="20"/>
          <w:szCs w:val="20"/>
          <w:color w:val="auto"/>
        </w:rPr>
      </w:pPr>
    </w:p>
    <w:p>
      <w:pPr>
        <w:jc w:val="both"/>
        <w:ind w:hanging="78"/>
        <w:spacing w:after="0" w:line="268" w:lineRule="auto"/>
        <w:rPr>
          <w:sz w:val="20"/>
          <w:szCs w:val="20"/>
          <w:color w:val="auto"/>
        </w:rPr>
      </w:pPr>
      <w:r>
        <w:rPr>
          <w:rFonts w:ascii="Times New Roman" w:cs="Times New Roman" w:eastAsia="Times New Roman" w:hAnsi="Times New Roman"/>
          <w:sz w:val="17"/>
          <w:szCs w:val="17"/>
          <w:color w:val="auto"/>
        </w:rPr>
        <w:t>Vornado Realty Trust is required to keep the operating partnership's books and records at the principal office of the operating partnership. The books of the operating partnership are required to be maintained for financial and tax reporting purposes on an accrual basis in accordance with generally accepted accounting principles, which we refer to as "GAAP." The limited partners have the right, with some limitations, to receive copies of the most recent annual and quarterly reports filed with the SEC by Vornado Realty Trust, the operating partnership's federal, state and local income tax returns, a list of limited partners, the partnership agreement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682" w:right="339" w:bottom="1440" w:gutter="0" w:footer="0" w:header="0"/>
        </w:sectPr>
      </w:pPr>
    </w:p>
    <w:bookmarkStart w:id="148" w:name="page149"/>
    <w:bookmarkEnd w:id="148"/>
    <w:p>
      <w:pPr>
        <w:jc w:val="both"/>
        <w:spacing w:after="0" w:line="276" w:lineRule="auto"/>
        <w:rPr>
          <w:sz w:val="20"/>
          <w:szCs w:val="20"/>
          <w:color w:val="auto"/>
        </w:rPr>
      </w:pPr>
      <w:r>
        <w:rPr>
          <w:rFonts w:ascii="Times New Roman" w:cs="Times New Roman" w:eastAsia="Times New Roman" w:hAnsi="Times New Roman"/>
          <w:sz w:val="17"/>
          <w:szCs w:val="17"/>
          <w:color w:val="auto"/>
        </w:rPr>
        <w:t>and the partnership certificate and all amendments to the partnership certificate. Vornado Realty Trust may keep confidential from the limited partners any information that it believes to be in the nature of trade secrets or other information whose disclosure it in good faith believes is not in the best interests of the operating partnership or which the operating partnership is required by law or by agreements with unaffiliated third parties to keep confidential.</w:t>
      </w:r>
    </w:p>
    <w:p>
      <w:pPr>
        <w:spacing w:after="0" w:line="33" w:lineRule="exact"/>
        <w:rPr>
          <w:sz w:val="20"/>
          <w:szCs w:val="20"/>
          <w:color w:val="auto"/>
        </w:rPr>
      </w:pPr>
    </w:p>
    <w:p>
      <w:pPr>
        <w:jc w:val="both"/>
        <w:ind w:firstLine="314"/>
        <w:spacing w:after="0" w:line="263" w:lineRule="auto"/>
        <w:rPr>
          <w:sz w:val="20"/>
          <w:szCs w:val="20"/>
          <w:color w:val="auto"/>
        </w:rPr>
      </w:pPr>
      <w:r>
        <w:rPr>
          <w:rFonts w:ascii="Times New Roman" w:cs="Times New Roman" w:eastAsia="Times New Roman" w:hAnsi="Times New Roman"/>
          <w:sz w:val="17"/>
          <w:szCs w:val="17"/>
          <w:color w:val="auto"/>
        </w:rPr>
        <w:t>Vornado Realty Trust will furnish to each limited partner, no later than the date on which it mails its annual report to its shareholders, an annual report containing financial statements of the operating partnership, or of Vornado Realty Trust, if it prepares consolidated financial statements including the operating partnership, for each fiscal year, presented in accordance with GAAP. The financial statements will be audited by a nationally recognized firm of independent public accountants selected by Vornado Realty Trust. In addition, if and to the extent that it mails quarterly reports to its shareholders, Vornado Realty Trust will furnish to each limited partner, no later than the date on which it mails the quarterly reports to its shareholders, a report containing unaudited financial statements of the operating partnership, or of Vornado Realty Trust, if the reports are prepared on a consolidated basis, as of the last day of the quarter and any other information that may be required by applicable law or regulation or that it deems appropriate.</w:t>
      </w:r>
    </w:p>
    <w:p>
      <w:pPr>
        <w:spacing w:after="0" w:line="59"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The operating partnership is presently subject to the informational requirements of the Exchange Act, and in accordance therewith, files reports and other information with the SEC. Such reports and other information are also available from the SEC's Internet site (</w:t>
      </w:r>
      <w:r>
        <w:rPr>
          <w:rFonts w:ascii="Times New Roman" w:cs="Times New Roman" w:eastAsia="Times New Roman" w:hAnsi="Times New Roman"/>
          <w:sz w:val="17"/>
          <w:szCs w:val="17"/>
          <w:i w:val="1"/>
          <w:iCs w:val="1"/>
          <w:color w:val="auto"/>
        </w:rPr>
        <w:t>https://www.sec.gov</w:t>
      </w:r>
      <w:r>
        <w:rPr>
          <w:rFonts w:ascii="Times New Roman" w:cs="Times New Roman" w:eastAsia="Times New Roman" w:hAnsi="Times New Roman"/>
          <w:sz w:val="17"/>
          <w:szCs w:val="17"/>
          <w:color w:val="auto"/>
        </w:rPr>
        <w:t>).</w:t>
      </w:r>
    </w:p>
    <w:p>
      <w:pPr>
        <w:spacing w:after="0" w:line="29"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Vornado Realty Trust will use reasonable efforts to furnish to each limited partner, within 90 days after the close of each taxable year, the tax information reasonably required by the limited partners for Federal and state income tax reporting purposes.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08" w:lineRule="exact"/>
        <w:rPr>
          <w:sz w:val="20"/>
          <w:szCs w:val="20"/>
          <w:color w:val="auto"/>
        </w:rPr>
      </w:pPr>
    </w:p>
    <w:p>
      <w:pPr>
        <w:jc w:val="both"/>
        <w:ind w:firstLine="393"/>
        <w:spacing w:after="0" w:line="296" w:lineRule="auto"/>
        <w:rPr>
          <w:sz w:val="20"/>
          <w:szCs w:val="20"/>
          <w:color w:val="auto"/>
        </w:rPr>
      </w:pPr>
      <w:r>
        <w:rPr>
          <w:rFonts w:ascii="Times New Roman" w:cs="Times New Roman" w:eastAsia="Times New Roman" w:hAnsi="Times New Roman"/>
          <w:sz w:val="17"/>
          <w:szCs w:val="17"/>
          <w:color w:val="auto"/>
        </w:rPr>
        <w:t>Under the terms of the partnership agreement, each limited partner and each assignee appoints Vornado Realty Trust, any liquidator, and the authorized officers and attorneys-in-fact of each, as the limited partner's or assignee's attorney-in-fact to do the following:</w:t>
      </w:r>
    </w:p>
    <w:p>
      <w:pPr>
        <w:spacing w:after="0" w:line="29" w:lineRule="exact"/>
        <w:rPr>
          <w:sz w:val="20"/>
          <w:szCs w:val="20"/>
          <w:color w:val="auto"/>
        </w:rPr>
      </w:pPr>
    </w:p>
    <w:p>
      <w:pPr>
        <w:jc w:val="both"/>
        <w:ind w:left="940" w:hanging="306"/>
        <w:spacing w:after="0" w:line="259" w:lineRule="auto"/>
        <w:tabs>
          <w:tab w:leader="none" w:pos="936"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execute, swear to, acknowledge, deliver, file and record in the appropriate public offices (a) all certificates, documents and other instruments including, among other things, the partnership agreement and the certificate of limited partnership and all amendments or restatements of the certificate of limited partnership that Vornado Realty Trust or any liquidator deems appropriate or necessary to form, qualify or maintain the existence of the operating partnership as a limited partnership in the State of Delaware and in all other jurisdictions in which the operating partnership may conduct business or own property, (b) all instruments that Vornado Realty Trust or any liquidator deems appropriate or necessary to reflect any amendment or restatement of the partnership agreement in accordance with its terms, (c) all conveyances and other instruments that Vornado Realty Trust or any liquidator deems appropriate or necessary to reflect the dissolution and liquidation of the operating partnership under the terms of the partnership agreement, (d) all instruments relating to the admission, withdrawal, removal or substitution of any partner, any transfer of units or the capital contribution of any partner and (e) all certificates, documents and other instruments relating to the determination of the rights, preferences and privileges of partnership interests; and</w:t>
      </w:r>
    </w:p>
    <w:p>
      <w:pPr>
        <w:spacing w:after="0" w:line="4" w:lineRule="exact"/>
        <w:rPr>
          <w:rFonts w:ascii="Times New Roman" w:cs="Times New Roman" w:eastAsia="Times New Roman" w:hAnsi="Times New Roman"/>
          <w:sz w:val="17"/>
          <w:szCs w:val="17"/>
          <w:color w:val="auto"/>
        </w:rPr>
      </w:pPr>
    </w:p>
    <w:p>
      <w:pPr>
        <w:jc w:val="both"/>
        <w:ind w:left="940" w:hanging="306"/>
        <w:spacing w:after="0" w:line="257" w:lineRule="auto"/>
        <w:tabs>
          <w:tab w:leader="none" w:pos="936"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execute, swear to, acknowledge and file all ballots, consents, approvals, waivers, certificates and other instruments appropriate or necessary, in the sole and absolute discretion of Vornado Realty Trust or any liquidator, to make, evidence, give, confirm or ratify any vote, consent, approval,</w:t>
      </w:r>
    </w:p>
    <w:p>
      <w:pPr>
        <w:jc w:val="both"/>
        <w:ind w:left="940"/>
        <w:spacing w:after="0" w:line="257" w:lineRule="auto"/>
        <w:rPr>
          <w:sz w:val="20"/>
          <w:szCs w:val="20"/>
          <w:color w:val="auto"/>
        </w:rPr>
      </w:pPr>
      <w:r>
        <w:rPr>
          <w:rFonts w:ascii="Times New Roman" w:cs="Times New Roman" w:eastAsia="Times New Roman" w:hAnsi="Times New Roman"/>
          <w:sz w:val="17"/>
          <w:szCs w:val="17"/>
          <w:color w:val="auto"/>
        </w:rPr>
        <w:t>agreement or other action which is made or given by the partners under the partnership agreement or is consistent with the terms of the partnership agreement or appropriate or necessary, in the sole discretion of Vornado Realty Trust or any liquidator, to effectuate the terms or intent of the partnership agreement.</w:t>
      </w:r>
    </w:p>
    <w:p>
      <w:pPr>
        <w:spacing w:after="0" w:line="1" w:lineRule="exact"/>
        <w:rPr>
          <w:sz w:val="20"/>
          <w:szCs w:val="20"/>
          <w:color w:val="auto"/>
        </w:rPr>
      </w:pPr>
    </w:p>
    <w:p>
      <w:pPr>
        <w:jc w:val="both"/>
        <w:ind w:firstLine="314"/>
        <w:spacing w:after="0" w:line="265" w:lineRule="auto"/>
        <w:rPr>
          <w:sz w:val="20"/>
          <w:szCs w:val="20"/>
          <w:color w:val="auto"/>
        </w:rPr>
      </w:pPr>
      <w:r>
        <w:rPr>
          <w:rFonts w:ascii="Times New Roman" w:cs="Times New Roman" w:eastAsia="Times New Roman" w:hAnsi="Times New Roman"/>
          <w:sz w:val="17"/>
          <w:szCs w:val="17"/>
          <w:color w:val="auto"/>
        </w:rPr>
        <w:t>The partnership agreement provides that this power of attorney is irrevocable, will survive the subsequent incapacity of any limited partner and the transfer of all or any portion of the limited partner’s or assignee's units and will extend to the limited partner's or assignee's heirs, successors, assigns and personal representatives.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684" w:right="339" w:bottom="1440" w:gutter="0" w:footer="0" w:header="0"/>
        </w:sectPr>
      </w:pPr>
    </w:p>
    <w:bookmarkStart w:id="149" w:name="page150"/>
    <w:bookmarkEnd w:id="149"/>
    <w:p>
      <w:pPr>
        <w:ind w:left="320"/>
        <w:spacing w:after="0"/>
        <w:rPr>
          <w:sz w:val="20"/>
          <w:szCs w:val="20"/>
          <w:color w:val="auto"/>
        </w:rPr>
      </w:pPr>
      <w:r>
        <w:rPr>
          <w:rFonts w:ascii="Times New Roman" w:cs="Times New Roman" w:eastAsia="Times New Roman" w:hAnsi="Times New Roman"/>
          <w:sz w:val="17"/>
          <w:szCs w:val="17"/>
          <w:b w:val="1"/>
          <w:bCs w:val="1"/>
          <w:color w:val="auto"/>
        </w:rPr>
        <w:t>Dissolution, Winding Up and Termination</w:t>
      </w:r>
    </w:p>
    <w:p>
      <w:pPr>
        <w:spacing w:after="0" w:line="108" w:lineRule="exact"/>
        <w:rPr>
          <w:sz w:val="20"/>
          <w:szCs w:val="20"/>
          <w:color w:val="auto"/>
        </w:rPr>
      </w:pPr>
    </w:p>
    <w:p>
      <w:pPr>
        <w:jc w:val="both"/>
        <w:ind w:firstLine="314"/>
        <w:spacing w:after="0" w:line="276" w:lineRule="auto"/>
        <w:rPr>
          <w:sz w:val="20"/>
          <w:szCs w:val="20"/>
          <w:color w:val="auto"/>
        </w:rPr>
      </w:pPr>
      <w:r>
        <w:rPr>
          <w:rFonts w:ascii="Times New Roman" w:cs="Times New Roman" w:eastAsia="Times New Roman" w:hAnsi="Times New Roman"/>
          <w:sz w:val="17"/>
          <w:szCs w:val="17"/>
          <w:color w:val="auto"/>
        </w:rPr>
        <w:t>The operating partnership will continue until December 31, 2095, as this date may be extended by Vornado Realty Trust in its sole discretion, unless sooner dissolved and terminated. The operating partnership will be dissolved before the expiration of its term, and its affairs wound up upon the occurrence of the earliest of:</w:t>
      </w:r>
    </w:p>
    <w:p>
      <w:pPr>
        <w:spacing w:after="0" w:line="33" w:lineRule="exact"/>
        <w:rPr>
          <w:sz w:val="20"/>
          <w:szCs w:val="20"/>
          <w:color w:val="auto"/>
        </w:rPr>
      </w:pPr>
    </w:p>
    <w:p>
      <w:pPr>
        <w:ind w:left="940" w:hanging="306"/>
        <w:spacing w:after="0" w:line="268" w:lineRule="auto"/>
        <w:tabs>
          <w:tab w:leader="none" w:pos="93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Vornado Realty Trust’s withdrawal as general partner without the permitted transfer of its interest to a successor general partner, except in some limited circumstances;</w:t>
      </w:r>
    </w:p>
    <w:p>
      <w:pPr>
        <w:ind w:left="940" w:hanging="306"/>
        <w:spacing w:after="0" w:line="257" w:lineRule="auto"/>
        <w:tabs>
          <w:tab w:leader="none" w:pos="93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all or substantially all of the operating partnership's assets and properties, subject to the lock-up agreements during the period when the lock-up agreements are in effect;</w:t>
      </w:r>
    </w:p>
    <w:p>
      <w:pPr>
        <w:ind w:left="940" w:hanging="306"/>
        <w:spacing w:after="0" w:line="257" w:lineRule="auto"/>
        <w:tabs>
          <w:tab w:leader="none" w:pos="93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of a decree of judicial dissolution of the operating partnership under the provisions of the Delaware Revised Uniform Limited Partnership Act;</w:t>
      </w:r>
    </w:p>
    <w:p>
      <w:pPr>
        <w:jc w:val="both"/>
        <w:ind w:left="940" w:hanging="306"/>
        <w:spacing w:after="0" w:line="265" w:lineRule="auto"/>
        <w:tabs>
          <w:tab w:leader="none" w:pos="93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of a final non-appealable order for relief in a bankruptcy proceeding of the general partner, or the entry of a final non-appealable judgment ruling that the general partner is bankrupt or insolvent, except that, in either of these cases, in some circumstances the limited partners other than Vornado Realty Trust may vote to continue the operating partnership and substitute a new general partner in Vornado Realty Trust’s place; or</w:t>
      </w:r>
    </w:p>
    <w:p>
      <w:pPr>
        <w:spacing w:after="0" w:line="190"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December 31, 2046, on election by Vornado Realty Trust, in its sole and absolute discretion.</w:t>
      </w:r>
    </w:p>
    <w:p>
      <w:pPr>
        <w:spacing w:after="0" w:line="88" w:lineRule="exact"/>
        <w:rPr>
          <w:sz w:val="20"/>
          <w:szCs w:val="20"/>
          <w:color w:val="auto"/>
        </w:rPr>
      </w:pPr>
    </w:p>
    <w:p>
      <w:pPr>
        <w:ind w:firstLine="314"/>
        <w:spacing w:after="0" w:line="296" w:lineRule="auto"/>
        <w:rPr>
          <w:sz w:val="20"/>
          <w:szCs w:val="20"/>
          <w:color w:val="auto"/>
        </w:rPr>
      </w:pPr>
      <w:r>
        <w:rPr>
          <w:rFonts w:ascii="Times New Roman" w:cs="Times New Roman" w:eastAsia="Times New Roman" w:hAnsi="Times New Roman"/>
          <w:sz w:val="17"/>
          <w:szCs w:val="17"/>
          <w:color w:val="auto"/>
        </w:rPr>
        <w:t>Upon dissolution, Vornado Realty Trust, as general partner, or any liquidator will proceed to liquidate the assets of the operating partnership and apply the proceeds from the liquidation in the order of priority provided in the partnership agreement.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59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1"/>
          <w:szCs w:val="2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937260</wp:posOffset>
            </wp:positionV>
            <wp:extent cx="71361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7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THIRD AMENDED AND RESTATED TERM LOAN AGREEMENT</w:t>
      </w: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dated as of January 7, 2026</w:t>
      </w:r>
    </w:p>
    <w:p>
      <w:pPr>
        <w:spacing w:after="0" w:line="23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among</w:t>
      </w:r>
    </w:p>
    <w:p>
      <w:pPr>
        <w:spacing w:after="0" w:line="21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VORNADO REALTY L.P.,</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1"/>
          <w:szCs w:val="21"/>
          <w:color w:val="auto"/>
        </w:rPr>
        <w:t>as Borrower,</w:t>
      </w:r>
    </w:p>
    <w:p>
      <w:pPr>
        <w:spacing w:after="0" w:line="19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color w:val="auto"/>
        </w:rPr>
        <w:t>THE BANKS SIGNATORY HERETO,</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each as a Bank,</w:t>
      </w:r>
    </w:p>
    <w:p>
      <w:pPr>
        <w:spacing w:after="0" w:line="19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Administrative Agent,</w:t>
      </w:r>
    </w:p>
    <w:p>
      <w:pPr>
        <w:spacing w:after="0" w:line="20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color w:val="auto"/>
        </w:rPr>
        <w:t>BANK OF AMERICA, N.A., BMO BANK, N.A., PNC BANK, NATIONAL ASSOCIATION,</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U.S. BANK NATIONAL ASSOCIATION, and WELLS FARGO BANK, N.A.,</w:t>
      </w:r>
    </w:p>
    <w:p>
      <w:pPr>
        <w:spacing w:after="0" w:line="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1"/>
          <w:szCs w:val="21"/>
          <w:color w:val="auto"/>
        </w:rPr>
        <w:t>as Syndication Agents,</w:t>
      </w:r>
    </w:p>
    <w:p>
      <w:pPr>
        <w:spacing w:after="0" w:line="19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CITIZENS BANK, N.A., M&amp;T BANK and MIZUHO BANK, LTD.,</w:t>
      </w:r>
    </w:p>
    <w:p>
      <w:pPr>
        <w:spacing w:after="0" w:line="3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color w:val="auto"/>
        </w:rPr>
        <w:t>as Documentation Agents,</w:t>
      </w:r>
    </w:p>
    <w:p>
      <w:pPr>
        <w:spacing w:after="0" w:line="20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J.P. MORGAN SECURITIES LLC,</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1"/>
          <w:szCs w:val="21"/>
          <w:color w:val="auto"/>
        </w:rPr>
        <w:t>as Lead Sustainability Structuring Agent</w:t>
      </w:r>
    </w:p>
    <w:p>
      <w:pPr>
        <w:spacing w:after="0" w:line="19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ING CAPITAL, LLC, as Sustainability Structuring Agent</w:t>
      </w:r>
    </w:p>
    <w:p>
      <w:pPr>
        <w:spacing w:after="0" w:line="2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JPMORGAN CHASE BANK, N.A., BOFA SECURITIES, INC.,</w:t>
      </w:r>
    </w:p>
    <w:p>
      <w:pPr>
        <w:spacing w:after="0" w:line="3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1"/>
          <w:szCs w:val="21"/>
          <w:color w:val="auto"/>
        </w:rPr>
        <w:t>BMO CAPITAL MARKETS CORP., PNC CAPITAL MARKETS LLC,</w:t>
      </w:r>
    </w:p>
    <w:p>
      <w:pPr>
        <w:spacing w:after="0" w:line="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U.S. BANK NATIONAL ASSOCIATION and WELLS FARGO SECURITIES, LLC,</w:t>
      </w:r>
    </w:p>
    <w:p>
      <w:pPr>
        <w:spacing w:after="0" w:line="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as Lead Arrangers and Bookrunners</w:t>
      </w:r>
    </w:p>
    <w:p>
      <w:pPr>
        <w:spacing w:after="0" w:line="19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color w:val="auto"/>
        </w:rPr>
        <w:t>M&amp;T BANK and MIZUHO BANK, LTD.,</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as Joint Lead Arrangers</w:t>
      </w:r>
    </w:p>
    <w:p>
      <w:pPr>
        <w:sectPr>
          <w:pgSz w:w="11900" w:h="16838" w:orient="portrait"/>
          <w:cols w:equalWidth="0" w:num="1">
            <w:col w:w="10120"/>
          </w:cols>
          <w:pgMar w:left="1440" w:top="125" w:right="339" w:bottom="1440" w:gutter="0" w:footer="0" w:header="0"/>
        </w:sectPr>
      </w:pPr>
    </w:p>
    <w:bookmarkStart w:id="151" w:name="page152"/>
    <w:bookmarkEnd w:id="151"/>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40" w:type="dxa"/>
            <w:vAlign w:val="bottom"/>
          </w:tcPr>
          <w:p>
            <w:pPr>
              <w:spacing w:after="0"/>
              <w:rPr>
                <w:sz w:val="20"/>
                <w:szCs w:val="20"/>
                <w:color w:val="auto"/>
              </w:rPr>
            </w:pPr>
            <w:r>
              <w:rPr>
                <w:rFonts w:ascii="Times New Roman" w:cs="Times New Roman" w:eastAsia="Times New Roman" w:hAnsi="Times New Roman"/>
                <w:sz w:val="21"/>
                <w:szCs w:val="21"/>
                <w:color w:val="auto"/>
              </w:rPr>
              <w:t>ARTICLE I</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rPr>
              <w:t>DEFINITIONS; ETC</w:t>
            </w:r>
          </w:p>
        </w:tc>
        <w:tc>
          <w:tcPr>
            <w:tcW w:w="460" w:type="dxa"/>
            <w:vAlign w:val="bottom"/>
          </w:tcPr>
          <w:p>
            <w:pPr>
              <w:jc w:val="right"/>
              <w:ind w:right="35"/>
              <w:spacing w:after="0"/>
              <w:rPr>
                <w:sz w:val="20"/>
                <w:szCs w:val="20"/>
                <w:color w:val="auto"/>
              </w:rPr>
            </w:pPr>
            <w:r>
              <w:rPr>
                <w:rFonts w:ascii="Times New Roman" w:cs="Times New Roman" w:eastAsia="Times New Roman" w:hAnsi="Times New Roman"/>
                <w:sz w:val="21"/>
                <w:szCs w:val="21"/>
                <w:color w:val="auto"/>
              </w:rPr>
              <w:t>1</w:t>
            </w: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720" w:type="dxa"/>
            <w:vAlign w:val="bottom"/>
          </w:tcPr>
          <w:p>
            <w:pPr>
              <w:spacing w:after="0"/>
              <w:rPr>
                <w:sz w:val="23"/>
                <w:szCs w:val="23"/>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w:t>
            </w: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Definitions</w:t>
            </w:r>
          </w:p>
        </w:tc>
        <w:tc>
          <w:tcPr>
            <w:tcW w:w="4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1</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1.02</w:t>
            </w: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w w:val="99"/>
              </w:rPr>
              <w:t>Accounting Terms</w:t>
            </w:r>
          </w:p>
        </w:tc>
        <w:tc>
          <w:tcPr>
            <w:tcW w:w="700" w:type="dxa"/>
            <w:vAlign w:val="bottom"/>
            <w:gridSpan w:val="2"/>
          </w:tcPr>
          <w:p>
            <w:pPr>
              <w:jc w:val="right"/>
              <w:ind w:right="215"/>
              <w:spacing w:after="0"/>
              <w:rPr>
                <w:sz w:val="20"/>
                <w:szCs w:val="20"/>
                <w:color w:val="auto"/>
              </w:rPr>
            </w:pPr>
            <w:r>
              <w:rPr>
                <w:rFonts w:ascii="Times New Roman" w:cs="Times New Roman" w:eastAsia="Times New Roman" w:hAnsi="Times New Roman"/>
                <w:sz w:val="21"/>
                <w:szCs w:val="21"/>
                <w:color w:val="auto"/>
              </w:rPr>
              <w:t>33</w:t>
            </w:r>
          </w:p>
        </w:tc>
        <w:tc>
          <w:tcPr>
            <w:tcW w:w="472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1.03</w:t>
            </w:r>
          </w:p>
        </w:tc>
        <w:tc>
          <w:tcPr>
            <w:tcW w:w="712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Computation of Time Periods  34</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1.04</w:t>
            </w:r>
          </w:p>
        </w:tc>
        <w:tc>
          <w:tcPr>
            <w:tcW w:w="196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w w:val="98"/>
              </w:rPr>
              <w:t>Rules of Construction</w:t>
            </w:r>
          </w:p>
        </w:tc>
        <w:tc>
          <w:tcPr>
            <w:tcW w:w="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c>
          <w:tcPr>
            <w:tcW w:w="472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1.05</w:t>
            </w:r>
          </w:p>
        </w:tc>
        <w:tc>
          <w:tcPr>
            <w:tcW w:w="712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Interest Rates; Benchmark Notification  34</w:t>
            </w:r>
          </w:p>
        </w:tc>
      </w:tr>
      <w:tr>
        <w:trPr>
          <w:trHeight w:val="367"/>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1.06</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w w:val="99"/>
              </w:rPr>
              <w:t>Divisions</w:t>
            </w:r>
          </w:p>
        </w:tc>
        <w:tc>
          <w:tcPr>
            <w:tcW w:w="760" w:type="dxa"/>
            <w:vAlign w:val="bottom"/>
            <w:gridSpan w:val="2"/>
          </w:tcPr>
          <w:p>
            <w:pPr>
              <w:jc w:val="right"/>
              <w:ind w:right="255"/>
              <w:spacing w:after="0"/>
              <w:rPr>
                <w:sz w:val="20"/>
                <w:szCs w:val="20"/>
                <w:color w:val="auto"/>
              </w:rPr>
            </w:pPr>
            <w:r>
              <w:rPr>
                <w:rFonts w:ascii="Times New Roman" w:cs="Times New Roman" w:eastAsia="Times New Roman" w:hAnsi="Times New Roman"/>
                <w:sz w:val="21"/>
                <w:szCs w:val="21"/>
                <w:color w:val="auto"/>
              </w:rPr>
              <w:t>34</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54"/>
        </w:trPr>
        <w:tc>
          <w:tcPr>
            <w:tcW w:w="8900" w:type="dxa"/>
            <w:vAlign w:val="bottom"/>
            <w:gridSpan w:val="9"/>
          </w:tcPr>
          <w:p>
            <w:pPr>
              <w:ind w:left="640"/>
              <w:spacing w:after="0"/>
              <w:rPr>
                <w:sz w:val="20"/>
                <w:szCs w:val="20"/>
                <w:color w:val="auto"/>
              </w:rPr>
            </w:pPr>
            <w:r>
              <w:rPr>
                <w:rFonts w:ascii="Times New Roman" w:cs="Times New Roman" w:eastAsia="Times New Roman" w:hAnsi="Times New Roman"/>
                <w:sz w:val="21"/>
                <w:szCs w:val="21"/>
                <w:color w:val="auto"/>
              </w:rPr>
              <w:t>Section 1.07  Sustainability Adjustments.  35</w:t>
            </w:r>
          </w:p>
        </w:tc>
      </w:tr>
      <w:tr>
        <w:trPr>
          <w:trHeight w:val="354"/>
        </w:trPr>
        <w:tc>
          <w:tcPr>
            <w:tcW w:w="1140" w:type="dxa"/>
            <w:vAlign w:val="bottom"/>
          </w:tcPr>
          <w:p>
            <w:pPr>
              <w:spacing w:after="0"/>
              <w:rPr>
                <w:sz w:val="20"/>
                <w:szCs w:val="20"/>
                <w:color w:val="auto"/>
              </w:rPr>
            </w:pPr>
            <w:r>
              <w:rPr>
                <w:rFonts w:ascii="Times New Roman" w:cs="Times New Roman" w:eastAsia="Times New Roman" w:hAnsi="Times New Roman"/>
                <w:sz w:val="21"/>
                <w:szCs w:val="21"/>
                <w:color w:val="auto"/>
              </w:rPr>
              <w:t>ARTICLE II</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rPr>
              <w:t>THE LOANS</w:t>
            </w:r>
          </w:p>
        </w:tc>
        <w:tc>
          <w:tcPr>
            <w:tcW w:w="460" w:type="dxa"/>
            <w:vAlign w:val="bottom"/>
            <w:gridSpan w:val="2"/>
          </w:tcPr>
          <w:p>
            <w:pPr>
              <w:jc w:val="right"/>
              <w:ind w:right="55"/>
              <w:spacing w:after="0"/>
              <w:rPr>
                <w:sz w:val="20"/>
                <w:szCs w:val="20"/>
                <w:color w:val="auto"/>
              </w:rPr>
            </w:pPr>
            <w:r>
              <w:rPr>
                <w:rFonts w:ascii="Times New Roman" w:cs="Times New Roman" w:eastAsia="Times New Roman" w:hAnsi="Times New Roman"/>
                <w:sz w:val="21"/>
                <w:szCs w:val="21"/>
                <w:color w:val="auto"/>
              </w:rPr>
              <w:t>38</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2.01</w:t>
            </w: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Term Loans</w:t>
            </w: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21"/>
                <w:szCs w:val="21"/>
                <w:color w:val="auto"/>
              </w:rPr>
              <w:t>38</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2.02</w:t>
            </w: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[Reserved].</w:t>
            </w:r>
          </w:p>
        </w:tc>
        <w:tc>
          <w:tcPr>
            <w:tcW w:w="46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38</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67"/>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2.03</w:t>
            </w: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[Reserved].</w:t>
            </w:r>
          </w:p>
        </w:tc>
        <w:tc>
          <w:tcPr>
            <w:tcW w:w="46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rPr>
              <w:t>38</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2.04</w:t>
            </w: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[Reserved]</w:t>
            </w:r>
          </w:p>
        </w:tc>
        <w:tc>
          <w:tcPr>
            <w:tcW w:w="460" w:type="dxa"/>
            <w:vAlign w:val="bottom"/>
          </w:tcPr>
          <w:p>
            <w:pPr>
              <w:spacing w:after="0"/>
              <w:rPr>
                <w:sz w:val="20"/>
                <w:szCs w:val="20"/>
                <w:color w:val="auto"/>
              </w:rPr>
            </w:pPr>
            <w:r>
              <w:rPr>
                <w:rFonts w:ascii="Times New Roman" w:cs="Times New Roman" w:eastAsia="Times New Roman" w:hAnsi="Times New Roman"/>
                <w:sz w:val="21"/>
                <w:szCs w:val="21"/>
                <w:color w:val="auto"/>
              </w:rPr>
              <w:t>38</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2.05</w:t>
            </w:r>
          </w:p>
        </w:tc>
        <w:tc>
          <w:tcPr>
            <w:tcW w:w="240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rPr>
              <w:t>Procedures for Advances</w:t>
            </w:r>
          </w:p>
        </w:tc>
        <w:tc>
          <w:tcPr>
            <w:tcW w:w="4720" w:type="dxa"/>
            <w:vAlign w:val="bottom"/>
          </w:tcPr>
          <w:p>
            <w:pPr>
              <w:jc w:val="right"/>
              <w:ind w:right="4375"/>
              <w:spacing w:after="0"/>
              <w:rPr>
                <w:sz w:val="20"/>
                <w:szCs w:val="20"/>
                <w:color w:val="auto"/>
              </w:rPr>
            </w:pPr>
            <w:r>
              <w:rPr>
                <w:rFonts w:ascii="Times New Roman" w:cs="Times New Roman" w:eastAsia="Times New Roman" w:hAnsi="Times New Roman"/>
                <w:sz w:val="21"/>
                <w:szCs w:val="21"/>
                <w:color w:val="auto"/>
              </w:rPr>
              <w:t>38</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2.06</w:t>
            </w:r>
          </w:p>
        </w:tc>
        <w:tc>
          <w:tcPr>
            <w:tcW w:w="240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rPr>
              <w:t>Interest Periods; Renewals</w:t>
            </w:r>
          </w:p>
        </w:tc>
        <w:tc>
          <w:tcPr>
            <w:tcW w:w="4720" w:type="dxa"/>
            <w:vAlign w:val="bottom"/>
          </w:tcPr>
          <w:p>
            <w:pPr>
              <w:jc w:val="right"/>
              <w:ind w:right="4255"/>
              <w:spacing w:after="0"/>
              <w:rPr>
                <w:sz w:val="20"/>
                <w:szCs w:val="20"/>
                <w:color w:val="auto"/>
              </w:rPr>
            </w:pPr>
            <w:r>
              <w:rPr>
                <w:rFonts w:ascii="Times New Roman" w:cs="Times New Roman" w:eastAsia="Times New Roman" w:hAnsi="Times New Roman"/>
                <w:sz w:val="21"/>
                <w:szCs w:val="21"/>
                <w:color w:val="auto"/>
              </w:rPr>
              <w:t>39</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2.07</w:t>
            </w:r>
          </w:p>
        </w:tc>
        <w:tc>
          <w:tcPr>
            <w:tcW w:w="7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Interest</w:t>
            </w:r>
          </w:p>
        </w:tc>
        <w:tc>
          <w:tcPr>
            <w:tcW w:w="1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5"/>
              </w:rPr>
              <w:t>39</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67"/>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2.08</w:t>
            </w: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[Reserved]</w:t>
            </w:r>
          </w:p>
        </w:tc>
        <w:tc>
          <w:tcPr>
            <w:tcW w:w="460" w:type="dxa"/>
            <w:vAlign w:val="bottom"/>
          </w:tcPr>
          <w:p>
            <w:pPr>
              <w:spacing w:after="0"/>
              <w:rPr>
                <w:sz w:val="20"/>
                <w:szCs w:val="20"/>
                <w:color w:val="auto"/>
              </w:rPr>
            </w:pPr>
            <w:r>
              <w:rPr>
                <w:rFonts w:ascii="Times New Roman" w:cs="Times New Roman" w:eastAsia="Times New Roman" w:hAnsi="Times New Roman"/>
                <w:sz w:val="21"/>
                <w:szCs w:val="21"/>
                <w:color w:val="auto"/>
              </w:rPr>
              <w:t>40</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2.09</w:t>
            </w:r>
          </w:p>
        </w:tc>
        <w:tc>
          <w:tcPr>
            <w:tcW w:w="7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Notes</w:t>
            </w:r>
          </w:p>
        </w:tc>
        <w:tc>
          <w:tcPr>
            <w:tcW w:w="460" w:type="dxa"/>
            <w:vAlign w:val="bottom"/>
            <w:gridSpan w:val="2"/>
          </w:tcPr>
          <w:p>
            <w:pPr>
              <w:jc w:val="right"/>
              <w:ind w:right="115"/>
              <w:spacing w:after="0"/>
              <w:rPr>
                <w:sz w:val="20"/>
                <w:szCs w:val="20"/>
                <w:color w:val="auto"/>
              </w:rPr>
            </w:pPr>
            <w:r>
              <w:rPr>
                <w:rFonts w:ascii="Times New Roman" w:cs="Times New Roman" w:eastAsia="Times New Roman" w:hAnsi="Times New Roman"/>
                <w:sz w:val="21"/>
                <w:szCs w:val="21"/>
                <w:color w:val="auto"/>
              </w:rPr>
              <w:t>40</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2.10</w:t>
            </w: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Prepayments</w:t>
            </w:r>
          </w:p>
        </w:tc>
        <w:tc>
          <w:tcPr>
            <w:tcW w:w="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2.11</w:t>
            </w:r>
          </w:p>
        </w:tc>
        <w:tc>
          <w:tcPr>
            <w:tcW w:w="1960" w:type="dxa"/>
            <w:vAlign w:val="bottom"/>
            <w:gridSpan w:val="5"/>
          </w:tcPr>
          <w:p>
            <w:pPr>
              <w:ind w:left="100"/>
              <w:spacing w:after="0"/>
              <w:rPr>
                <w:sz w:val="20"/>
                <w:szCs w:val="20"/>
                <w:color w:val="auto"/>
              </w:rPr>
            </w:pPr>
            <w:r>
              <w:rPr>
                <w:rFonts w:ascii="Times New Roman" w:cs="Times New Roman" w:eastAsia="Times New Roman" w:hAnsi="Times New Roman"/>
                <w:sz w:val="21"/>
                <w:szCs w:val="21"/>
                <w:color w:val="auto"/>
              </w:rPr>
              <w:t>Method of Payment</w:t>
            </w:r>
          </w:p>
        </w:tc>
        <w:tc>
          <w:tcPr>
            <w:tcW w:w="440" w:type="dxa"/>
            <w:vAlign w:val="bottom"/>
          </w:tcPr>
          <w:p>
            <w:pPr>
              <w:jc w:val="right"/>
              <w:ind w:right="115"/>
              <w:spacing w:after="0"/>
              <w:rPr>
                <w:sz w:val="20"/>
                <w:szCs w:val="20"/>
                <w:color w:val="auto"/>
              </w:rPr>
            </w:pPr>
            <w:r>
              <w:rPr>
                <w:rFonts w:ascii="Times New Roman" w:cs="Times New Roman" w:eastAsia="Times New Roman" w:hAnsi="Times New Roman"/>
                <w:sz w:val="21"/>
                <w:szCs w:val="21"/>
                <w:color w:val="auto"/>
                <w:w w:val="95"/>
              </w:rPr>
              <w:t>41</w:t>
            </w:r>
          </w:p>
        </w:tc>
        <w:tc>
          <w:tcPr>
            <w:tcW w:w="472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2.12</w:t>
            </w:r>
          </w:p>
        </w:tc>
        <w:tc>
          <w:tcPr>
            <w:tcW w:w="712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Elections, Conversions or Continuation of Loans  41</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2.13</w:t>
            </w:r>
          </w:p>
        </w:tc>
        <w:tc>
          <w:tcPr>
            <w:tcW w:w="196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Minimum Amounts</w:t>
            </w:r>
          </w:p>
        </w:tc>
        <w:tc>
          <w:tcPr>
            <w:tcW w:w="440" w:type="dxa"/>
            <w:vAlign w:val="bottom"/>
          </w:tcPr>
          <w:p>
            <w:pPr>
              <w:jc w:val="right"/>
              <w:ind w:right="115"/>
              <w:spacing w:after="0"/>
              <w:rPr>
                <w:sz w:val="20"/>
                <w:szCs w:val="20"/>
                <w:color w:val="auto"/>
              </w:rPr>
            </w:pPr>
            <w:r>
              <w:rPr>
                <w:rFonts w:ascii="Times New Roman" w:cs="Times New Roman" w:eastAsia="Times New Roman" w:hAnsi="Times New Roman"/>
                <w:sz w:val="21"/>
                <w:szCs w:val="21"/>
                <w:color w:val="auto"/>
                <w:w w:val="95"/>
              </w:rPr>
              <w:t>41</w:t>
            </w:r>
          </w:p>
        </w:tc>
        <w:tc>
          <w:tcPr>
            <w:tcW w:w="4720" w:type="dxa"/>
            <w:vAlign w:val="bottom"/>
          </w:tcPr>
          <w:p>
            <w:pPr>
              <w:spacing w:after="0"/>
              <w:rPr>
                <w:sz w:val="24"/>
                <w:szCs w:val="24"/>
                <w:color w:val="auto"/>
              </w:rPr>
            </w:pPr>
          </w:p>
        </w:tc>
      </w:tr>
      <w:tr>
        <w:trPr>
          <w:trHeight w:val="367"/>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2.14</w:t>
            </w:r>
          </w:p>
        </w:tc>
        <w:tc>
          <w:tcPr>
            <w:tcW w:w="712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Certain Notices Regarding Elections, Conversions and Continuations of Loans  42</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2.15</w:t>
            </w:r>
          </w:p>
        </w:tc>
        <w:tc>
          <w:tcPr>
            <w:tcW w:w="196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Payments Generally</w:t>
            </w:r>
          </w:p>
        </w:tc>
        <w:tc>
          <w:tcPr>
            <w:tcW w:w="440" w:type="dxa"/>
            <w:vAlign w:val="bottom"/>
          </w:tcPr>
          <w:p>
            <w:pPr>
              <w:jc w:val="right"/>
              <w:ind w:right="75"/>
              <w:spacing w:after="0"/>
              <w:rPr>
                <w:sz w:val="20"/>
                <w:szCs w:val="20"/>
                <w:color w:val="auto"/>
              </w:rPr>
            </w:pPr>
            <w:r>
              <w:rPr>
                <w:rFonts w:ascii="Times New Roman" w:cs="Times New Roman" w:eastAsia="Times New Roman" w:hAnsi="Times New Roman"/>
                <w:sz w:val="21"/>
                <w:szCs w:val="21"/>
                <w:color w:val="auto"/>
              </w:rPr>
              <w:t>42</w:t>
            </w:r>
          </w:p>
        </w:tc>
        <w:tc>
          <w:tcPr>
            <w:tcW w:w="4720" w:type="dxa"/>
            <w:vAlign w:val="bottom"/>
          </w:tcPr>
          <w:p>
            <w:pPr>
              <w:spacing w:after="0"/>
              <w:rPr>
                <w:sz w:val="24"/>
                <w:szCs w:val="24"/>
                <w:color w:val="auto"/>
              </w:rPr>
            </w:pPr>
          </w:p>
        </w:tc>
      </w:tr>
      <w:tr>
        <w:trPr>
          <w:trHeight w:val="354"/>
        </w:trPr>
        <w:tc>
          <w:tcPr>
            <w:tcW w:w="8900" w:type="dxa"/>
            <w:vAlign w:val="bottom"/>
            <w:gridSpan w:val="9"/>
          </w:tcPr>
          <w:p>
            <w:pPr>
              <w:ind w:left="640"/>
              <w:spacing w:after="0"/>
              <w:rPr>
                <w:sz w:val="20"/>
                <w:szCs w:val="20"/>
                <w:color w:val="auto"/>
              </w:rPr>
            </w:pPr>
            <w:r>
              <w:rPr>
                <w:rFonts w:ascii="Times New Roman" w:cs="Times New Roman" w:eastAsia="Times New Roman" w:hAnsi="Times New Roman"/>
                <w:sz w:val="21"/>
                <w:szCs w:val="21"/>
                <w:color w:val="auto"/>
              </w:rPr>
              <w:t>Section 2.16  Changes of Loan Commitments.  42</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2.17</w:t>
            </w: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Extension Option</w:t>
            </w:r>
          </w:p>
        </w:tc>
        <w:tc>
          <w:tcPr>
            <w:tcW w:w="700" w:type="dxa"/>
            <w:vAlign w:val="bottom"/>
            <w:gridSpan w:val="2"/>
          </w:tcPr>
          <w:p>
            <w:pPr>
              <w:jc w:val="right"/>
              <w:ind w:right="295"/>
              <w:spacing w:after="0"/>
              <w:rPr>
                <w:sz w:val="20"/>
                <w:szCs w:val="20"/>
                <w:color w:val="auto"/>
              </w:rPr>
            </w:pPr>
            <w:r>
              <w:rPr>
                <w:rFonts w:ascii="Times New Roman" w:cs="Times New Roman" w:eastAsia="Times New Roman" w:hAnsi="Times New Roman"/>
                <w:sz w:val="21"/>
                <w:szCs w:val="21"/>
                <w:color w:val="auto"/>
              </w:rPr>
              <w:t>44</w:t>
            </w:r>
          </w:p>
        </w:tc>
        <w:tc>
          <w:tcPr>
            <w:tcW w:w="4720" w:type="dxa"/>
            <w:vAlign w:val="bottom"/>
          </w:tcPr>
          <w:p>
            <w:pPr>
              <w:spacing w:after="0"/>
              <w:rPr>
                <w:sz w:val="24"/>
                <w:szCs w:val="24"/>
                <w:color w:val="auto"/>
              </w:rPr>
            </w:pPr>
          </w:p>
        </w:tc>
      </w:tr>
      <w:tr>
        <w:trPr>
          <w:trHeight w:val="354"/>
        </w:trPr>
        <w:tc>
          <w:tcPr>
            <w:tcW w:w="890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ARTICLE III  YIELD PROTECTION; ILLEGALITY; ETC.  45</w:t>
            </w:r>
          </w:p>
        </w:tc>
      </w:tr>
      <w:tr>
        <w:trPr>
          <w:trHeight w:val="367"/>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3.01</w:t>
            </w:r>
          </w:p>
        </w:tc>
        <w:tc>
          <w:tcPr>
            <w:tcW w:w="170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Additional Costs</w:t>
            </w:r>
          </w:p>
        </w:tc>
        <w:tc>
          <w:tcPr>
            <w:tcW w:w="2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w:t>
            </w:r>
          </w:p>
        </w:tc>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3.02</w:t>
            </w:r>
          </w:p>
        </w:tc>
        <w:tc>
          <w:tcPr>
            <w:tcW w:w="240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rPr>
              <w:t>Alternate Rate of Interest</w:t>
            </w:r>
          </w:p>
        </w:tc>
        <w:tc>
          <w:tcPr>
            <w:tcW w:w="4720" w:type="dxa"/>
            <w:vAlign w:val="bottom"/>
          </w:tcPr>
          <w:p>
            <w:pPr>
              <w:jc w:val="right"/>
              <w:ind w:right="4355"/>
              <w:spacing w:after="0"/>
              <w:rPr>
                <w:sz w:val="20"/>
                <w:szCs w:val="20"/>
                <w:color w:val="auto"/>
              </w:rPr>
            </w:pPr>
            <w:r>
              <w:rPr>
                <w:rFonts w:ascii="Times New Roman" w:cs="Times New Roman" w:eastAsia="Times New Roman" w:hAnsi="Times New Roman"/>
                <w:sz w:val="21"/>
                <w:szCs w:val="21"/>
                <w:color w:val="auto"/>
              </w:rPr>
              <w:t>46</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3.03</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Illegality</w:t>
            </w:r>
          </w:p>
        </w:tc>
        <w:tc>
          <w:tcPr>
            <w:tcW w:w="760" w:type="dxa"/>
            <w:vAlign w:val="bottom"/>
            <w:gridSpan w:val="2"/>
          </w:tcPr>
          <w:p>
            <w:pPr>
              <w:jc w:val="right"/>
              <w:ind w:right="315"/>
              <w:spacing w:after="0"/>
              <w:rPr>
                <w:sz w:val="20"/>
                <w:szCs w:val="20"/>
                <w:color w:val="auto"/>
              </w:rPr>
            </w:pPr>
            <w:r>
              <w:rPr>
                <w:rFonts w:ascii="Times New Roman" w:cs="Times New Roman" w:eastAsia="Times New Roman" w:hAnsi="Times New Roman"/>
                <w:sz w:val="21"/>
                <w:szCs w:val="21"/>
                <w:color w:val="auto"/>
              </w:rPr>
              <w:t>48</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140"/>
          </w:cols>
          <w:pgMar w:left="320" w:top="331" w:right="439" w:bottom="1440" w:gutter="0" w:footer="0" w:header="0"/>
        </w:sectPr>
      </w:pPr>
    </w:p>
    <w:bookmarkStart w:id="152" w:name="page153"/>
    <w:bookmarkEnd w:id="152"/>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(continued)</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3.04</w:t>
            </w:r>
          </w:p>
        </w:tc>
        <w:tc>
          <w:tcPr>
            <w:tcW w:w="270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rPr>
              <w:t>Treatment of Affected Loans</w:t>
            </w:r>
          </w:p>
        </w:tc>
        <w:tc>
          <w:tcPr>
            <w:tcW w:w="38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48</w:t>
            </w:r>
          </w:p>
        </w:tc>
        <w:tc>
          <w:tcPr>
            <w:tcW w:w="2480" w:type="dxa"/>
            <w:vAlign w:val="bottom"/>
          </w:tcPr>
          <w:p>
            <w:pPr>
              <w:spacing w:after="0"/>
              <w:rPr>
                <w:sz w:val="23"/>
                <w:szCs w:val="23"/>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3.05</w:t>
            </w:r>
          </w:p>
        </w:tc>
        <w:tc>
          <w:tcPr>
            <w:tcW w:w="206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Certain Compensation</w:t>
            </w:r>
          </w:p>
        </w:tc>
        <w:tc>
          <w:tcPr>
            <w:tcW w:w="640" w:type="dxa"/>
            <w:vAlign w:val="bottom"/>
            <w:gridSpan w:val="2"/>
          </w:tcPr>
          <w:p>
            <w:pPr>
              <w:jc w:val="right"/>
              <w:ind w:right="175"/>
              <w:spacing w:after="0"/>
              <w:rPr>
                <w:sz w:val="20"/>
                <w:szCs w:val="20"/>
                <w:color w:val="auto"/>
              </w:rPr>
            </w:pPr>
            <w:r>
              <w:rPr>
                <w:rFonts w:ascii="Times New Roman" w:cs="Times New Roman" w:eastAsia="Times New Roman" w:hAnsi="Times New Roman"/>
                <w:sz w:val="21"/>
                <w:szCs w:val="21"/>
                <w:color w:val="auto"/>
              </w:rPr>
              <w:t>49</w:t>
            </w: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3.06</w:t>
            </w: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Capital Adequacy</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3.07</w:t>
            </w:r>
          </w:p>
        </w:tc>
        <w:tc>
          <w:tcPr>
            <w:tcW w:w="206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Substitution of Banks</w:t>
            </w:r>
          </w:p>
        </w:tc>
        <w:tc>
          <w:tcPr>
            <w:tcW w:w="640" w:type="dxa"/>
            <w:vAlign w:val="bottom"/>
            <w:gridSpan w:val="2"/>
          </w:tcPr>
          <w:p>
            <w:pPr>
              <w:jc w:val="right"/>
              <w:ind w:right="255"/>
              <w:spacing w:after="0"/>
              <w:rPr>
                <w:sz w:val="20"/>
                <w:szCs w:val="20"/>
                <w:color w:val="auto"/>
              </w:rPr>
            </w:pPr>
            <w:r>
              <w:rPr>
                <w:rFonts w:ascii="Times New Roman" w:cs="Times New Roman" w:eastAsia="Times New Roman" w:hAnsi="Times New Roman"/>
                <w:sz w:val="21"/>
                <w:szCs w:val="21"/>
                <w:color w:val="auto"/>
              </w:rPr>
              <w:t>50</w:t>
            </w: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7340" w:type="dxa"/>
            <w:vAlign w:val="bottom"/>
            <w:gridSpan w:val="10"/>
          </w:tcPr>
          <w:p>
            <w:pPr>
              <w:ind w:left="640"/>
              <w:spacing w:after="0"/>
              <w:rPr>
                <w:sz w:val="20"/>
                <w:szCs w:val="20"/>
                <w:color w:val="auto"/>
              </w:rPr>
            </w:pPr>
            <w:r>
              <w:rPr>
                <w:rFonts w:ascii="Times New Roman" w:cs="Times New Roman" w:eastAsia="Times New Roman" w:hAnsi="Times New Roman"/>
                <w:sz w:val="21"/>
                <w:szCs w:val="21"/>
                <w:color w:val="auto"/>
              </w:rPr>
              <w:t>Section 3.08  Obligation of Banks to Mitigate.  51</w:t>
            </w:r>
          </w:p>
        </w:tc>
      </w:tr>
      <w:tr>
        <w:trPr>
          <w:trHeight w:val="367"/>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ARTICLE IV</w:t>
            </w:r>
          </w:p>
        </w:tc>
        <w:tc>
          <w:tcPr>
            <w:tcW w:w="2860" w:type="dxa"/>
            <w:vAlign w:val="bottom"/>
            <w:gridSpan w:val="6"/>
          </w:tcPr>
          <w:p>
            <w:pPr>
              <w:jc w:val="right"/>
              <w:ind w:right="75"/>
              <w:spacing w:after="0"/>
              <w:rPr>
                <w:sz w:val="20"/>
                <w:szCs w:val="20"/>
                <w:color w:val="auto"/>
              </w:rPr>
            </w:pPr>
            <w:r>
              <w:rPr>
                <w:rFonts w:ascii="Times New Roman" w:cs="Times New Roman" w:eastAsia="Times New Roman" w:hAnsi="Times New Roman"/>
                <w:sz w:val="21"/>
                <w:szCs w:val="21"/>
                <w:color w:val="auto"/>
              </w:rPr>
              <w:t>CONDITIONS PRECEDENT</w:t>
            </w: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21"/>
                <w:szCs w:val="21"/>
                <w:color w:val="auto"/>
              </w:rPr>
              <w:t>52</w:t>
            </w: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4.01</w:t>
            </w:r>
          </w:p>
        </w:tc>
        <w:tc>
          <w:tcPr>
            <w:tcW w:w="308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Conditions Precedent to the Loans</w:t>
            </w:r>
          </w:p>
        </w:tc>
        <w:tc>
          <w:tcPr>
            <w:tcW w:w="2480" w:type="dxa"/>
            <w:vAlign w:val="bottom"/>
          </w:tcPr>
          <w:p>
            <w:pPr>
              <w:jc w:val="right"/>
              <w:ind w:right="2035"/>
              <w:spacing w:after="0"/>
              <w:rPr>
                <w:sz w:val="20"/>
                <w:szCs w:val="20"/>
                <w:color w:val="auto"/>
              </w:rPr>
            </w:pPr>
            <w:r>
              <w:rPr>
                <w:rFonts w:ascii="Times New Roman" w:cs="Times New Roman" w:eastAsia="Times New Roman" w:hAnsi="Times New Roman"/>
                <w:sz w:val="21"/>
                <w:szCs w:val="21"/>
                <w:color w:val="auto"/>
              </w:rPr>
              <w:t>52</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4.02</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w w:val="99"/>
              </w:rPr>
              <w:t>[Reserved]</w:t>
            </w: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21"/>
                <w:szCs w:val="21"/>
                <w:color w:val="auto"/>
              </w:rPr>
              <w:t>54</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4.03</w:t>
            </w: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Deemed Representations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220" w:type="dxa"/>
            <w:vAlign w:val="bottom"/>
          </w:tcPr>
          <w:p>
            <w:pPr>
              <w:spacing w:after="0"/>
              <w:rPr>
                <w:sz w:val="20"/>
                <w:szCs w:val="20"/>
                <w:color w:val="auto"/>
              </w:rPr>
            </w:pPr>
            <w:r>
              <w:rPr>
                <w:rFonts w:ascii="Times New Roman" w:cs="Times New Roman" w:eastAsia="Times New Roman" w:hAnsi="Times New Roman"/>
                <w:sz w:val="21"/>
                <w:szCs w:val="21"/>
                <w:color w:val="auto"/>
              </w:rPr>
              <w:t>ARTICLE V</w:t>
            </w:r>
          </w:p>
        </w:tc>
        <w:tc>
          <w:tcPr>
            <w:tcW w:w="6120" w:type="dxa"/>
            <w:vAlign w:val="bottom"/>
            <w:gridSpan w:val="9"/>
          </w:tcPr>
          <w:p>
            <w:pPr>
              <w:jc w:val="right"/>
              <w:ind w:right="1715"/>
              <w:spacing w:after="0"/>
              <w:rPr>
                <w:sz w:val="20"/>
                <w:szCs w:val="20"/>
                <w:color w:val="auto"/>
              </w:rPr>
            </w:pPr>
            <w:r>
              <w:rPr>
                <w:rFonts w:ascii="Times New Roman" w:cs="Times New Roman" w:eastAsia="Times New Roman" w:hAnsi="Times New Roman"/>
                <w:sz w:val="21"/>
                <w:szCs w:val="21"/>
                <w:color w:val="auto"/>
              </w:rPr>
              <w:t>REPRESENTATIONS AND WARRANTIES  54</w:t>
            </w:r>
          </w:p>
        </w:tc>
      </w:tr>
      <w:tr>
        <w:trPr>
          <w:trHeight w:val="367"/>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5.01</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Existence</w:t>
            </w:r>
          </w:p>
        </w:tc>
        <w:tc>
          <w:tcPr>
            <w:tcW w:w="600" w:type="dxa"/>
            <w:vAlign w:val="bottom"/>
          </w:tcPr>
          <w:p>
            <w:pPr>
              <w:jc w:val="right"/>
              <w:ind w:right="215"/>
              <w:spacing w:after="0"/>
              <w:rPr>
                <w:sz w:val="20"/>
                <w:szCs w:val="20"/>
                <w:color w:val="auto"/>
              </w:rPr>
            </w:pPr>
            <w:r>
              <w:rPr>
                <w:rFonts w:ascii="Times New Roman" w:cs="Times New Roman" w:eastAsia="Times New Roman" w:hAnsi="Times New Roman"/>
                <w:sz w:val="21"/>
                <w:szCs w:val="21"/>
                <w:color w:val="auto"/>
              </w:rPr>
              <w:t>54</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5.02</w:t>
            </w:r>
          </w:p>
        </w:tc>
        <w:tc>
          <w:tcPr>
            <w:tcW w:w="270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rPr>
              <w:t>Corporate/Partnership Powers</w:t>
            </w:r>
          </w:p>
        </w:tc>
        <w:tc>
          <w:tcPr>
            <w:tcW w:w="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5.03</w:t>
            </w: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Power of Officers</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5.04</w:t>
            </w:r>
          </w:p>
        </w:tc>
        <w:tc>
          <w:tcPr>
            <w:tcW w:w="5560" w:type="dxa"/>
            <w:vAlign w:val="bottom"/>
            <w:gridSpan w:val="8"/>
          </w:tcPr>
          <w:p>
            <w:pPr>
              <w:ind w:left="120"/>
              <w:spacing w:after="0"/>
              <w:rPr>
                <w:sz w:val="20"/>
                <w:szCs w:val="20"/>
                <w:color w:val="auto"/>
              </w:rPr>
            </w:pPr>
            <w:r>
              <w:rPr>
                <w:rFonts w:ascii="Times New Roman" w:cs="Times New Roman" w:eastAsia="Times New Roman" w:hAnsi="Times New Roman"/>
                <w:sz w:val="21"/>
                <w:szCs w:val="21"/>
                <w:color w:val="auto"/>
              </w:rPr>
              <w:t>Power and Authority; No Conflicts; Compliance With Laws  55</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5.05</w:t>
            </w:r>
          </w:p>
        </w:tc>
        <w:tc>
          <w:tcPr>
            <w:tcW w:w="308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Legally Enforceable Agreements</w:t>
            </w:r>
          </w:p>
        </w:tc>
        <w:tc>
          <w:tcPr>
            <w:tcW w:w="2480" w:type="dxa"/>
            <w:vAlign w:val="bottom"/>
          </w:tcPr>
          <w:p>
            <w:pPr>
              <w:jc w:val="right"/>
              <w:ind w:right="2155"/>
              <w:spacing w:after="0"/>
              <w:rPr>
                <w:sz w:val="20"/>
                <w:szCs w:val="20"/>
                <w:color w:val="auto"/>
              </w:rPr>
            </w:pPr>
            <w:r>
              <w:rPr>
                <w:rFonts w:ascii="Times New Roman" w:cs="Times New Roman" w:eastAsia="Times New Roman" w:hAnsi="Times New Roman"/>
                <w:sz w:val="21"/>
                <w:szCs w:val="21"/>
                <w:color w:val="auto"/>
                <w:w w:val="95"/>
              </w:rPr>
              <w:t>55</w:t>
            </w:r>
          </w:p>
        </w:tc>
      </w:tr>
      <w:tr>
        <w:trPr>
          <w:trHeight w:val="367"/>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5.06</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Litigation</w:t>
            </w:r>
          </w:p>
        </w:tc>
        <w:tc>
          <w:tcPr>
            <w:tcW w:w="600" w:type="dxa"/>
            <w:vAlign w:val="bottom"/>
          </w:tcPr>
          <w:p>
            <w:pPr>
              <w:jc w:val="right"/>
              <w:ind w:right="195"/>
              <w:spacing w:after="0"/>
              <w:rPr>
                <w:sz w:val="20"/>
                <w:szCs w:val="20"/>
                <w:color w:val="auto"/>
              </w:rPr>
            </w:pPr>
            <w:r>
              <w:rPr>
                <w:rFonts w:ascii="Times New Roman" w:cs="Times New Roman" w:eastAsia="Times New Roman" w:hAnsi="Times New Roman"/>
                <w:sz w:val="21"/>
                <w:szCs w:val="21"/>
                <w:color w:val="auto"/>
              </w:rPr>
              <w:t>55</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5.07</w:t>
            </w: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Good Title to Properties</w:t>
            </w: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21"/>
                <w:szCs w:val="21"/>
                <w:color w:val="auto"/>
              </w:rPr>
              <w:t>55</w:t>
            </w: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5.08</w:t>
            </w:r>
          </w:p>
        </w:tc>
        <w:tc>
          <w:tcPr>
            <w:tcW w:w="7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Taxes</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56</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5.09</w:t>
            </w:r>
          </w:p>
        </w:tc>
        <w:tc>
          <w:tcPr>
            <w:tcW w:w="7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ERISA</w:t>
            </w:r>
          </w:p>
        </w:tc>
        <w:tc>
          <w:tcPr>
            <w:tcW w:w="900" w:type="dxa"/>
            <w:vAlign w:val="bottom"/>
            <w:gridSpan w:val="2"/>
          </w:tcPr>
          <w:p>
            <w:pPr>
              <w:jc w:val="right"/>
              <w:ind w:right="415"/>
              <w:spacing w:after="0"/>
              <w:rPr>
                <w:sz w:val="20"/>
                <w:szCs w:val="20"/>
                <w:color w:val="auto"/>
              </w:rPr>
            </w:pPr>
            <w:r>
              <w:rPr>
                <w:rFonts w:ascii="Times New Roman" w:cs="Times New Roman" w:eastAsia="Times New Roman" w:hAnsi="Times New Roman"/>
                <w:sz w:val="21"/>
                <w:szCs w:val="21"/>
                <w:color w:val="auto"/>
              </w:rPr>
              <w:t>56</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5.10</w:t>
            </w:r>
          </w:p>
        </w:tc>
        <w:tc>
          <w:tcPr>
            <w:tcW w:w="5560" w:type="dxa"/>
            <w:vAlign w:val="bottom"/>
            <w:gridSpan w:val="8"/>
          </w:tcPr>
          <w:p>
            <w:pPr>
              <w:ind w:left="120"/>
              <w:spacing w:after="0"/>
              <w:rPr>
                <w:sz w:val="20"/>
                <w:szCs w:val="20"/>
                <w:color w:val="auto"/>
              </w:rPr>
            </w:pPr>
            <w:r>
              <w:rPr>
                <w:rFonts w:ascii="Times New Roman" w:cs="Times New Roman" w:eastAsia="Times New Roman" w:hAnsi="Times New Roman"/>
                <w:sz w:val="21"/>
                <w:szCs w:val="21"/>
                <w:color w:val="auto"/>
              </w:rPr>
              <w:t>No Default on Outstanding Judgments or Orders  56</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5.11</w:t>
            </w:r>
          </w:p>
        </w:tc>
        <w:tc>
          <w:tcPr>
            <w:tcW w:w="3080" w:type="dxa"/>
            <w:vAlign w:val="bottom"/>
            <w:gridSpan w:val="7"/>
          </w:tcPr>
          <w:p>
            <w:pPr>
              <w:ind w:left="100"/>
              <w:spacing w:after="0"/>
              <w:rPr>
                <w:sz w:val="20"/>
                <w:szCs w:val="20"/>
                <w:color w:val="auto"/>
              </w:rPr>
            </w:pPr>
            <w:r>
              <w:rPr>
                <w:rFonts w:ascii="Times New Roman" w:cs="Times New Roman" w:eastAsia="Times New Roman" w:hAnsi="Times New Roman"/>
                <w:sz w:val="21"/>
                <w:szCs w:val="21"/>
                <w:color w:val="auto"/>
              </w:rPr>
              <w:t>No Defaults on Other Agreements</w:t>
            </w:r>
          </w:p>
        </w:tc>
        <w:tc>
          <w:tcPr>
            <w:tcW w:w="2480" w:type="dxa"/>
            <w:vAlign w:val="bottom"/>
          </w:tcPr>
          <w:p>
            <w:pPr>
              <w:jc w:val="right"/>
              <w:ind w:right="2055"/>
              <w:spacing w:after="0"/>
              <w:rPr>
                <w:sz w:val="20"/>
                <w:szCs w:val="20"/>
                <w:color w:val="auto"/>
              </w:rPr>
            </w:pPr>
            <w:r>
              <w:rPr>
                <w:rFonts w:ascii="Times New Roman" w:cs="Times New Roman" w:eastAsia="Times New Roman" w:hAnsi="Times New Roman"/>
                <w:sz w:val="21"/>
                <w:szCs w:val="21"/>
                <w:color w:val="auto"/>
              </w:rPr>
              <w:t>57</w:t>
            </w:r>
          </w:p>
        </w:tc>
      </w:tr>
      <w:tr>
        <w:trPr>
          <w:trHeight w:val="367"/>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5.12</w:t>
            </w: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Government Regulation</w:t>
            </w: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21"/>
                <w:szCs w:val="21"/>
                <w:color w:val="auto"/>
              </w:rPr>
              <w:t>57</w:t>
            </w: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5.13</w:t>
            </w: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w w:val="99"/>
              </w:rPr>
              <w:t>Environmental Protection</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57</w:t>
            </w: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5.14</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Solvency</w:t>
            </w:r>
          </w:p>
        </w:tc>
        <w:tc>
          <w:tcPr>
            <w:tcW w:w="600" w:type="dxa"/>
            <w:vAlign w:val="bottom"/>
          </w:tcPr>
          <w:p>
            <w:pPr>
              <w:jc w:val="right"/>
              <w:ind w:right="255"/>
              <w:spacing w:after="0"/>
              <w:rPr>
                <w:sz w:val="20"/>
                <w:szCs w:val="20"/>
                <w:color w:val="auto"/>
              </w:rPr>
            </w:pPr>
            <w:r>
              <w:rPr>
                <w:rFonts w:ascii="Times New Roman" w:cs="Times New Roman" w:eastAsia="Times New Roman" w:hAnsi="Times New Roman"/>
                <w:sz w:val="21"/>
                <w:szCs w:val="21"/>
                <w:color w:val="auto"/>
              </w:rPr>
              <w:t>57</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5.15</w:t>
            </w:r>
          </w:p>
        </w:tc>
        <w:tc>
          <w:tcPr>
            <w:tcW w:w="206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Financial Statements</w:t>
            </w:r>
          </w:p>
        </w:tc>
        <w:tc>
          <w:tcPr>
            <w:tcW w:w="2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5"/>
              </w:rPr>
              <w:t>57</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5.16</w:t>
            </w:r>
          </w:p>
        </w:tc>
        <w:tc>
          <w:tcPr>
            <w:tcW w:w="270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rPr>
              <w:t>Valid Existence of Affiliates</w:t>
            </w:r>
          </w:p>
        </w:tc>
        <w:tc>
          <w:tcPr>
            <w:tcW w:w="380" w:type="dxa"/>
            <w:vAlign w:val="bottom"/>
          </w:tcPr>
          <w:p>
            <w:pPr>
              <w:jc w:val="right"/>
              <w:ind w:right="75"/>
              <w:spacing w:after="0"/>
              <w:rPr>
                <w:sz w:val="20"/>
                <w:szCs w:val="20"/>
                <w:color w:val="auto"/>
              </w:rPr>
            </w:pPr>
            <w:r>
              <w:rPr>
                <w:rFonts w:ascii="Times New Roman" w:cs="Times New Roman" w:eastAsia="Times New Roman" w:hAnsi="Times New Roman"/>
                <w:sz w:val="21"/>
                <w:szCs w:val="21"/>
                <w:color w:val="auto"/>
                <w:w w:val="85"/>
              </w:rPr>
              <w:t>57</w:t>
            </w:r>
          </w:p>
        </w:tc>
        <w:tc>
          <w:tcPr>
            <w:tcW w:w="2480" w:type="dxa"/>
            <w:vAlign w:val="bottom"/>
          </w:tcPr>
          <w:p>
            <w:pPr>
              <w:spacing w:after="0"/>
              <w:rPr>
                <w:sz w:val="24"/>
                <w:szCs w:val="24"/>
                <w:color w:val="auto"/>
              </w:rPr>
            </w:pPr>
          </w:p>
        </w:tc>
      </w:tr>
      <w:tr>
        <w:trPr>
          <w:trHeight w:val="367"/>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5.17</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Insurance</w:t>
            </w:r>
          </w:p>
        </w:tc>
        <w:tc>
          <w:tcPr>
            <w:tcW w:w="600" w:type="dxa"/>
            <w:vAlign w:val="bottom"/>
          </w:tcPr>
          <w:p>
            <w:pPr>
              <w:jc w:val="right"/>
              <w:ind w:right="215"/>
              <w:spacing w:after="0"/>
              <w:rPr>
                <w:sz w:val="20"/>
                <w:szCs w:val="20"/>
                <w:color w:val="auto"/>
              </w:rPr>
            </w:pPr>
            <w:r>
              <w:rPr>
                <w:rFonts w:ascii="Times New Roman" w:cs="Times New Roman" w:eastAsia="Times New Roman" w:hAnsi="Times New Roman"/>
                <w:sz w:val="21"/>
                <w:szCs w:val="21"/>
                <w:color w:val="auto"/>
              </w:rPr>
              <w:t>58</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5.18</w:t>
            </w:r>
          </w:p>
        </w:tc>
        <w:tc>
          <w:tcPr>
            <w:tcW w:w="5560" w:type="dxa"/>
            <w:vAlign w:val="bottom"/>
            <w:gridSpan w:val="8"/>
          </w:tcPr>
          <w:p>
            <w:pPr>
              <w:ind w:left="120"/>
              <w:spacing w:after="0"/>
              <w:rPr>
                <w:sz w:val="20"/>
                <w:szCs w:val="20"/>
                <w:color w:val="auto"/>
              </w:rPr>
            </w:pPr>
            <w:r>
              <w:rPr>
                <w:rFonts w:ascii="Times New Roman" w:cs="Times New Roman" w:eastAsia="Times New Roman" w:hAnsi="Times New Roman"/>
                <w:sz w:val="21"/>
                <w:szCs w:val="21"/>
                <w:color w:val="auto"/>
              </w:rPr>
              <w:t>Accuracy of Information; Full Disclosure  58</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5.19</w:t>
            </w: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Use of Proceeds</w:t>
            </w:r>
          </w:p>
        </w:tc>
        <w:tc>
          <w:tcPr>
            <w:tcW w:w="400" w:type="dxa"/>
            <w:vAlign w:val="bottom"/>
          </w:tcPr>
          <w:p>
            <w:pPr>
              <w:jc w:val="right"/>
              <w:ind w:right="55"/>
              <w:spacing w:after="0"/>
              <w:rPr>
                <w:sz w:val="20"/>
                <w:szCs w:val="20"/>
                <w:color w:val="auto"/>
              </w:rPr>
            </w:pPr>
            <w:r>
              <w:rPr>
                <w:rFonts w:ascii="Times New Roman" w:cs="Times New Roman" w:eastAsia="Times New Roman" w:hAnsi="Times New Roman"/>
                <w:sz w:val="21"/>
                <w:szCs w:val="21"/>
                <w:color w:val="auto"/>
              </w:rPr>
              <w:t>58</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5.20</w:t>
            </w: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Governmental Approvals</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w:t>
            </w: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5.21</w:t>
            </w: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Principal Offices</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140"/>
          </w:cols>
          <w:pgMar w:left="320" w:top="567" w:right="439" w:bottom="1440" w:gutter="0" w:footer="0" w:header="0"/>
        </w:sectPr>
      </w:pPr>
    </w:p>
    <w:bookmarkStart w:id="153" w:name="page154"/>
    <w:bookmarkEnd w:id="153"/>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(continued)</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5.22</w:t>
            </w:r>
          </w:p>
        </w:tc>
        <w:tc>
          <w:tcPr>
            <w:tcW w:w="218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General Partner Status</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w:t>
            </w:r>
          </w:p>
        </w:tc>
        <w:tc>
          <w:tcPr>
            <w:tcW w:w="920" w:type="dxa"/>
            <w:vAlign w:val="bottom"/>
          </w:tcPr>
          <w:p>
            <w:pPr>
              <w:spacing w:after="0"/>
              <w:rPr>
                <w:sz w:val="23"/>
                <w:szCs w:val="23"/>
                <w:color w:val="auto"/>
              </w:rPr>
            </w:pPr>
          </w:p>
        </w:tc>
        <w:tc>
          <w:tcPr>
            <w:tcW w:w="4040" w:type="dxa"/>
            <w:vAlign w:val="bottom"/>
          </w:tcPr>
          <w:p>
            <w:pPr>
              <w:spacing w:after="0"/>
              <w:rPr>
                <w:sz w:val="23"/>
                <w:szCs w:val="23"/>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5.23</w:t>
            </w:r>
          </w:p>
        </w:tc>
        <w:tc>
          <w:tcPr>
            <w:tcW w:w="13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Labor Matters</w:t>
            </w:r>
          </w:p>
        </w:tc>
        <w:tc>
          <w:tcPr>
            <w:tcW w:w="560" w:type="dxa"/>
            <w:vAlign w:val="bottom"/>
            <w:gridSpan w:val="2"/>
          </w:tcPr>
          <w:p>
            <w:pPr>
              <w:jc w:val="right"/>
              <w:ind w:right="95"/>
              <w:spacing w:after="0"/>
              <w:rPr>
                <w:sz w:val="20"/>
                <w:szCs w:val="20"/>
                <w:color w:val="auto"/>
              </w:rPr>
            </w:pPr>
            <w:r>
              <w:rPr>
                <w:rFonts w:ascii="Times New Roman" w:cs="Times New Roman" w:eastAsia="Times New Roman" w:hAnsi="Times New Roman"/>
                <w:sz w:val="21"/>
                <w:szCs w:val="21"/>
                <w:color w:val="auto"/>
              </w:rPr>
              <w:t>59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5.24</w:t>
            </w: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Organizational Documents</w:t>
            </w: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21"/>
                <w:szCs w:val="21"/>
                <w:color w:val="auto"/>
              </w:rPr>
              <w:t>59</w:t>
            </w:r>
          </w:p>
        </w:tc>
        <w:tc>
          <w:tcPr>
            <w:tcW w:w="404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5.25</w:t>
            </w:r>
          </w:p>
        </w:tc>
        <w:tc>
          <w:tcPr>
            <w:tcW w:w="340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rPr>
              <w:t>Anti-Corruption Laws and Sanctions</w:t>
            </w:r>
          </w:p>
        </w:tc>
        <w:tc>
          <w:tcPr>
            <w:tcW w:w="4040" w:type="dxa"/>
            <w:vAlign w:val="bottom"/>
          </w:tcPr>
          <w:p>
            <w:pPr>
              <w:jc w:val="right"/>
              <w:ind w:right="3715"/>
              <w:spacing w:after="0"/>
              <w:rPr>
                <w:sz w:val="20"/>
                <w:szCs w:val="20"/>
                <w:color w:val="auto"/>
              </w:rPr>
            </w:pPr>
            <w:r>
              <w:rPr>
                <w:rFonts w:ascii="Times New Roman" w:cs="Times New Roman" w:eastAsia="Times New Roman" w:hAnsi="Times New Roman"/>
                <w:sz w:val="21"/>
                <w:szCs w:val="21"/>
                <w:color w:val="auto"/>
                <w:w w:val="95"/>
              </w:rPr>
              <w:t>59</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5.26</w:t>
            </w:r>
          </w:p>
        </w:tc>
        <w:tc>
          <w:tcPr>
            <w:tcW w:w="340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rPr>
              <w:t>Affected Financial Institutions  60</w:t>
            </w:r>
          </w:p>
        </w:tc>
        <w:tc>
          <w:tcPr>
            <w:tcW w:w="4040" w:type="dxa"/>
            <w:vAlign w:val="bottom"/>
          </w:tcPr>
          <w:p>
            <w:pPr>
              <w:spacing w:after="0"/>
              <w:rPr>
                <w:sz w:val="24"/>
                <w:szCs w:val="24"/>
                <w:color w:val="auto"/>
              </w:rPr>
            </w:pPr>
          </w:p>
        </w:tc>
      </w:tr>
      <w:tr>
        <w:trPr>
          <w:trHeight w:val="367"/>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5.27</w:t>
            </w: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w w:val="99"/>
              </w:rPr>
              <w:t>Outbound Investment Rules</w:t>
            </w: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21"/>
                <w:szCs w:val="21"/>
                <w:color w:val="auto"/>
              </w:rPr>
              <w:t>60</w:t>
            </w:r>
          </w:p>
        </w:tc>
        <w:tc>
          <w:tcPr>
            <w:tcW w:w="4040" w:type="dxa"/>
            <w:vAlign w:val="bottom"/>
          </w:tcPr>
          <w:p>
            <w:pPr>
              <w:spacing w:after="0"/>
              <w:rPr>
                <w:sz w:val="24"/>
                <w:szCs w:val="24"/>
                <w:color w:val="auto"/>
              </w:rPr>
            </w:pPr>
          </w:p>
        </w:tc>
      </w:tr>
      <w:tr>
        <w:trPr>
          <w:trHeight w:val="354"/>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ARTICLE VI</w:t>
            </w:r>
          </w:p>
        </w:tc>
        <w:tc>
          <w:tcPr>
            <w:tcW w:w="2940" w:type="dxa"/>
            <w:vAlign w:val="bottom"/>
            <w:gridSpan w:val="6"/>
          </w:tcPr>
          <w:p>
            <w:pPr>
              <w:jc w:val="right"/>
              <w:ind w:right="95"/>
              <w:spacing w:after="0"/>
              <w:rPr>
                <w:sz w:val="20"/>
                <w:szCs w:val="20"/>
                <w:color w:val="auto"/>
              </w:rPr>
            </w:pPr>
            <w:r>
              <w:rPr>
                <w:rFonts w:ascii="Times New Roman" w:cs="Times New Roman" w:eastAsia="Times New Roman" w:hAnsi="Times New Roman"/>
                <w:sz w:val="21"/>
                <w:szCs w:val="21"/>
                <w:color w:val="auto"/>
                <w:w w:val="99"/>
              </w:rPr>
              <w:t>AFFIRMATIVE COVENANTS</w:t>
            </w:r>
          </w:p>
        </w:tc>
        <w:tc>
          <w:tcPr>
            <w:tcW w:w="920" w:type="dxa"/>
            <w:vAlign w:val="bottom"/>
          </w:tcPr>
          <w:p>
            <w:pPr>
              <w:jc w:val="right"/>
              <w:ind w:right="595"/>
              <w:spacing w:after="0"/>
              <w:rPr>
                <w:sz w:val="20"/>
                <w:szCs w:val="20"/>
                <w:color w:val="auto"/>
              </w:rPr>
            </w:pPr>
            <w:r>
              <w:rPr>
                <w:rFonts w:ascii="Times New Roman" w:cs="Times New Roman" w:eastAsia="Times New Roman" w:hAnsi="Times New Roman"/>
                <w:sz w:val="21"/>
                <w:szCs w:val="21"/>
                <w:color w:val="auto"/>
                <w:w w:val="95"/>
              </w:rPr>
              <w:t>60</w:t>
            </w:r>
          </w:p>
        </w:tc>
        <w:tc>
          <w:tcPr>
            <w:tcW w:w="404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6.01</w:t>
            </w: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Maintenance of Existence</w:t>
            </w:r>
          </w:p>
        </w:tc>
        <w:tc>
          <w:tcPr>
            <w:tcW w:w="920" w:type="dxa"/>
            <w:vAlign w:val="bottom"/>
          </w:tcPr>
          <w:p>
            <w:pPr>
              <w:jc w:val="right"/>
              <w:ind w:right="595"/>
              <w:spacing w:after="0"/>
              <w:rPr>
                <w:sz w:val="20"/>
                <w:szCs w:val="20"/>
                <w:color w:val="auto"/>
              </w:rPr>
            </w:pPr>
            <w:r>
              <w:rPr>
                <w:rFonts w:ascii="Times New Roman" w:cs="Times New Roman" w:eastAsia="Times New Roman" w:hAnsi="Times New Roman"/>
                <w:sz w:val="21"/>
                <w:szCs w:val="21"/>
                <w:color w:val="auto"/>
                <w:w w:val="95"/>
              </w:rPr>
              <w:t>60</w:t>
            </w:r>
          </w:p>
        </w:tc>
        <w:tc>
          <w:tcPr>
            <w:tcW w:w="404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6.02</w:t>
            </w:r>
          </w:p>
        </w:tc>
        <w:tc>
          <w:tcPr>
            <w:tcW w:w="218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w w:val="99"/>
              </w:rPr>
              <w:t>Maintenance of Records</w:t>
            </w:r>
          </w:p>
        </w:tc>
        <w:tc>
          <w:tcPr>
            <w:tcW w:w="1220" w:type="dxa"/>
            <w:vAlign w:val="bottom"/>
            <w:gridSpan w:val="2"/>
          </w:tcPr>
          <w:p>
            <w:pPr>
              <w:jc w:val="right"/>
              <w:ind w:right="715"/>
              <w:spacing w:after="0"/>
              <w:rPr>
                <w:sz w:val="20"/>
                <w:szCs w:val="20"/>
                <w:color w:val="auto"/>
              </w:rPr>
            </w:pPr>
            <w:r>
              <w:rPr>
                <w:rFonts w:ascii="Times New Roman" w:cs="Times New Roman" w:eastAsia="Times New Roman" w:hAnsi="Times New Roman"/>
                <w:sz w:val="21"/>
                <w:szCs w:val="21"/>
                <w:color w:val="auto"/>
              </w:rPr>
              <w:t>60</w:t>
            </w:r>
          </w:p>
        </w:tc>
        <w:tc>
          <w:tcPr>
            <w:tcW w:w="404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6.03</w:t>
            </w: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Maintenance of Insurance</w:t>
            </w:r>
          </w:p>
        </w:tc>
        <w:tc>
          <w:tcPr>
            <w:tcW w:w="920" w:type="dxa"/>
            <w:vAlign w:val="bottom"/>
          </w:tcPr>
          <w:p>
            <w:pPr>
              <w:jc w:val="right"/>
              <w:ind w:right="595"/>
              <w:spacing w:after="0"/>
              <w:rPr>
                <w:sz w:val="20"/>
                <w:szCs w:val="20"/>
                <w:color w:val="auto"/>
              </w:rPr>
            </w:pPr>
            <w:r>
              <w:rPr>
                <w:rFonts w:ascii="Times New Roman" w:cs="Times New Roman" w:eastAsia="Times New Roman" w:hAnsi="Times New Roman"/>
                <w:sz w:val="21"/>
                <w:szCs w:val="21"/>
                <w:color w:val="auto"/>
                <w:w w:val="95"/>
              </w:rPr>
              <w:t>60</w:t>
            </w:r>
          </w:p>
        </w:tc>
        <w:tc>
          <w:tcPr>
            <w:tcW w:w="4040" w:type="dxa"/>
            <w:vAlign w:val="bottom"/>
          </w:tcPr>
          <w:p>
            <w:pPr>
              <w:spacing w:after="0"/>
              <w:rPr>
                <w:sz w:val="24"/>
                <w:szCs w:val="24"/>
                <w:color w:val="auto"/>
              </w:rPr>
            </w:pPr>
          </w:p>
        </w:tc>
      </w:tr>
      <w:tr>
        <w:trPr>
          <w:trHeight w:val="367"/>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6.04</w:t>
            </w:r>
          </w:p>
        </w:tc>
        <w:tc>
          <w:tcPr>
            <w:tcW w:w="744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Compliance with Laws: Payment of Taxes  60</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6.05</w:t>
            </w:r>
          </w:p>
        </w:tc>
        <w:tc>
          <w:tcPr>
            <w:tcW w:w="192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Right of Inspection</w:t>
            </w:r>
          </w:p>
        </w:tc>
        <w:tc>
          <w:tcPr>
            <w:tcW w:w="2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5"/>
              </w:rPr>
              <w:t>61</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6.06</w:t>
            </w:r>
          </w:p>
        </w:tc>
        <w:tc>
          <w:tcPr>
            <w:tcW w:w="340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w w:val="98"/>
              </w:rPr>
              <w:t>Compliance With Environmental Laws</w:t>
            </w:r>
          </w:p>
        </w:tc>
        <w:tc>
          <w:tcPr>
            <w:tcW w:w="4040" w:type="dxa"/>
            <w:vAlign w:val="bottom"/>
          </w:tcPr>
          <w:p>
            <w:pPr>
              <w:jc w:val="right"/>
              <w:ind w:right="3535"/>
              <w:spacing w:after="0"/>
              <w:rPr>
                <w:sz w:val="20"/>
                <w:szCs w:val="20"/>
                <w:color w:val="auto"/>
              </w:rPr>
            </w:pPr>
            <w:r>
              <w:rPr>
                <w:rFonts w:ascii="Times New Roman" w:cs="Times New Roman" w:eastAsia="Times New Roman" w:hAnsi="Times New Roman"/>
                <w:sz w:val="21"/>
                <w:szCs w:val="21"/>
                <w:color w:val="auto"/>
              </w:rPr>
              <w:t>61</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6.07</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Payment of Costs</w:t>
            </w:r>
          </w:p>
        </w:tc>
        <w:tc>
          <w:tcPr>
            <w:tcW w:w="500" w:type="dxa"/>
            <w:vAlign w:val="bottom"/>
            <w:gridSpan w:val="2"/>
          </w:tcPr>
          <w:p>
            <w:pPr>
              <w:jc w:val="right"/>
              <w:ind w:right="75"/>
              <w:spacing w:after="0"/>
              <w:rPr>
                <w:sz w:val="20"/>
                <w:szCs w:val="20"/>
                <w:color w:val="auto"/>
              </w:rPr>
            </w:pPr>
            <w:r>
              <w:rPr>
                <w:rFonts w:ascii="Times New Roman" w:cs="Times New Roman" w:eastAsia="Times New Roman" w:hAnsi="Times New Roman"/>
                <w:sz w:val="21"/>
                <w:szCs w:val="21"/>
                <w:color w:val="auto"/>
              </w:rPr>
              <w:t>61</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6.08</w:t>
            </w: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Maintenance of Properties</w:t>
            </w:r>
          </w:p>
        </w:tc>
        <w:tc>
          <w:tcPr>
            <w:tcW w:w="92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auto"/>
              </w:rPr>
              <w:t>61</w:t>
            </w:r>
          </w:p>
        </w:tc>
        <w:tc>
          <w:tcPr>
            <w:tcW w:w="4040" w:type="dxa"/>
            <w:vAlign w:val="bottom"/>
          </w:tcPr>
          <w:p>
            <w:pPr>
              <w:spacing w:after="0"/>
              <w:rPr>
                <w:sz w:val="24"/>
                <w:szCs w:val="24"/>
                <w:color w:val="auto"/>
              </w:rPr>
            </w:pPr>
          </w:p>
        </w:tc>
      </w:tr>
      <w:tr>
        <w:trPr>
          <w:trHeight w:val="367"/>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6.09</w:t>
            </w:r>
          </w:p>
        </w:tc>
        <w:tc>
          <w:tcPr>
            <w:tcW w:w="744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Reporting and Miscellaneous Document Requirements  61</w:t>
            </w:r>
          </w:p>
        </w:tc>
      </w:tr>
      <w:tr>
        <w:trPr>
          <w:trHeight w:val="354"/>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ARTICLE VII</w:t>
            </w:r>
          </w:p>
        </w:tc>
        <w:tc>
          <w:tcPr>
            <w:tcW w:w="2640" w:type="dxa"/>
            <w:vAlign w:val="bottom"/>
            <w:gridSpan w:val="5"/>
          </w:tcPr>
          <w:p>
            <w:pPr>
              <w:jc w:val="right"/>
              <w:ind w:right="75"/>
              <w:spacing w:after="0"/>
              <w:rPr>
                <w:sz w:val="20"/>
                <w:szCs w:val="20"/>
                <w:color w:val="auto"/>
              </w:rPr>
            </w:pPr>
            <w:r>
              <w:rPr>
                <w:rFonts w:ascii="Times New Roman" w:cs="Times New Roman" w:eastAsia="Times New Roman" w:hAnsi="Times New Roman"/>
                <w:sz w:val="21"/>
                <w:szCs w:val="21"/>
                <w:color w:val="auto"/>
              </w:rPr>
              <w:t>NEGATIVE COVENANTS</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c>
          <w:tcPr>
            <w:tcW w:w="9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7.01</w:t>
            </w:r>
          </w:p>
        </w:tc>
        <w:tc>
          <w:tcPr>
            <w:tcW w:w="13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Mergers, Etc</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7.02</w:t>
            </w:r>
          </w:p>
        </w:tc>
        <w:tc>
          <w:tcPr>
            <w:tcW w:w="13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Distributions.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54"/>
        </w:trPr>
        <w:tc>
          <w:tcPr>
            <w:tcW w:w="9220" w:type="dxa"/>
            <w:vAlign w:val="bottom"/>
            <w:gridSpan w:val="9"/>
          </w:tcPr>
          <w:p>
            <w:pPr>
              <w:ind w:left="640"/>
              <w:spacing w:after="0"/>
              <w:rPr>
                <w:sz w:val="20"/>
                <w:szCs w:val="20"/>
                <w:color w:val="auto"/>
              </w:rPr>
            </w:pPr>
            <w:r>
              <w:rPr>
                <w:rFonts w:ascii="Times New Roman" w:cs="Times New Roman" w:eastAsia="Times New Roman" w:hAnsi="Times New Roman"/>
                <w:sz w:val="21"/>
                <w:szCs w:val="21"/>
                <w:color w:val="auto"/>
              </w:rPr>
              <w:t>Section 7.03  Amendments to Organizational Documents.  65</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7.04</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Use of Proceeds</w:t>
            </w:r>
          </w:p>
        </w:tc>
        <w:tc>
          <w:tcPr>
            <w:tcW w:w="2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5"/>
              </w:rPr>
              <w:t>65</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7"/>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7.05</w:t>
            </w: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w w:val="99"/>
              </w:rPr>
              <w:t>Outbound Investment Rules</w:t>
            </w: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21"/>
                <w:szCs w:val="21"/>
                <w:color w:val="auto"/>
              </w:rPr>
              <w:t>65</w:t>
            </w:r>
          </w:p>
        </w:tc>
        <w:tc>
          <w:tcPr>
            <w:tcW w:w="4040" w:type="dxa"/>
            <w:vAlign w:val="bottom"/>
          </w:tcPr>
          <w:p>
            <w:pPr>
              <w:spacing w:after="0"/>
              <w:rPr>
                <w:sz w:val="24"/>
                <w:szCs w:val="24"/>
                <w:color w:val="auto"/>
              </w:rPr>
            </w:pPr>
          </w:p>
        </w:tc>
      </w:tr>
      <w:tr>
        <w:trPr>
          <w:trHeight w:val="354"/>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w w:val="99"/>
              </w:rPr>
              <w:t>ARTICLE VIII</w:t>
            </w:r>
          </w:p>
        </w:tc>
        <w:tc>
          <w:tcPr>
            <w:tcW w:w="2640" w:type="dxa"/>
            <w:vAlign w:val="bottom"/>
            <w:gridSpan w:val="5"/>
          </w:tcPr>
          <w:p>
            <w:pPr>
              <w:jc w:val="right"/>
              <w:spacing w:after="0"/>
              <w:rPr>
                <w:sz w:val="20"/>
                <w:szCs w:val="20"/>
                <w:color w:val="auto"/>
              </w:rPr>
            </w:pPr>
            <w:r>
              <w:rPr>
                <w:rFonts w:ascii="Times New Roman" w:cs="Times New Roman" w:eastAsia="Times New Roman" w:hAnsi="Times New Roman"/>
                <w:sz w:val="21"/>
                <w:szCs w:val="21"/>
                <w:color w:val="auto"/>
              </w:rPr>
              <w:t>FINANCIAL COVENANTS</w:t>
            </w:r>
          </w:p>
        </w:tc>
        <w:tc>
          <w:tcPr>
            <w:tcW w:w="1220" w:type="dxa"/>
            <w:vAlign w:val="bottom"/>
            <w:gridSpan w:val="2"/>
          </w:tcPr>
          <w:p>
            <w:pPr>
              <w:jc w:val="right"/>
              <w:ind w:right="715"/>
              <w:spacing w:after="0"/>
              <w:rPr>
                <w:sz w:val="20"/>
                <w:szCs w:val="20"/>
                <w:color w:val="auto"/>
              </w:rPr>
            </w:pPr>
            <w:r>
              <w:rPr>
                <w:rFonts w:ascii="Times New Roman" w:cs="Times New Roman" w:eastAsia="Times New Roman" w:hAnsi="Times New Roman"/>
                <w:sz w:val="21"/>
                <w:szCs w:val="21"/>
                <w:color w:val="auto"/>
              </w:rPr>
              <w:t>65</w:t>
            </w:r>
          </w:p>
        </w:tc>
        <w:tc>
          <w:tcPr>
            <w:tcW w:w="404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8.01</w:t>
            </w:r>
          </w:p>
        </w:tc>
        <w:tc>
          <w:tcPr>
            <w:tcW w:w="192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w w:val="98"/>
              </w:rPr>
              <w:t>Intentionally Omitted</w:t>
            </w:r>
          </w:p>
        </w:tc>
        <w:tc>
          <w:tcPr>
            <w:tcW w:w="560" w:type="dxa"/>
            <w:vAlign w:val="bottom"/>
            <w:gridSpan w:val="2"/>
          </w:tcPr>
          <w:p>
            <w:pPr>
              <w:jc w:val="right"/>
              <w:ind w:right="35"/>
              <w:spacing w:after="0"/>
              <w:rPr>
                <w:sz w:val="20"/>
                <w:szCs w:val="20"/>
                <w:color w:val="auto"/>
              </w:rPr>
            </w:pPr>
            <w:r>
              <w:rPr>
                <w:rFonts w:ascii="Times New Roman" w:cs="Times New Roman" w:eastAsia="Times New Roman" w:hAnsi="Times New Roman"/>
                <w:sz w:val="21"/>
                <w:szCs w:val="21"/>
                <w:color w:val="auto"/>
              </w:rPr>
              <w:t>66</w:t>
            </w:r>
          </w:p>
        </w:tc>
        <w:tc>
          <w:tcPr>
            <w:tcW w:w="9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8.02</w:t>
            </w:r>
          </w:p>
        </w:tc>
        <w:tc>
          <w:tcPr>
            <w:tcW w:w="744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Ratio of Total Outstanding Indebtedness to Capitalization Value  66</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8.03</w:t>
            </w:r>
          </w:p>
        </w:tc>
        <w:tc>
          <w:tcPr>
            <w:tcW w:w="192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w w:val="98"/>
              </w:rPr>
              <w:t>Intentionally Omitted</w:t>
            </w:r>
          </w:p>
        </w:tc>
        <w:tc>
          <w:tcPr>
            <w:tcW w:w="560" w:type="dxa"/>
            <w:vAlign w:val="bottom"/>
            <w:gridSpan w:val="2"/>
          </w:tcPr>
          <w:p>
            <w:pPr>
              <w:jc w:val="right"/>
              <w:ind w:right="35"/>
              <w:spacing w:after="0"/>
              <w:rPr>
                <w:sz w:val="20"/>
                <w:szCs w:val="20"/>
                <w:color w:val="auto"/>
              </w:rPr>
            </w:pPr>
            <w:r>
              <w:rPr>
                <w:rFonts w:ascii="Times New Roman" w:cs="Times New Roman" w:eastAsia="Times New Roman" w:hAnsi="Times New Roman"/>
                <w:sz w:val="21"/>
                <w:szCs w:val="21"/>
                <w:color w:val="auto"/>
              </w:rPr>
              <w:t>66</w:t>
            </w:r>
          </w:p>
        </w:tc>
        <w:tc>
          <w:tcPr>
            <w:tcW w:w="9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7"/>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8.04</w:t>
            </w:r>
          </w:p>
        </w:tc>
        <w:tc>
          <w:tcPr>
            <w:tcW w:w="744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Ratio of Combined EBITDA to Fixed Charges  66</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8.05</w:t>
            </w:r>
          </w:p>
        </w:tc>
        <w:tc>
          <w:tcPr>
            <w:tcW w:w="744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Ratio of Unencumbered Combined EBITDA to Unsecured Interest Expense  66</w:t>
            </w:r>
          </w:p>
        </w:tc>
      </w:tr>
      <w:tr>
        <w:trPr>
          <w:trHeight w:val="354"/>
        </w:trPr>
        <w:tc>
          <w:tcPr>
            <w:tcW w:w="17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8.06</w:t>
            </w:r>
          </w:p>
        </w:tc>
        <w:tc>
          <w:tcPr>
            <w:tcW w:w="744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Ratio of Unsecured Indebtedness to Capitalization Value of Unencumbered Assets  66</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140"/>
          </w:cols>
          <w:pgMar w:left="320" w:top="567" w:right="439" w:bottom="1440" w:gutter="0" w:footer="0" w:header="0"/>
        </w:sectPr>
      </w:pPr>
    </w:p>
    <w:bookmarkStart w:id="154" w:name="page155"/>
    <w:bookmarkEnd w:id="154"/>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(continued)</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8.07</w:t>
            </w:r>
          </w:p>
        </w:tc>
        <w:tc>
          <w:tcPr>
            <w:tcW w:w="5020" w:type="dxa"/>
            <w:vAlign w:val="bottom"/>
            <w:gridSpan w:val="8"/>
          </w:tcPr>
          <w:p>
            <w:pPr>
              <w:ind w:left="60"/>
              <w:spacing w:after="0"/>
              <w:rPr>
                <w:sz w:val="20"/>
                <w:szCs w:val="20"/>
                <w:color w:val="auto"/>
              </w:rPr>
            </w:pPr>
            <w:r>
              <w:rPr>
                <w:rFonts w:ascii="Times New Roman" w:cs="Times New Roman" w:eastAsia="Times New Roman" w:hAnsi="Times New Roman"/>
                <w:sz w:val="21"/>
                <w:szCs w:val="21"/>
                <w:color w:val="auto"/>
              </w:rPr>
              <w:t>Ratio of Secured Indebtedness to Capitalization Value  67</w:t>
            </w:r>
          </w:p>
        </w:tc>
        <w:tc>
          <w:tcPr>
            <w:tcW w:w="1400" w:type="dxa"/>
            <w:vAlign w:val="bottom"/>
          </w:tcPr>
          <w:p>
            <w:pPr>
              <w:spacing w:after="0"/>
              <w:rPr>
                <w:sz w:val="23"/>
                <w:szCs w:val="23"/>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8.08</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1"/>
                <w:szCs w:val="21"/>
                <w:color w:val="auto"/>
              </w:rPr>
              <w:t>Debt of the General Partner</w:t>
            </w:r>
          </w:p>
        </w:tc>
        <w:tc>
          <w:tcPr>
            <w:tcW w:w="720" w:type="dxa"/>
            <w:vAlign w:val="bottom"/>
          </w:tcPr>
          <w:p>
            <w:pPr>
              <w:jc w:val="right"/>
              <w:ind w:right="295"/>
              <w:spacing w:after="0"/>
              <w:rPr>
                <w:sz w:val="20"/>
                <w:szCs w:val="20"/>
                <w:color w:val="auto"/>
              </w:rPr>
            </w:pPr>
            <w:r>
              <w:rPr>
                <w:rFonts w:ascii="Times New Roman" w:cs="Times New Roman" w:eastAsia="Times New Roman" w:hAnsi="Times New Roman"/>
                <w:sz w:val="21"/>
                <w:szCs w:val="21"/>
                <w:color w:val="auto"/>
              </w:rPr>
              <w:t>67</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4"/>
        </w:trPr>
        <w:tc>
          <w:tcPr>
            <w:tcW w:w="1260" w:type="dxa"/>
            <w:vAlign w:val="bottom"/>
          </w:tcPr>
          <w:p>
            <w:pPr>
              <w:spacing w:after="0"/>
              <w:rPr>
                <w:sz w:val="20"/>
                <w:szCs w:val="20"/>
                <w:color w:val="auto"/>
              </w:rPr>
            </w:pPr>
            <w:r>
              <w:rPr>
                <w:rFonts w:ascii="Times New Roman" w:cs="Times New Roman" w:eastAsia="Times New Roman" w:hAnsi="Times New Roman"/>
                <w:sz w:val="21"/>
                <w:szCs w:val="21"/>
                <w:color w:val="auto"/>
              </w:rPr>
              <w:t>ARTICLE IX</w:t>
            </w: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21"/>
                <w:szCs w:val="21"/>
                <w:color w:val="auto"/>
              </w:rPr>
              <w:t>EVENTS OF DEFAULT</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21"/>
                <w:szCs w:val="21"/>
                <w:color w:val="auto"/>
              </w:rPr>
              <w:t>67</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9.01</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Events of Default</w:t>
            </w:r>
          </w:p>
        </w:tc>
        <w:tc>
          <w:tcPr>
            <w:tcW w:w="520" w:type="dxa"/>
            <w:vAlign w:val="bottom"/>
          </w:tcPr>
          <w:p>
            <w:pPr>
              <w:jc w:val="right"/>
              <w:ind w:right="155"/>
              <w:spacing w:after="0"/>
              <w:rPr>
                <w:sz w:val="20"/>
                <w:szCs w:val="20"/>
                <w:color w:val="auto"/>
              </w:rPr>
            </w:pPr>
            <w:r>
              <w:rPr>
                <w:rFonts w:ascii="Times New Roman" w:cs="Times New Roman" w:eastAsia="Times New Roman" w:hAnsi="Times New Roman"/>
                <w:sz w:val="21"/>
                <w:szCs w:val="21"/>
                <w:color w:val="auto"/>
              </w:rPr>
              <w:t>67</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9.02</w:t>
            </w:r>
          </w:p>
        </w:tc>
        <w:tc>
          <w:tcPr>
            <w:tcW w:w="900" w:type="dxa"/>
            <w:vAlign w:val="bottom"/>
          </w:tcPr>
          <w:p>
            <w:pPr>
              <w:ind w:left="60"/>
              <w:spacing w:after="0"/>
              <w:rPr>
                <w:sz w:val="20"/>
                <w:szCs w:val="20"/>
                <w:color w:val="auto"/>
              </w:rPr>
            </w:pPr>
            <w:r>
              <w:rPr>
                <w:rFonts w:ascii="Times New Roman" w:cs="Times New Roman" w:eastAsia="Times New Roman" w:hAnsi="Times New Roman"/>
                <w:sz w:val="21"/>
                <w:szCs w:val="21"/>
                <w:color w:val="auto"/>
                <w:w w:val="98"/>
              </w:rPr>
              <w:t>Remedies</w:t>
            </w: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21"/>
                <w:szCs w:val="21"/>
                <w:color w:val="auto"/>
              </w:rPr>
              <w:t>70</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7"/>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9.03</w:t>
            </w:r>
          </w:p>
        </w:tc>
        <w:tc>
          <w:tcPr>
            <w:tcW w:w="2200" w:type="dxa"/>
            <w:vAlign w:val="bottom"/>
            <w:gridSpan w:val="3"/>
          </w:tcPr>
          <w:p>
            <w:pPr>
              <w:ind w:left="60"/>
              <w:spacing w:after="0"/>
              <w:rPr>
                <w:sz w:val="20"/>
                <w:szCs w:val="20"/>
                <w:color w:val="auto"/>
              </w:rPr>
            </w:pPr>
            <w:r>
              <w:rPr>
                <w:rFonts w:ascii="Times New Roman" w:cs="Times New Roman" w:eastAsia="Times New Roman" w:hAnsi="Times New Roman"/>
                <w:sz w:val="21"/>
                <w:szCs w:val="21"/>
                <w:color w:val="auto"/>
              </w:rPr>
              <w:t>Application of Payments</w:t>
            </w:r>
          </w:p>
        </w:tc>
        <w:tc>
          <w:tcPr>
            <w:tcW w:w="980" w:type="dxa"/>
            <w:vAlign w:val="bottom"/>
            <w:gridSpan w:val="2"/>
          </w:tcPr>
          <w:p>
            <w:pPr>
              <w:jc w:val="right"/>
              <w:ind w:right="515"/>
              <w:spacing w:after="0"/>
              <w:rPr>
                <w:sz w:val="20"/>
                <w:szCs w:val="20"/>
                <w:color w:val="auto"/>
              </w:rPr>
            </w:pPr>
            <w:r>
              <w:rPr>
                <w:rFonts w:ascii="Times New Roman" w:cs="Times New Roman" w:eastAsia="Times New Roman" w:hAnsi="Times New Roman"/>
                <w:sz w:val="21"/>
                <w:szCs w:val="21"/>
                <w:color w:val="auto"/>
              </w:rPr>
              <w:t>70</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4"/>
        </w:trPr>
        <w:tc>
          <w:tcPr>
            <w:tcW w:w="6860" w:type="dxa"/>
            <w:vAlign w:val="bottom"/>
            <w:gridSpan w:val="10"/>
          </w:tcPr>
          <w:p>
            <w:pPr>
              <w:spacing w:after="0"/>
              <w:rPr>
                <w:sz w:val="20"/>
                <w:szCs w:val="20"/>
                <w:color w:val="auto"/>
              </w:rPr>
            </w:pPr>
            <w:r>
              <w:rPr>
                <w:rFonts w:ascii="Times New Roman" w:cs="Times New Roman" w:eastAsia="Times New Roman" w:hAnsi="Times New Roman"/>
                <w:sz w:val="21"/>
                <w:szCs w:val="21"/>
                <w:color w:val="auto"/>
              </w:rPr>
              <w:t>ARTICLE X  ADMINISTRATIVE AGENT; RELATIONS AMONG BANKS</w:t>
            </w:r>
          </w:p>
        </w:tc>
        <w:tc>
          <w:tcPr>
            <w:tcW w:w="1400" w:type="dxa"/>
            <w:vAlign w:val="bottom"/>
          </w:tcPr>
          <w:p>
            <w:pPr>
              <w:jc w:val="right"/>
              <w:ind w:right="1075"/>
              <w:spacing w:after="0"/>
              <w:rPr>
                <w:sz w:val="20"/>
                <w:szCs w:val="20"/>
                <w:color w:val="auto"/>
              </w:rPr>
            </w:pPr>
            <w:r>
              <w:rPr>
                <w:rFonts w:ascii="Times New Roman" w:cs="Times New Roman" w:eastAsia="Times New Roman" w:hAnsi="Times New Roman"/>
                <w:sz w:val="21"/>
                <w:szCs w:val="21"/>
                <w:color w:val="auto"/>
                <w:w w:val="95"/>
              </w:rPr>
              <w:t>71</w:t>
            </w: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10.01</w:t>
            </w:r>
          </w:p>
        </w:tc>
        <w:tc>
          <w:tcPr>
            <w:tcW w:w="6420" w:type="dxa"/>
            <w:vAlign w:val="bottom"/>
            <w:gridSpan w:val="9"/>
          </w:tcPr>
          <w:p>
            <w:pPr>
              <w:ind w:left="160"/>
              <w:spacing w:after="0"/>
              <w:rPr>
                <w:sz w:val="20"/>
                <w:szCs w:val="20"/>
                <w:color w:val="auto"/>
              </w:rPr>
            </w:pPr>
            <w:r>
              <w:rPr>
                <w:rFonts w:ascii="Times New Roman" w:cs="Times New Roman" w:eastAsia="Times New Roman" w:hAnsi="Times New Roman"/>
                <w:sz w:val="21"/>
                <w:szCs w:val="21"/>
                <w:color w:val="auto"/>
              </w:rPr>
              <w:t>Appointment, Powers and Immunities of Administrative Agent  71</w:t>
            </w: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10.02</w:t>
            </w: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21"/>
                <w:szCs w:val="21"/>
                <w:color w:val="auto"/>
              </w:rPr>
              <w:t>Reliance by Administrative Agent</w:t>
            </w:r>
          </w:p>
        </w:tc>
        <w:tc>
          <w:tcPr>
            <w:tcW w:w="420" w:type="dxa"/>
            <w:vAlign w:val="bottom"/>
          </w:tcPr>
          <w:p>
            <w:pPr>
              <w:jc w:val="right"/>
              <w:ind w:right="55"/>
              <w:spacing w:after="0"/>
              <w:rPr>
                <w:sz w:val="20"/>
                <w:szCs w:val="20"/>
                <w:color w:val="auto"/>
              </w:rPr>
            </w:pPr>
            <w:r>
              <w:rPr>
                <w:rFonts w:ascii="Times New Roman" w:cs="Times New Roman" w:eastAsia="Times New Roman" w:hAnsi="Times New Roman"/>
                <w:sz w:val="21"/>
                <w:szCs w:val="21"/>
                <w:color w:val="auto"/>
              </w:rPr>
              <w:t>72</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10.03</w:t>
            </w:r>
          </w:p>
        </w:tc>
        <w:tc>
          <w:tcPr>
            <w:tcW w:w="9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Defaults</w:t>
            </w:r>
          </w:p>
        </w:tc>
        <w:tc>
          <w:tcPr>
            <w:tcW w:w="780" w:type="dxa"/>
            <w:vAlign w:val="bottom"/>
          </w:tcPr>
          <w:p>
            <w:pPr>
              <w:jc w:val="right"/>
              <w:ind w:right="295"/>
              <w:spacing w:after="0"/>
              <w:rPr>
                <w:sz w:val="20"/>
                <w:szCs w:val="20"/>
                <w:color w:val="auto"/>
              </w:rPr>
            </w:pPr>
            <w:r>
              <w:rPr>
                <w:rFonts w:ascii="Times New Roman" w:cs="Times New Roman" w:eastAsia="Times New Roman" w:hAnsi="Times New Roman"/>
                <w:sz w:val="21"/>
                <w:szCs w:val="21"/>
                <w:color w:val="auto"/>
              </w:rPr>
              <w:t>73</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7"/>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10.04</w:t>
            </w:r>
          </w:p>
        </w:tc>
        <w:tc>
          <w:tcPr>
            <w:tcW w:w="2460" w:type="dxa"/>
            <w:vAlign w:val="bottom"/>
            <w:gridSpan w:val="4"/>
          </w:tcPr>
          <w:p>
            <w:pPr>
              <w:ind w:left="160"/>
              <w:spacing w:after="0"/>
              <w:rPr>
                <w:sz w:val="20"/>
                <w:szCs w:val="20"/>
                <w:color w:val="auto"/>
              </w:rPr>
            </w:pPr>
            <w:r>
              <w:rPr>
                <w:rFonts w:ascii="Times New Roman" w:cs="Times New Roman" w:eastAsia="Times New Roman" w:hAnsi="Times New Roman"/>
                <w:sz w:val="21"/>
                <w:szCs w:val="21"/>
                <w:color w:val="auto"/>
              </w:rPr>
              <w:t>Rights of Agent as a Bank</w:t>
            </w:r>
          </w:p>
        </w:tc>
        <w:tc>
          <w:tcPr>
            <w:tcW w:w="720" w:type="dxa"/>
            <w:vAlign w:val="bottom"/>
          </w:tcPr>
          <w:p>
            <w:pPr>
              <w:jc w:val="right"/>
              <w:ind w:right="295"/>
              <w:spacing w:after="0"/>
              <w:rPr>
                <w:sz w:val="20"/>
                <w:szCs w:val="20"/>
                <w:color w:val="auto"/>
              </w:rPr>
            </w:pPr>
            <w:r>
              <w:rPr>
                <w:rFonts w:ascii="Times New Roman" w:cs="Times New Roman" w:eastAsia="Times New Roman" w:hAnsi="Times New Roman"/>
                <w:sz w:val="21"/>
                <w:szCs w:val="21"/>
                <w:color w:val="auto"/>
              </w:rPr>
              <w:t>74</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10.05</w:t>
            </w:r>
          </w:p>
        </w:tc>
        <w:tc>
          <w:tcPr>
            <w:tcW w:w="2460" w:type="dxa"/>
            <w:vAlign w:val="bottom"/>
            <w:gridSpan w:val="4"/>
          </w:tcPr>
          <w:p>
            <w:pPr>
              <w:ind w:left="160"/>
              <w:spacing w:after="0"/>
              <w:rPr>
                <w:sz w:val="20"/>
                <w:szCs w:val="20"/>
                <w:color w:val="auto"/>
              </w:rPr>
            </w:pPr>
            <w:r>
              <w:rPr>
                <w:rFonts w:ascii="Times New Roman" w:cs="Times New Roman" w:eastAsia="Times New Roman" w:hAnsi="Times New Roman"/>
                <w:sz w:val="21"/>
                <w:szCs w:val="21"/>
                <w:color w:val="auto"/>
              </w:rPr>
              <w:t>Indemnification of Agents</w:t>
            </w:r>
          </w:p>
        </w:tc>
        <w:tc>
          <w:tcPr>
            <w:tcW w:w="720" w:type="dxa"/>
            <w:vAlign w:val="bottom"/>
          </w:tcPr>
          <w:p>
            <w:pPr>
              <w:jc w:val="right"/>
              <w:ind w:right="295"/>
              <w:spacing w:after="0"/>
              <w:rPr>
                <w:sz w:val="20"/>
                <w:szCs w:val="20"/>
                <w:color w:val="auto"/>
              </w:rPr>
            </w:pPr>
            <w:r>
              <w:rPr>
                <w:rFonts w:ascii="Times New Roman" w:cs="Times New Roman" w:eastAsia="Times New Roman" w:hAnsi="Times New Roman"/>
                <w:sz w:val="21"/>
                <w:szCs w:val="21"/>
                <w:color w:val="auto"/>
              </w:rPr>
              <w:t>74</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10.06</w:t>
            </w:r>
          </w:p>
        </w:tc>
        <w:tc>
          <w:tcPr>
            <w:tcW w:w="3880" w:type="dxa"/>
            <w:vAlign w:val="bottom"/>
            <w:gridSpan w:val="7"/>
          </w:tcPr>
          <w:p>
            <w:pPr>
              <w:ind w:left="160"/>
              <w:spacing w:after="0"/>
              <w:rPr>
                <w:sz w:val="20"/>
                <w:szCs w:val="20"/>
                <w:color w:val="auto"/>
              </w:rPr>
            </w:pPr>
            <w:r>
              <w:rPr>
                <w:rFonts w:ascii="Times New Roman" w:cs="Times New Roman" w:eastAsia="Times New Roman" w:hAnsi="Times New Roman"/>
                <w:sz w:val="21"/>
                <w:szCs w:val="21"/>
                <w:color w:val="auto"/>
              </w:rPr>
              <w:t>Non-Reliance on Agents and Other Banks</w:t>
            </w:r>
          </w:p>
        </w:tc>
        <w:tc>
          <w:tcPr>
            <w:tcW w:w="1140" w:type="dxa"/>
            <w:vAlign w:val="bottom"/>
          </w:tcPr>
          <w:p>
            <w:pPr>
              <w:jc w:val="right"/>
              <w:ind w:right="815"/>
              <w:spacing w:after="0"/>
              <w:rPr>
                <w:sz w:val="20"/>
                <w:szCs w:val="20"/>
                <w:color w:val="auto"/>
              </w:rPr>
            </w:pPr>
            <w:r>
              <w:rPr>
                <w:rFonts w:ascii="Times New Roman" w:cs="Times New Roman" w:eastAsia="Times New Roman" w:hAnsi="Times New Roman"/>
                <w:sz w:val="21"/>
                <w:szCs w:val="21"/>
                <w:color w:val="auto"/>
                <w:w w:val="95"/>
              </w:rPr>
              <w:t>74</w:t>
            </w:r>
          </w:p>
        </w:tc>
        <w:tc>
          <w:tcPr>
            <w:tcW w:w="1400" w:type="dxa"/>
            <w:vAlign w:val="bottom"/>
          </w:tcPr>
          <w:p>
            <w:pPr>
              <w:spacing w:after="0"/>
              <w:rPr>
                <w:sz w:val="24"/>
                <w:szCs w:val="24"/>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10.07</w:t>
            </w:r>
          </w:p>
        </w:tc>
        <w:tc>
          <w:tcPr>
            <w:tcW w:w="3600" w:type="dxa"/>
            <w:vAlign w:val="bottom"/>
            <w:gridSpan w:val="6"/>
          </w:tcPr>
          <w:p>
            <w:pPr>
              <w:ind w:left="160"/>
              <w:spacing w:after="0"/>
              <w:rPr>
                <w:sz w:val="20"/>
                <w:szCs w:val="20"/>
                <w:color w:val="auto"/>
              </w:rPr>
            </w:pPr>
            <w:r>
              <w:rPr>
                <w:rFonts w:ascii="Times New Roman" w:cs="Times New Roman" w:eastAsia="Times New Roman" w:hAnsi="Times New Roman"/>
                <w:sz w:val="21"/>
                <w:szCs w:val="21"/>
                <w:color w:val="auto"/>
              </w:rPr>
              <w:t>Failure of Administrative Agent to Act</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10.08</w:t>
            </w:r>
          </w:p>
        </w:tc>
        <w:tc>
          <w:tcPr>
            <w:tcW w:w="5020" w:type="dxa"/>
            <w:vAlign w:val="bottom"/>
            <w:gridSpan w:val="8"/>
          </w:tcPr>
          <w:p>
            <w:pPr>
              <w:ind w:left="160"/>
              <w:spacing w:after="0"/>
              <w:rPr>
                <w:sz w:val="20"/>
                <w:szCs w:val="20"/>
                <w:color w:val="auto"/>
              </w:rPr>
            </w:pPr>
            <w:r>
              <w:rPr>
                <w:rFonts w:ascii="Times New Roman" w:cs="Times New Roman" w:eastAsia="Times New Roman" w:hAnsi="Times New Roman"/>
                <w:sz w:val="21"/>
                <w:szCs w:val="21"/>
                <w:color w:val="auto"/>
              </w:rPr>
              <w:t>Resignation or Removal of Administrative Agent  76</w:t>
            </w:r>
          </w:p>
        </w:tc>
        <w:tc>
          <w:tcPr>
            <w:tcW w:w="1400" w:type="dxa"/>
            <w:vAlign w:val="bottom"/>
          </w:tcPr>
          <w:p>
            <w:pPr>
              <w:spacing w:after="0"/>
              <w:rPr>
                <w:sz w:val="24"/>
                <w:szCs w:val="24"/>
                <w:color w:val="auto"/>
              </w:rPr>
            </w:pPr>
          </w:p>
        </w:tc>
      </w:tr>
      <w:tr>
        <w:trPr>
          <w:trHeight w:val="367"/>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10.09</w:t>
            </w:r>
          </w:p>
        </w:tc>
        <w:tc>
          <w:tcPr>
            <w:tcW w:w="3880" w:type="dxa"/>
            <w:vAlign w:val="bottom"/>
            <w:gridSpan w:val="7"/>
          </w:tcPr>
          <w:p>
            <w:pPr>
              <w:ind w:left="160"/>
              <w:spacing w:after="0"/>
              <w:rPr>
                <w:sz w:val="20"/>
                <w:szCs w:val="20"/>
                <w:color w:val="auto"/>
              </w:rPr>
            </w:pPr>
            <w:r>
              <w:rPr>
                <w:rFonts w:ascii="Times New Roman" w:cs="Times New Roman" w:eastAsia="Times New Roman" w:hAnsi="Times New Roman"/>
                <w:sz w:val="21"/>
                <w:szCs w:val="21"/>
                <w:color w:val="auto"/>
              </w:rPr>
              <w:t>Amendments Concerning Agency Function</w:t>
            </w:r>
          </w:p>
        </w:tc>
        <w:tc>
          <w:tcPr>
            <w:tcW w:w="1140" w:type="dxa"/>
            <w:vAlign w:val="bottom"/>
          </w:tcPr>
          <w:p>
            <w:pPr>
              <w:jc w:val="right"/>
              <w:ind w:right="695"/>
              <w:spacing w:after="0"/>
              <w:rPr>
                <w:sz w:val="20"/>
                <w:szCs w:val="20"/>
                <w:color w:val="auto"/>
              </w:rPr>
            </w:pPr>
            <w:r>
              <w:rPr>
                <w:rFonts w:ascii="Times New Roman" w:cs="Times New Roman" w:eastAsia="Times New Roman" w:hAnsi="Times New Roman"/>
                <w:sz w:val="21"/>
                <w:szCs w:val="21"/>
                <w:color w:val="auto"/>
              </w:rPr>
              <w:t>77</w:t>
            </w:r>
          </w:p>
        </w:tc>
        <w:tc>
          <w:tcPr>
            <w:tcW w:w="1400" w:type="dxa"/>
            <w:vAlign w:val="bottom"/>
          </w:tcPr>
          <w:p>
            <w:pPr>
              <w:spacing w:after="0"/>
              <w:rPr>
                <w:sz w:val="24"/>
                <w:szCs w:val="24"/>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10.10</w:t>
            </w: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21"/>
                <w:szCs w:val="21"/>
                <w:color w:val="auto"/>
              </w:rPr>
              <w:t>Liability of Administrative Agent</w:t>
            </w:r>
          </w:p>
        </w:tc>
        <w:tc>
          <w:tcPr>
            <w:tcW w:w="420" w:type="dxa"/>
            <w:vAlign w:val="bottom"/>
          </w:tcPr>
          <w:p>
            <w:pPr>
              <w:jc w:val="right"/>
              <w:ind w:right="95"/>
              <w:spacing w:after="0"/>
              <w:rPr>
                <w:sz w:val="20"/>
                <w:szCs w:val="20"/>
                <w:color w:val="auto"/>
              </w:rPr>
            </w:pPr>
            <w:r>
              <w:rPr>
                <w:rFonts w:ascii="Times New Roman" w:cs="Times New Roman" w:eastAsia="Times New Roman" w:hAnsi="Times New Roman"/>
                <w:sz w:val="21"/>
                <w:szCs w:val="21"/>
                <w:color w:val="auto"/>
                <w:w w:val="95"/>
              </w:rPr>
              <w:t>77</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10.11</w:t>
            </w:r>
          </w:p>
        </w:tc>
        <w:tc>
          <w:tcPr>
            <w:tcW w:w="3180" w:type="dxa"/>
            <w:vAlign w:val="bottom"/>
            <w:gridSpan w:val="5"/>
          </w:tcPr>
          <w:p>
            <w:pPr>
              <w:ind w:left="140"/>
              <w:spacing w:after="0"/>
              <w:rPr>
                <w:sz w:val="20"/>
                <w:szCs w:val="20"/>
                <w:color w:val="auto"/>
              </w:rPr>
            </w:pPr>
            <w:r>
              <w:rPr>
                <w:rFonts w:ascii="Times New Roman" w:cs="Times New Roman" w:eastAsia="Times New Roman" w:hAnsi="Times New Roman"/>
                <w:sz w:val="21"/>
                <w:szCs w:val="21"/>
                <w:color w:val="auto"/>
              </w:rPr>
              <w:t>Transfer of Agency Function  77</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10.12</w:t>
            </w:r>
          </w:p>
        </w:tc>
        <w:tc>
          <w:tcPr>
            <w:tcW w:w="6420" w:type="dxa"/>
            <w:vAlign w:val="bottom"/>
            <w:gridSpan w:val="9"/>
          </w:tcPr>
          <w:p>
            <w:pPr>
              <w:ind w:left="160"/>
              <w:spacing w:after="0"/>
              <w:rPr>
                <w:sz w:val="20"/>
                <w:szCs w:val="20"/>
                <w:color w:val="auto"/>
              </w:rPr>
            </w:pPr>
            <w:r>
              <w:rPr>
                <w:rFonts w:ascii="Times New Roman" w:cs="Times New Roman" w:eastAsia="Times New Roman" w:hAnsi="Times New Roman"/>
                <w:sz w:val="21"/>
                <w:szCs w:val="21"/>
                <w:color w:val="auto"/>
              </w:rPr>
              <w:t>Non-Receipt of Funds by Administrative Agent; Erroneous Payments  77</w:t>
            </w: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10.13</w:t>
            </w:r>
          </w:p>
        </w:tc>
        <w:tc>
          <w:tcPr>
            <w:tcW w:w="9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Taxes.</w:t>
            </w:r>
          </w:p>
        </w:tc>
        <w:tc>
          <w:tcPr>
            <w:tcW w:w="780" w:type="dxa"/>
            <w:vAlign w:val="bottom"/>
          </w:tcPr>
          <w:p>
            <w:pPr>
              <w:jc w:val="right"/>
              <w:ind w:right="455"/>
              <w:spacing w:after="0"/>
              <w:rPr>
                <w:sz w:val="20"/>
                <w:szCs w:val="20"/>
                <w:color w:val="auto"/>
              </w:rPr>
            </w:pPr>
            <w:r>
              <w:rPr>
                <w:rFonts w:ascii="Times New Roman" w:cs="Times New Roman" w:eastAsia="Times New Roman" w:hAnsi="Times New Roman"/>
                <w:sz w:val="21"/>
                <w:szCs w:val="21"/>
                <w:color w:val="auto"/>
                <w:w w:val="95"/>
              </w:rPr>
              <w:t>79</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10.14</w:t>
            </w: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21"/>
                <w:szCs w:val="21"/>
                <w:color w:val="auto"/>
              </w:rPr>
              <w:t>Pro Rata Treatment  82</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7"/>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10.15</w:t>
            </w: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21"/>
                <w:szCs w:val="21"/>
                <w:color w:val="auto"/>
                <w:w w:val="99"/>
              </w:rPr>
              <w:t>Sharing of Payments Among Banks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10.16</w:t>
            </w:r>
          </w:p>
        </w:tc>
        <w:tc>
          <w:tcPr>
            <w:tcW w:w="2460" w:type="dxa"/>
            <w:vAlign w:val="bottom"/>
            <w:gridSpan w:val="4"/>
          </w:tcPr>
          <w:p>
            <w:pPr>
              <w:ind w:left="160"/>
              <w:spacing w:after="0"/>
              <w:rPr>
                <w:sz w:val="20"/>
                <w:szCs w:val="20"/>
                <w:color w:val="auto"/>
              </w:rPr>
            </w:pPr>
            <w:r>
              <w:rPr>
                <w:rFonts w:ascii="Times New Roman" w:cs="Times New Roman" w:eastAsia="Times New Roman" w:hAnsi="Times New Roman"/>
                <w:sz w:val="21"/>
                <w:szCs w:val="21"/>
                <w:color w:val="auto"/>
              </w:rPr>
              <w:t>Possession of Documents</w:t>
            </w:r>
          </w:p>
        </w:tc>
        <w:tc>
          <w:tcPr>
            <w:tcW w:w="720" w:type="dxa"/>
            <w:vAlign w:val="bottom"/>
          </w:tcPr>
          <w:p>
            <w:pPr>
              <w:jc w:val="right"/>
              <w:ind w:right="355"/>
              <w:spacing w:after="0"/>
              <w:rPr>
                <w:sz w:val="20"/>
                <w:szCs w:val="20"/>
                <w:color w:val="auto"/>
              </w:rPr>
            </w:pPr>
            <w:r>
              <w:rPr>
                <w:rFonts w:ascii="Times New Roman" w:cs="Times New Roman" w:eastAsia="Times New Roman" w:hAnsi="Times New Roman"/>
                <w:sz w:val="21"/>
                <w:szCs w:val="21"/>
                <w:color w:val="auto"/>
              </w:rPr>
              <w:t>83</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10.17</w:t>
            </w:r>
          </w:p>
        </w:tc>
        <w:tc>
          <w:tcPr>
            <w:tcW w:w="3880" w:type="dxa"/>
            <w:vAlign w:val="bottom"/>
            <w:gridSpan w:val="7"/>
          </w:tcPr>
          <w:p>
            <w:pPr>
              <w:ind w:left="160"/>
              <w:spacing w:after="0"/>
              <w:rPr>
                <w:sz w:val="20"/>
                <w:szCs w:val="20"/>
                <w:color w:val="auto"/>
              </w:rPr>
            </w:pPr>
            <w:r>
              <w:rPr>
                <w:rFonts w:ascii="Times New Roman" w:cs="Times New Roman" w:eastAsia="Times New Roman" w:hAnsi="Times New Roman"/>
                <w:sz w:val="21"/>
                <w:szCs w:val="21"/>
                <w:color w:val="auto"/>
              </w:rPr>
              <w:t>Syndication Agents, Documentation Agents</w:t>
            </w:r>
          </w:p>
        </w:tc>
        <w:tc>
          <w:tcPr>
            <w:tcW w:w="1140" w:type="dxa"/>
            <w:vAlign w:val="bottom"/>
          </w:tcPr>
          <w:p>
            <w:pPr>
              <w:jc w:val="right"/>
              <w:ind w:right="655"/>
              <w:spacing w:after="0"/>
              <w:rPr>
                <w:sz w:val="20"/>
                <w:szCs w:val="20"/>
                <w:color w:val="auto"/>
              </w:rPr>
            </w:pPr>
            <w:r>
              <w:rPr>
                <w:rFonts w:ascii="Times New Roman" w:cs="Times New Roman" w:eastAsia="Times New Roman" w:hAnsi="Times New Roman"/>
                <w:sz w:val="21"/>
                <w:szCs w:val="21"/>
                <w:color w:val="auto"/>
              </w:rPr>
              <w:t>83</w:t>
            </w:r>
          </w:p>
        </w:tc>
        <w:tc>
          <w:tcPr>
            <w:tcW w:w="1400" w:type="dxa"/>
            <w:vAlign w:val="bottom"/>
          </w:tcPr>
          <w:p>
            <w:pPr>
              <w:spacing w:after="0"/>
              <w:rPr>
                <w:sz w:val="24"/>
                <w:szCs w:val="24"/>
                <w:color w:val="auto"/>
              </w:rPr>
            </w:pPr>
          </w:p>
        </w:tc>
      </w:tr>
      <w:tr>
        <w:trPr>
          <w:trHeight w:val="354"/>
        </w:trPr>
        <w:tc>
          <w:tcPr>
            <w:tcW w:w="5020" w:type="dxa"/>
            <w:vAlign w:val="bottom"/>
            <w:gridSpan w:val="7"/>
          </w:tcPr>
          <w:p>
            <w:pPr>
              <w:ind w:left="640"/>
              <w:spacing w:after="0"/>
              <w:rPr>
                <w:sz w:val="20"/>
                <w:szCs w:val="20"/>
                <w:color w:val="auto"/>
              </w:rPr>
            </w:pPr>
            <w:r>
              <w:rPr>
                <w:rFonts w:ascii="Times New Roman" w:cs="Times New Roman" w:eastAsia="Times New Roman" w:hAnsi="Times New Roman"/>
                <w:sz w:val="21"/>
                <w:szCs w:val="21"/>
                <w:color w:val="auto"/>
              </w:rPr>
              <w:t>Section 10.18  Certain ERISA Matters.  83</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10.19</w:t>
            </w: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21"/>
                <w:szCs w:val="21"/>
                <w:color w:val="auto"/>
              </w:rPr>
              <w:t>Sustainability Matters</w:t>
            </w:r>
          </w:p>
        </w:tc>
        <w:tc>
          <w:tcPr>
            <w:tcW w:w="26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5"/>
              </w:rPr>
              <w:t>85</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7"/>
        </w:trPr>
        <w:tc>
          <w:tcPr>
            <w:tcW w:w="1260" w:type="dxa"/>
            <w:vAlign w:val="bottom"/>
          </w:tcPr>
          <w:p>
            <w:pPr>
              <w:spacing w:after="0"/>
              <w:rPr>
                <w:sz w:val="20"/>
                <w:szCs w:val="20"/>
                <w:color w:val="auto"/>
              </w:rPr>
            </w:pPr>
            <w:r>
              <w:rPr>
                <w:rFonts w:ascii="Times New Roman" w:cs="Times New Roman" w:eastAsia="Times New Roman" w:hAnsi="Times New Roman"/>
                <w:sz w:val="21"/>
                <w:szCs w:val="21"/>
                <w:color w:val="auto"/>
              </w:rPr>
              <w:t>ARTICLE XI</w:t>
            </w:r>
          </w:p>
        </w:tc>
        <w:tc>
          <w:tcPr>
            <w:tcW w:w="278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NATURE OF OBLIGATIONS</w:t>
            </w:r>
          </w:p>
        </w:tc>
        <w:tc>
          <w:tcPr>
            <w:tcW w:w="980" w:type="dxa"/>
            <w:vAlign w:val="bottom"/>
            <w:gridSpan w:val="2"/>
          </w:tcPr>
          <w:p>
            <w:pPr>
              <w:jc w:val="right"/>
              <w:ind w:right="555"/>
              <w:spacing w:after="0"/>
              <w:rPr>
                <w:sz w:val="20"/>
                <w:szCs w:val="20"/>
                <w:color w:val="auto"/>
              </w:rPr>
            </w:pPr>
            <w:r>
              <w:rPr>
                <w:rFonts w:ascii="Times New Roman" w:cs="Times New Roman" w:eastAsia="Times New Roman" w:hAnsi="Times New Roman"/>
                <w:sz w:val="21"/>
                <w:szCs w:val="21"/>
                <w:color w:val="auto"/>
              </w:rPr>
              <w:t>85</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11.01</w:t>
            </w:r>
          </w:p>
        </w:tc>
        <w:tc>
          <w:tcPr>
            <w:tcW w:w="3600" w:type="dxa"/>
            <w:vAlign w:val="bottom"/>
            <w:gridSpan w:val="6"/>
          </w:tcPr>
          <w:p>
            <w:pPr>
              <w:ind w:left="140"/>
              <w:spacing w:after="0"/>
              <w:rPr>
                <w:sz w:val="20"/>
                <w:szCs w:val="20"/>
                <w:color w:val="auto"/>
              </w:rPr>
            </w:pPr>
            <w:r>
              <w:rPr>
                <w:rFonts w:ascii="Times New Roman" w:cs="Times New Roman" w:eastAsia="Times New Roman" w:hAnsi="Times New Roman"/>
                <w:sz w:val="21"/>
                <w:szCs w:val="21"/>
                <w:color w:val="auto"/>
              </w:rPr>
              <w:t>Absolute and Unconditional Obligations</w:t>
            </w:r>
          </w:p>
        </w:tc>
        <w:tc>
          <w:tcPr>
            <w:tcW w:w="1420" w:type="dxa"/>
            <w:vAlign w:val="bottom"/>
            <w:gridSpan w:val="2"/>
          </w:tcPr>
          <w:p>
            <w:pPr>
              <w:jc w:val="right"/>
              <w:ind w:right="955"/>
              <w:spacing w:after="0"/>
              <w:rPr>
                <w:sz w:val="20"/>
                <w:szCs w:val="20"/>
                <w:color w:val="auto"/>
              </w:rPr>
            </w:pPr>
            <w:r>
              <w:rPr>
                <w:rFonts w:ascii="Times New Roman" w:cs="Times New Roman" w:eastAsia="Times New Roman" w:hAnsi="Times New Roman"/>
                <w:sz w:val="21"/>
                <w:szCs w:val="21"/>
                <w:color w:val="auto"/>
              </w:rPr>
              <w:t>85</w:t>
            </w:r>
          </w:p>
        </w:tc>
        <w:tc>
          <w:tcPr>
            <w:tcW w:w="1400" w:type="dxa"/>
            <w:vAlign w:val="bottom"/>
          </w:tcPr>
          <w:p>
            <w:pPr>
              <w:spacing w:after="0"/>
              <w:rPr>
                <w:sz w:val="24"/>
                <w:szCs w:val="24"/>
                <w:color w:val="auto"/>
              </w:rPr>
            </w:pPr>
          </w:p>
        </w:tc>
      </w:tr>
      <w:tr>
        <w:trPr>
          <w:trHeight w:val="354"/>
        </w:trPr>
        <w:tc>
          <w:tcPr>
            <w:tcW w:w="184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11.02</w:t>
            </w:r>
          </w:p>
        </w:tc>
        <w:tc>
          <w:tcPr>
            <w:tcW w:w="5020" w:type="dxa"/>
            <w:vAlign w:val="bottom"/>
            <w:gridSpan w:val="8"/>
          </w:tcPr>
          <w:p>
            <w:pPr>
              <w:ind w:left="140"/>
              <w:spacing w:after="0"/>
              <w:rPr>
                <w:sz w:val="20"/>
                <w:szCs w:val="20"/>
                <w:color w:val="auto"/>
              </w:rPr>
            </w:pPr>
            <w:r>
              <w:rPr>
                <w:rFonts w:ascii="Times New Roman" w:cs="Times New Roman" w:eastAsia="Times New Roman" w:hAnsi="Times New Roman"/>
                <w:sz w:val="21"/>
                <w:szCs w:val="21"/>
                <w:color w:val="auto"/>
              </w:rPr>
              <w:t>Non-Recourse to VRT Principals and the General Partner</w:t>
            </w:r>
          </w:p>
        </w:tc>
        <w:tc>
          <w:tcPr>
            <w:tcW w:w="1400" w:type="dxa"/>
            <w:vAlign w:val="bottom"/>
          </w:tcPr>
          <w:p>
            <w:pPr>
              <w:jc w:val="right"/>
              <w:ind w:right="935"/>
              <w:spacing w:after="0"/>
              <w:rPr>
                <w:sz w:val="20"/>
                <w:szCs w:val="20"/>
                <w:color w:val="auto"/>
              </w:rPr>
            </w:pPr>
            <w:r>
              <w:rPr>
                <w:rFonts w:ascii="Times New Roman" w:cs="Times New Roman" w:eastAsia="Times New Roman" w:hAnsi="Times New Roman"/>
                <w:sz w:val="21"/>
                <w:szCs w:val="21"/>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iv</w:t>
      </w:r>
    </w:p>
    <w:p>
      <w:pPr>
        <w:sectPr>
          <w:pgSz w:w="11900" w:h="16838" w:orient="portrait"/>
          <w:cols w:equalWidth="0" w:num="1">
            <w:col w:w="11140"/>
          </w:cols>
          <w:pgMar w:left="320" w:top="567" w:right="439" w:bottom="1440" w:gutter="0" w:footer="0" w:header="0"/>
        </w:sectPr>
      </w:pPr>
    </w:p>
    <w:bookmarkStart w:id="155" w:name="page156"/>
    <w:bookmarkEnd w:id="155"/>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(continued)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640"/>
        </w:trPr>
        <w:tc>
          <w:tcPr>
            <w:tcW w:w="31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ARTICLE XII  MISCELLANEOUS</w:t>
            </w:r>
          </w:p>
        </w:tc>
        <w:tc>
          <w:tcPr>
            <w:tcW w:w="200" w:type="dxa"/>
            <w:vAlign w:val="bottom"/>
          </w:tcPr>
          <w:p>
            <w:pPr>
              <w:spacing w:after="0"/>
              <w:rPr>
                <w:sz w:val="24"/>
                <w:szCs w:val="24"/>
                <w:color w:val="auto"/>
              </w:rPr>
            </w:pPr>
          </w:p>
        </w:tc>
        <w:tc>
          <w:tcPr>
            <w:tcW w:w="380" w:type="dxa"/>
            <w:vAlign w:val="bottom"/>
          </w:tcPr>
          <w:p>
            <w:pPr>
              <w:jc w:val="right"/>
              <w:ind w:right="55"/>
              <w:spacing w:after="0"/>
              <w:rPr>
                <w:sz w:val="20"/>
                <w:szCs w:val="20"/>
                <w:color w:val="auto"/>
              </w:rPr>
            </w:pPr>
            <w:r>
              <w:rPr>
                <w:rFonts w:ascii="Times New Roman" w:cs="Times New Roman" w:eastAsia="Times New Roman" w:hAnsi="Times New Roman"/>
                <w:sz w:val="21"/>
                <w:szCs w:val="21"/>
                <w:color w:val="auto"/>
                <w:w w:val="95"/>
              </w:rPr>
              <w:t>86</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12.01</w:t>
            </w:r>
          </w:p>
        </w:tc>
        <w:tc>
          <w:tcPr>
            <w:tcW w:w="358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rPr>
              <w:t>Binding Effect of Request for Advance</w:t>
            </w:r>
          </w:p>
        </w:tc>
        <w:tc>
          <w:tcPr>
            <w:tcW w:w="5680" w:type="dxa"/>
            <w:vAlign w:val="bottom"/>
          </w:tcPr>
          <w:p>
            <w:pPr>
              <w:jc w:val="right"/>
              <w:ind w:right="5335"/>
              <w:spacing w:after="0"/>
              <w:rPr>
                <w:sz w:val="20"/>
                <w:szCs w:val="20"/>
                <w:color w:val="auto"/>
              </w:rPr>
            </w:pPr>
            <w:r>
              <w:rPr>
                <w:rFonts w:ascii="Times New Roman" w:cs="Times New Roman" w:eastAsia="Times New Roman" w:hAnsi="Times New Roman"/>
                <w:sz w:val="21"/>
                <w:szCs w:val="21"/>
                <w:color w:val="auto"/>
              </w:rPr>
              <w:t>86</w:t>
            </w: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12.02</w:t>
            </w:r>
          </w:p>
        </w:tc>
        <w:tc>
          <w:tcPr>
            <w:tcW w:w="250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Amendments and Waivers</w:t>
            </w:r>
          </w:p>
        </w:tc>
        <w:tc>
          <w:tcPr>
            <w:tcW w:w="1080" w:type="dxa"/>
            <w:vAlign w:val="bottom"/>
          </w:tcPr>
          <w:p>
            <w:pPr>
              <w:jc w:val="right"/>
              <w:ind w:right="735"/>
              <w:spacing w:after="0"/>
              <w:rPr>
                <w:sz w:val="20"/>
                <w:szCs w:val="20"/>
                <w:color w:val="auto"/>
              </w:rPr>
            </w:pPr>
            <w:r>
              <w:rPr>
                <w:rFonts w:ascii="Times New Roman" w:cs="Times New Roman" w:eastAsia="Times New Roman" w:hAnsi="Times New Roman"/>
                <w:sz w:val="21"/>
                <w:szCs w:val="21"/>
                <w:color w:val="auto"/>
              </w:rPr>
              <w:t>86</w:t>
            </w: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12.03</w:t>
            </w:r>
          </w:p>
        </w:tc>
        <w:tc>
          <w:tcPr>
            <w:tcW w:w="820" w:type="dxa"/>
            <w:vAlign w:val="bottom"/>
          </w:tcPr>
          <w:p>
            <w:pPr>
              <w:ind w:left="120"/>
              <w:spacing w:after="0"/>
              <w:rPr>
                <w:sz w:val="20"/>
                <w:szCs w:val="20"/>
                <w:color w:val="auto"/>
              </w:rPr>
            </w:pPr>
            <w:r>
              <w:rPr>
                <w:rFonts w:ascii="Times New Roman" w:cs="Times New Roman" w:eastAsia="Times New Roman" w:hAnsi="Times New Roman"/>
                <w:sz w:val="21"/>
                <w:szCs w:val="21"/>
                <w:color w:val="auto"/>
                <w:w w:val="95"/>
              </w:rPr>
              <w:t>Survival</w:t>
            </w:r>
          </w:p>
        </w:tc>
        <w:tc>
          <w:tcPr>
            <w:tcW w:w="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12.04</w:t>
            </w:r>
          </w:p>
        </w:tc>
        <w:tc>
          <w:tcPr>
            <w:tcW w:w="250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Expenses; Indemnification</w:t>
            </w:r>
          </w:p>
        </w:tc>
        <w:tc>
          <w:tcPr>
            <w:tcW w:w="1080" w:type="dxa"/>
            <w:vAlign w:val="bottom"/>
          </w:tcPr>
          <w:p>
            <w:pPr>
              <w:jc w:val="right"/>
              <w:ind w:right="695"/>
              <w:spacing w:after="0"/>
              <w:rPr>
                <w:sz w:val="20"/>
                <w:szCs w:val="20"/>
                <w:color w:val="auto"/>
              </w:rPr>
            </w:pPr>
            <w:r>
              <w:rPr>
                <w:rFonts w:ascii="Times New Roman" w:cs="Times New Roman" w:eastAsia="Times New Roman" w:hAnsi="Times New Roman"/>
                <w:sz w:val="21"/>
                <w:szCs w:val="21"/>
                <w:color w:val="auto"/>
              </w:rPr>
              <w:t>87</w:t>
            </w:r>
          </w:p>
        </w:tc>
        <w:tc>
          <w:tcPr>
            <w:tcW w:w="5680" w:type="dxa"/>
            <w:vAlign w:val="bottom"/>
          </w:tcPr>
          <w:p>
            <w:pPr>
              <w:spacing w:after="0"/>
              <w:rPr>
                <w:sz w:val="24"/>
                <w:szCs w:val="24"/>
                <w:color w:val="auto"/>
              </w:rPr>
            </w:pPr>
          </w:p>
        </w:tc>
      </w:tr>
      <w:tr>
        <w:trPr>
          <w:trHeight w:val="367"/>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12.05</w:t>
            </w:r>
          </w:p>
        </w:tc>
        <w:tc>
          <w:tcPr>
            <w:tcW w:w="250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Assignment; Participation</w:t>
            </w:r>
          </w:p>
        </w:tc>
        <w:tc>
          <w:tcPr>
            <w:tcW w:w="1080" w:type="dxa"/>
            <w:vAlign w:val="bottom"/>
          </w:tcPr>
          <w:p>
            <w:pPr>
              <w:jc w:val="right"/>
              <w:ind w:right="755"/>
              <w:spacing w:after="0"/>
              <w:rPr>
                <w:sz w:val="20"/>
                <w:szCs w:val="20"/>
                <w:color w:val="auto"/>
              </w:rPr>
            </w:pPr>
            <w:r>
              <w:rPr>
                <w:rFonts w:ascii="Times New Roman" w:cs="Times New Roman" w:eastAsia="Times New Roman" w:hAnsi="Times New Roman"/>
                <w:sz w:val="21"/>
                <w:szCs w:val="21"/>
                <w:color w:val="auto"/>
                <w:w w:val="95"/>
              </w:rPr>
              <w:t>88</w:t>
            </w: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12.06</w:t>
            </w:r>
          </w:p>
        </w:tc>
        <w:tc>
          <w:tcPr>
            <w:tcW w:w="250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Documentation Satisfactory</w:t>
            </w:r>
          </w:p>
        </w:tc>
        <w:tc>
          <w:tcPr>
            <w:tcW w:w="1080" w:type="dxa"/>
            <w:vAlign w:val="bottom"/>
          </w:tcPr>
          <w:p>
            <w:pPr>
              <w:jc w:val="right"/>
              <w:ind w:right="595"/>
              <w:spacing w:after="0"/>
              <w:rPr>
                <w:sz w:val="20"/>
                <w:szCs w:val="20"/>
                <w:color w:val="auto"/>
              </w:rPr>
            </w:pPr>
            <w:r>
              <w:rPr>
                <w:rFonts w:ascii="Times New Roman" w:cs="Times New Roman" w:eastAsia="Times New Roman" w:hAnsi="Times New Roman"/>
                <w:sz w:val="21"/>
                <w:szCs w:val="21"/>
                <w:color w:val="auto"/>
              </w:rPr>
              <w:t>92</w:t>
            </w: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12.07</w:t>
            </w:r>
          </w:p>
        </w:tc>
        <w:tc>
          <w:tcPr>
            <w:tcW w:w="8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Notices</w:t>
            </w:r>
          </w:p>
        </w:tc>
        <w:tc>
          <w:tcPr>
            <w:tcW w:w="480" w:type="dxa"/>
            <w:vAlign w:val="bottom"/>
          </w:tcPr>
          <w:p>
            <w:pPr>
              <w:jc w:val="right"/>
              <w:ind w:right="15"/>
              <w:spacing w:after="0"/>
              <w:rPr>
                <w:sz w:val="20"/>
                <w:szCs w:val="20"/>
                <w:color w:val="auto"/>
              </w:rPr>
            </w:pPr>
            <w:r>
              <w:rPr>
                <w:rFonts w:ascii="Times New Roman" w:cs="Times New Roman" w:eastAsia="Times New Roman" w:hAnsi="Times New Roman"/>
                <w:sz w:val="21"/>
                <w:szCs w:val="21"/>
                <w:color w:val="auto"/>
              </w:rPr>
              <w:t>92</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12.08</w:t>
            </w:r>
          </w:p>
        </w:tc>
        <w:tc>
          <w:tcPr>
            <w:tcW w:w="8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Setoff</w:t>
            </w:r>
          </w:p>
        </w:tc>
        <w:tc>
          <w:tcPr>
            <w:tcW w:w="480" w:type="dxa"/>
            <w:vAlign w:val="bottom"/>
          </w:tcPr>
          <w:p>
            <w:pPr>
              <w:jc w:val="right"/>
              <w:ind w:right="155"/>
              <w:spacing w:after="0"/>
              <w:rPr>
                <w:sz w:val="20"/>
                <w:szCs w:val="20"/>
                <w:color w:val="auto"/>
              </w:rPr>
            </w:pPr>
            <w:r>
              <w:rPr>
                <w:rFonts w:ascii="Times New Roman" w:cs="Times New Roman" w:eastAsia="Times New Roman" w:hAnsi="Times New Roman"/>
                <w:sz w:val="21"/>
                <w:szCs w:val="21"/>
                <w:color w:val="auto"/>
                <w:w w:val="95"/>
              </w:rPr>
              <w:t>95</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12.09</w:t>
            </w:r>
          </w:p>
        </w:tc>
        <w:tc>
          <w:tcPr>
            <w:tcW w:w="250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w w:val="97"/>
              </w:rPr>
              <w:t>Table of Contents; Headings</w:t>
            </w:r>
          </w:p>
        </w:tc>
        <w:tc>
          <w:tcPr>
            <w:tcW w:w="1080" w:type="dxa"/>
            <w:vAlign w:val="bottom"/>
          </w:tcPr>
          <w:p>
            <w:pPr>
              <w:jc w:val="right"/>
              <w:ind w:right="555"/>
              <w:spacing w:after="0"/>
              <w:rPr>
                <w:sz w:val="20"/>
                <w:szCs w:val="20"/>
                <w:color w:val="auto"/>
              </w:rPr>
            </w:pPr>
            <w:r>
              <w:rPr>
                <w:rFonts w:ascii="Times New Roman" w:cs="Times New Roman" w:eastAsia="Times New Roman" w:hAnsi="Times New Roman"/>
                <w:sz w:val="21"/>
                <w:szCs w:val="21"/>
                <w:color w:val="auto"/>
              </w:rPr>
              <w:t>95</w:t>
            </w:r>
          </w:p>
        </w:tc>
        <w:tc>
          <w:tcPr>
            <w:tcW w:w="5680" w:type="dxa"/>
            <w:vAlign w:val="bottom"/>
          </w:tcPr>
          <w:p>
            <w:pPr>
              <w:spacing w:after="0"/>
              <w:rPr>
                <w:sz w:val="24"/>
                <w:szCs w:val="24"/>
                <w:color w:val="auto"/>
              </w:rPr>
            </w:pPr>
          </w:p>
        </w:tc>
      </w:tr>
      <w:tr>
        <w:trPr>
          <w:trHeight w:val="367"/>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12.10</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Severability</w:t>
            </w:r>
          </w:p>
        </w:tc>
        <w:tc>
          <w:tcPr>
            <w:tcW w:w="580" w:type="dxa"/>
            <w:vAlign w:val="bottom"/>
            <w:gridSpan w:val="2"/>
          </w:tcPr>
          <w:p>
            <w:pPr>
              <w:jc w:val="right"/>
              <w:ind w:right="235"/>
              <w:spacing w:after="0"/>
              <w:rPr>
                <w:sz w:val="20"/>
                <w:szCs w:val="20"/>
                <w:color w:val="auto"/>
              </w:rPr>
            </w:pPr>
            <w:r>
              <w:rPr>
                <w:rFonts w:ascii="Times New Roman" w:cs="Times New Roman" w:eastAsia="Times New Roman" w:hAnsi="Times New Roman"/>
                <w:sz w:val="21"/>
                <w:szCs w:val="21"/>
                <w:color w:val="auto"/>
              </w:rPr>
              <w:t>95</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12.11</w:t>
            </w: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Counterparts</w:t>
            </w:r>
          </w:p>
        </w:tc>
        <w:tc>
          <w:tcPr>
            <w:tcW w:w="580" w:type="dxa"/>
            <w:vAlign w:val="bottom"/>
            <w:gridSpan w:val="2"/>
          </w:tcPr>
          <w:p>
            <w:pPr>
              <w:jc w:val="right"/>
              <w:ind w:right="175"/>
              <w:spacing w:after="0"/>
              <w:rPr>
                <w:sz w:val="20"/>
                <w:szCs w:val="20"/>
                <w:color w:val="auto"/>
              </w:rPr>
            </w:pPr>
            <w:r>
              <w:rPr>
                <w:rFonts w:ascii="Times New Roman" w:cs="Times New Roman" w:eastAsia="Times New Roman" w:hAnsi="Times New Roman"/>
                <w:sz w:val="21"/>
                <w:szCs w:val="21"/>
                <w:color w:val="auto"/>
              </w:rPr>
              <w:t>96</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12.12</w:t>
            </w: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Integration  97</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12.13</w:t>
            </w: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Governing Law</w:t>
            </w:r>
          </w:p>
        </w:tc>
        <w:tc>
          <w:tcPr>
            <w:tcW w:w="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97</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12.14</w:t>
            </w:r>
          </w:p>
        </w:tc>
        <w:tc>
          <w:tcPr>
            <w:tcW w:w="820" w:type="dxa"/>
            <w:vAlign w:val="bottom"/>
          </w:tcPr>
          <w:p>
            <w:pPr>
              <w:ind w:left="120"/>
              <w:spacing w:after="0"/>
              <w:rPr>
                <w:sz w:val="20"/>
                <w:szCs w:val="20"/>
                <w:color w:val="auto"/>
              </w:rPr>
            </w:pPr>
            <w:r>
              <w:rPr>
                <w:rFonts w:ascii="Times New Roman" w:cs="Times New Roman" w:eastAsia="Times New Roman" w:hAnsi="Times New Roman"/>
                <w:sz w:val="21"/>
                <w:szCs w:val="21"/>
                <w:color w:val="auto"/>
                <w:w w:val="97"/>
              </w:rPr>
              <w:t>Waivers</w:t>
            </w:r>
          </w:p>
        </w:tc>
        <w:tc>
          <w:tcPr>
            <w:tcW w:w="4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97</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67"/>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12.15</w:t>
            </w:r>
          </w:p>
        </w:tc>
        <w:tc>
          <w:tcPr>
            <w:tcW w:w="358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rPr>
              <w:t>Jurisdiction; Immunities  97</w:t>
            </w: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12.16</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[Reserved].</w:t>
            </w:r>
          </w:p>
        </w:tc>
        <w:tc>
          <w:tcPr>
            <w:tcW w:w="200" w:type="dxa"/>
            <w:vAlign w:val="bottom"/>
          </w:tcPr>
          <w:p>
            <w:pPr>
              <w:spacing w:after="0"/>
              <w:rPr>
                <w:sz w:val="20"/>
                <w:szCs w:val="20"/>
                <w:color w:val="auto"/>
              </w:rPr>
            </w:pPr>
            <w:r>
              <w:rPr>
                <w:rFonts w:ascii="Times New Roman" w:cs="Times New Roman" w:eastAsia="Times New Roman" w:hAnsi="Times New Roman"/>
                <w:sz w:val="21"/>
                <w:szCs w:val="21"/>
                <w:color w:val="auto"/>
                <w:w w:val="85"/>
              </w:rPr>
              <w:t>99</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12.17</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[Reserved].</w:t>
            </w:r>
          </w:p>
        </w:tc>
        <w:tc>
          <w:tcPr>
            <w:tcW w:w="200" w:type="dxa"/>
            <w:vAlign w:val="bottom"/>
          </w:tcPr>
          <w:p>
            <w:pPr>
              <w:spacing w:after="0"/>
              <w:rPr>
                <w:sz w:val="20"/>
                <w:szCs w:val="20"/>
                <w:color w:val="auto"/>
              </w:rPr>
            </w:pPr>
            <w:r>
              <w:rPr>
                <w:rFonts w:ascii="Times New Roman" w:cs="Times New Roman" w:eastAsia="Times New Roman" w:hAnsi="Times New Roman"/>
                <w:sz w:val="21"/>
                <w:szCs w:val="21"/>
                <w:color w:val="auto"/>
                <w:w w:val="85"/>
              </w:rPr>
              <w:t>99</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54"/>
        </w:trPr>
        <w:tc>
          <w:tcPr>
            <w:tcW w:w="4380" w:type="dxa"/>
            <w:vAlign w:val="bottom"/>
            <w:gridSpan w:val="6"/>
          </w:tcPr>
          <w:p>
            <w:pPr>
              <w:ind w:left="640"/>
              <w:spacing w:after="0"/>
              <w:rPr>
                <w:sz w:val="20"/>
                <w:szCs w:val="20"/>
                <w:color w:val="auto"/>
              </w:rPr>
            </w:pPr>
            <w:r>
              <w:rPr>
                <w:rFonts w:ascii="Times New Roman" w:cs="Times New Roman" w:eastAsia="Times New Roman" w:hAnsi="Times New Roman"/>
                <w:sz w:val="21"/>
                <w:szCs w:val="21"/>
                <w:color w:val="auto"/>
              </w:rPr>
              <w:t>Section 12.18  Intentionally Omitted.  99</w:t>
            </w: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12.19</w:t>
            </w: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w w:val="97"/>
              </w:rPr>
              <w:t>USA Patriot Act</w:t>
            </w:r>
          </w:p>
        </w:tc>
        <w:tc>
          <w:tcPr>
            <w:tcW w:w="1000" w:type="dxa"/>
            <w:vAlign w:val="bottom"/>
            <w:gridSpan w:val="2"/>
          </w:tcPr>
          <w:p>
            <w:pPr>
              <w:jc w:val="right"/>
              <w:ind w:right="475"/>
              <w:spacing w:after="0"/>
              <w:rPr>
                <w:sz w:val="20"/>
                <w:szCs w:val="20"/>
                <w:color w:val="auto"/>
              </w:rPr>
            </w:pPr>
            <w:r>
              <w:rPr>
                <w:rFonts w:ascii="Times New Roman" w:cs="Times New Roman" w:eastAsia="Times New Roman" w:hAnsi="Times New Roman"/>
                <w:sz w:val="21"/>
                <w:szCs w:val="21"/>
                <w:color w:val="auto"/>
              </w:rPr>
              <w:t>99</w:t>
            </w: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12.20</w:t>
            </w:r>
          </w:p>
        </w:tc>
        <w:tc>
          <w:tcPr>
            <w:tcW w:w="188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Defaulting Lenders</w:t>
            </w:r>
          </w:p>
        </w:tc>
        <w:tc>
          <w:tcPr>
            <w:tcW w:w="620" w:type="dxa"/>
            <w:vAlign w:val="bottom"/>
          </w:tcPr>
          <w:p>
            <w:pPr>
              <w:jc w:val="right"/>
              <w:ind w:right="235"/>
              <w:spacing w:after="0"/>
              <w:rPr>
                <w:sz w:val="20"/>
                <w:szCs w:val="20"/>
                <w:color w:val="auto"/>
              </w:rPr>
            </w:pPr>
            <w:r>
              <w:rPr>
                <w:rFonts w:ascii="Times New Roman" w:cs="Times New Roman" w:eastAsia="Times New Roman" w:hAnsi="Times New Roman"/>
                <w:sz w:val="21"/>
                <w:szCs w:val="21"/>
                <w:color w:val="auto"/>
              </w:rPr>
              <w:t>99</w:t>
            </w: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67"/>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12.21</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[Reserved].</w:t>
            </w:r>
          </w:p>
        </w:tc>
        <w:tc>
          <w:tcPr>
            <w:tcW w:w="5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100</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12.22</w:t>
            </w:r>
          </w:p>
        </w:tc>
        <w:tc>
          <w:tcPr>
            <w:tcW w:w="188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Partner Guaranties</w:t>
            </w: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21"/>
                <w:szCs w:val="21"/>
                <w:color w:val="auto"/>
                <w:w w:val="95"/>
              </w:rPr>
              <w:t>100</w:t>
            </w: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12.23</w:t>
            </w: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Confidentiality</w:t>
            </w:r>
          </w:p>
        </w:tc>
        <w:tc>
          <w:tcPr>
            <w:tcW w:w="1000" w:type="dxa"/>
            <w:vAlign w:val="bottom"/>
            <w:gridSpan w:val="2"/>
          </w:tcPr>
          <w:p>
            <w:pPr>
              <w:jc w:val="right"/>
              <w:ind w:right="495"/>
              <w:spacing w:after="0"/>
              <w:rPr>
                <w:sz w:val="20"/>
                <w:szCs w:val="20"/>
                <w:color w:val="auto"/>
              </w:rPr>
            </w:pPr>
            <w:r>
              <w:rPr>
                <w:rFonts w:ascii="Times New Roman" w:cs="Times New Roman" w:eastAsia="Times New Roman" w:hAnsi="Times New Roman"/>
                <w:sz w:val="21"/>
                <w:szCs w:val="21"/>
                <w:color w:val="auto"/>
              </w:rPr>
              <w:t>100</w:t>
            </w: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12.24</w:t>
            </w:r>
          </w:p>
        </w:tc>
        <w:tc>
          <w:tcPr>
            <w:tcW w:w="358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w w:val="99"/>
              </w:rPr>
              <w:t>No Advisory or Fiduciary Responsibility</w:t>
            </w:r>
          </w:p>
        </w:tc>
        <w:tc>
          <w:tcPr>
            <w:tcW w:w="5680" w:type="dxa"/>
            <w:vAlign w:val="bottom"/>
          </w:tcPr>
          <w:p>
            <w:pPr>
              <w:jc w:val="right"/>
              <w:ind w:right="5075"/>
              <w:spacing w:after="0"/>
              <w:rPr>
                <w:sz w:val="20"/>
                <w:szCs w:val="20"/>
                <w:color w:val="auto"/>
              </w:rPr>
            </w:pPr>
            <w:r>
              <w:rPr>
                <w:rFonts w:ascii="Times New Roman" w:cs="Times New Roman" w:eastAsia="Times New Roman" w:hAnsi="Times New Roman"/>
                <w:sz w:val="21"/>
                <w:szCs w:val="21"/>
                <w:color w:val="auto"/>
              </w:rPr>
              <w:t>101</w:t>
            </w: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12.25</w:t>
            </w:r>
          </w:p>
        </w:tc>
        <w:tc>
          <w:tcPr>
            <w:tcW w:w="926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Acknowledgement and Consent to Bail-In of Affected Financial Institutions  102</w:t>
            </w:r>
          </w:p>
        </w:tc>
      </w:tr>
      <w:tr>
        <w:trPr>
          <w:trHeight w:val="367"/>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12.26</w:t>
            </w:r>
          </w:p>
        </w:tc>
        <w:tc>
          <w:tcPr>
            <w:tcW w:w="250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Transitional Arrangements</w:t>
            </w:r>
          </w:p>
        </w:tc>
        <w:tc>
          <w:tcPr>
            <w:tcW w:w="1080" w:type="dxa"/>
            <w:vAlign w:val="bottom"/>
          </w:tcPr>
          <w:p>
            <w:pPr>
              <w:jc w:val="right"/>
              <w:ind w:right="595"/>
              <w:spacing w:after="0"/>
              <w:rPr>
                <w:sz w:val="20"/>
                <w:szCs w:val="20"/>
                <w:color w:val="auto"/>
              </w:rPr>
            </w:pPr>
            <w:r>
              <w:rPr>
                <w:rFonts w:ascii="Times New Roman" w:cs="Times New Roman" w:eastAsia="Times New Roman" w:hAnsi="Times New Roman"/>
                <w:sz w:val="21"/>
                <w:szCs w:val="21"/>
                <w:color w:val="auto"/>
              </w:rPr>
              <w:t>103</w:t>
            </w:r>
          </w:p>
        </w:tc>
        <w:tc>
          <w:tcPr>
            <w:tcW w:w="5680" w:type="dxa"/>
            <w:vAlign w:val="bottom"/>
          </w:tcPr>
          <w:p>
            <w:pPr>
              <w:spacing w:after="0"/>
              <w:rPr>
                <w:sz w:val="24"/>
                <w:szCs w:val="24"/>
                <w:color w:val="auto"/>
              </w:rPr>
            </w:pPr>
          </w:p>
        </w:tc>
      </w:tr>
      <w:tr>
        <w:trPr>
          <w:trHeight w:val="354"/>
        </w:trPr>
        <w:tc>
          <w:tcPr>
            <w:tcW w:w="188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12.27</w:t>
            </w:r>
          </w:p>
        </w:tc>
        <w:tc>
          <w:tcPr>
            <w:tcW w:w="926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Acknowledgement Regarding Any Supported QFCs  104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v</w:t>
      </w:r>
    </w:p>
    <w:p>
      <w:pPr>
        <w:sectPr>
          <w:pgSz w:w="11900" w:h="16838" w:orient="portrait"/>
          <w:cols w:equalWidth="0" w:num="1">
            <w:col w:w="11140"/>
          </w:cols>
          <w:pgMar w:left="320" w:top="567" w:right="439" w:bottom="1440" w:gutter="0" w:footer="0" w:header="0"/>
        </w:sectPr>
      </w:pPr>
    </w:p>
    <w:bookmarkStart w:id="156" w:name="page157"/>
    <w:bookmarkEnd w:id="156"/>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SCHEDULE 1</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Loan Commitments</w:t>
            </w:r>
          </w:p>
        </w:tc>
      </w:tr>
      <w:tr>
        <w:trPr>
          <w:trHeight w:val="327"/>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SCHEDULE 2</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Other Investments</w:t>
            </w:r>
          </w:p>
        </w:tc>
      </w:tr>
      <w:tr>
        <w:trPr>
          <w:trHeight w:val="327"/>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SCHEDULE 2A</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General Partner Investments</w:t>
            </w:r>
          </w:p>
        </w:tc>
      </w:tr>
      <w:tr>
        <w:trPr>
          <w:trHeight w:val="327"/>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SCHEDULE 3</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General Partner – Debt</w:t>
            </w:r>
          </w:p>
        </w:tc>
      </w:tr>
      <w:tr>
        <w:trPr>
          <w:trHeight w:val="327"/>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SCHEDULE 4</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Sustainability Table</w:t>
            </w:r>
          </w:p>
        </w:tc>
      </w:tr>
      <w:tr>
        <w:trPr>
          <w:trHeight w:val="327"/>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SCHEDULE 5</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Covered Land</w:t>
            </w:r>
          </w:p>
        </w:tc>
      </w:tr>
      <w:tr>
        <w:trPr>
          <w:trHeight w:val="589"/>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EXHIBIT A</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Authorization Letter</w:t>
            </w:r>
          </w:p>
        </w:tc>
      </w:tr>
      <w:tr>
        <w:trPr>
          <w:trHeight w:val="327"/>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EXHIBIT B</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Term Note</w:t>
            </w:r>
          </w:p>
        </w:tc>
      </w:tr>
      <w:tr>
        <w:trPr>
          <w:trHeight w:val="327"/>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EXHIBIT C</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[Reserved]</w:t>
            </w:r>
          </w:p>
        </w:tc>
      </w:tr>
      <w:tr>
        <w:trPr>
          <w:trHeight w:val="327"/>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EXHIBIT D</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Solvency Certificate</w:t>
            </w:r>
          </w:p>
        </w:tc>
      </w:tr>
      <w:tr>
        <w:trPr>
          <w:trHeight w:val="327"/>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EXHIBIT E</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w w:val="99"/>
              </w:rPr>
              <w:t>Assignment and Assumption Agreement</w:t>
            </w:r>
          </w:p>
        </w:tc>
      </w:tr>
      <w:tr>
        <w:trPr>
          <w:trHeight w:val="327"/>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EXHIBIT F</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List of Material Affiliates</w:t>
            </w:r>
          </w:p>
        </w:tc>
      </w:tr>
      <w:tr>
        <w:trPr>
          <w:trHeight w:val="327"/>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EXHIBIT G</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[Reserved]</w:t>
            </w:r>
          </w:p>
        </w:tc>
      </w:tr>
      <w:tr>
        <w:trPr>
          <w:trHeight w:val="327"/>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EXHIBIT H</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[Reserved]</w:t>
            </w:r>
          </w:p>
        </w:tc>
      </w:tr>
      <w:tr>
        <w:trPr>
          <w:trHeight w:val="327"/>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EXHIBIT I</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Labor Matters</w:t>
            </w:r>
          </w:p>
        </w:tc>
      </w:tr>
      <w:tr>
        <w:trPr>
          <w:trHeight w:val="327"/>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EXHIBIT J</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[Reserved]</w:t>
            </w:r>
          </w:p>
        </w:tc>
      </w:tr>
      <w:tr>
        <w:trPr>
          <w:trHeight w:val="327"/>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EXHIBIT K</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Tax Compliance Certificates</w:t>
            </w:r>
          </w:p>
        </w:tc>
      </w:tr>
      <w:tr>
        <w:trPr>
          <w:trHeight w:val="327"/>
        </w:trPr>
        <w:tc>
          <w:tcPr>
            <w:tcW w:w="2020" w:type="dxa"/>
            <w:vAlign w:val="bottom"/>
          </w:tcPr>
          <w:p>
            <w:pPr>
              <w:spacing w:after="0"/>
              <w:rPr>
                <w:sz w:val="20"/>
                <w:szCs w:val="20"/>
                <w:color w:val="auto"/>
              </w:rPr>
            </w:pPr>
            <w:r>
              <w:rPr>
                <w:rFonts w:ascii="Times New Roman" w:cs="Times New Roman" w:eastAsia="Times New Roman" w:hAnsi="Times New Roman"/>
                <w:sz w:val="21"/>
                <w:szCs w:val="21"/>
                <w:color w:val="auto"/>
              </w:rPr>
              <w:t>EXHIBIT L</w:t>
            </w:r>
          </w:p>
        </w:tc>
        <w:tc>
          <w:tcPr>
            <w:tcW w:w="10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Pricing Certificate</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vi</w:t>
      </w:r>
    </w:p>
    <w:p>
      <w:pPr>
        <w:sectPr>
          <w:pgSz w:w="11900" w:h="16838" w:orient="portrait"/>
          <w:cols w:equalWidth="0" w:num="1">
            <w:col w:w="10119"/>
          </w:cols>
          <w:pgMar w:left="340" w:top="1440" w:right="1440" w:bottom="1440" w:gutter="0" w:footer="0" w:header="0"/>
        </w:sectPr>
      </w:pPr>
    </w:p>
    <w:bookmarkStart w:id="157" w:name="page158"/>
    <w:bookmarkEnd w:id="157"/>
    <w:p>
      <w:pPr>
        <w:ind w:left="840"/>
        <w:spacing w:after="0"/>
        <w:rPr>
          <w:sz w:val="20"/>
          <w:szCs w:val="20"/>
          <w:color w:val="auto"/>
        </w:rPr>
      </w:pPr>
      <w:r>
        <w:rPr>
          <w:rFonts w:ascii="Times New Roman" w:cs="Times New Roman" w:eastAsia="Times New Roman" w:hAnsi="Times New Roman"/>
          <w:sz w:val="21"/>
          <w:szCs w:val="21"/>
          <w:color w:val="auto"/>
        </w:rPr>
        <w:t>THIRD AMENDED AND RESTATED TERM LOAN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January 7,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among VORNADO REALTY L.P., a limited partnership organized and existing under the laws of the State of Delaware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JPMORGAN CHASE BANK, N.A., as agent for the Banks (in such capacity, together with its successors in such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capacity,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BANK OF AMERICA, N.A., BMO BANK, N.A., PNC BANK, NATIONAL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BANK NATIONAL ASSOCIATION, and WELLS FARGO BANK, NATIONAL ASSOCIATION, as Syndication Agents,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FINANCIAL INSTITUTIONS LISTED ON THE COVER PAGE as Documentation Agents and Sustainability Structuring Agents,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JPMORGAN CHASE BANK, N.A., in its individual capacity and not as Administrative Agent, and the other lenders signatory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hereto (said lenders signatory hereto and the lenders who from time to time become Banks pursuant to Section 2.16(d), 3.07 or 12.05,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each a “</w:t>
      </w:r>
      <w:r>
        <w:rPr>
          <w:rFonts w:ascii="Times New Roman" w:cs="Times New Roman" w:eastAsia="Times New Roman" w:hAnsi="Times New Roman"/>
          <w:sz w:val="21"/>
          <w:szCs w:val="21"/>
          <w:u w:val="single" w:color="auto"/>
          <w:color w:val="auto"/>
        </w:rPr>
        <w:t>Bank</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Banks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ind w:right="20" w:firstLine="1257"/>
        <w:spacing w:after="0" w:line="262" w:lineRule="auto"/>
        <w:rPr>
          <w:sz w:val="20"/>
          <w:szCs w:val="20"/>
          <w:color w:val="auto"/>
        </w:rPr>
      </w:pPr>
      <w:r>
        <w:rPr>
          <w:rFonts w:ascii="Times New Roman" w:cs="Times New Roman" w:eastAsia="Times New Roman" w:hAnsi="Times New Roman"/>
          <w:sz w:val="21"/>
          <w:szCs w:val="21"/>
          <w:color w:val="auto"/>
        </w:rPr>
        <w:t>WHEREAS, the Borrower, the Administrative Agent and certain of the Banks are parties to a Second Amended and Restated Term Loan Agreement dated as of June 30, 2022, as amended by Amendment No. 1 to Second Amended and Restated Term Loan Agreement dated as of May 14, 2024 (as so amended, the “</w:t>
      </w:r>
      <w:r>
        <w:rPr>
          <w:rFonts w:ascii="Times New Roman" w:cs="Times New Roman" w:eastAsia="Times New Roman" w:hAnsi="Times New Roman"/>
          <w:sz w:val="21"/>
          <w:szCs w:val="21"/>
          <w:u w:val="single" w:color="auto"/>
          <w:color w:val="auto"/>
        </w:rPr>
        <w:t>Existing Term Loan Agreement</w:t>
      </w:r>
      <w:r>
        <w:rPr>
          <w:rFonts w:ascii="Times New Roman" w:cs="Times New Roman" w:eastAsia="Times New Roman" w:hAnsi="Times New Roman"/>
          <w:sz w:val="21"/>
          <w:szCs w:val="21"/>
          <w:color w:val="auto"/>
        </w:rPr>
        <w:t>”), pursuant to which such Banks made available to the Borrower term loans in the principal amount of $800,000,000;</w:t>
      </w:r>
    </w:p>
    <w:p>
      <w:pPr>
        <w:spacing w:after="0" w:line="164" w:lineRule="exact"/>
        <w:rPr>
          <w:sz w:val="20"/>
          <w:szCs w:val="20"/>
          <w:color w:val="auto"/>
        </w:rPr>
      </w:pPr>
    </w:p>
    <w:p>
      <w:pPr>
        <w:jc w:val="both"/>
        <w:ind w:right="260" w:firstLine="629"/>
        <w:spacing w:after="0" w:line="270" w:lineRule="auto"/>
        <w:rPr>
          <w:sz w:val="20"/>
          <w:szCs w:val="20"/>
          <w:color w:val="auto"/>
        </w:rPr>
      </w:pPr>
      <w:r>
        <w:rPr>
          <w:rFonts w:ascii="Times New Roman" w:cs="Times New Roman" w:eastAsia="Times New Roman" w:hAnsi="Times New Roman"/>
          <w:sz w:val="21"/>
          <w:szCs w:val="21"/>
          <w:color w:val="auto"/>
        </w:rPr>
        <w:t>WHEREAS, the Borrower has requested that the Administrative Agent and the Banks amend and restate the Existing Term Loan Agreement in its entirety, and the Administrative Agent and the Banks are willing to so amend and restate the Existing Term Loan Agreement in its entirety as set forth herein;</w:t>
      </w:r>
    </w:p>
    <w:p>
      <w:pPr>
        <w:spacing w:after="0" w:line="15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21"/>
          <w:szCs w:val="21"/>
          <w:color w:val="auto"/>
        </w:rPr>
        <w:t>NOW, THEREFORE, in consideration of the premises and the mutual agreements, covenants and conditions hereinafter set forth, Borrower, the Administrative Agent and each of the Banks agree to amend and restate the Existing Term Loan Agreement in its entirety as follows: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ARTICLE I</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DEFINITIONS; ETC.</w:t>
      </w:r>
    </w:p>
    <w:p>
      <w:pPr>
        <w:spacing w:after="0" w:line="73" w:lineRule="exact"/>
        <w:rPr>
          <w:sz w:val="20"/>
          <w:szCs w:val="20"/>
          <w:color w:val="auto"/>
        </w:rPr>
      </w:pPr>
    </w:p>
    <w:p>
      <w:pPr>
        <w:ind w:right="20" w:firstLine="629"/>
        <w:spacing w:after="0" w:line="241"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xml:space="preserve"> As used in this Agreement the following terms have the following meanings (except as otherwise provided, terms defined in the singular have a correlative meaning when used in the plural, and vice versa):</w:t>
      </w:r>
    </w:p>
    <w:p>
      <w:pPr>
        <w:spacing w:after="0" w:line="65" w:lineRule="exact"/>
        <w:rPr>
          <w:sz w:val="20"/>
          <w:szCs w:val="20"/>
          <w:color w:val="auto"/>
        </w:rPr>
      </w:pPr>
    </w:p>
    <w:p>
      <w:pPr>
        <w:ind w:right="80"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Acquisition Property</w:t>
      </w:r>
      <w:r>
        <w:rPr>
          <w:rFonts w:ascii="Times New Roman" w:cs="Times New Roman" w:eastAsia="Times New Roman" w:hAnsi="Times New Roman"/>
          <w:sz w:val="21"/>
          <w:szCs w:val="21"/>
          <w:color w:val="auto"/>
        </w:rPr>
        <w:t>” means, as of any date of determination, any Real Property Assets owned fewer than (a) thirty (30) months for office Real Property Assets located in New York City and (b) twenty-four (24) months for all other Real Property Assets; provided that Real Property Assets shall cease to be Acquisition Properties in the first fiscal quarter in which the Occupancy Rate of such Acquisition Property averaged eighty-five percent (85%) or more.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Additional Costs</w:t>
      </w:r>
      <w:r>
        <w:rPr>
          <w:rFonts w:ascii="Times New Roman" w:cs="Times New Roman" w:eastAsia="Times New Roman" w:hAnsi="Times New Roman"/>
          <w:sz w:val="21"/>
          <w:szCs w:val="21"/>
          <w:color w:val="auto"/>
        </w:rPr>
        <w:t>” has the meaning specified in Section 3.01.</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has the meaning specified in the preamble.</w:t>
      </w:r>
    </w:p>
    <w:p>
      <w:pPr>
        <w:sectPr>
          <w:pgSz w:w="11900" w:h="16838" w:orient="portrait"/>
          <w:cols w:equalWidth="0" w:num="1">
            <w:col w:w="11220"/>
          </w:cols>
          <w:pgMar w:left="320" w:top="1134" w:right="359" w:bottom="1440" w:gutter="0" w:footer="0" w:header="0"/>
        </w:sectPr>
      </w:pPr>
    </w:p>
    <w:bookmarkStart w:id="158" w:name="page159"/>
    <w:bookmarkEnd w:id="158"/>
    <w:p>
      <w:pPr>
        <w:ind w:right="20" w:firstLine="629"/>
        <w:spacing w:after="0" w:line="30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means Administrative Agent’s office located at 270 Park Avenue, New York, New York 10017, or such other office in the United States as Administrative Agent may designate by written notice to Borrower and the Banks.</w:t>
      </w:r>
    </w:p>
    <w:p>
      <w:pPr>
        <w:spacing w:after="0" w:line="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 Agent.</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Bank</w:t>
      </w:r>
      <w:r>
        <w:rPr>
          <w:rFonts w:ascii="Times New Roman" w:cs="Times New Roman" w:eastAsia="Times New Roman" w:hAnsi="Times New Roman"/>
          <w:sz w:val="21"/>
          <w:szCs w:val="21"/>
          <w:color w:val="auto"/>
        </w:rPr>
        <w:t>” has the meaning specified in Section 3.07.</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Financial Institution</w:t>
      </w:r>
      <w:r>
        <w:rPr>
          <w:rFonts w:ascii="Times New Roman" w:cs="Times New Roman" w:eastAsia="Times New Roman" w:hAnsi="Times New Roman"/>
          <w:sz w:val="21"/>
          <w:szCs w:val="21"/>
          <w:color w:val="auto"/>
        </w:rPr>
        <w:t>” means (a) any EEA Financial Institution or (b) any UK Financial Institution.</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Loan</w:t>
      </w:r>
      <w:r>
        <w:rPr>
          <w:rFonts w:ascii="Times New Roman" w:cs="Times New Roman" w:eastAsia="Times New Roman" w:hAnsi="Times New Roman"/>
          <w:sz w:val="21"/>
          <w:szCs w:val="21"/>
          <w:color w:val="auto"/>
        </w:rPr>
        <w:t>” has the meaning specified in Section 3.04.</w:t>
      </w:r>
    </w:p>
    <w:p>
      <w:pPr>
        <w:spacing w:after="0" w:line="165" w:lineRule="exact"/>
        <w:rPr>
          <w:sz w:val="20"/>
          <w:szCs w:val="20"/>
          <w:color w:val="auto"/>
        </w:rPr>
      </w:pPr>
    </w:p>
    <w:p>
      <w:pPr>
        <w:ind w:right="2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any Person (the “first Person”), any other Person: (1) which directly or indirectly controls, or is controlled by, or is under common control with, the first Person. The term “control” means the possession, directly or indirectly, of the power, alone, to direct or cause the direction of the management and policies of a Person, whether through the ownership of voting securities, by contract, or otherwise.</w:t>
      </w:r>
    </w:p>
    <w:p>
      <w:pPr>
        <w:spacing w:after="0" w:line="127" w:lineRule="exact"/>
        <w:rPr>
          <w:sz w:val="20"/>
          <w:szCs w:val="20"/>
          <w:color w:val="auto"/>
        </w:rPr>
      </w:pPr>
    </w:p>
    <w:p>
      <w:pPr>
        <w:ind w:right="28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 means, individually and collectively, Administrative Agent, each Syndication Agent, each Documentation Agent, each Sustainability Structuring Agent and each Joint Lead Arranger.</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means this Second Amended and Restated Term Loan Agreement.</w:t>
      </w:r>
    </w:p>
    <w:p>
      <w:pPr>
        <w:spacing w:after="0" w:line="165" w:lineRule="exact"/>
        <w:rPr>
          <w:sz w:val="20"/>
          <w:szCs w:val="20"/>
          <w:color w:val="auto"/>
        </w:rPr>
      </w:pPr>
    </w:p>
    <w:p>
      <w:pPr>
        <w:ind w:right="36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Anti-Corruption Laws</w:t>
      </w:r>
      <w:r>
        <w:rPr>
          <w:rFonts w:ascii="Times New Roman" w:cs="Times New Roman" w:eastAsia="Times New Roman" w:hAnsi="Times New Roman"/>
          <w:sz w:val="21"/>
          <w:szCs w:val="21"/>
          <w:color w:val="auto"/>
        </w:rPr>
        <w:t>” means all laws, rules, and regulations of any jurisdiction applicable to the Borrower or any of its Affiliates from time to time concerning or relating to bribery, corruption or money-laundering.</w:t>
      </w:r>
    </w:p>
    <w:p>
      <w:pPr>
        <w:spacing w:after="0" w:line="105" w:lineRule="exact"/>
        <w:rPr>
          <w:sz w:val="20"/>
          <w:szCs w:val="20"/>
          <w:color w:val="auto"/>
        </w:rPr>
      </w:pPr>
    </w:p>
    <w:p>
      <w:pPr>
        <w:ind w:firstLine="629"/>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Lending Office</w:t>
      </w:r>
      <w:r>
        <w:rPr>
          <w:rFonts w:ascii="Times New Roman" w:cs="Times New Roman" w:eastAsia="Times New Roman" w:hAnsi="Times New Roman"/>
          <w:sz w:val="20"/>
          <w:szCs w:val="20"/>
          <w:color w:val="auto"/>
        </w:rPr>
        <w:t>” means, for each Bank and for its Loans the lending office of such Bank (or of an Affiliate of such Bank) designated as such on its Administrative Questionnaire or in the applicable Assignment and Assumption Agreement, or such other office of such Bank (or of an Affiliate of such Bank) as such Bank may from time to time specify to Administrative Agent and Borrower as the office by which its Term Benchmark Loan or Base Rate Loan, as applicable, is to be made and maintained.</w:t>
      </w:r>
    </w:p>
    <w:p>
      <w:pPr>
        <w:spacing w:after="0" w:line="99" w:lineRule="exact"/>
        <w:rPr>
          <w:sz w:val="20"/>
          <w:szCs w:val="20"/>
          <w:color w:val="auto"/>
        </w:rPr>
      </w:pPr>
    </w:p>
    <w:p>
      <w:pPr>
        <w:ind w:right="20"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Margin</w:t>
      </w:r>
      <w:r>
        <w:rPr>
          <w:rFonts w:ascii="Times New Roman" w:cs="Times New Roman" w:eastAsia="Times New Roman" w:hAnsi="Times New Roman"/>
          <w:sz w:val="21"/>
          <w:szCs w:val="21"/>
          <w:color w:val="auto"/>
        </w:rPr>
        <w:t>” means, with respect to Base Rate Loans and Term Benchmark Loans, the respective percentages per annum determined, at any time, based on the range into which any Credit Rating then falls, in accordance with the table set forth below. Any change in any Credit Rating causing it to move to a different range on the table shall effect a change in the Applicable Margin as of the third Banking Day following the date on which such change is first announced by the applicable rating agency. Borrower shall have not less than two (2) Credit Ratings at all times, one of which shall be from S&amp;P or Moody’s. In the event that Borrower receives only two (2) Credit Ratings, and such Credit Ratings are not equivalent, the Applicable Margin shall be the higher of the two Credit Ratings. In the event that Borrower receives more than two (2) Credit Ratings, and such Credit Ratings are not all equivalent, the Applicable Margin shall be (A) if the difference between the highest and the lowest such Credit Ratings is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180"/>
          </w:cols>
          <w:pgMar w:left="320" w:top="1134" w:right="399" w:bottom="1440" w:gutter="0" w:footer="0" w:header="0"/>
        </w:sectPr>
      </w:pPr>
    </w:p>
    <w:bookmarkStart w:id="159" w:name="page160"/>
    <w:bookmarkEnd w:id="159"/>
    <w:p>
      <w:pPr>
        <w:ind w:right="180"/>
        <w:spacing w:after="0" w:line="219" w:lineRule="auto"/>
        <w:rPr>
          <w:sz w:val="20"/>
          <w:szCs w:val="20"/>
          <w:color w:val="auto"/>
        </w:rPr>
      </w:pPr>
      <w:r>
        <w:rPr>
          <w:rFonts w:ascii="Times New Roman" w:cs="Times New Roman" w:eastAsia="Times New Roman" w:hAnsi="Times New Roman"/>
          <w:sz w:val="21"/>
          <w:szCs w:val="21"/>
          <w:color w:val="auto"/>
        </w:rPr>
        <w:t>one ratings category (e.g. Baa2 by Moody’s and BBB- by S&amp;P or Fitch), the Applicable Margin shall be the rate per annum that would be applicable if the highest of the Credit Ratings were used; and (B) if the difference between the highest and the lowest such Credit Ratings is two ratings categories (e.g. Baa1 by Moody’s and BBB- by S&amp;P or Fitch) or more, the Applicable Margin shall be the rate per annum that would be applicable if the average of the two (2) highest Credit Ratings were used, provided that if such average is not a recognized rating category (i.e., the difference between the Credit Ratings is an even number of ratings categories), then the Applicable Margin shall be based on the lower of the two (2) highest Credit Ratings.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400" w:type="dxa"/>
            <w:vAlign w:val="bottom"/>
            <w:tcBorders>
              <w:top w:val="single" w:sz="8" w:color="auto"/>
              <w:left w:val="single" w:sz="8" w:color="auto"/>
              <w:right w:val="single" w:sz="8" w:color="auto"/>
            </w:tcBorders>
          </w:tcPr>
          <w:p>
            <w:pPr>
              <w:spacing w:after="0"/>
              <w:rPr>
                <w:sz w:val="23"/>
                <w:szCs w:val="23"/>
                <w:color w:val="auto"/>
              </w:rPr>
            </w:pPr>
          </w:p>
        </w:tc>
        <w:tc>
          <w:tcPr>
            <w:tcW w:w="298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Applicable Margin</w:t>
            </w:r>
          </w:p>
        </w:tc>
        <w:tc>
          <w:tcPr>
            <w:tcW w:w="60" w:type="dxa"/>
            <w:vAlign w:val="bottom"/>
            <w:tcBorders>
              <w:top w:val="single" w:sz="8" w:color="auto"/>
            </w:tcBorders>
          </w:tcPr>
          <w:p>
            <w:pPr>
              <w:spacing w:after="0"/>
              <w:rPr>
                <w:sz w:val="23"/>
                <w:szCs w:val="23"/>
                <w:color w:val="auto"/>
              </w:rPr>
            </w:pPr>
          </w:p>
        </w:tc>
        <w:tc>
          <w:tcPr>
            <w:tcW w:w="282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Applicable Margin</w:t>
            </w:r>
          </w:p>
        </w:tc>
      </w:tr>
      <w:tr>
        <w:trPr>
          <w:trHeight w:val="224"/>
        </w:trPr>
        <w:tc>
          <w:tcPr>
            <w:tcW w:w="5400" w:type="dxa"/>
            <w:vAlign w:val="bottom"/>
            <w:tcBorders>
              <w:left w:val="single" w:sz="8" w:color="auto"/>
              <w:right w:val="single" w:sz="8" w:color="auto"/>
            </w:tcBorders>
          </w:tcPr>
          <w:p>
            <w:pPr>
              <w:ind w:left="80"/>
              <w:spacing w:after="0" w:line="204" w:lineRule="exact"/>
              <w:rPr>
                <w:sz w:val="20"/>
                <w:szCs w:val="20"/>
                <w:color w:val="auto"/>
              </w:rPr>
            </w:pPr>
            <w:r>
              <w:rPr>
                <w:rFonts w:ascii="Times New Roman" w:cs="Times New Roman" w:eastAsia="Times New Roman" w:hAnsi="Times New Roman"/>
                <w:sz w:val="21"/>
                <w:szCs w:val="21"/>
                <w:color w:val="auto"/>
              </w:rPr>
              <w:t>Borrower’s Credit Rating</w:t>
            </w:r>
          </w:p>
        </w:tc>
        <w:tc>
          <w:tcPr>
            <w:tcW w:w="2980" w:type="dxa"/>
            <w:vAlign w:val="bottom"/>
            <w:tcBorders>
              <w:right w:val="single" w:sz="8" w:color="auto"/>
            </w:tcBorders>
            <w:gridSpan w:val="3"/>
          </w:tcPr>
          <w:p>
            <w:pPr>
              <w:ind w:left="60"/>
              <w:spacing w:after="0" w:line="204" w:lineRule="exact"/>
              <w:rPr>
                <w:sz w:val="20"/>
                <w:szCs w:val="20"/>
                <w:color w:val="auto"/>
              </w:rPr>
            </w:pPr>
            <w:r>
              <w:rPr>
                <w:rFonts w:ascii="Times New Roman" w:cs="Times New Roman" w:eastAsia="Times New Roman" w:hAnsi="Times New Roman"/>
                <w:sz w:val="21"/>
                <w:szCs w:val="21"/>
                <w:color w:val="auto"/>
              </w:rPr>
              <w:t>for Base Rate Loans</w:t>
            </w:r>
          </w:p>
        </w:tc>
        <w:tc>
          <w:tcPr>
            <w:tcW w:w="60" w:type="dxa"/>
            <w:vAlign w:val="bottom"/>
          </w:tcPr>
          <w:p>
            <w:pPr>
              <w:spacing w:after="0"/>
              <w:rPr>
                <w:sz w:val="19"/>
                <w:szCs w:val="19"/>
                <w:color w:val="auto"/>
              </w:rPr>
            </w:pPr>
          </w:p>
        </w:tc>
        <w:tc>
          <w:tcPr>
            <w:tcW w:w="2820" w:type="dxa"/>
            <w:vAlign w:val="bottom"/>
            <w:tcBorders>
              <w:right w:val="single" w:sz="8" w:color="auto"/>
            </w:tcBorders>
            <w:gridSpan w:val="4"/>
          </w:tcPr>
          <w:p>
            <w:pPr>
              <w:spacing w:after="0" w:line="204" w:lineRule="exact"/>
              <w:rPr>
                <w:sz w:val="20"/>
                <w:szCs w:val="20"/>
                <w:color w:val="auto"/>
              </w:rPr>
            </w:pPr>
            <w:r>
              <w:rPr>
                <w:rFonts w:ascii="Times New Roman" w:cs="Times New Roman" w:eastAsia="Times New Roman" w:hAnsi="Times New Roman"/>
                <w:sz w:val="21"/>
                <w:szCs w:val="21"/>
                <w:color w:val="auto"/>
              </w:rPr>
              <w:t>for Term Benchmark Loans (%</w:t>
            </w:r>
          </w:p>
        </w:tc>
      </w:tr>
      <w:tr>
        <w:trPr>
          <w:trHeight w:val="229"/>
        </w:trPr>
        <w:tc>
          <w:tcPr>
            <w:tcW w:w="5400" w:type="dxa"/>
            <w:vAlign w:val="bottom"/>
            <w:tcBorders>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1"/>
                <w:szCs w:val="21"/>
                <w:color w:val="auto"/>
              </w:rPr>
              <w:t>(S&amp;P or Fitch/Moody’s Ratings)</w:t>
            </w:r>
          </w:p>
        </w:tc>
        <w:tc>
          <w:tcPr>
            <w:tcW w:w="2980" w:type="dxa"/>
            <w:vAlign w:val="bottom"/>
            <w:tcBorders>
              <w:right w:val="single" w:sz="8" w:color="auto"/>
            </w:tcBorders>
            <w:gridSpan w:val="3"/>
          </w:tcPr>
          <w:p>
            <w:pPr>
              <w:ind w:left="60"/>
              <w:spacing w:after="0" w:line="216" w:lineRule="exact"/>
              <w:rPr>
                <w:sz w:val="20"/>
                <w:szCs w:val="20"/>
                <w:color w:val="auto"/>
              </w:rPr>
            </w:pPr>
            <w:r>
              <w:rPr>
                <w:rFonts w:ascii="Times New Roman" w:cs="Times New Roman" w:eastAsia="Times New Roman" w:hAnsi="Times New Roman"/>
                <w:sz w:val="21"/>
                <w:szCs w:val="21"/>
                <w:color w:val="auto"/>
              </w:rPr>
              <w:t>(% per annum)</w:t>
            </w:r>
          </w:p>
        </w:tc>
        <w:tc>
          <w:tcPr>
            <w:tcW w:w="60" w:type="dxa"/>
            <w:vAlign w:val="bottom"/>
          </w:tcPr>
          <w:p>
            <w:pPr>
              <w:spacing w:after="0"/>
              <w:rPr>
                <w:sz w:val="19"/>
                <w:szCs w:val="19"/>
                <w:color w:val="auto"/>
              </w:rPr>
            </w:pPr>
          </w:p>
        </w:tc>
        <w:tc>
          <w:tcPr>
            <w:tcW w:w="1800" w:type="dxa"/>
            <w:vAlign w:val="bottom"/>
            <w:gridSpan w:val="2"/>
          </w:tcPr>
          <w:p>
            <w:pPr>
              <w:spacing w:after="0" w:line="216" w:lineRule="exact"/>
              <w:rPr>
                <w:sz w:val="20"/>
                <w:szCs w:val="20"/>
                <w:color w:val="auto"/>
              </w:rPr>
            </w:pPr>
            <w:r>
              <w:rPr>
                <w:rFonts w:ascii="Times New Roman" w:cs="Times New Roman" w:eastAsia="Times New Roman" w:hAnsi="Times New Roman"/>
                <w:sz w:val="21"/>
                <w:szCs w:val="21"/>
                <w:color w:val="auto"/>
              </w:rPr>
              <w:t>per annum)</w:t>
            </w:r>
          </w:p>
        </w:tc>
        <w:tc>
          <w:tcPr>
            <w:tcW w:w="820" w:type="dxa"/>
            <w:vAlign w:val="bottom"/>
            <w:tcBorders>
              <w:top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r>
      <w:tr>
        <w:trPr>
          <w:trHeight w:val="59"/>
        </w:trPr>
        <w:tc>
          <w:tcPr>
            <w:tcW w:w="5400" w:type="dxa"/>
            <w:vAlign w:val="bottom"/>
            <w:tcBorders>
              <w:left w:val="single" w:sz="8" w:color="auto"/>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80" w:type="dxa"/>
            <w:vAlign w:val="bottom"/>
            <w:tcBorders>
              <w:top w:val="single" w:sz="8" w:color="auto"/>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60" w:type="dxa"/>
            <w:vAlign w:val="bottom"/>
            <w:tcBorders>
              <w:top w:val="single" w:sz="8" w:color="auto"/>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r>
      <w:tr>
        <w:trPr>
          <w:trHeight w:val="293"/>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A+/A1 or higher</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color w:val="auto"/>
              </w:rPr>
              <w:t>0.00</w:t>
            </w:r>
          </w:p>
        </w:tc>
        <w:tc>
          <w:tcPr>
            <w:tcW w:w="1240" w:type="dxa"/>
            <w:vAlign w:val="bottom"/>
            <w:tcBorders>
              <w:right w:val="single" w:sz="8" w:color="auto"/>
            </w:tcBorders>
          </w:tcPr>
          <w:p>
            <w:pPr>
              <w:spacing w:after="0"/>
              <w:rPr>
                <w:sz w:val="24"/>
                <w:szCs w:val="24"/>
                <w:color w:val="auto"/>
              </w:rPr>
            </w:pPr>
          </w:p>
        </w:tc>
        <w:tc>
          <w:tcPr>
            <w:tcW w:w="1860" w:type="dxa"/>
            <w:vAlign w:val="bottom"/>
            <w:gridSpan w:val="3"/>
          </w:tcPr>
          <w:p>
            <w:pPr>
              <w:jc w:val="right"/>
              <w:ind w:right="240"/>
              <w:spacing w:after="0"/>
              <w:rPr>
                <w:sz w:val="20"/>
                <w:szCs w:val="20"/>
                <w:color w:val="auto"/>
              </w:rPr>
            </w:pPr>
            <w:r>
              <w:rPr>
                <w:rFonts w:ascii="Times New Roman" w:cs="Times New Roman" w:eastAsia="Times New Roman" w:hAnsi="Times New Roman"/>
                <w:sz w:val="21"/>
                <w:szCs w:val="21"/>
                <w:color w:val="auto"/>
              </w:rPr>
              <w:t>0.70</w:t>
            </w:r>
          </w:p>
        </w:tc>
        <w:tc>
          <w:tcPr>
            <w:tcW w:w="8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r>
      <w:tr>
        <w:trPr>
          <w:trHeight w:val="28"/>
        </w:trPr>
        <w:tc>
          <w:tcPr>
            <w:tcW w:w="54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93"/>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A/A2</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color w:val="auto"/>
              </w:rPr>
              <w:t>0.00</w:t>
            </w:r>
          </w:p>
        </w:tc>
        <w:tc>
          <w:tcPr>
            <w:tcW w:w="1240" w:type="dxa"/>
            <w:vAlign w:val="bottom"/>
            <w:tcBorders>
              <w:right w:val="single" w:sz="8" w:color="auto"/>
            </w:tcBorders>
          </w:tcPr>
          <w:p>
            <w:pPr>
              <w:spacing w:after="0"/>
              <w:rPr>
                <w:sz w:val="24"/>
                <w:szCs w:val="24"/>
                <w:color w:val="auto"/>
              </w:rPr>
            </w:pPr>
          </w:p>
        </w:tc>
        <w:tc>
          <w:tcPr>
            <w:tcW w:w="1860" w:type="dxa"/>
            <w:vAlign w:val="bottom"/>
            <w:gridSpan w:val="3"/>
          </w:tcPr>
          <w:p>
            <w:pPr>
              <w:jc w:val="right"/>
              <w:ind w:right="240"/>
              <w:spacing w:after="0"/>
              <w:rPr>
                <w:sz w:val="20"/>
                <w:szCs w:val="20"/>
                <w:color w:val="auto"/>
              </w:rPr>
            </w:pPr>
            <w:r>
              <w:rPr>
                <w:rFonts w:ascii="Times New Roman" w:cs="Times New Roman" w:eastAsia="Times New Roman" w:hAnsi="Times New Roman"/>
                <w:sz w:val="21"/>
                <w:szCs w:val="21"/>
                <w:color w:val="auto"/>
              </w:rPr>
              <w:t>0.75</w:t>
            </w:r>
          </w:p>
        </w:tc>
        <w:tc>
          <w:tcPr>
            <w:tcW w:w="8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r>
      <w:tr>
        <w:trPr>
          <w:trHeight w:val="28"/>
        </w:trPr>
        <w:tc>
          <w:tcPr>
            <w:tcW w:w="54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93"/>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A-/A3</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color w:val="auto"/>
              </w:rPr>
              <w:t>0.00</w:t>
            </w:r>
          </w:p>
        </w:tc>
        <w:tc>
          <w:tcPr>
            <w:tcW w:w="1240" w:type="dxa"/>
            <w:vAlign w:val="bottom"/>
            <w:tcBorders>
              <w:right w:val="single" w:sz="8" w:color="auto"/>
            </w:tcBorders>
          </w:tcPr>
          <w:p>
            <w:pPr>
              <w:spacing w:after="0"/>
              <w:rPr>
                <w:sz w:val="24"/>
                <w:szCs w:val="24"/>
                <w:color w:val="auto"/>
              </w:rPr>
            </w:pPr>
          </w:p>
        </w:tc>
        <w:tc>
          <w:tcPr>
            <w:tcW w:w="1860" w:type="dxa"/>
            <w:vAlign w:val="bottom"/>
            <w:gridSpan w:val="3"/>
          </w:tcPr>
          <w:p>
            <w:pPr>
              <w:jc w:val="right"/>
              <w:ind w:right="240"/>
              <w:spacing w:after="0"/>
              <w:rPr>
                <w:sz w:val="20"/>
                <w:szCs w:val="20"/>
                <w:color w:val="auto"/>
              </w:rPr>
            </w:pPr>
            <w:r>
              <w:rPr>
                <w:rFonts w:ascii="Times New Roman" w:cs="Times New Roman" w:eastAsia="Times New Roman" w:hAnsi="Times New Roman"/>
                <w:sz w:val="21"/>
                <w:szCs w:val="21"/>
                <w:color w:val="auto"/>
              </w:rPr>
              <w:t>0.80</w:t>
            </w:r>
          </w:p>
        </w:tc>
        <w:tc>
          <w:tcPr>
            <w:tcW w:w="8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r>
      <w:tr>
        <w:trPr>
          <w:trHeight w:val="28"/>
        </w:trPr>
        <w:tc>
          <w:tcPr>
            <w:tcW w:w="54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93"/>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BBB+/Baa1</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color w:val="auto"/>
              </w:rPr>
              <w:t>0.00</w:t>
            </w:r>
          </w:p>
        </w:tc>
        <w:tc>
          <w:tcPr>
            <w:tcW w:w="1240" w:type="dxa"/>
            <w:vAlign w:val="bottom"/>
            <w:tcBorders>
              <w:right w:val="single" w:sz="8" w:color="auto"/>
            </w:tcBorders>
          </w:tcPr>
          <w:p>
            <w:pPr>
              <w:spacing w:after="0"/>
              <w:rPr>
                <w:sz w:val="24"/>
                <w:szCs w:val="24"/>
                <w:color w:val="auto"/>
              </w:rPr>
            </w:pPr>
          </w:p>
        </w:tc>
        <w:tc>
          <w:tcPr>
            <w:tcW w:w="1860" w:type="dxa"/>
            <w:vAlign w:val="bottom"/>
            <w:gridSpan w:val="3"/>
          </w:tcPr>
          <w:p>
            <w:pPr>
              <w:jc w:val="right"/>
              <w:ind w:right="240"/>
              <w:spacing w:after="0"/>
              <w:rPr>
                <w:sz w:val="20"/>
                <w:szCs w:val="20"/>
                <w:color w:val="auto"/>
              </w:rPr>
            </w:pPr>
            <w:r>
              <w:rPr>
                <w:rFonts w:ascii="Times New Roman" w:cs="Times New Roman" w:eastAsia="Times New Roman" w:hAnsi="Times New Roman"/>
                <w:sz w:val="21"/>
                <w:szCs w:val="21"/>
                <w:color w:val="auto"/>
              </w:rPr>
              <w:t>0.85</w:t>
            </w:r>
          </w:p>
        </w:tc>
        <w:tc>
          <w:tcPr>
            <w:tcW w:w="8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r>
      <w:tr>
        <w:trPr>
          <w:trHeight w:val="28"/>
        </w:trPr>
        <w:tc>
          <w:tcPr>
            <w:tcW w:w="54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93"/>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BBB/Baa2</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color w:val="auto"/>
              </w:rPr>
              <w:t>0.00</w:t>
            </w:r>
          </w:p>
        </w:tc>
        <w:tc>
          <w:tcPr>
            <w:tcW w:w="1240" w:type="dxa"/>
            <w:vAlign w:val="bottom"/>
            <w:tcBorders>
              <w:right w:val="single" w:sz="8" w:color="auto"/>
            </w:tcBorders>
          </w:tcPr>
          <w:p>
            <w:pPr>
              <w:spacing w:after="0"/>
              <w:rPr>
                <w:sz w:val="24"/>
                <w:szCs w:val="24"/>
                <w:color w:val="auto"/>
              </w:rPr>
            </w:pPr>
          </w:p>
        </w:tc>
        <w:tc>
          <w:tcPr>
            <w:tcW w:w="1860" w:type="dxa"/>
            <w:vAlign w:val="bottom"/>
            <w:gridSpan w:val="3"/>
          </w:tcPr>
          <w:p>
            <w:pPr>
              <w:jc w:val="right"/>
              <w:ind w:right="240"/>
              <w:spacing w:after="0"/>
              <w:rPr>
                <w:sz w:val="20"/>
                <w:szCs w:val="20"/>
                <w:color w:val="auto"/>
              </w:rPr>
            </w:pPr>
            <w:r>
              <w:rPr>
                <w:rFonts w:ascii="Times New Roman" w:cs="Times New Roman" w:eastAsia="Times New Roman" w:hAnsi="Times New Roman"/>
                <w:sz w:val="21"/>
                <w:szCs w:val="21"/>
                <w:color w:val="auto"/>
              </w:rPr>
              <w:t>0.95</w:t>
            </w:r>
          </w:p>
        </w:tc>
        <w:tc>
          <w:tcPr>
            <w:tcW w:w="8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r>
      <w:tr>
        <w:trPr>
          <w:trHeight w:val="28"/>
        </w:trPr>
        <w:tc>
          <w:tcPr>
            <w:tcW w:w="54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93"/>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BBB-/Baa3</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color w:val="auto"/>
              </w:rPr>
              <w:t>0.20</w:t>
            </w:r>
          </w:p>
        </w:tc>
        <w:tc>
          <w:tcPr>
            <w:tcW w:w="1240" w:type="dxa"/>
            <w:vAlign w:val="bottom"/>
            <w:tcBorders>
              <w:right w:val="single" w:sz="8" w:color="auto"/>
            </w:tcBorders>
          </w:tcPr>
          <w:p>
            <w:pPr>
              <w:spacing w:after="0"/>
              <w:rPr>
                <w:sz w:val="24"/>
                <w:szCs w:val="24"/>
                <w:color w:val="auto"/>
              </w:rPr>
            </w:pPr>
          </w:p>
        </w:tc>
        <w:tc>
          <w:tcPr>
            <w:tcW w:w="1860" w:type="dxa"/>
            <w:vAlign w:val="bottom"/>
            <w:gridSpan w:val="3"/>
          </w:tcPr>
          <w:p>
            <w:pPr>
              <w:jc w:val="right"/>
              <w:ind w:right="240"/>
              <w:spacing w:after="0"/>
              <w:rPr>
                <w:sz w:val="20"/>
                <w:szCs w:val="20"/>
                <w:color w:val="auto"/>
              </w:rPr>
            </w:pPr>
            <w:r>
              <w:rPr>
                <w:rFonts w:ascii="Times New Roman" w:cs="Times New Roman" w:eastAsia="Times New Roman" w:hAnsi="Times New Roman"/>
                <w:sz w:val="21"/>
                <w:szCs w:val="21"/>
                <w:color w:val="auto"/>
              </w:rPr>
              <w:t>1.20</w:t>
            </w:r>
          </w:p>
        </w:tc>
        <w:tc>
          <w:tcPr>
            <w:tcW w:w="8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r>
      <w:tr>
        <w:trPr>
          <w:trHeight w:val="28"/>
        </w:trPr>
        <w:tc>
          <w:tcPr>
            <w:tcW w:w="54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93"/>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BB+/Ba1</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color w:val="auto"/>
              </w:rPr>
              <w:t>0.45</w:t>
            </w:r>
          </w:p>
        </w:tc>
        <w:tc>
          <w:tcPr>
            <w:tcW w:w="1240" w:type="dxa"/>
            <w:vAlign w:val="bottom"/>
            <w:tcBorders>
              <w:right w:val="single" w:sz="8" w:color="auto"/>
            </w:tcBorders>
          </w:tcPr>
          <w:p>
            <w:pPr>
              <w:spacing w:after="0"/>
              <w:rPr>
                <w:sz w:val="24"/>
                <w:szCs w:val="24"/>
                <w:color w:val="auto"/>
              </w:rPr>
            </w:pPr>
          </w:p>
        </w:tc>
        <w:tc>
          <w:tcPr>
            <w:tcW w:w="1860" w:type="dxa"/>
            <w:vAlign w:val="bottom"/>
            <w:gridSpan w:val="3"/>
          </w:tcPr>
          <w:p>
            <w:pPr>
              <w:jc w:val="right"/>
              <w:ind w:right="240"/>
              <w:spacing w:after="0"/>
              <w:rPr>
                <w:sz w:val="20"/>
                <w:szCs w:val="20"/>
                <w:color w:val="auto"/>
              </w:rPr>
            </w:pPr>
            <w:r>
              <w:rPr>
                <w:rFonts w:ascii="Times New Roman" w:cs="Times New Roman" w:eastAsia="Times New Roman" w:hAnsi="Times New Roman"/>
                <w:sz w:val="21"/>
                <w:szCs w:val="21"/>
                <w:color w:val="auto"/>
              </w:rPr>
              <w:t>1.45</w:t>
            </w:r>
          </w:p>
        </w:tc>
        <w:tc>
          <w:tcPr>
            <w:tcW w:w="8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r>
      <w:tr>
        <w:trPr>
          <w:trHeight w:val="28"/>
        </w:trPr>
        <w:tc>
          <w:tcPr>
            <w:tcW w:w="54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93"/>
        </w:trPr>
        <w:tc>
          <w:tcPr>
            <w:tcW w:w="5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Below BB+/Ba1 or unrated</w:t>
            </w: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color w:val="auto"/>
              </w:rPr>
              <w:t>0.85</w:t>
            </w:r>
          </w:p>
        </w:tc>
        <w:tc>
          <w:tcPr>
            <w:tcW w:w="1240" w:type="dxa"/>
            <w:vAlign w:val="bottom"/>
            <w:tcBorders>
              <w:right w:val="single" w:sz="8" w:color="auto"/>
            </w:tcBorders>
          </w:tcPr>
          <w:p>
            <w:pPr>
              <w:spacing w:after="0"/>
              <w:rPr>
                <w:sz w:val="24"/>
                <w:szCs w:val="24"/>
                <w:color w:val="auto"/>
              </w:rPr>
            </w:pPr>
          </w:p>
        </w:tc>
        <w:tc>
          <w:tcPr>
            <w:tcW w:w="1860" w:type="dxa"/>
            <w:vAlign w:val="bottom"/>
            <w:gridSpan w:val="3"/>
          </w:tcPr>
          <w:p>
            <w:pPr>
              <w:jc w:val="right"/>
              <w:ind w:right="240"/>
              <w:spacing w:after="0"/>
              <w:rPr>
                <w:sz w:val="20"/>
                <w:szCs w:val="20"/>
                <w:color w:val="auto"/>
              </w:rPr>
            </w:pPr>
            <w:r>
              <w:rPr>
                <w:rFonts w:ascii="Times New Roman" w:cs="Times New Roman" w:eastAsia="Times New Roman" w:hAnsi="Times New Roman"/>
                <w:sz w:val="21"/>
                <w:szCs w:val="21"/>
                <w:color w:val="auto"/>
              </w:rPr>
              <w:t>1.85</w:t>
            </w:r>
          </w:p>
        </w:tc>
        <w:tc>
          <w:tcPr>
            <w:tcW w:w="8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r>
      <w:tr>
        <w:trPr>
          <w:trHeight w:val="28"/>
        </w:trPr>
        <w:tc>
          <w:tcPr>
            <w:tcW w:w="540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bl>
    <w:p>
      <w:pPr>
        <w:spacing w:after="0" w:line="300" w:lineRule="exact"/>
        <w:rPr>
          <w:sz w:val="20"/>
          <w:szCs w:val="20"/>
          <w:color w:val="auto"/>
        </w:rPr>
      </w:pPr>
    </w:p>
    <w:p>
      <w:pPr>
        <w:ind w:right="620" w:firstLine="629"/>
        <w:spacing w:after="0" w:line="270" w:lineRule="auto"/>
        <w:rPr>
          <w:sz w:val="20"/>
          <w:szCs w:val="20"/>
          <w:color w:val="auto"/>
        </w:rPr>
      </w:pPr>
      <w:r>
        <w:rPr>
          <w:rFonts w:ascii="Times New Roman" w:cs="Times New Roman" w:eastAsia="Times New Roman" w:hAnsi="Times New Roman"/>
          <w:sz w:val="21"/>
          <w:szCs w:val="21"/>
          <w:color w:val="auto"/>
        </w:rPr>
        <w:t>It is hereby understood and agreed that the Applicable Margin shall be adjusted from time to time based upon the Sustainability Margin Adjustment (to be calculated and applied as set forth in Section 1.07); provided that in no event shall the Applicable Margin be less than zero.</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Borrower Portal</w:t>
      </w:r>
      <w:r>
        <w:rPr>
          <w:rFonts w:ascii="Times New Roman" w:cs="Times New Roman" w:eastAsia="Times New Roman" w:hAnsi="Times New Roman"/>
          <w:sz w:val="21"/>
          <w:szCs w:val="21"/>
          <w:color w:val="auto"/>
        </w:rPr>
        <w:t>” has the meaning set forth in Section 12.07(e).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Electronic Platform</w:t>
      </w:r>
      <w:r>
        <w:rPr>
          <w:rFonts w:ascii="Times New Roman" w:cs="Times New Roman" w:eastAsia="Times New Roman" w:hAnsi="Times New Roman"/>
          <w:sz w:val="21"/>
          <w:szCs w:val="21"/>
          <w:color w:val="auto"/>
        </w:rPr>
        <w:t>” has the meaning specified in Section 12.07(d)(i).</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 has the meaning specified in Section 12.05(c).</w:t>
      </w:r>
    </w:p>
    <w:p>
      <w:pPr>
        <w:spacing w:after="0" w:line="230" w:lineRule="exact"/>
        <w:rPr>
          <w:sz w:val="20"/>
          <w:szCs w:val="20"/>
          <w:color w:val="auto"/>
        </w:rPr>
      </w:pPr>
    </w:p>
    <w:p>
      <w:pPr>
        <w:ind w:right="10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Assignment and Assumption Agreement</w:t>
      </w:r>
      <w:r>
        <w:rPr>
          <w:rFonts w:ascii="Times New Roman" w:cs="Times New Roman" w:eastAsia="Times New Roman" w:hAnsi="Times New Roman"/>
          <w:sz w:val="21"/>
          <w:szCs w:val="21"/>
          <w:color w:val="auto"/>
        </w:rPr>
        <w:t>” means an Assignment and Assumption Agreement, substantially in the form of EXHIBIT E or any other form (including electronic records generated by the use of an electronic platform) approved by the Administrative Agent and containing substantially the same terms as EXHIBIT E, pursuant to which a Bank assigns and an Assignee assumes rights and obligations in accordance with Section 12.05.</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Authorization Letter</w:t>
      </w:r>
      <w:r>
        <w:rPr>
          <w:rFonts w:ascii="Times New Roman" w:cs="Times New Roman" w:eastAsia="Times New Roman" w:hAnsi="Times New Roman"/>
          <w:sz w:val="21"/>
          <w:szCs w:val="21"/>
          <w:color w:val="auto"/>
        </w:rPr>
        <w:t>” means a letter agreement executed by Borrower in the form of EXHIBIT A.</w:t>
      </w:r>
    </w:p>
    <w:p>
      <w:pPr>
        <w:spacing w:after="0" w:line="230" w:lineRule="exact"/>
        <w:rPr>
          <w:sz w:val="20"/>
          <w:szCs w:val="20"/>
          <w:color w:val="auto"/>
        </w:rPr>
      </w:pPr>
    </w:p>
    <w:p>
      <w:pPr>
        <w:ind w:right="160"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1"/>
          <w:szCs w:val="21"/>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60"/>
          </w:cols>
          <w:pgMar w:left="320" w:top="1107"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1"/>
          <w:szCs w:val="21"/>
          <w:color w:val="auto"/>
        </w:rPr>
        <w:t>tenor for such Benchmark that is then-removed from the definition of “Interest Period” pursuant to clause (e) of Section 3.02.</w:t>
      </w:r>
    </w:p>
    <w:p>
      <w:pPr>
        <w:spacing w:after="0" w:line="217" w:lineRule="exact"/>
        <w:rPr>
          <w:sz w:val="20"/>
          <w:szCs w:val="20"/>
          <w:color w:val="auto"/>
        </w:rPr>
      </w:pPr>
    </w:p>
    <w:p>
      <w:pPr>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Action</w:t>
      </w:r>
      <w:r>
        <w:rPr>
          <w:rFonts w:ascii="Times New Roman" w:cs="Times New Roman" w:eastAsia="Times New Roman" w:hAnsi="Times New Roman"/>
          <w:sz w:val="21"/>
          <w:szCs w:val="21"/>
          <w:color w:val="auto"/>
        </w:rPr>
        <w:t>” means the exercise of any Write-Down and Conversion Powers by the applicable Resolution Authority in respect of any liability of an Affected Financial Institution.</w:t>
      </w:r>
    </w:p>
    <w:p>
      <w:pPr>
        <w:spacing w:after="0" w:line="144" w:lineRule="exact"/>
        <w:rPr>
          <w:sz w:val="20"/>
          <w:szCs w:val="20"/>
          <w:color w:val="auto"/>
        </w:rPr>
      </w:pPr>
    </w:p>
    <w:p>
      <w:pPr>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Legislation</w:t>
      </w:r>
      <w:r>
        <w:rPr>
          <w:rFonts w:ascii="Times New Roman" w:cs="Times New Roman" w:eastAsia="Times New Roman" w:hAnsi="Times New Roman"/>
          <w:sz w:val="21"/>
          <w:szCs w:val="21"/>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Banks</w:t>
      </w:r>
      <w:r>
        <w:rPr>
          <w:rFonts w:ascii="Times New Roman" w:cs="Times New Roman" w:eastAsia="Times New Roman" w:hAnsi="Times New Roman"/>
          <w:sz w:val="21"/>
          <w:szCs w:val="21"/>
          <w:color w:val="auto"/>
        </w:rPr>
        <w:t>” have the respective meanings specified in the preamble.</w:t>
      </w:r>
    </w:p>
    <w:p>
      <w:pPr>
        <w:spacing w:after="0" w:line="230" w:lineRule="exact"/>
        <w:rPr>
          <w:sz w:val="20"/>
          <w:szCs w:val="20"/>
          <w:color w:val="auto"/>
        </w:rPr>
      </w:pPr>
    </w:p>
    <w:p>
      <w:pPr>
        <w:ind w:right="100"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Affiliate</w:t>
      </w:r>
      <w:r>
        <w:rPr>
          <w:rFonts w:ascii="Times New Roman" w:cs="Times New Roman" w:eastAsia="Times New Roman" w:hAnsi="Times New Roman"/>
          <w:sz w:val="21"/>
          <w:szCs w:val="21"/>
          <w:color w:val="auto"/>
        </w:rPr>
        <w:t>” means, (a) with respect to any Bank, (i) a Person directly or indirectly controlling or controlled by or under direct or indirect common control with such Bank or (ii) any entity (whether a corporation, partnership, trust or otherwise) that is engaged in making, purchasing, holding or otherwise investing in bank loans and similar extensions of credit in the ordinary course of its business and is administered or managed by such Bank or a Person directly or indirectly controlling or controlled by or under direct or indirect common control with such Bank and (b) with respect to any Bank that is a fund which invests in bank loans and similar extensions of credit, any other fund that invests in bank loans and similar extensions of credit and is managed by the same investment advisor as such Bank or by a Person directly or indirectly controlling or controlled by or under direct or indirect common control with such investment advisor.</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Parties</w:t>
      </w:r>
      <w:r>
        <w:rPr>
          <w:rFonts w:ascii="Times New Roman" w:cs="Times New Roman" w:eastAsia="Times New Roman" w:hAnsi="Times New Roman"/>
          <w:sz w:val="21"/>
          <w:szCs w:val="21"/>
          <w:color w:val="auto"/>
        </w:rPr>
        <w:t>” means Administrative Agent and the Banks.</w:t>
      </w:r>
    </w:p>
    <w:p>
      <w:pPr>
        <w:spacing w:after="0" w:line="217" w:lineRule="exact"/>
        <w:rPr>
          <w:sz w:val="20"/>
          <w:szCs w:val="20"/>
          <w:color w:val="auto"/>
        </w:rPr>
      </w:pPr>
    </w:p>
    <w:p>
      <w:pPr>
        <w:ind w:right="80"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Banking Day</w:t>
      </w:r>
      <w:r>
        <w:rPr>
          <w:rFonts w:ascii="Times New Roman" w:cs="Times New Roman" w:eastAsia="Times New Roman" w:hAnsi="Times New Roman"/>
          <w:sz w:val="21"/>
          <w:szCs w:val="21"/>
          <w:color w:val="auto"/>
        </w:rPr>
        <w:t xml:space="preserve">” means any day (other than a Saturday or a Sunday on which banks are open for business in New York City or Chicago;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in relation to Loans referencing the Term SOFR Rate and any interest rate settings, fundings, disbursements, settlements or payments of any such Loans, or any other dealings of such Loan any such day that is only a U.S. Government Securities Business Day.</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Reply Period</w:t>
      </w:r>
      <w:r>
        <w:rPr>
          <w:rFonts w:ascii="Times New Roman" w:cs="Times New Roman" w:eastAsia="Times New Roman" w:hAnsi="Times New Roman"/>
          <w:sz w:val="21"/>
          <w:szCs w:val="21"/>
          <w:color w:val="auto"/>
        </w:rPr>
        <w:t>” has the meaning specified in Section 12.02.</w:t>
      </w:r>
    </w:p>
    <w:p>
      <w:pPr>
        <w:spacing w:after="0" w:line="217" w:lineRule="exact"/>
        <w:rPr>
          <w:sz w:val="20"/>
          <w:szCs w:val="20"/>
          <w:color w:val="auto"/>
        </w:rPr>
      </w:pPr>
    </w:p>
    <w:p>
      <w:pPr>
        <w:ind w:right="1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Code</w:t>
      </w:r>
      <w:r>
        <w:rPr>
          <w:rFonts w:ascii="Times New Roman" w:cs="Times New Roman" w:eastAsia="Times New Roman" w:hAnsi="Times New Roman"/>
          <w:sz w:val="21"/>
          <w:szCs w:val="21"/>
          <w:color w:val="auto"/>
        </w:rPr>
        <w:t>” means Title 11 of the United States Code, entitled “Bankruptcy”, as amended from time to time, and any successor or statute or statutes.</w:t>
      </w:r>
    </w:p>
    <w:p>
      <w:pPr>
        <w:spacing w:after="0" w:line="157" w:lineRule="exact"/>
        <w:rPr>
          <w:sz w:val="20"/>
          <w:szCs w:val="20"/>
          <w:color w:val="auto"/>
        </w:rPr>
      </w:pPr>
    </w:p>
    <w:p>
      <w:pPr>
        <w:ind w:right="6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Event</w:t>
      </w:r>
      <w:r>
        <w:rPr>
          <w:rFonts w:ascii="Times New Roman" w:cs="Times New Roman" w:eastAsia="Times New Roman" w:hAnsi="Times New Roman"/>
          <w:sz w:val="21"/>
          <w:szCs w:val="21"/>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publicly appointed for it, or, in the good faith determination of the Administrative Agent, has taken any action in furtherance of, or indicating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134" w:right="339" w:bottom="1440" w:gutter="0" w:footer="0" w:header="0"/>
        </w:sectPr>
      </w:pPr>
    </w:p>
    <w:bookmarkStart w:id="161" w:name="page162"/>
    <w:bookmarkEnd w:id="161"/>
    <w:p>
      <w:pPr>
        <w:ind w:right="40"/>
        <w:spacing w:after="0" w:line="256" w:lineRule="auto"/>
        <w:rPr>
          <w:sz w:val="20"/>
          <w:szCs w:val="20"/>
          <w:color w:val="auto"/>
        </w:rPr>
      </w:pPr>
      <w:r>
        <w:rPr>
          <w:rFonts w:ascii="Times New Roman" w:cs="Times New Roman" w:eastAsia="Times New Roman" w:hAnsi="Times New Roman"/>
          <w:sz w:val="21"/>
          <w:szCs w:val="21"/>
          <w:color w:val="auto"/>
        </w:rPr>
        <w:t>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70" w:lineRule="exact"/>
        <w:rPr>
          <w:sz w:val="20"/>
          <w:szCs w:val="20"/>
          <w:color w:val="auto"/>
        </w:rPr>
      </w:pPr>
    </w:p>
    <w:p>
      <w:pPr>
        <w:ind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w:t>
      </w:r>
      <w:r>
        <w:rPr>
          <w:rFonts w:ascii="Times New Roman" w:cs="Times New Roman" w:eastAsia="Times New Roman" w:hAnsi="Times New Roman"/>
          <w:sz w:val="21"/>
          <w:szCs w:val="21"/>
          <w:color w:val="auto"/>
        </w:rPr>
        <w:t>” means, for any day, a rate per annum equal to the greatest of (a) the Prime Rate in effect on such day, (b) the NYFRB Rate in effect on such day plus ½ of 1% and (c) the Term SOFR Rate for a one month Interest Period as published two U.S. Government Securities Business Days prior to such day (or if such day is not a Banking Day, the immediately preceding Banking Day) plus 1%; provided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Term SOFR Rate shall be effective from and including the effective date of such change in the Prime Rate, the NYFRB Rate or the Term SOFR Rate, respectively. If the Base Rate is being used as an alternate rate of interest pursuant to Section 3.02 (for the avoidance of doubt, only until the Benchmark Replacement has been determined pursuant to Section 3.02(b)), then the Base Rate shall be the greater of clauses (a) and (b) above and shall be determined without reference to clause (c) above. For the avoidance of doubt, if the Base Rate as determined pursuant to the foregoing would be less than 1.0%, such rate shall be deemed to be 1.0% for purposes of this Agreement.</w:t>
      </w:r>
    </w:p>
    <w:p>
      <w:pPr>
        <w:spacing w:after="0" w:line="180" w:lineRule="exact"/>
        <w:rPr>
          <w:sz w:val="20"/>
          <w:szCs w:val="20"/>
          <w:color w:val="auto"/>
        </w:rPr>
      </w:pPr>
    </w:p>
    <w:p>
      <w:pPr>
        <w:ind w:right="4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 Loan</w:t>
      </w:r>
      <w:r>
        <w:rPr>
          <w:rFonts w:ascii="Times New Roman" w:cs="Times New Roman" w:eastAsia="Times New Roman" w:hAnsi="Times New Roman"/>
          <w:sz w:val="21"/>
          <w:szCs w:val="21"/>
          <w:color w:val="auto"/>
        </w:rPr>
        <w:t>” means all or any portion (as the context requires) of a Bank’s Loan which shall accrue interest at a rate determined in relation to the Base Rate.</w:t>
      </w:r>
    </w:p>
    <w:p>
      <w:pPr>
        <w:spacing w:after="0" w:line="155" w:lineRule="exact"/>
        <w:rPr>
          <w:sz w:val="20"/>
          <w:szCs w:val="20"/>
          <w:color w:val="auto"/>
        </w:rPr>
      </w:pPr>
    </w:p>
    <w:p>
      <w:pPr>
        <w:ind w:right="20"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w:t>
      </w:r>
      <w:r>
        <w:rPr>
          <w:rFonts w:ascii="Times New Roman" w:cs="Times New Roman" w:eastAsia="Times New Roman" w:hAnsi="Times New Roman"/>
          <w:sz w:val="21"/>
          <w:szCs w:val="21"/>
          <w:color w:val="auto"/>
        </w:rPr>
        <w:t xml:space="preserve">” means, initially, with respect to any Term Benchmark Loan, the Term SOFR Rate;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clause (b) of Section 3.02.</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means, for any Available Tenor:</w:t>
      </w:r>
    </w:p>
    <w:p>
      <w:pPr>
        <w:spacing w:after="0" w:line="217"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134" w:right="339" w:bottom="1440" w:gutter="0" w:footer="0" w:header="0"/>
        </w:sectPr>
      </w:pPr>
    </w:p>
    <w:bookmarkStart w:id="162" w:name="page163"/>
    <w:bookmarkEnd w:id="162"/>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If the Benchmark Replacement as determined pursuant to the above would be less than the Floor, the Benchmark Replacement will be deemed to be the Floor for the purposes of this Agreement and the other Loan Documents.</w:t>
      </w:r>
    </w:p>
    <w:p>
      <w:pPr>
        <w:spacing w:after="0" w:line="144"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Adjustment</w:t>
      </w:r>
      <w:r>
        <w:rPr>
          <w:rFonts w:ascii="Times New Roman" w:cs="Times New Roman" w:eastAsia="Times New Roman" w:hAnsi="Times New Roman"/>
          <w:sz w:val="21"/>
          <w:szCs w:val="21"/>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79"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means, with respect to any Benchmark Replacement and/or any Term Benchmark Revolving Loan, any technical, administrative or operational changes (including changes to the definition of “Base Rate,” the definition of “Banking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73"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Date</w:t>
      </w:r>
      <w:r>
        <w:rPr>
          <w:rFonts w:ascii="Times New Roman" w:cs="Times New Roman" w:eastAsia="Times New Roman" w:hAnsi="Times New Roman"/>
          <w:sz w:val="21"/>
          <w:szCs w:val="21"/>
          <w:color w:val="auto"/>
        </w:rPr>
        <w:t>” means, with respect to any Benchmark, the earliest to occur of the following events with respect to such then-current Benchmark:</w:t>
      </w:r>
    </w:p>
    <w:p>
      <w:pPr>
        <w:spacing w:after="0" w:line="144" w:lineRule="exact"/>
        <w:rPr>
          <w:sz w:val="20"/>
          <w:szCs w:val="20"/>
          <w:color w:val="auto"/>
        </w:rPr>
      </w:pPr>
    </w:p>
    <w:p>
      <w:pPr>
        <w:jc w:val="both"/>
        <w:ind w:firstLine="634"/>
        <w:spacing w:after="0" w:line="262" w:lineRule="auto"/>
        <w:tabs>
          <w:tab w:leader="none" w:pos="1118"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63" w:lineRule="exact"/>
        <w:rPr>
          <w:rFonts w:ascii="Times New Roman" w:cs="Times New Roman" w:eastAsia="Times New Roman" w:hAnsi="Times New Roman"/>
          <w:sz w:val="21"/>
          <w:szCs w:val="21"/>
          <w:color w:val="auto"/>
        </w:rPr>
      </w:pPr>
    </w:p>
    <w:p>
      <w:pPr>
        <w:jc w:val="both"/>
        <w:ind w:firstLine="634"/>
        <w:spacing w:after="0" w:line="270" w:lineRule="auto"/>
        <w:tabs>
          <w:tab w:leader="none" w:pos="1109"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134" w:right="339" w:bottom="1440" w:gutter="0" w:footer="0" w:header="0"/>
        </w:sectPr>
      </w:pPr>
    </w:p>
    <w:bookmarkStart w:id="163" w:name="page164"/>
    <w:bookmarkEnd w:id="163"/>
    <w:p>
      <w:pPr>
        <w:jc w:val="both"/>
        <w:spacing w:after="0" w:line="258" w:lineRule="auto"/>
        <w:rPr>
          <w:sz w:val="20"/>
          <w:szCs w:val="20"/>
          <w:color w:val="auto"/>
        </w:rPr>
      </w:pPr>
      <w:r>
        <w:rPr>
          <w:rFonts w:ascii="Times New Roman" w:cs="Times New Roman" w:eastAsia="Times New Roman" w:hAnsi="Times New Roman"/>
          <w:sz w:val="21"/>
          <w:szCs w:val="21"/>
          <w:color w:val="auto"/>
        </w:rPr>
        <w:t>of such Benchmark (or such component thereof) to be no longer representative; provided,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p>
    <w:p>
      <w:pPr>
        <w:spacing w:after="0" w:line="180"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1"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Transition Event</w:t>
      </w:r>
      <w:r>
        <w:rPr>
          <w:rFonts w:ascii="Times New Roman" w:cs="Times New Roman" w:eastAsia="Times New Roman" w:hAnsi="Times New Roman"/>
          <w:sz w:val="21"/>
          <w:szCs w:val="21"/>
          <w:color w:val="auto"/>
        </w:rPr>
        <w:t>” means, with respect to any Benchmark, the occurrence of one or more of the following events with respect to such then-current Benchmark:</w:t>
      </w:r>
    </w:p>
    <w:p>
      <w:pPr>
        <w:spacing w:after="0" w:line="131" w:lineRule="exact"/>
        <w:rPr>
          <w:sz w:val="20"/>
          <w:szCs w:val="20"/>
          <w:color w:val="auto"/>
        </w:rPr>
      </w:pPr>
    </w:p>
    <w:p>
      <w:pPr>
        <w:jc w:val="both"/>
        <w:ind w:firstLine="634"/>
        <w:spacing w:after="0" w:line="258" w:lineRule="auto"/>
        <w:tabs>
          <w:tab w:leader="none" w:pos="931"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69" w:lineRule="exact"/>
        <w:rPr>
          <w:rFonts w:ascii="Times New Roman" w:cs="Times New Roman" w:eastAsia="Times New Roman" w:hAnsi="Times New Roman"/>
          <w:sz w:val="21"/>
          <w:szCs w:val="21"/>
          <w:color w:val="auto"/>
        </w:rPr>
      </w:pPr>
    </w:p>
    <w:p>
      <w:pPr>
        <w:jc w:val="both"/>
        <w:ind w:firstLine="634"/>
        <w:spacing w:after="0" w:line="252" w:lineRule="auto"/>
        <w:tabs>
          <w:tab w:leader="none" w:pos="933"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88" w:lineRule="exact"/>
        <w:rPr>
          <w:rFonts w:ascii="Times New Roman" w:cs="Times New Roman" w:eastAsia="Times New Roman" w:hAnsi="Times New Roman"/>
          <w:sz w:val="21"/>
          <w:szCs w:val="21"/>
          <w:color w:val="auto"/>
        </w:rPr>
      </w:pPr>
    </w:p>
    <w:p>
      <w:pPr>
        <w:jc w:val="both"/>
        <w:ind w:firstLine="634"/>
        <w:spacing w:after="0" w:line="258" w:lineRule="auto"/>
        <w:tabs>
          <w:tab w:leader="none" w:pos="933"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67" w:lineRule="exact"/>
        <w:rPr>
          <w:sz w:val="20"/>
          <w:szCs w:val="20"/>
          <w:color w:val="auto"/>
        </w:rPr>
      </w:pPr>
    </w:p>
    <w:p>
      <w:pPr>
        <w:ind w:firstLine="629"/>
        <w:spacing w:after="0" w:line="293" w:lineRule="auto"/>
        <w:rPr>
          <w:sz w:val="20"/>
          <w:szCs w:val="20"/>
          <w:color w:val="auto"/>
        </w:rPr>
      </w:pPr>
      <w:r>
        <w:rPr>
          <w:rFonts w:ascii="Times New Roman" w:cs="Times New Roman" w:eastAsia="Times New Roman" w:hAnsi="Times New Roman"/>
          <w:sz w:val="21"/>
          <w:szCs w:val="21"/>
          <w:color w:val="auto"/>
        </w:rPr>
        <w:t>For the avoidance of doubt, a “Benchmark Transition Event” will be deemed to have occurred with respect to any Benchmark if a public statement or publication of information set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134" w:right="339" w:bottom="1440" w:gutter="0" w:footer="0" w:header="0"/>
        </w:sectPr>
      </w:pPr>
    </w:p>
    <w:bookmarkStart w:id="164" w:name="page165"/>
    <w:bookmarkEnd w:id="164"/>
    <w:p>
      <w:pPr>
        <w:spacing w:after="0" w:line="280" w:lineRule="auto"/>
        <w:rPr>
          <w:sz w:val="20"/>
          <w:szCs w:val="20"/>
          <w:color w:val="auto"/>
        </w:rPr>
      </w:pPr>
      <w:r>
        <w:rPr>
          <w:rFonts w:ascii="Times New Roman" w:cs="Times New Roman" w:eastAsia="Times New Roman" w:hAnsi="Times New Roman"/>
          <w:sz w:val="21"/>
          <w:szCs w:val="21"/>
          <w:color w:val="auto"/>
        </w:rPr>
        <w:t>forth above has occurred with respect to each then-current Available Tenor of such Benchmark (or the published component used in the calculation thereof).</w:t>
      </w:r>
    </w:p>
    <w:p>
      <w:pPr>
        <w:spacing w:after="0" w:line="144" w:lineRule="exact"/>
        <w:rPr>
          <w:sz w:val="20"/>
          <w:szCs w:val="20"/>
          <w:color w:val="auto"/>
        </w:rPr>
      </w:pPr>
    </w:p>
    <w:p>
      <w:pPr>
        <w:ind w:right="4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3.02 and (y) ending at the time that a Benchmark Replacement has replaced such then-current Benchmark for all purposes hereunder and under any Loan Document in accordance with Section 3.02.</w:t>
      </w:r>
    </w:p>
    <w:p>
      <w:pPr>
        <w:spacing w:after="0" w:line="169" w:lineRule="exact"/>
        <w:rPr>
          <w:sz w:val="20"/>
          <w:szCs w:val="20"/>
          <w:color w:val="auto"/>
        </w:rPr>
      </w:pPr>
    </w:p>
    <w:p>
      <w:pPr>
        <w:ind w:right="56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Certification</w:t>
      </w:r>
      <w:r>
        <w:rPr>
          <w:rFonts w:ascii="Times New Roman" w:cs="Times New Roman" w:eastAsia="Times New Roman" w:hAnsi="Times New Roman"/>
          <w:sz w:val="21"/>
          <w:szCs w:val="21"/>
          <w:color w:val="auto"/>
        </w:rPr>
        <w:t>” means a certification regarding beneficial ownership as required by the Beneficial Ownership Regulation.</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Regulation</w:t>
      </w:r>
      <w:r>
        <w:rPr>
          <w:rFonts w:ascii="Times New Roman" w:cs="Times New Roman" w:eastAsia="Times New Roman" w:hAnsi="Times New Roman"/>
          <w:sz w:val="21"/>
          <w:szCs w:val="21"/>
          <w:color w:val="auto"/>
        </w:rPr>
        <w:t>” means 31 C.F.R. § 1010.230.</w:t>
      </w:r>
    </w:p>
    <w:p>
      <w:pPr>
        <w:spacing w:after="0" w:line="230" w:lineRule="exact"/>
        <w:rPr>
          <w:sz w:val="20"/>
          <w:szCs w:val="20"/>
          <w:color w:val="auto"/>
        </w:rPr>
      </w:pPr>
    </w:p>
    <w:p>
      <w:pPr>
        <w:ind w:right="28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62" w:lineRule="exact"/>
        <w:rPr>
          <w:sz w:val="20"/>
          <w:szCs w:val="20"/>
          <w:color w:val="auto"/>
        </w:rPr>
      </w:pPr>
    </w:p>
    <w:p>
      <w:pPr>
        <w:ind w:right="4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BHC Act Affiliate</w:t>
      </w:r>
      <w:r>
        <w:rPr>
          <w:rFonts w:ascii="Times New Roman" w:cs="Times New Roman" w:eastAsia="Times New Roman" w:hAnsi="Times New Roman"/>
          <w:sz w:val="21"/>
          <w:szCs w:val="21"/>
          <w:color w:val="auto"/>
        </w:rPr>
        <w:t>” of a party means an “affiliate’ (as such term is defined under, and interpreted in accordance with, 12 U.S.C. 1841(k)) of such party.</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has the meaning specified in the preamble.</w:t>
      </w:r>
    </w:p>
    <w:p>
      <w:pPr>
        <w:spacing w:after="0" w:line="217" w:lineRule="exact"/>
        <w:rPr>
          <w:sz w:val="20"/>
          <w:szCs w:val="20"/>
          <w:color w:val="auto"/>
        </w:rPr>
      </w:pPr>
    </w:p>
    <w:p>
      <w:pPr>
        <w:ind w:right="5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Borrower’s Accountants</w:t>
      </w:r>
      <w:r>
        <w:rPr>
          <w:rFonts w:ascii="Times New Roman" w:cs="Times New Roman" w:eastAsia="Times New Roman" w:hAnsi="Times New Roman"/>
          <w:sz w:val="21"/>
          <w:szCs w:val="21"/>
          <w:color w:val="auto"/>
        </w:rPr>
        <w:t>” means Deloitte LLP, any other “Big 4” accounting firm selected by Borrower (or a successor thereof), or such other accounting firm(s) selected by Borrower and reasonably acceptable to the Required Banks.</w:t>
      </w:r>
    </w:p>
    <w:p>
      <w:pPr>
        <w:spacing w:after="0" w:line="144" w:lineRule="exact"/>
        <w:rPr>
          <w:sz w:val="20"/>
          <w:szCs w:val="20"/>
          <w:color w:val="auto"/>
        </w:rPr>
      </w:pPr>
    </w:p>
    <w:p>
      <w:pPr>
        <w:jc w:val="both"/>
        <w:ind w:right="20"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Borrower’s Consolidated Financial Statements</w:t>
      </w:r>
      <w:r>
        <w:rPr>
          <w:rFonts w:ascii="Times New Roman" w:cs="Times New Roman" w:eastAsia="Times New Roman" w:hAnsi="Times New Roman"/>
          <w:sz w:val="21"/>
          <w:szCs w:val="21"/>
          <w:color w:val="auto"/>
        </w:rPr>
        <w:t>” means the consolidated balance sheet and related consolidated statements of operations, changes in equity and cash flows, and footnotes thereto, of the Borrower, in each case prepared in accordance with GAAP and as filed with the SEC as SEC Reports.</w:t>
      </w:r>
    </w:p>
    <w:p>
      <w:pPr>
        <w:spacing w:after="0" w:line="154" w:lineRule="exact"/>
        <w:rPr>
          <w:sz w:val="20"/>
          <w:szCs w:val="20"/>
          <w:color w:val="auto"/>
        </w:rPr>
      </w:pPr>
    </w:p>
    <w:p>
      <w:pPr>
        <w:ind w:right="6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Borrower’s Pro Rata Share</w:t>
      </w:r>
      <w:r>
        <w:rPr>
          <w:rFonts w:ascii="Times New Roman" w:cs="Times New Roman" w:eastAsia="Times New Roman" w:hAnsi="Times New Roman"/>
          <w:sz w:val="21"/>
          <w:szCs w:val="21"/>
          <w:color w:val="auto"/>
        </w:rPr>
        <w:t>” means an amount determined based on the pro rata ownership of the equity interests of a Person by Borrower and Borrower’s consolidated subsidiaries.</w:t>
      </w:r>
    </w:p>
    <w:p>
      <w:pPr>
        <w:spacing w:after="0" w:line="144" w:lineRule="exact"/>
        <w:rPr>
          <w:sz w:val="20"/>
          <w:szCs w:val="20"/>
          <w:color w:val="auto"/>
        </w:rPr>
      </w:pPr>
    </w:p>
    <w:p>
      <w:pPr>
        <w:ind w:right="40"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Capitalization Rate</w:t>
      </w:r>
      <w:r>
        <w:rPr>
          <w:rFonts w:ascii="Times New Roman" w:cs="Times New Roman" w:eastAsia="Times New Roman" w:hAnsi="Times New Roman"/>
          <w:sz w:val="21"/>
          <w:szCs w:val="21"/>
          <w:color w:val="auto"/>
        </w:rPr>
        <w:t>” means (i) 5.75% per annum for any multifamily Real Property Asset, (ii) 6.5% per annum for any office Real Property Asset, (iii) 6.0% per annum for any retail Real Property Asset, (iv) 7.25% per annum for any hotel Real Property Asset (including those owned by Real Property UJVs), (v) 8.0% per annum for any trade show space Real Property Asset (including those owned by Real Property UJVs), and (vi) 6.5% per annum for all other Real Property Assets.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Capitalization Value</w:t>
      </w:r>
      <w:r>
        <w:rPr>
          <w:rFonts w:ascii="Times New Roman" w:cs="Times New Roman" w:eastAsia="Times New Roman" w:hAnsi="Times New Roman"/>
          <w:sz w:val="21"/>
          <w:szCs w:val="21"/>
          <w:color w:val="auto"/>
        </w:rPr>
        <w:t>” means, at any time, the sum without duplication of:</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134" w:right="339" w:bottom="1440" w:gutter="0" w:footer="0" w:header="0"/>
        </w:sectPr>
      </w:pPr>
    </w:p>
    <w:bookmarkStart w:id="165" w:name="page166"/>
    <w:bookmarkEnd w:id="165"/>
    <w:p>
      <w:pPr>
        <w:ind w:right="160" w:firstLine="634"/>
        <w:spacing w:after="0" w:line="254" w:lineRule="auto"/>
        <w:tabs>
          <w:tab w:leader="none" w:pos="925"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Real Property Businesses (other than UJVs, Acquisition Properties, Development Properties and Covered Land), individually determined, Combined EBITDA from such businesses, for the most recently ended four consecutive calendar quarters, capitalized at the applicable Capitalization Rate;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in the case of any such Real Estate Business that was formerly an Acquisition Property or a Development Property and has ceased to be an Acquisition Property or a Development Property for fewer than four (4) consecutive calendar quarters, Capitalization Value for such Real Estate Business shall be equal to</w:t>
      </w:r>
    </w:p>
    <w:p>
      <w:pPr>
        <w:spacing w:after="0" w:line="3" w:lineRule="exact"/>
        <w:rPr>
          <w:rFonts w:ascii="Times New Roman" w:cs="Times New Roman" w:eastAsia="Times New Roman" w:hAnsi="Times New Roman"/>
          <w:sz w:val="21"/>
          <w:szCs w:val="21"/>
          <w:color w:val="auto"/>
        </w:rPr>
      </w:pPr>
    </w:p>
    <w:p>
      <w:pPr>
        <w:ind w:firstLine="5"/>
        <w:spacing w:after="0" w:line="250" w:lineRule="auto"/>
        <w:tabs>
          <w:tab w:leader="none" w:pos="297"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Real Estate Business has ceased to be an Acquisition Property or a Development property for one calendar quarter, Combined EBITDA from such Real Estate Business for the most recently ended calendar quarter annualized (i.e., multiplied by four), capitalized at the applicable Capitalization Rate, (y) if such Real Estate Business has ceased to be an Acquisition Property or a Development Property for two consecutive calendar quarters, Combined EBITDA from such Real Estate Business for the most recently ended two consecutive calendar quarters annualized (i.e., multiplied by two), capitalized at the applicable Capitalization Rate, and (z) if such Real Estate Business has ceased to be an Acquisition Property or a Development Property for three consecutive calendar quarters, Combined EBITDA from such Real Estate Business for the most recently ended three consecutive calendar quarters annualized (i.e., multiplied by four-thirds), capitalized at the applicable Capitalization Rate;</w:t>
      </w:r>
    </w:p>
    <w:p>
      <w:pPr>
        <w:spacing w:after="0" w:line="177" w:lineRule="exact"/>
        <w:rPr>
          <w:rFonts w:ascii="Times New Roman" w:cs="Times New Roman" w:eastAsia="Times New Roman" w:hAnsi="Times New Roman"/>
          <w:sz w:val="21"/>
          <w:szCs w:val="21"/>
          <w:color w:val="auto"/>
        </w:rPr>
      </w:pPr>
    </w:p>
    <w:p>
      <w:pPr>
        <w:ind w:right="60" w:firstLine="634"/>
        <w:spacing w:after="0" w:line="270" w:lineRule="auto"/>
        <w:tabs>
          <w:tab w:leader="none" w:pos="925"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Acquisition Properties, individually determined, the greater of (x) Combined EBITDA from such business, for the most recently ended four consecutive calendar quarters, capitalized at the applicable Capitalization Rate and (y) the Gross Book Value of such businesses;</w:t>
      </w:r>
    </w:p>
    <w:p>
      <w:pPr>
        <w:spacing w:after="0" w:line="154" w:lineRule="exact"/>
        <w:rPr>
          <w:rFonts w:ascii="Times New Roman" w:cs="Times New Roman" w:eastAsia="Times New Roman" w:hAnsi="Times New Roman"/>
          <w:sz w:val="21"/>
          <w:szCs w:val="21"/>
          <w:color w:val="auto"/>
        </w:rPr>
      </w:pPr>
    </w:p>
    <w:p>
      <w:pPr>
        <w:ind w:right="680" w:firstLine="634"/>
        <w:spacing w:after="0" w:line="280" w:lineRule="auto"/>
        <w:tabs>
          <w:tab w:leader="none" w:pos="925"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Development Properties and Covered Land, individually determined, the Gross Book Value of such Development Properties and Covered Land;</w:t>
      </w:r>
    </w:p>
    <w:p>
      <w:pPr>
        <w:spacing w:after="0" w:line="143" w:lineRule="exact"/>
        <w:rPr>
          <w:rFonts w:ascii="Times New Roman" w:cs="Times New Roman" w:eastAsia="Times New Roman" w:hAnsi="Times New Roman"/>
          <w:sz w:val="21"/>
          <w:szCs w:val="21"/>
          <w:color w:val="auto"/>
        </w:rPr>
      </w:pPr>
    </w:p>
    <w:p>
      <w:pPr>
        <w:ind w:right="900" w:firstLine="634"/>
        <w:spacing w:after="0" w:line="280" w:lineRule="auto"/>
        <w:tabs>
          <w:tab w:leader="none" w:pos="925"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Other Investments, which do not have publicly traded shares, the Net Equity Value of such Other Investments;</w:t>
      </w:r>
    </w:p>
    <w:p>
      <w:pPr>
        <w:spacing w:after="0" w:line="156" w:lineRule="exact"/>
        <w:rPr>
          <w:rFonts w:ascii="Times New Roman" w:cs="Times New Roman" w:eastAsia="Times New Roman" w:hAnsi="Times New Roman"/>
          <w:sz w:val="21"/>
          <w:szCs w:val="21"/>
          <w:color w:val="auto"/>
        </w:rPr>
      </w:pPr>
    </w:p>
    <w:p>
      <w:pPr>
        <w:jc w:val="both"/>
        <w:ind w:right="120" w:firstLine="634"/>
        <w:spacing w:after="0" w:line="258" w:lineRule="auto"/>
        <w:tabs>
          <w:tab w:leader="none" w:pos="925"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Real Property UJVs, which do not have publicly traded shares, individually determined, the greater of (x) Combined EBITDA from such Real Property UJVs for the most recently ended four consecutive calendar quarters, capitalized at the applicable Capitalization Rate, less Borrower’s Pro Rata Share of any Indebtedness attributable to such Real Property UJVs, and (y) the Net Equity Value of such Real Property UJVs (subject to the last sentence of this definition); and</w:t>
      </w:r>
    </w:p>
    <w:p>
      <w:pPr>
        <w:spacing w:after="0" w:line="166" w:lineRule="exact"/>
        <w:rPr>
          <w:rFonts w:ascii="Times New Roman" w:cs="Times New Roman" w:eastAsia="Times New Roman" w:hAnsi="Times New Roman"/>
          <w:sz w:val="21"/>
          <w:szCs w:val="21"/>
          <w:color w:val="auto"/>
        </w:rPr>
      </w:pPr>
    </w:p>
    <w:p>
      <w:pPr>
        <w:ind w:right="240" w:firstLine="634"/>
        <w:spacing w:after="0" w:line="289" w:lineRule="auto"/>
        <w:tabs>
          <w:tab w:leader="none" w:pos="925"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Borrower’s Pro Rata Share of Unrestricted Cash and Cash Equivalents, the book value of notes and mortgage loans receivable and capitalized development costs (exclusive of tenant improvements and tenant leasing commission costs), and the fair market value of publicly traded securities, at such time, all as determined in accordance with GAAP.</w:t>
      </w:r>
    </w:p>
    <w:p>
      <w:pPr>
        <w:spacing w:after="0" w:line="138" w:lineRule="exact"/>
        <w:rPr>
          <w:sz w:val="20"/>
          <w:szCs w:val="20"/>
          <w:color w:val="auto"/>
        </w:rPr>
      </w:pPr>
    </w:p>
    <w:p>
      <w:pPr>
        <w:ind w:right="600" w:firstLine="629"/>
        <w:spacing w:after="0" w:line="280" w:lineRule="auto"/>
        <w:rPr>
          <w:sz w:val="20"/>
          <w:szCs w:val="20"/>
          <w:color w:val="auto"/>
        </w:rPr>
      </w:pPr>
      <w:r>
        <w:rPr>
          <w:rFonts w:ascii="Times New Roman" w:cs="Times New Roman" w:eastAsia="Times New Roman" w:hAnsi="Times New Roman"/>
          <w:sz w:val="21"/>
          <w:szCs w:val="21"/>
          <w:color w:val="auto"/>
        </w:rPr>
        <w:t>For clarity, the parties acknowledge and agree that the calculations pursuant to clauses (1), (2), (3) and (5) above in this definition are intended to be made on a Real-Property-Asset-by-Real-Property-Asset basis.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134" w:right="339" w:bottom="1440" w:gutter="0" w:footer="0" w:header="0"/>
        </w:sectPr>
      </w:pPr>
    </w:p>
    <w:bookmarkStart w:id="166" w:name="page167"/>
    <w:bookmarkEnd w:id="166"/>
    <w:p>
      <w:pPr>
        <w:ind w:left="640"/>
        <w:spacing w:after="0"/>
        <w:rPr>
          <w:sz w:val="20"/>
          <w:szCs w:val="20"/>
          <w:color w:val="auto"/>
        </w:rPr>
      </w:pPr>
      <w:r>
        <w:rPr>
          <w:rFonts w:ascii="Times New Roman" w:cs="Times New Roman" w:eastAsia="Times New Roman" w:hAnsi="Times New Roman"/>
          <w:sz w:val="21"/>
          <w:szCs w:val="21"/>
          <w:color w:val="auto"/>
        </w:rPr>
        <w:t>Notwithstanding the foregoing, the Real Property Asset at 350 Park Avenue in New York City shall be valued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$900,000,000 for purposes of this definition so long as the Borrower’s existing put option for such Real Estate Asset remains in full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force and effect and any exercise by the counterparty to the put option of its option to form a joint venture to redevelop such Real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Property Asset has not closed so long as Borrower would be entitled to exercise the put option if the counterparty defaulted on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obligation to close following exercise of the joint venture option.</w:t>
      </w:r>
    </w:p>
    <w:p>
      <w:pPr>
        <w:spacing w:after="0" w:line="204" w:lineRule="exact"/>
        <w:rPr>
          <w:sz w:val="20"/>
          <w:szCs w:val="20"/>
          <w:color w:val="auto"/>
        </w:rPr>
      </w:pPr>
    </w:p>
    <w:p>
      <w:pPr>
        <w:ind w:right="20" w:firstLine="629"/>
        <w:spacing w:after="0" w:line="253" w:lineRule="auto"/>
        <w:rPr>
          <w:sz w:val="20"/>
          <w:szCs w:val="20"/>
          <w:color w:val="auto"/>
        </w:rPr>
      </w:pPr>
      <w:r>
        <w:rPr>
          <w:rFonts w:ascii="Times New Roman" w:cs="Times New Roman" w:eastAsia="Times New Roman" w:hAnsi="Times New Roman"/>
          <w:sz w:val="21"/>
          <w:szCs w:val="21"/>
          <w:color w:val="auto"/>
        </w:rPr>
        <w:t>For the purposes of this definition, (1) for any Disposition of Real Property Assets by a Real Property Business during any calendar quarter, Combined EBITDA will be reduced by actual Combined EBITDA generated from such asset or assets, (2) the aggregate contribution to Capitalization Value in excess of 35% of the total Capitalization Value from all Real Property Businesses and Other Investments owned by UJVs shall not be included in Capitalization Value, and (3) the aggregate contribution to Capitalization Value from leasing commissions and management and development fees in excess of 15% of Combined EBITDA shall not be included in Capitalization Value. To the extent that liabilities of a Real Property UJV are Recourse to Borrower or the General Partner, then for purposes of clause (5)(y) above, the Net Equity Value of such Real Property UJV shall not be reduced by such Recourse liabilities.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Capitalization Value of Unencumbered Assets</w:t>
      </w:r>
      <w:r>
        <w:rPr>
          <w:rFonts w:ascii="Times New Roman" w:cs="Times New Roman" w:eastAsia="Times New Roman" w:hAnsi="Times New Roman"/>
          <w:sz w:val="21"/>
          <w:szCs w:val="21"/>
          <w:color w:val="auto"/>
        </w:rPr>
        <w:t>” means, at any time, the sum without duplication of:</w:t>
      </w:r>
    </w:p>
    <w:p>
      <w:pPr>
        <w:spacing w:after="0" w:line="217" w:lineRule="exact"/>
        <w:rPr>
          <w:sz w:val="20"/>
          <w:szCs w:val="20"/>
          <w:color w:val="auto"/>
        </w:rPr>
      </w:pPr>
    </w:p>
    <w:p>
      <w:pPr>
        <w:ind w:firstLine="634"/>
        <w:spacing w:after="0" w:line="252" w:lineRule="auto"/>
        <w:tabs>
          <w:tab w:leader="none" w:pos="925"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Real Property Businesses (other than UJVs, Acquisition Properties, Development Properties and Covered Land) that are Unencumbered Assets, individually determined, Unencumbered Combined EBITDA from such businesses, for the most recently ended four consecutive calendar quarters, capitalized at the applicable Capitalization Rate;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in the case of any such Real Estate Business that was formerly an Acquisition Property or a Development Property and has ceased to be an Acquisition Property or a Development Property for fewer than four (4) consecutive calendar quarters, Capitalization Value of Unencumbered Assets for such Real Estate Business shall be equal to (x) if such Real Estate Business has ceased to be an Acquisition Property or a Development property for one calendar quarter, Unencumbered Combined EBITDA from such Real Estate Business for the most recently ended calendar quarter annualized (i.e., multiplied by four), capitalized at the applicable Capitalization Rate, (y) if such Real Estate Business has ceased to be an Acquisition Property or a Development Property for two consecutive calendar quarters, Unencumbered Combined EBITDA from such Real Estate Business for the most recently ended two consecutive calendar quarters annualized (i.e., multiplied by two), capitalized at the applicable Capitalization Rate, and (z) if such Real Estate Business has ceased to be an Acquisition Property or a Development Property for three consecutive calendar quarters, Unencumbered Combined EBITDA from such Real Estate Business for the most recently ended three consecutive calendar quarters annualized (i.e., multiplied by four-thirds), capitalized at the applicable Capitalization Rate;</w:t>
      </w:r>
    </w:p>
    <w:p>
      <w:pPr>
        <w:spacing w:after="0" w:line="183" w:lineRule="exact"/>
        <w:rPr>
          <w:rFonts w:ascii="Times New Roman" w:cs="Times New Roman" w:eastAsia="Times New Roman" w:hAnsi="Times New Roman"/>
          <w:sz w:val="21"/>
          <w:szCs w:val="21"/>
          <w:color w:val="auto"/>
        </w:rPr>
      </w:pPr>
    </w:p>
    <w:p>
      <w:pPr>
        <w:ind w:right="60" w:firstLine="634"/>
        <w:spacing w:after="0" w:line="263" w:lineRule="auto"/>
        <w:tabs>
          <w:tab w:leader="none" w:pos="925"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Acquisition Properties that are Unencumbered Assets, individually determined, the greater of (x) Unencumbered Combined EBITDA from such business for the most recently ended four consecutive calendar quarters, capitalized at the applicable Capitalization Rate and (y) the Gross Book Value of such businesses;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134" w:right="339" w:bottom="1440" w:gutter="0" w:footer="0" w:header="0"/>
        </w:sectPr>
      </w:pPr>
    </w:p>
    <w:bookmarkStart w:id="167" w:name="page168"/>
    <w:bookmarkEnd w:id="167"/>
    <w:p>
      <w:pPr>
        <w:ind w:right="320" w:firstLine="634"/>
        <w:spacing w:after="0" w:line="280" w:lineRule="auto"/>
        <w:tabs>
          <w:tab w:leader="none" w:pos="925"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Development Properties and Covered Land that are Unencumbered Assets, individually determined, the Gross Book Value of such Development Properties and Covered Land;</w:t>
      </w:r>
    </w:p>
    <w:p>
      <w:pPr>
        <w:spacing w:after="0" w:line="143" w:lineRule="exact"/>
        <w:rPr>
          <w:rFonts w:ascii="Times New Roman" w:cs="Times New Roman" w:eastAsia="Times New Roman" w:hAnsi="Times New Roman"/>
          <w:sz w:val="21"/>
          <w:szCs w:val="21"/>
          <w:color w:val="auto"/>
        </w:rPr>
      </w:pPr>
    </w:p>
    <w:p>
      <w:pPr>
        <w:ind w:right="60" w:firstLine="634"/>
        <w:spacing w:after="0" w:line="253" w:lineRule="auto"/>
        <w:tabs>
          <w:tab w:leader="none" w:pos="925"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Real Property UJVs (i) in which either (A) the Borrower has unilateral authority (directly or indirectly) to sell, transfer, encumber or otherwise dispose of the Real Property Assets (or interests in an entity that owns the Real Property Assets) owned by such Real Property UJV which authority may be subject to a right of first offer in favor of Borrower’s joint venture partner or (B) the Borrower has the right to sell its interest in such Real Property UJV (which right may be subject to a right of first offer in favor of its joint venture partner and other customary limitations) or is party to a customary buy-sell agreement with its joint venture partner that enables the Borrower to acquire such partner’s interests in such Real Property UJV and/or obligates such partner to acquire the Borrower’s interests in such Real Property UJV, in each case upon the occurrence of a triggering event, (ii) that are Unencumbered Assets and (iii) which do not have publicly traded shares, individually determined, the greater of (x) the Unencumbered Combined EBITDA from such Real Property UJVs for the most recently ended four consecutive calendar quarters, capitalized at the applicable Capitalization Rate, and (y) the Net Equity Value of such Real Property UJVs; and</w:t>
      </w:r>
    </w:p>
    <w:p>
      <w:pPr>
        <w:spacing w:after="0" w:line="178" w:lineRule="exact"/>
        <w:rPr>
          <w:rFonts w:ascii="Times New Roman" w:cs="Times New Roman" w:eastAsia="Times New Roman" w:hAnsi="Times New Roman"/>
          <w:sz w:val="21"/>
          <w:szCs w:val="21"/>
          <w:color w:val="auto"/>
        </w:rPr>
      </w:pPr>
    </w:p>
    <w:p>
      <w:pPr>
        <w:ind w:right="80" w:firstLine="634"/>
        <w:spacing w:after="0" w:line="255" w:lineRule="auto"/>
        <w:tabs>
          <w:tab w:leader="none" w:pos="925"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Borrower’s Pro Rata Share of Unrestricted Cash and Cash Equivalents, the book value of notes and mortgage loans receivable and capitalized development costs (exclusive of tenant improvements and tenant leasing commission costs), leasing commissions and development fees (but, for clarity, excluding property management fees and fees of BMS Building Services, GMSC and similar affiliated building service providers which shall be treated as Real Property Businesses pursuant to clause (1) above) for the most recently ended four (4) consecutive calendar quarters multiplied by three (3), and the fair market value of publicly traded securities, in each case that are Unencumbered Assets of Borrower, at such time, all as determined in accordance with GAAP.</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1"/>
          <w:szCs w:val="21"/>
          <w:color w:val="auto"/>
        </w:rPr>
        <w:t>Notwithstanding the foregoing, the Real Property Asset at 350 Park Avenue in New York City shall be valued at $900,000,000 for purposes of this definition so long as (x) such Real Property Asset is an Unencumbered Asset and (y) the Borrower’s existing put option for such Real Estate Asset remains in full force and effect and any exercise by the counterparty to the put option of its option to form a joint venture to redevelop such Real Property Asset has not closed so long as Borrower would be entitled to exercise the put option if the counterparty defaulted on its obligation to close following exercise of the joint venture option.</w:t>
      </w:r>
    </w:p>
    <w:p>
      <w:pPr>
        <w:spacing w:after="0" w:line="1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For the purposes of this definition, (1) for any Disposition of Real Property Assets by a Real Property Business during any calendar quarter, Unencumbered Combined EBITDA will be reduced by actual Unencumbered Combined EBITDA generated from such asset or assets, (2) the aggregate contribution to Capitalization Value of Unencumbered Assets in excess of 20% of the total Capitalization Value of Unencumbered Assets from the aggregate of all Real Property Businesses owned by UJVs (other than the UJV known as Manhattan High Street Holdings LP), and notes and mortgage loans receivable that are Unencumbered Assets (including those owned by UJVs) at such time, as determined in accordance with GAAP, shall not be included in Capitalization Value of Unencumbered Assets, (3) the aggregate contribution to Capitalization Value of Unencumbered Assets from leasing commissions and management and development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134" w:right="339" w:bottom="1440" w:gutter="0" w:footer="0" w:header="0"/>
        </w:sectPr>
      </w:pPr>
    </w:p>
    <w:bookmarkStart w:id="168" w:name="page169"/>
    <w:bookmarkEnd w:id="168"/>
    <w:p>
      <w:pPr>
        <w:jc w:val="both"/>
        <w:ind w:right="160"/>
        <w:spacing w:after="0" w:line="258" w:lineRule="auto"/>
        <w:rPr>
          <w:sz w:val="20"/>
          <w:szCs w:val="20"/>
          <w:color w:val="auto"/>
        </w:rPr>
      </w:pPr>
      <w:r>
        <w:rPr>
          <w:rFonts w:ascii="Times New Roman" w:cs="Times New Roman" w:eastAsia="Times New Roman" w:hAnsi="Times New Roman"/>
          <w:sz w:val="21"/>
          <w:szCs w:val="21"/>
          <w:color w:val="auto"/>
        </w:rPr>
        <w:t>fees in excess of 15% of Unencumbered Combined EBITDA shall not be included in Capitalization Value of Unencumbered Assets and (4) the aggregate contribution to Capitalization Value of Unencumbered Assets from Development Properties (other than office Development Properties that are at least 75% pre-leased) and Covered Land in excess of 25% shall not be included in Capitalization Value of Unencumbered Assets.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Lease</w:t>
      </w:r>
      <w:r>
        <w:rPr>
          <w:rFonts w:ascii="Times New Roman" w:cs="Times New Roman" w:eastAsia="Times New Roman" w:hAnsi="Times New Roman"/>
          <w:sz w:val="21"/>
          <w:szCs w:val="21"/>
          <w:color w:val="auto"/>
        </w:rPr>
        <w:t>” means any lease which has been or should be capitalized on the books of the lessee in accordance 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GAAP.</w:t>
      </w:r>
    </w:p>
    <w:p>
      <w:pPr>
        <w:spacing w:after="0" w:line="193" w:lineRule="exact"/>
        <w:rPr>
          <w:sz w:val="20"/>
          <w:szCs w:val="20"/>
          <w:color w:val="auto"/>
        </w:rPr>
      </w:pPr>
    </w:p>
    <w:p>
      <w:pPr>
        <w:ind w:firstLine="629"/>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or Cash Equivalents</w:t>
      </w:r>
      <w:r>
        <w:rPr>
          <w:rFonts w:ascii="Times New Roman" w:cs="Times New Roman" w:eastAsia="Times New Roman" w:hAnsi="Times New Roman"/>
          <w:sz w:val="21"/>
          <w:szCs w:val="21"/>
          <w:color w:val="auto"/>
        </w:rPr>
        <w:t>” means (a) cash; (b) marketable direct obligations issued or unconditionally guaranteed by the United States Government or issued by an agency thereof and backed by the full faith and credit of the United States, in each case maturing within one (1) year after the date of acquisition thereof; (c) marketable direct obligations issued by any state of the United States of America or any political subdivision of any such state or any public instrumentality thereof maturing within ninety (90) days after the date of acquisition thereof and, at the time of acquisition, having one of the two highest ratings obtainable from any two of S&amp;P, Moody’s or Fitch (or, if at any time no two of the foregoing shall be rating such obligations, then from such other nationally recognized rating services as are reasonably acceptable to Administrative Agent); (d) domestic corporate bonds, other than domestic corporate bonds issued by Borrower or any of its Affiliates, maturing no more than two (2) years after the date of acquisition thereof and, at the time of acquisition, having a rating of at least A or the equivalent from any two (2) of S&amp;P, Moody’s or Fitch (or, if at any time no two of the foregoing shall be rating such obligations, then from such other nationally recognized rating services as are reasonably acceptable to Administrative Agent); (e) variable-rate domestic corporate notes or medium term corporate notes, other than notes issued by Borrower or any of its Affiliates, maturing or resetting no more than one (1) year after the date of acquisition thereof and having a rating of at least A or the equivalent from two of S&amp;P, Moody’s or Fitch (or, if at any time no two of the foregoing shall be rating such obligations, then from such other nationally recognized rating services as are reasonably acceptable to Administrative Agent); (f) commercial paper (foreign and domestic) or master notes, other than commercial paper or master notes issued by Borrower or any of its Affiliates, and, at the time of acquisition, having a long-term rating of at least A or the equivalent from S&amp;P, Moody’s or Fitch and having a short-term rating of at least A-2 and P-2 from S&amp;P and Moody’s, respectively (or, if at any time neither S&amp;P nor Moody’s shall be rating such obligations, then the highest rating from such other nationally recognized rating services as are reasonably acceptable to Administrative Agent); (g) domestic and foreign certificates of deposit or domestic time deposits or foreign deposits or bankers’ acceptances (foreign or domestic) in Dollars, Hong Kong Dollars, Singapore Dollars, Pounds Sterling, Euros or Yen that are issued by a bank (I) which has, at the time of acquisition, a long-term rating of at least A or the equivalent from S&amp;P, Moody’s or Fitch (or, if at any time no two of the foregoing shall be rating such obligations, then from such other nationally recognized rating services as are reasonably acceptable to Administrative Agent) and (II) if a domestic bank, which is a member of the Federal Deposit Insurance Corporation; (h) overnight securities repurchase agreements, or reverse repurchase agreements secured by any of the foregoing types of securities or debt instruments, provided that the collateral supporting such repurchase agreements shall have a value not less than 101% of the principal amount of the repurchase agreement plus accrued interest; and (i) money market funds invested in investments substantially all of which consist of the items described in clauses (a) through (h) above.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134" w:right="339" w:bottom="1440" w:gutter="0" w:footer="0" w:header="0"/>
        </w:sectPr>
      </w:pPr>
    </w:p>
    <w:bookmarkStart w:id="169" w:name="page170"/>
    <w:bookmarkEnd w:id="169"/>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Charges</w:t>
      </w:r>
      <w:r>
        <w:rPr>
          <w:rFonts w:ascii="Times New Roman" w:cs="Times New Roman" w:eastAsia="Times New Roman" w:hAnsi="Times New Roman"/>
          <w:sz w:val="21"/>
          <w:szCs w:val="21"/>
          <w:color w:val="auto"/>
        </w:rPr>
        <w:t>” has the meaning specified in Section 2.07.</w:t>
      </w:r>
    </w:p>
    <w:p>
      <w:pPr>
        <w:spacing w:after="0" w:line="217" w:lineRule="exact"/>
        <w:rPr>
          <w:sz w:val="20"/>
          <w:szCs w:val="20"/>
          <w:color w:val="auto"/>
        </w:rPr>
      </w:pPr>
    </w:p>
    <w:p>
      <w:pPr>
        <w:ind w:right="22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CME Term SOFR Administrator</w:t>
      </w:r>
      <w:r>
        <w:rPr>
          <w:rFonts w:ascii="Times New Roman" w:cs="Times New Roman" w:eastAsia="Times New Roman" w:hAnsi="Times New Roman"/>
          <w:sz w:val="21"/>
          <w:szCs w:val="21"/>
          <w:color w:val="auto"/>
        </w:rPr>
        <w:t>” means CME Group Benchmark Administration Limited as administrator of the forward-looking term Secured Overnight Financing Rate (SOFR) (or a successor administrator).</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w:t>
      </w:r>
    </w:p>
    <w:p>
      <w:pPr>
        <w:spacing w:after="0" w:line="230" w:lineRule="exact"/>
        <w:rPr>
          <w:sz w:val="20"/>
          <w:szCs w:val="20"/>
          <w:color w:val="auto"/>
        </w:rPr>
      </w:pPr>
    </w:p>
    <w:p>
      <w:pPr>
        <w:ind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Combined EBITDA</w:t>
      </w:r>
      <w:r>
        <w:rPr>
          <w:rFonts w:ascii="Times New Roman" w:cs="Times New Roman" w:eastAsia="Times New Roman" w:hAnsi="Times New Roman"/>
          <w:sz w:val="21"/>
          <w:szCs w:val="21"/>
          <w:color w:val="auto"/>
        </w:rPr>
        <w:t>” means, for any period, the Borrower’s Pro Rata Share of net income or loss plus Interest Expense, income taxes, depreciation and amortization and excluding the effect of non-recurring items (such as, without limitation, (i) gains or losses from asset sales, (ii) gains or losses from debt restructurings or write-ups or forgiveness of indebtedness, and costs and expenses incurred during such period with respect to acquisitions, dispositions, investments, or debt or equity financings (whether or not consummated) during such period, and (iii) non-cash gains or losses from impairments, hedging transactions or foreign currency fluctuations), all as determined in accordance with GAAP, of Consolidated Businesses and UJVs (provided, however, that for purposes of determining the ratio of Combined EBITDA to Fixed Charges, Combined EBITDA of UJVs shall exclude UJVs that are not either Real Property UJVs or UJVs formed to make, acquire or manage mortgage loans, mezzanine loans and/or other real estate credit investments), as the case may be, multiplied by four, provided however, that Combined EBITDA shall include only general and administrative expenses that are attributable to the management and operation of the assets in accordance with GAAP and shall not include any corporate general and administrative expenses of Borrower, General Partner, Consolidated Businesses or UJVs (e.g., salaries of corporate officers).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Communications</w:t>
      </w:r>
      <w:r>
        <w:rPr>
          <w:rFonts w:ascii="Times New Roman" w:cs="Times New Roman" w:eastAsia="Times New Roman" w:hAnsi="Times New Roman"/>
          <w:sz w:val="21"/>
          <w:szCs w:val="21"/>
          <w:color w:val="auto"/>
        </w:rPr>
        <w:t>” has the meaning specified in Section 12.07(d)(iii).</w:t>
      </w:r>
    </w:p>
    <w:p>
      <w:pPr>
        <w:spacing w:after="0" w:line="217" w:lineRule="exact"/>
        <w:rPr>
          <w:sz w:val="20"/>
          <w:szCs w:val="20"/>
          <w:color w:val="auto"/>
        </w:rPr>
      </w:pPr>
    </w:p>
    <w:p>
      <w:pPr>
        <w:jc w:val="both"/>
        <w:ind w:right="6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Businesses</w:t>
      </w:r>
      <w:r>
        <w:rPr>
          <w:rFonts w:ascii="Times New Roman" w:cs="Times New Roman" w:eastAsia="Times New Roman" w:hAnsi="Times New Roman"/>
          <w:sz w:val="21"/>
          <w:szCs w:val="21"/>
          <w:color w:val="auto"/>
        </w:rPr>
        <w:t>” means, at any time, the Borrower and Subsidiaries of the Borrower that the Borrower consolidates in its consolidated financial statements prepared in accordance with GAAP, provided, however, that UJVs which are consolidated in accordance with GAAP are not Consolidated Businesses.</w:t>
      </w:r>
    </w:p>
    <w:p>
      <w:pPr>
        <w:spacing w:after="0" w:line="175" w:lineRule="exact"/>
        <w:rPr>
          <w:sz w:val="20"/>
          <w:szCs w:val="20"/>
          <w:color w:val="auto"/>
        </w:rPr>
      </w:pPr>
    </w:p>
    <w:p>
      <w:pPr>
        <w:jc w:val="both"/>
        <w:ind w:right="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Continuation</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Continued</w:t>
      </w:r>
      <w:r>
        <w:rPr>
          <w:rFonts w:ascii="Times New Roman" w:cs="Times New Roman" w:eastAsia="Times New Roman" w:hAnsi="Times New Roman"/>
          <w:sz w:val="21"/>
          <w:szCs w:val="21"/>
          <w:color w:val="auto"/>
        </w:rPr>
        <w:t>” refer to the continuation pursuant to Section 2.12 of a Term Benchmark Loan as a Term Benchmark Loan from one Interest Period to the next interest Period.</w:t>
      </w:r>
    </w:p>
    <w:p>
      <w:pPr>
        <w:spacing w:after="0" w:line="144" w:lineRule="exact"/>
        <w:rPr>
          <w:sz w:val="20"/>
          <w:szCs w:val="20"/>
          <w:color w:val="auto"/>
        </w:rPr>
      </w:pPr>
    </w:p>
    <w:p>
      <w:pPr>
        <w:ind w:right="26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Convert</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Conversion</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Converted</w:t>
      </w:r>
      <w:r>
        <w:rPr>
          <w:rFonts w:ascii="Times New Roman" w:cs="Times New Roman" w:eastAsia="Times New Roman" w:hAnsi="Times New Roman"/>
          <w:sz w:val="21"/>
          <w:szCs w:val="21"/>
          <w:color w:val="auto"/>
        </w:rPr>
        <w:t>” refer to a conversion pursuant to Section 2.12 of a Base Rate Loan into a Term Benchmark Loan or a Term Benchmark Loan into a Base Rate Loan, each of which may be accompanied by the transfer by a Bank (at its sole discretion) of all or a portion of its Loan from one Applicable Lending Office to another.</w:t>
      </w:r>
    </w:p>
    <w:p>
      <w:pPr>
        <w:spacing w:after="0" w:line="162" w:lineRule="exact"/>
        <w:rPr>
          <w:sz w:val="20"/>
          <w:szCs w:val="20"/>
          <w:color w:val="auto"/>
        </w:rPr>
      </w:pPr>
    </w:p>
    <w:p>
      <w:pPr>
        <w:ind w:right="300" w:firstLine="629"/>
        <w:spacing w:after="0" w:line="32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means any of the following: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134" w:right="339" w:bottom="1440" w:gutter="0" w:footer="0" w:header="0"/>
        </w:sectPr>
      </w:pPr>
    </w:p>
    <w:bookmarkStart w:id="170" w:name="page171"/>
    <w:bookmarkEnd w:id="170"/>
    <w:p>
      <w:pPr>
        <w:ind w:left="640"/>
        <w:spacing w:after="0"/>
        <w:rPr>
          <w:sz w:val="20"/>
          <w:szCs w:val="20"/>
          <w:color w:val="auto"/>
        </w:rPr>
      </w:pPr>
      <w:r>
        <w:rPr>
          <w:rFonts w:ascii="Times New Roman" w:cs="Times New Roman" w:eastAsia="Times New Roman" w:hAnsi="Times New Roman"/>
          <w:sz w:val="21"/>
          <w:szCs w:val="21"/>
          <w:color w:val="auto"/>
        </w:rPr>
        <w:t>a “covered entity” as that term is defined in, and interpreted in accordance with, 12 C.F.R. § 252.82(b);</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 “covered bank” as that term is defined in, and interpreted in accordance with, 12 C.F.R. § 47.3(b); or</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 “covered FSI” as that term is defined in, and interpreted in accordance with, 12 C.F.R. § 382.2(b).</w:t>
      </w:r>
    </w:p>
    <w:p>
      <w:pPr>
        <w:spacing w:after="0" w:line="217" w:lineRule="exact"/>
        <w:rPr>
          <w:sz w:val="20"/>
          <w:szCs w:val="20"/>
          <w:color w:val="auto"/>
        </w:rPr>
      </w:pPr>
    </w:p>
    <w:p>
      <w:pPr>
        <w:ind w:right="300"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Land</w:t>
      </w:r>
      <w:r>
        <w:rPr>
          <w:rFonts w:ascii="Times New Roman" w:cs="Times New Roman" w:eastAsia="Times New Roman" w:hAnsi="Times New Roman"/>
          <w:sz w:val="21"/>
          <w:szCs w:val="21"/>
          <w:color w:val="auto"/>
        </w:rPr>
        <w:t xml:space="preserve">” means, initially, the Real Property Assets set forth on </w:t>
      </w:r>
      <w:r>
        <w:rPr>
          <w:rFonts w:ascii="Times New Roman" w:cs="Times New Roman" w:eastAsia="Times New Roman" w:hAnsi="Times New Roman"/>
          <w:sz w:val="21"/>
          <w:szCs w:val="21"/>
          <w:u w:val="single" w:color="auto"/>
          <w:color w:val="auto"/>
        </w:rPr>
        <w:t>Schedule 5</w:t>
      </w:r>
      <w:r>
        <w:rPr>
          <w:rFonts w:ascii="Times New Roman" w:cs="Times New Roman" w:eastAsia="Times New Roman" w:hAnsi="Times New Roman"/>
          <w:sz w:val="21"/>
          <w:szCs w:val="21"/>
          <w:color w:val="auto"/>
        </w:rPr>
        <w:t xml:space="preserve"> and any subsequent Real Property Asset acquired with the intention of developing or redeveloping the Real Property Asset or holding such Real Property Asset for the purpose of creating an assemblage for potential future development, in each case until such Real Estate Asset becomes a Development Property.</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has the meaning assigned to it in Section 12.27.</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Party</w:t>
      </w:r>
      <w:r>
        <w:rPr>
          <w:rFonts w:ascii="Times New Roman" w:cs="Times New Roman" w:eastAsia="Times New Roman" w:hAnsi="Times New Roman"/>
          <w:sz w:val="21"/>
          <w:szCs w:val="21"/>
          <w:color w:val="auto"/>
        </w:rPr>
        <w:t>” means the Administrative Agent, any Sustainability Structuring Agent, or any Bank.</w:t>
      </w:r>
    </w:p>
    <w:p>
      <w:pPr>
        <w:spacing w:after="0" w:line="217" w:lineRule="exact"/>
        <w:rPr>
          <w:sz w:val="20"/>
          <w:szCs w:val="20"/>
          <w:color w:val="auto"/>
        </w:rPr>
      </w:pPr>
    </w:p>
    <w:p>
      <w:pPr>
        <w:ind w:right="860"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Rating</w:t>
      </w:r>
      <w:r>
        <w:rPr>
          <w:rFonts w:ascii="Times New Roman" w:cs="Times New Roman" w:eastAsia="Times New Roman" w:hAnsi="Times New Roman"/>
          <w:sz w:val="21"/>
          <w:szCs w:val="21"/>
          <w:color w:val="auto"/>
        </w:rPr>
        <w:t>” means the rating assigned by Moody’s, S&amp;P and/or Fitch to Borrower’s senior unsecured long-term indebtedness.</w:t>
      </w:r>
    </w:p>
    <w:p>
      <w:pPr>
        <w:spacing w:after="0" w:line="131"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w:t>
      </w:r>
      <w:r>
        <w:rPr>
          <w:rFonts w:ascii="Times New Roman" w:cs="Times New Roman" w:eastAsia="Times New Roman" w:hAnsi="Times New Roman"/>
          <w:sz w:val="21"/>
          <w:szCs w:val="21"/>
          <w:color w:val="auto"/>
        </w:rPr>
        <w:t>” means, at any time, without duplication, (i) all indebtedness and liabilities of a Person for borrowed money, secured or unsecured, including mortgage and other notes payable (but excluding any indebtedness to the extent secured by cash or cash equivalents or marketable securities, or defeased), as determined in accordance with GAAP, and (ii) without duplication, all liabilities of a Person consisting of indebtedness for borrowed money, determined in accordance with GAAP, that are or would be stated and quantified as contingent liabilities in the notes to the consolidated financial statements of such Person as of that date. For purposes of determining “Total Outstanding Indebtedness” and “Debt”, the term “without duplication” shall mean (without limitation) that amounts loaned from one Person to a second Person that under GAAP would be consolidated with the first Person shall not be treated as Debt of the second Person.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means any event which with the giving of notice or lapse of time, or both, would become an Event of Default.</w:t>
      </w:r>
    </w:p>
    <w:p>
      <w:pPr>
        <w:spacing w:after="0" w:line="230"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means any Bank that (a) has failed, within three Banking Days of the date required to be funded or paid, to (i) fund any portion of its Loans or (ii) pay over to any Credit Party any other amount required to be paid by it hereunder, unless, in the case of clause (i) above, such Bank notifies the Administrative Agent in writing that such failure is the result of such Bank’s good faith determination that a condition precedent to funding (specifically identified and including the particular default, if any) has not been satisfied, or, in the case of clause (iii) above, such Bank notifies the Administrative Agent in writing that such failure is the result of a good faith dispute which has been specifically identified, (b) has notified the Borrower or any Credit Party in writing, or has made a public statement to the effect, that it does not intend or expect to comply with any of its funding obligations under this Agreement (unless such</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20"/>
          </w:cols>
          <w:pgMar w:left="320" w:top="1134" w:right="359" w:bottom="1440" w:gutter="0" w:footer="0" w:header="0"/>
        </w:sectPr>
      </w:pPr>
    </w:p>
    <w:bookmarkStart w:id="171" w:name="page172"/>
    <w:bookmarkEnd w:id="171"/>
    <w:p>
      <w:pPr>
        <w:ind w:right="120"/>
        <w:spacing w:after="0" w:line="253" w:lineRule="auto"/>
        <w:rPr>
          <w:sz w:val="20"/>
          <w:szCs w:val="20"/>
          <w:color w:val="auto"/>
        </w:rPr>
      </w:pPr>
      <w:r>
        <w:rPr>
          <w:rFonts w:ascii="Times New Roman" w:cs="Times New Roman" w:eastAsia="Times New Roman" w:hAnsi="Times New Roman"/>
          <w:sz w:val="21"/>
          <w:szCs w:val="21"/>
          <w:color w:val="auto"/>
        </w:rPr>
        <w:t>writing or public statement indicates that such position is based on such Bank’s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Banking Days after request by the Administrative Agent or Borrower, acting in good faith, to provide a certification in writing from an authorized officer of such Bank that it will comply with its obligations to fund prospective Loans under this Agreement, provided that such Bank shall cease to be a Defaulting Lender pursuant to this clause (c) upon the Administrative Agent’s or Borrower’s (with simultaneous notice to the Administrative Agent) (as applicable) receipt of such certification in form and substance reasonably satisfactory to it or them (as applicable), or (d) has, or has a direct or indirect parent company that has, become the subject of a Bankruptcy Event or a Bail-In Action.</w:t>
      </w:r>
    </w:p>
    <w:p>
      <w:pPr>
        <w:spacing w:after="0" w:line="171" w:lineRule="exact"/>
        <w:rPr>
          <w:sz w:val="20"/>
          <w:szCs w:val="20"/>
          <w:color w:val="auto"/>
        </w:rPr>
      </w:pPr>
    </w:p>
    <w:p>
      <w:pPr>
        <w:ind w:right="26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Rate</w:t>
      </w:r>
      <w:r>
        <w:rPr>
          <w:rFonts w:ascii="Times New Roman" w:cs="Times New Roman" w:eastAsia="Times New Roman" w:hAnsi="Times New Roman"/>
          <w:sz w:val="21"/>
          <w:szCs w:val="21"/>
          <w:color w:val="auto"/>
        </w:rPr>
        <w:t>” means a rate per annum equal to: (1) with respect to Base Rate Loans, a variable rate of three percent (3%) plus the rate of interest then in effect thereon (including the Applicable Margin); and (2) with respect to Term Benchmark Loans, a fixed rate of three percent (3%) plus the rate(s) of interest in effect thereon (including the Applicable Margin) at the time of any Default or Event of Default until the end of the then current Interest Period therefor and, thereafter, a variable rate of three percent (3%) plus the rate of interest for a Base Rate Loan (including the Applicable Margin).</w:t>
      </w:r>
    </w:p>
    <w:p>
      <w:pPr>
        <w:spacing w:after="0" w:line="169" w:lineRule="exact"/>
        <w:rPr>
          <w:sz w:val="20"/>
          <w:szCs w:val="20"/>
          <w:color w:val="auto"/>
        </w:rPr>
      </w:pPr>
    </w:p>
    <w:p>
      <w:pPr>
        <w:ind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Development Property</w:t>
      </w:r>
      <w:r>
        <w:rPr>
          <w:rFonts w:ascii="Times New Roman" w:cs="Times New Roman" w:eastAsia="Times New Roman" w:hAnsi="Times New Roman"/>
          <w:sz w:val="21"/>
          <w:szCs w:val="21"/>
          <w:color w:val="auto"/>
        </w:rPr>
        <w:t>” means any Real Property Assets which are owned by the Borrower or any of its Consolidated Businesses or any UJV, and which are under development or redevelopment, provided that Real Property Assets shall cease to be Development Properties as of the earlier to occur of (a) the date which is (i) thirty (30) months after the earlier of (x) completion of construction thereof (as evidenced by a permanent certificate of occupancy or its equivalent permitting the use and occupancy thereof for their regular intended uses) and (y) the date on which no portion of such asset is construction in process in accordance with GAAP for office Real Property Assets located in New York City and (ii) twenty-four (24) months after the earlier of (x) completion of construction thereof (as evidenced by a permanent certificate of occupancy or its equivalent permitting the use and occupancy thereof for their regular intended uses) and (y) the date on which no portion of such asset is construction in process in accordance with GAAP for all other Real Property Assets, and (b) the last day of the first fiscal quarter in which the Occupancy Rate of such Development Property has averaged eighty-five percent (85%) or more; provided that Penn 1 and Penn 2 in New York City will be treated as Development Properties until December 31, 2026 and the condominiums at 220 Central Park South in New York City will be treated as a Development Property until December 31, 2026. Notwithstanding the foregoing, Borrower may irrevocably elect by written notice to the Administrative Agent (which may be by email) to cease treating any asset as a Development Property as of a date earlier than that provided by this definition.</w:t>
      </w:r>
    </w:p>
    <w:p>
      <w:pPr>
        <w:spacing w:after="0" w:line="183" w:lineRule="exact"/>
        <w:rPr>
          <w:sz w:val="20"/>
          <w:szCs w:val="20"/>
          <w:color w:val="auto"/>
        </w:rPr>
      </w:pPr>
    </w:p>
    <w:p>
      <w:pPr>
        <w:ind w:right="4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Disposition</w:t>
      </w:r>
      <w:r>
        <w:rPr>
          <w:rFonts w:ascii="Times New Roman" w:cs="Times New Roman" w:eastAsia="Times New Roman" w:hAnsi="Times New Roman"/>
          <w:sz w:val="21"/>
          <w:szCs w:val="21"/>
          <w:color w:val="auto"/>
        </w:rPr>
        <w:t>” means a sale (whether by assignment, transfer or Capital Lease) of an asset (whether effected pursuant to a division or otherwise).</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Dollars</w:t>
      </w:r>
      <w:r>
        <w:rPr>
          <w:rFonts w:ascii="Times New Roman" w:cs="Times New Roman" w:eastAsia="Times New Roman" w:hAnsi="Times New Roman"/>
          <w:sz w:val="21"/>
          <w:szCs w:val="21"/>
          <w:color w:val="auto"/>
        </w:rPr>
        <w:t>” and the sign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 lawful money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20"/>
          </w:cols>
          <w:pgMar w:left="320" w:top="1134" w:right="359" w:bottom="1440" w:gutter="0" w:footer="0" w:header="0"/>
        </w:sectPr>
      </w:pPr>
    </w:p>
    <w:bookmarkStart w:id="172" w:name="page173"/>
    <w:bookmarkEnd w:id="172"/>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Financial Institution</w:t>
      </w:r>
      <w:r>
        <w:rPr>
          <w:rFonts w:ascii="Times New Roman" w:cs="Times New Roman" w:eastAsia="Times New Roman" w:hAnsi="Times New Roman"/>
          <w:sz w:val="21"/>
          <w:szCs w:val="21"/>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Member Country</w:t>
      </w:r>
      <w:r>
        <w:rPr>
          <w:rFonts w:ascii="Times New Roman" w:cs="Times New Roman" w:eastAsia="Times New Roman" w:hAnsi="Times New Roman"/>
          <w:sz w:val="21"/>
          <w:szCs w:val="21"/>
          <w:color w:val="auto"/>
        </w:rPr>
        <w:t>” means any of the member states of the European Union, Iceland, Liechtenstein, and Norway.</w:t>
      </w:r>
    </w:p>
    <w:p>
      <w:pPr>
        <w:spacing w:after="0" w:line="243" w:lineRule="exact"/>
        <w:rPr>
          <w:sz w:val="20"/>
          <w:szCs w:val="20"/>
          <w:color w:val="auto"/>
        </w:rPr>
      </w:pPr>
    </w:p>
    <w:p>
      <w:pPr>
        <w:ind w:right="34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Resolution Authority</w:t>
      </w:r>
      <w:r>
        <w:rPr>
          <w:rFonts w:ascii="Times New Roman" w:cs="Times New Roman" w:eastAsia="Times New Roman" w:hAnsi="Times New Roman"/>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8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the date on which the conditions specified in Section 4.01 are satisfied (or waived in accordance with Section 12.02), which is January 7, 2026.</w:t>
      </w:r>
    </w:p>
    <w:p>
      <w:pPr>
        <w:spacing w:after="0" w:line="157" w:lineRule="exact"/>
        <w:rPr>
          <w:sz w:val="20"/>
          <w:szCs w:val="20"/>
          <w:color w:val="auto"/>
        </w:rPr>
      </w:pPr>
    </w:p>
    <w:p>
      <w:pPr>
        <w:ind w:right="6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Election</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Elected</w:t>
      </w:r>
      <w:r>
        <w:rPr>
          <w:rFonts w:ascii="Times New Roman" w:cs="Times New Roman" w:eastAsia="Times New Roman" w:hAnsi="Times New Roman"/>
          <w:sz w:val="21"/>
          <w:szCs w:val="21"/>
          <w:color w:val="auto"/>
        </w:rPr>
        <w:t>” refer to elections, if any, by Borrower pursuant to Section 2.12 to have all or a portion of an advance of the Loans be outstanding as Term Benchmark Loans.</w:t>
      </w:r>
    </w:p>
    <w:p>
      <w:pPr>
        <w:spacing w:after="0" w:line="144" w:lineRule="exact"/>
        <w:rPr>
          <w:sz w:val="20"/>
          <w:szCs w:val="20"/>
          <w:color w:val="auto"/>
        </w:rPr>
      </w:pPr>
    </w:p>
    <w:p>
      <w:pPr>
        <w:ind w:right="5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Signature</w:t>
      </w:r>
      <w:r>
        <w:rPr>
          <w:rFonts w:ascii="Times New Roman" w:cs="Times New Roman" w:eastAsia="Times New Roman" w:hAnsi="Times New Roman"/>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44" w:lineRule="exact"/>
        <w:rPr>
          <w:sz w:val="20"/>
          <w:szCs w:val="20"/>
          <w:color w:val="auto"/>
        </w:rPr>
      </w:pPr>
    </w:p>
    <w:p>
      <w:pPr>
        <w:ind w:firstLine="629"/>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System</w:t>
      </w:r>
      <w:r>
        <w:rPr>
          <w:rFonts w:ascii="Times New Roman" w:cs="Times New Roman" w:eastAsia="Times New Roman" w:hAnsi="Times New Roman"/>
          <w:sz w:val="21"/>
          <w:szCs w:val="21"/>
          <w:color w:val="auto"/>
        </w:rPr>
        <w:t>” means any electronic system, including e-mail, e-fax, Intralinks</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ClearPar</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Debt Domain, Syndtrak and any other Internet or extranet-based site, whether such electronic system is owned, operated or hosted by the Administrative Agent and any of its Affiliates or any other Person, providing for access to data protected by passcodes or other security system(s) and chosen by the Administrative Agent to be its electronic transmission system.</w:t>
      </w:r>
    </w:p>
    <w:p>
      <w:pPr>
        <w:spacing w:after="0" w:line="188" w:lineRule="exact"/>
        <w:rPr>
          <w:sz w:val="20"/>
          <w:szCs w:val="20"/>
          <w:color w:val="auto"/>
        </w:rPr>
      </w:pPr>
    </w:p>
    <w:p>
      <w:pPr>
        <w:ind w:right="7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Discharge</w:t>
      </w:r>
      <w:r>
        <w:rPr>
          <w:rFonts w:ascii="Times New Roman" w:cs="Times New Roman" w:eastAsia="Times New Roman" w:hAnsi="Times New Roman"/>
          <w:sz w:val="21"/>
          <w:szCs w:val="21"/>
          <w:color w:val="auto"/>
        </w:rPr>
        <w:t>” means any discharge or release of any Hazardous Materials in violation of any applicable Environmental Law.</w:t>
      </w:r>
    </w:p>
    <w:p>
      <w:pPr>
        <w:spacing w:after="0" w:line="157" w:lineRule="exact"/>
        <w:rPr>
          <w:sz w:val="20"/>
          <w:szCs w:val="20"/>
          <w:color w:val="auto"/>
        </w:rPr>
      </w:pPr>
    </w:p>
    <w:p>
      <w:pPr>
        <w:ind w:right="2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w:t>
      </w:r>
      <w:r>
        <w:rPr>
          <w:rFonts w:ascii="Times New Roman" w:cs="Times New Roman" w:eastAsia="Times New Roman" w:hAnsi="Times New Roman"/>
          <w:sz w:val="21"/>
          <w:szCs w:val="21"/>
          <w:color w:val="auto"/>
        </w:rPr>
        <w:t>” means any applicable Law relating to pollution or the environment, including Laws relating to noise or to emissions, discharges, releases or threatened releases of Hazardous Materials into the work place, the community or the environment, or otherwise relating to the generation, manufacture, processing, distribution, use, treatment, storage, disposal, transport or handling of Hazardous Materials.</w:t>
      </w:r>
    </w:p>
    <w:p>
      <w:pPr>
        <w:spacing w:after="0" w:line="167" w:lineRule="exact"/>
        <w:rPr>
          <w:sz w:val="20"/>
          <w:szCs w:val="20"/>
          <w:color w:val="auto"/>
        </w:rPr>
      </w:pPr>
    </w:p>
    <w:p>
      <w:pPr>
        <w:ind w:right="4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Notice</w:t>
      </w:r>
      <w:r>
        <w:rPr>
          <w:rFonts w:ascii="Times New Roman" w:cs="Times New Roman" w:eastAsia="Times New Roman" w:hAnsi="Times New Roman"/>
          <w:sz w:val="21"/>
          <w:szCs w:val="21"/>
          <w:color w:val="auto"/>
        </w:rPr>
        <w:t>” means any written complaint, order, citation, letter, inquiry, notice or other written communication from any Person (1) affecting or relating to Borrower’s compliance with any Environmental Law in connection with any activity or operations at any time conducted by Borrower, (2) relating to the occurrence or presence of or exposure to or possible or threatened or alleged occurrence or presence of or exposure to Environmental Discharges or Hazardous Materials at any of Borrower’s locations or facilities, including, without limitation: (a) the existence of any contamination or possible or threatened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134" w:right="339" w:bottom="1440" w:gutter="0" w:footer="0" w:header="0"/>
        </w:sectPr>
      </w:pPr>
    </w:p>
    <w:bookmarkStart w:id="173" w:name="page174"/>
    <w:bookmarkEnd w:id="173"/>
    <w:p>
      <w:pPr>
        <w:ind w:right="380"/>
        <w:spacing w:after="0" w:line="280" w:lineRule="auto"/>
        <w:rPr>
          <w:sz w:val="20"/>
          <w:szCs w:val="20"/>
          <w:color w:val="auto"/>
        </w:rPr>
      </w:pPr>
      <w:r>
        <w:rPr>
          <w:rFonts w:ascii="Times New Roman" w:cs="Times New Roman" w:eastAsia="Times New Roman" w:hAnsi="Times New Roman"/>
          <w:sz w:val="21"/>
          <w:szCs w:val="21"/>
          <w:color w:val="auto"/>
        </w:rPr>
        <w:t>contamination at any such location or facility and (b) remediation of any Environmental Discharge or Hazardous Materials at any such location or facility or any part thereof; and (3) any violation or alleged violation of any relevant Environmental Law.</w:t>
      </w:r>
    </w:p>
    <w:p>
      <w:pPr>
        <w:spacing w:after="0" w:line="144" w:lineRule="exact"/>
        <w:rPr>
          <w:sz w:val="20"/>
          <w:szCs w:val="20"/>
          <w:color w:val="auto"/>
        </w:rPr>
      </w:pPr>
    </w:p>
    <w:p>
      <w:pPr>
        <w:ind w:right="4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Employee Retirement Income Security Act of 1974, including the rules and regulations promulgated thereunder.</w:t>
      </w:r>
    </w:p>
    <w:p>
      <w:pPr>
        <w:spacing w:after="0" w:line="157" w:lineRule="exact"/>
        <w:rPr>
          <w:sz w:val="20"/>
          <w:szCs w:val="20"/>
          <w:color w:val="auto"/>
        </w:rPr>
      </w:pPr>
    </w:p>
    <w:p>
      <w:pPr>
        <w:ind w:right="2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Affiliate</w:t>
      </w:r>
      <w:r>
        <w:rPr>
          <w:rFonts w:ascii="Times New Roman" w:cs="Times New Roman" w:eastAsia="Times New Roman" w:hAnsi="Times New Roman"/>
          <w:sz w:val="21"/>
          <w:szCs w:val="21"/>
          <w:color w:val="auto"/>
        </w:rPr>
        <w:t>” means any corporation or trade or business which is a member of the same controlled group of organizations (within the meaning of Section 414(b) of the Code) as Borrower or General Partner or is under common control (within the meaning of Section 414(c) of the Code) with Borrower or General Partner or is required to be treated as a single employer with Borrower or General Partner under Section 414(m) or 414(o) of the Code.</w:t>
      </w:r>
    </w:p>
    <w:p>
      <w:pPr>
        <w:spacing w:after="0" w:line="167" w:lineRule="exact"/>
        <w:rPr>
          <w:sz w:val="20"/>
          <w:szCs w:val="20"/>
          <w:color w:val="auto"/>
        </w:rPr>
      </w:pPr>
    </w:p>
    <w:p>
      <w:pPr>
        <w:ind w:right="8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 Bail-In Legislation Schedule</w:t>
      </w:r>
      <w:r>
        <w:rPr>
          <w:rFonts w:ascii="Times New Roman" w:cs="Times New Roman" w:eastAsia="Times New Roman" w:hAnsi="Times New Roman"/>
          <w:sz w:val="21"/>
          <w:szCs w:val="21"/>
          <w:color w:val="auto"/>
        </w:rPr>
        <w:t>” means the EU Bail-In Legislation Schedule published by the Loan Market Association (or any successor person), as in effect from time to time.</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has the meaning specified in Section 9.01.</w:t>
      </w:r>
    </w:p>
    <w:p>
      <w:pPr>
        <w:spacing w:after="0" w:line="217" w:lineRule="exact"/>
        <w:rPr>
          <w:sz w:val="20"/>
          <w:szCs w:val="20"/>
          <w:color w:val="auto"/>
        </w:rPr>
      </w:pPr>
    </w:p>
    <w:p>
      <w:pPr>
        <w:ind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means any of the following Taxes imposed on or with respect to a Recipient or required to be withheld or deducted from a payment to a Recipient: (a) Taxes imposed on or measured by net income (however denominated), profits or gains, franchise Taxes (imposed in lieu of income Taxes), and branch profits Taxes (or any similar Taxes), in each case, (i) imposed as a result of such Recipient being organized under the laws of, or having its principal office or, in the case of any Bank, its applicable lending office located in, the jurisdiction imposing such Tax (or any political subdivision thereof) or (ii) that are Other Connection Taxes, (b) in the case of a Bank, U.S. Federal withholding Taxes imposed on amounts payable to or for the account of such Bank with respect to an applicable interest in a Loan or Loan Commitment pursuant to a law in effect on the date on which (i) such Bank acquires such interest in such Loan or Loan Commitment (other than pursuant to an assignment requested by the Borrower under Section 3.07) or (ii) such Bank changes its lending office, except in each case to the extent that, pursuant to Section 10.13, amounts with respect to such Taxes were payable either to such Bank's assignor immediately before such Bank acquired the applicable interest in a Loan or Loan Commitment or to such Bank immediately before it changed its lending office, (c) Taxes attributable to such Recipient's failure to comply with Section 10.13 and (d) any U.S. Federal withholding Taxes imposed under FATCA.</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Execution Date</w:t>
      </w:r>
      <w:r>
        <w:rPr>
          <w:rFonts w:ascii="Times New Roman" w:cs="Times New Roman" w:eastAsia="Times New Roman" w:hAnsi="Times New Roman"/>
          <w:sz w:val="21"/>
          <w:szCs w:val="21"/>
          <w:color w:val="auto"/>
        </w:rPr>
        <w:t>” means the date of this Agreement.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Term Loan Agreement</w:t>
      </w:r>
      <w:r>
        <w:rPr>
          <w:rFonts w:ascii="Times New Roman" w:cs="Times New Roman" w:eastAsia="Times New Roman" w:hAnsi="Times New Roman"/>
          <w:sz w:val="21"/>
          <w:szCs w:val="21"/>
          <w:color w:val="auto"/>
        </w:rPr>
        <w:t>” has the meaning specified in the recitals.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Term Loans</w:t>
      </w:r>
      <w:r>
        <w:rPr>
          <w:rFonts w:ascii="Times New Roman" w:cs="Times New Roman" w:eastAsia="Times New Roman" w:hAnsi="Times New Roman"/>
          <w:sz w:val="21"/>
          <w:szCs w:val="21"/>
          <w:color w:val="auto"/>
        </w:rPr>
        <w:t>” has the meaning specified in Section 2.01(b).</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Exiting Bank</w:t>
      </w:r>
      <w:r>
        <w:rPr>
          <w:rFonts w:ascii="Times New Roman" w:cs="Times New Roman" w:eastAsia="Times New Roman" w:hAnsi="Times New Roman"/>
          <w:sz w:val="21"/>
          <w:szCs w:val="21"/>
          <w:color w:val="auto"/>
        </w:rPr>
        <w:t>” has the meaning specified in Section 12.26.</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Facility Increase</w:t>
      </w:r>
      <w:r>
        <w:rPr>
          <w:rFonts w:ascii="Times New Roman" w:cs="Times New Roman" w:eastAsia="Times New Roman" w:hAnsi="Times New Roman"/>
          <w:sz w:val="21"/>
          <w:szCs w:val="21"/>
          <w:color w:val="auto"/>
        </w:rPr>
        <w:t>” has the meaning assigned to such term in Section 2.16(d).</w:t>
      </w:r>
    </w:p>
    <w:p>
      <w:pPr>
        <w:spacing w:after="0" w:line="204" w:lineRule="exact"/>
        <w:rPr>
          <w:sz w:val="20"/>
          <w:szCs w:val="20"/>
          <w:color w:val="auto"/>
        </w:rPr>
      </w:pPr>
    </w:p>
    <w:p>
      <w:pPr>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means Sections 1471 through 1474 of the Code, as of the date of this Agreement (or any amended or successor version that is substantively comparable and not materially more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134" w:right="339" w:bottom="1440" w:gutter="0" w:footer="0" w:header="0"/>
        </w:sectPr>
      </w:pPr>
    </w:p>
    <w:bookmarkStart w:id="174" w:name="page175"/>
    <w:bookmarkEnd w:id="174"/>
    <w:p>
      <w:pPr>
        <w:jc w:val="both"/>
        <w:spacing w:after="0" w:line="263" w:lineRule="auto"/>
        <w:rPr>
          <w:sz w:val="20"/>
          <w:szCs w:val="20"/>
          <w:color w:val="auto"/>
        </w:rPr>
      </w:pPr>
      <w:r>
        <w:rPr>
          <w:rFonts w:ascii="Times New Roman" w:cs="Times New Roman" w:eastAsia="Times New Roman" w:hAnsi="Times New Roman"/>
          <w:sz w:val="21"/>
          <w:szCs w:val="21"/>
          <w:color w:val="auto"/>
        </w:rPr>
        <w:t>onerous to comply with), any current or future regulations or official interpretations thereof, any agreement entered into pursuant to Section 1471(b)(1) of the Code or any fiscal or regulatory legislation, rules or practices adopted pursuant to any intergovernmental agreement entered into in connection with the implementation of such Sections of the Code.</w:t>
      </w:r>
    </w:p>
    <w:p>
      <w:pPr>
        <w:spacing w:after="0" w:line="149" w:lineRule="exact"/>
        <w:rPr>
          <w:sz w:val="20"/>
          <w:szCs w:val="20"/>
          <w:color w:val="auto"/>
        </w:rPr>
      </w:pPr>
    </w:p>
    <w:p>
      <w:pPr>
        <w:ind w:right="2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Funds Effective Rate</w:t>
      </w:r>
      <w:r>
        <w:rPr>
          <w:rFonts w:ascii="Times New Roman" w:cs="Times New Roman" w:eastAsia="Times New Roman" w:hAnsi="Times New Roman"/>
          <w:sz w:val="21"/>
          <w:szCs w:val="21"/>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Banking Day by the NYFRB as the effective federal funds rate;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Federal Funds Effective Rate as so determined would be less than 0%, such rate shall be deemed to be 0% for the purposes of this Agreement.</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Reserve Board</w:t>
      </w:r>
      <w:r>
        <w:rPr>
          <w:rFonts w:ascii="Times New Roman" w:cs="Times New Roman" w:eastAsia="Times New Roman" w:hAnsi="Times New Roman"/>
          <w:sz w:val="21"/>
          <w:szCs w:val="21"/>
          <w:color w:val="auto"/>
        </w:rPr>
        <w:t>” means the Board of Governors of the Federal Reserve System of the United States of America.</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means each period from January 1 to December 31.</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Fitch</w:t>
      </w:r>
      <w:r>
        <w:rPr>
          <w:rFonts w:ascii="Times New Roman" w:cs="Times New Roman" w:eastAsia="Times New Roman" w:hAnsi="Times New Roman"/>
          <w:sz w:val="21"/>
          <w:szCs w:val="21"/>
          <w:color w:val="auto"/>
        </w:rPr>
        <w:t>” means Fitch, Inc. and its successors.</w:t>
      </w:r>
    </w:p>
    <w:p>
      <w:pPr>
        <w:spacing w:after="0" w:line="230" w:lineRule="exact"/>
        <w:rPr>
          <w:sz w:val="20"/>
          <w:szCs w:val="20"/>
          <w:color w:val="auto"/>
        </w:rPr>
      </w:pPr>
    </w:p>
    <w:p>
      <w:pPr>
        <w:ind w:right="20" w:firstLine="629"/>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Charges</w:t>
      </w:r>
      <w:r>
        <w:rPr>
          <w:rFonts w:ascii="Times New Roman" w:cs="Times New Roman" w:eastAsia="Times New Roman" w:hAnsi="Times New Roman"/>
          <w:sz w:val="20"/>
          <w:szCs w:val="20"/>
          <w:color w:val="auto"/>
        </w:rPr>
        <w:t>” means, without duplication, in respect of any period of four consecutive quarters, the sum of (i) the Borrower’s Pro Rata Share of Interest Expense for such period attributable to Debt in respect of Consolidated Businesses and Real Property UJVs, as well as to any other Debt that is Recourse to the Borrower, multiplied by four (4); and (ii) distributions during such period on preferred units of the Borrower, as determined on a consolidated basis, in accordance with GAAP, multiplied by four (4).</w:t>
      </w:r>
    </w:p>
    <w:p>
      <w:pPr>
        <w:spacing w:after="0" w:line="151" w:lineRule="exact"/>
        <w:rPr>
          <w:sz w:val="20"/>
          <w:szCs w:val="20"/>
          <w:color w:val="auto"/>
        </w:rPr>
      </w:pPr>
    </w:p>
    <w:p>
      <w:pPr>
        <w:jc w:val="both"/>
        <w:ind w:right="160"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Floor</w:t>
      </w:r>
      <w:r>
        <w:rPr>
          <w:rFonts w:ascii="Times New Roman" w:cs="Times New Roman" w:eastAsia="Times New Roman" w:hAnsi="Times New Roman"/>
          <w:sz w:val="21"/>
          <w:szCs w:val="21"/>
          <w:color w:val="auto"/>
        </w:rPr>
        <w:t>” means the benchmark rate floor, if any, provided in this Agreement initially (as of the execution of this Agreement, the modification, amendment or renewal of this Agreement or otherwise) with respect to the Term SOFR Rate. For the avoidance of doubt the initial Floor for the Term SOFR Rate shall be 0.0%.</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u w:val="single" w:color="auto"/>
          <w:color w:val="auto"/>
        </w:rPr>
        <w:t>Foreign Bank</w:t>
      </w:r>
      <w:r>
        <w:rPr>
          <w:rFonts w:ascii="Times New Roman" w:cs="Times New Roman" w:eastAsia="Times New Roman" w:hAnsi="Times New Roman"/>
          <w:sz w:val="21"/>
          <w:szCs w:val="21"/>
          <w:color w:val="auto"/>
        </w:rPr>
        <w:t>” means a Bank that is not a U.S. Person.</w:t>
      </w:r>
    </w:p>
    <w:p>
      <w:pPr>
        <w:spacing w:after="0" w:line="219" w:lineRule="exact"/>
        <w:rPr>
          <w:sz w:val="20"/>
          <w:szCs w:val="20"/>
          <w:color w:val="auto"/>
        </w:rPr>
      </w:pPr>
    </w:p>
    <w:p>
      <w:pPr>
        <w:ind w:right="60"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means accounting principles generally accepted in the United States of America as in effect from time to time, applied on a basis consistent with those used in the preparation of the financial statements referred to in Section 5.15 (captioned “Financial Statements”) (except for changes concurred to by Borrower’s Accountants); provided that, if the Borrower notifies the Administrative Agent that the Borrower requests an amendment to any provision hereof to eliminate the effect of any change occurring after the date hereof in GAAP or in the application of any such change on the operation of such provision, or if the Administrative Agent notifies the Borrower that the Required Banks request an amendment to any provision hereof for such purpose, in either case, regardless of whether any such notice is given before or after such change in GAAP or in the application of any such change, then such provision shall be interpreted on the basis of GAAP as in effect and applied for purposes of this Agreement immediately before such change shall have become effective.</w:t>
      </w:r>
    </w:p>
    <w:p>
      <w:pPr>
        <w:spacing w:after="0" w:line="175" w:lineRule="exact"/>
        <w:rPr>
          <w:sz w:val="20"/>
          <w:szCs w:val="20"/>
          <w:color w:val="auto"/>
        </w:rPr>
      </w:pPr>
    </w:p>
    <w:p>
      <w:pPr>
        <w:ind w:right="42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General Partner</w:t>
      </w:r>
      <w:r>
        <w:rPr>
          <w:rFonts w:ascii="Times New Roman" w:cs="Times New Roman" w:eastAsia="Times New Roman" w:hAnsi="Times New Roman"/>
          <w:sz w:val="21"/>
          <w:szCs w:val="21"/>
          <w:color w:val="auto"/>
        </w:rPr>
        <w:t>” means Vornado Realty Trust, a real estate investment trust organized and existing under the laws of the State of Maryland and the sole general partner of Borrower.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134" w:right="339" w:bottom="1440" w:gutter="0" w:footer="0" w:header="0"/>
        </w:sectPr>
      </w:pPr>
    </w:p>
    <w:bookmarkStart w:id="175" w:name="page176"/>
    <w:bookmarkEnd w:id="175"/>
    <w:p>
      <w:pPr>
        <w:ind w:right="4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Faith Contest</w:t>
      </w:r>
      <w:r>
        <w:rPr>
          <w:rFonts w:ascii="Times New Roman" w:cs="Times New Roman" w:eastAsia="Times New Roman" w:hAnsi="Times New Roman"/>
          <w:sz w:val="21"/>
          <w:szCs w:val="21"/>
          <w:color w:val="auto"/>
        </w:rPr>
        <w:t>” means the contest of an item if: (1) the item is diligently contested in good faith, and, if appropriate, by proceedings timely instituted; (2) adequate reserves are established with respect to the contested item; (3) during the period of such contest, the enforcement of any contested item is effectively stayed; and (4) the failure to pay or comply with the contested item during the period of the contest is not likely to result in a Material Adverse Change.</w:t>
      </w:r>
    </w:p>
    <w:p>
      <w:pPr>
        <w:spacing w:after="0" w:line="180" w:lineRule="exact"/>
        <w:rPr>
          <w:sz w:val="20"/>
          <w:szCs w:val="20"/>
          <w:color w:val="auto"/>
        </w:rPr>
      </w:pPr>
    </w:p>
    <w:p>
      <w:pPr>
        <w:ind w:right="12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any nation or government, any state or other political subdivision thereof, and any agency, authority, regulatory body, central bank or other entity exercising executive, legislative, judicial, regulatory or administrative functions of or pertaining to government (including any supra-national bodies such as the European Union or the European Central Bank).</w:t>
      </w:r>
    </w:p>
    <w:p>
      <w:pPr>
        <w:spacing w:after="0" w:line="167" w:lineRule="exact"/>
        <w:rPr>
          <w:sz w:val="20"/>
          <w:szCs w:val="20"/>
          <w:color w:val="auto"/>
        </w:rPr>
      </w:pPr>
    </w:p>
    <w:p>
      <w:pPr>
        <w:ind w:right="18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Gross Book Value</w:t>
      </w:r>
      <w:r>
        <w:rPr>
          <w:rFonts w:ascii="Times New Roman" w:cs="Times New Roman" w:eastAsia="Times New Roman" w:hAnsi="Times New Roman"/>
          <w:sz w:val="21"/>
          <w:szCs w:val="21"/>
          <w:color w:val="auto"/>
        </w:rPr>
        <w:t>” means the undepreciated book value of assets comprising a business net of impairments, determined in accordance with GAAP.</w:t>
      </w:r>
    </w:p>
    <w:p>
      <w:pPr>
        <w:spacing w:after="0" w:line="157" w:lineRule="exact"/>
        <w:rPr>
          <w:sz w:val="20"/>
          <w:szCs w:val="20"/>
          <w:color w:val="auto"/>
        </w:rPr>
      </w:pPr>
    </w:p>
    <w:p>
      <w:pPr>
        <w:jc w:val="both"/>
        <w:ind w:right="10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means any pollutant, effluents, emissions, contaminants, toxic or hazardous wastes or substances, as any of those terms are defined from time to time in or for the purposes of any relevant Environmental Law, including asbestos fibers and friable asbestos, polychlorinated biphenyls, and any petroleum or hydrocarbon-based products or derivatives.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Increased Amount Date</w:t>
      </w:r>
      <w:r>
        <w:rPr>
          <w:rFonts w:ascii="Times New Roman" w:cs="Times New Roman" w:eastAsia="Times New Roman" w:hAnsi="Times New Roman"/>
          <w:sz w:val="21"/>
          <w:szCs w:val="21"/>
          <w:color w:val="auto"/>
        </w:rPr>
        <w:t>” has the meaning assigned to such term in Section 2.16(d).</w:t>
      </w:r>
    </w:p>
    <w:p>
      <w:pPr>
        <w:spacing w:after="0" w:line="217"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Taxes</w:t>
      </w:r>
      <w:r>
        <w:rPr>
          <w:rFonts w:ascii="Times New Roman" w:cs="Times New Roman" w:eastAsia="Times New Roman" w:hAnsi="Times New Roman"/>
          <w:sz w:val="21"/>
          <w:szCs w:val="21"/>
          <w:color w:val="auto"/>
        </w:rPr>
        <w:t>” means (a) Taxes, other than Excluded Taxes, imposed on or with respect to any payment made by or on account of any obligation of the Borrower under any Loan Document and (b) to the extent not otherwise described in (a) hereof, Other Taxes.</w:t>
      </w:r>
    </w:p>
    <w:p>
      <w:pPr>
        <w:spacing w:after="0" w:line="154"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Expense</w:t>
      </w:r>
      <w:r>
        <w:rPr>
          <w:rFonts w:ascii="Times New Roman" w:cs="Times New Roman" w:eastAsia="Times New Roman" w:hAnsi="Times New Roman"/>
          <w:sz w:val="20"/>
          <w:szCs w:val="20"/>
          <w:color w:val="auto"/>
        </w:rPr>
        <w:t>” means, for any period of four consecutive quarters, the consolidated interest expense, whether paid, accrued or capitalized (without deduction of consolidated interest income) of Borrower that is attributable to Borrower’s Pro Rata Share in its Consolidated Businesses in respect of Real Property Businesses, including, without limitation or duplication (or, to the extent not so included, with the addition of), (1) the portion of any rental obligation in respect of any Capital Lease obligation allocable to interest expense in accordance with GAAP; (2) the amortization of Debt discounts and premiums; (3) any payments or fees (other than upfront fees) with respect to interest rate swap or similar agreements; and (4) the interest expense and items listed in clauses (1) through (3) above applicable to each of the UJVs (to the extent not included above) multiplied by Borrower’s Pro Rata Share in the UJVs in respect of Real Property Businesses, in all cases as reflected in the Borrower’s Consolidated Financial Statements, provided that there shall be excluded from Interest Expense capitalized interest covered by an interest reserve established under a loan facility (such as capitalized construction interest provided for in a construction loan). “Interest Expense” shall not include the non-cash portion of interest expense attributable to convertible Debt determined in accordance with ASC 470-20.</w:t>
      </w:r>
    </w:p>
    <w:p>
      <w:pPr>
        <w:spacing w:after="0" w:line="159"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means (a) with respect to any Base Rate Loan, (i) the first (1st) Banking Day of each calendar quarter for the preceding calendar quarter, and (ii) at maturity, whether by acceleration or otherwise and (b) with respect to any Term Benchmark Loan, (i) the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00"/>
          </w:cols>
          <w:pgMar w:left="320" w:top="1134" w:right="379" w:bottom="1440" w:gutter="0" w:footer="0" w:header="0"/>
        </w:sectPr>
      </w:pPr>
    </w:p>
    <w:bookmarkStart w:id="176" w:name="page177"/>
    <w:bookmarkEnd w:id="176"/>
    <w:p>
      <w:pPr>
        <w:ind w:right="60"/>
        <w:spacing w:after="0" w:line="263" w:lineRule="auto"/>
        <w:rPr>
          <w:sz w:val="20"/>
          <w:szCs w:val="20"/>
          <w:color w:val="auto"/>
        </w:rPr>
      </w:pPr>
      <w:r>
        <w:rPr>
          <w:rFonts w:ascii="Times New Roman" w:cs="Times New Roman" w:eastAsia="Times New Roman" w:hAnsi="Times New Roman"/>
          <w:sz w:val="21"/>
          <w:szCs w:val="21"/>
          <w:color w:val="auto"/>
        </w:rPr>
        <w:t xml:space="preserve">last day of each Interest Period applicable to such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in the case of a Term Benchmark Loan with an Interest Period of more than three months’ duration, </w:t>
      </w:r>
      <w:r>
        <w:rPr>
          <w:rFonts w:ascii="Times New Roman" w:cs="Times New Roman" w:eastAsia="Times New Roman" w:hAnsi="Times New Roman"/>
          <w:sz w:val="21"/>
          <w:szCs w:val="21"/>
          <w:u w:val="single" w:color="auto"/>
          <w:color w:val="auto"/>
        </w:rPr>
        <w:t>then</w:t>
      </w:r>
      <w:r>
        <w:rPr>
          <w:rFonts w:ascii="Times New Roman" w:cs="Times New Roman" w:eastAsia="Times New Roman" w:hAnsi="Times New Roman"/>
          <w:sz w:val="21"/>
          <w:szCs w:val="21"/>
          <w:color w:val="auto"/>
        </w:rPr>
        <w:t xml:space="preserve"> each day prior to the last day of such Interest Period that occurs at intervals of three months’ duration after the first day of such Interest Period and (ii) at maturity, whether by acceleration or otherwise.</w:t>
      </w:r>
    </w:p>
    <w:p>
      <w:pPr>
        <w:spacing w:after="0" w:line="162"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means, with respect to any Term Benchmark Loan, the period commencing on the date of such Loan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 if any Interest Period would end on a day other than a Banking Day, such Interest Period shall be extended to the next succeeding Banking Day unless such next succeeding Banking Day would fall in the next calendar month, in which case such Interest Period shall end on the next preceding Banking Day, (ii) any Interest Period that commences on the last Banking Day of a calendar month (or on a day for which there is no numerically corresponding day in the last calendar month of such Interest Period) shall end on the last Banking Day of the last calendar month of such Interest Period and (iii) no tenor that has been removed from this definition pursuant to Section 3.02(e) shall be available for specification in such borrowing request or notice of Election, Conversion or Continuation. For purposes hereof, the date of a Loan initially shall be the date on which the borrowing of such Loan is made and thereafter shall be the effective date of the most recent conversion or continuation of such Loan.</w:t>
      </w:r>
    </w:p>
    <w:p>
      <w:pPr>
        <w:spacing w:after="0" w:line="173" w:lineRule="exact"/>
        <w:rPr>
          <w:sz w:val="20"/>
          <w:szCs w:val="20"/>
          <w:color w:val="auto"/>
        </w:rPr>
      </w:pPr>
    </w:p>
    <w:p>
      <w:pPr>
        <w:ind w:right="160"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Joint Lead Arrangers</w:t>
      </w:r>
      <w:r>
        <w:rPr>
          <w:rFonts w:ascii="Times New Roman" w:cs="Times New Roman" w:eastAsia="Times New Roman" w:hAnsi="Times New Roman"/>
          <w:sz w:val="21"/>
          <w:szCs w:val="21"/>
          <w:color w:val="auto"/>
        </w:rPr>
        <w:t>” means the financial institutions listed on the cover page to this Agreement as a “joint lead arranger”, including the Lead Arrangers.</w:t>
      </w:r>
    </w:p>
    <w:p>
      <w:pPr>
        <w:spacing w:after="0" w:line="129" w:lineRule="exact"/>
        <w:rPr>
          <w:sz w:val="20"/>
          <w:szCs w:val="20"/>
          <w:color w:val="auto"/>
        </w:rPr>
      </w:pPr>
    </w:p>
    <w:p>
      <w:pPr>
        <w:ind w:right="480"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w:t>
      </w:r>
      <w:r>
        <w:rPr>
          <w:rFonts w:ascii="Times New Roman" w:cs="Times New Roman" w:eastAsia="Times New Roman" w:hAnsi="Times New Roman"/>
          <w:sz w:val="21"/>
          <w:szCs w:val="21"/>
          <w:color w:val="auto"/>
        </w:rPr>
        <w:t xml:space="preserve">” means Scope 1 and Scope 2 emissions, as defined in </w:t>
      </w:r>
      <w:r>
        <w:rPr>
          <w:rFonts w:ascii="Times New Roman" w:cs="Times New Roman" w:eastAsia="Times New Roman" w:hAnsi="Times New Roman"/>
          <w:sz w:val="21"/>
          <w:szCs w:val="21"/>
          <w:i w:val="1"/>
          <w:iCs w:val="1"/>
          <w:color w:val="auto"/>
        </w:rPr>
        <w:t>The Greenhouse Gas Protocol: A Corporate Accounting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Reporting Standard: Revised Edition </w:t>
      </w:r>
      <w:r>
        <w:rPr>
          <w:rFonts w:ascii="Times New Roman" w:cs="Times New Roman" w:eastAsia="Times New Roman" w:hAnsi="Times New Roman"/>
          <w:sz w:val="21"/>
          <w:szCs w:val="21"/>
          <w:color w:val="auto"/>
        </w:rPr>
        <w:t>as published by the World Business Council for Sustainable Development and the World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Resources Institute and in effect on the date of this Agreement, and as calculated at the end of a fiscal year and which shall be reported in the applicable KPI Metrics Report.</w:t>
      </w:r>
    </w:p>
    <w:p>
      <w:pPr>
        <w:spacing w:after="0" w:line="178" w:lineRule="exact"/>
        <w:rPr>
          <w:sz w:val="20"/>
          <w:szCs w:val="20"/>
          <w:color w:val="auto"/>
        </w:rPr>
      </w:pPr>
    </w:p>
    <w:p>
      <w:pPr>
        <w:ind w:right="20"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 Applicable Margin Adjustment Amount</w:t>
      </w:r>
      <w:r>
        <w:rPr>
          <w:rFonts w:ascii="Times New Roman" w:cs="Times New Roman" w:eastAsia="Times New Roman" w:hAnsi="Times New Roman"/>
          <w:sz w:val="21"/>
          <w:szCs w:val="21"/>
          <w:color w:val="auto"/>
        </w:rPr>
        <w:t>” means, with respect to any period between Sustainability Pricing Adjustment Dates, (a) positive 0.05%, if the KPI for such period as set forth in the KPI Metrics Report is greater than the KPI Threshold for such period, (b) 0.00%, if the KPI for such period as set forth in the KPI Metrics Report is less than or equal to the KPI Threshold for such period but greater than the KPI Target for such period, and (c) negative 0.05%, if the KPI for such period as set forth in the KPI Metrics Report is less than or equal to the KPI Target for such period.</w:t>
      </w:r>
    </w:p>
    <w:p>
      <w:pPr>
        <w:spacing w:after="0" w:line="171" w:lineRule="exact"/>
        <w:rPr>
          <w:sz w:val="20"/>
          <w:szCs w:val="20"/>
          <w:color w:val="auto"/>
        </w:rPr>
      </w:pPr>
    </w:p>
    <w:p>
      <w:pPr>
        <w:ind w:right="380"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 Metrics Report</w:t>
      </w:r>
      <w:r>
        <w:rPr>
          <w:rFonts w:ascii="Times New Roman" w:cs="Times New Roman" w:eastAsia="Times New Roman" w:hAnsi="Times New Roman"/>
          <w:sz w:val="21"/>
          <w:szCs w:val="21"/>
          <w:color w:val="auto"/>
        </w:rPr>
        <w:t>” means an annual report (it being understood that this annual report may take the form of the annual Sustainability Report) audited by the Sustainability Assurance Provider that sets forth the calculations for the KPI for a specific calendar year.</w:t>
      </w:r>
    </w:p>
    <w:p>
      <w:pPr>
        <w:spacing w:after="0" w:line="154" w:lineRule="exact"/>
        <w:rPr>
          <w:sz w:val="20"/>
          <w:szCs w:val="20"/>
          <w:color w:val="auto"/>
        </w:rPr>
      </w:pPr>
    </w:p>
    <w:p>
      <w:pPr>
        <w:ind w:right="10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 Target</w:t>
      </w:r>
      <w:r>
        <w:rPr>
          <w:rFonts w:ascii="Times New Roman" w:cs="Times New Roman" w:eastAsia="Times New Roman" w:hAnsi="Times New Roman"/>
          <w:sz w:val="21"/>
          <w:szCs w:val="21"/>
          <w:color w:val="auto"/>
        </w:rPr>
        <w:t xml:space="preserve">” means, with respect to any calendar year, the KPI Target for such calendar year as set forth in the Sustainability Table, as the same may be adjusted from time to time as a result of a Sustainability Recalculation Event or otherwise in accordance with </w:t>
      </w:r>
      <w:r>
        <w:rPr>
          <w:rFonts w:ascii="Times New Roman" w:cs="Times New Roman" w:eastAsia="Times New Roman" w:hAnsi="Times New Roman"/>
          <w:sz w:val="21"/>
          <w:szCs w:val="21"/>
          <w:u w:val="single" w:color="auto"/>
          <w:color w:val="auto"/>
        </w:rPr>
        <w:t>Section 1.07</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20"/>
          </w:cols>
          <w:pgMar w:left="320" w:top="1134" w:right="359" w:bottom="1440" w:gutter="0" w:footer="0" w:header="0"/>
        </w:sectPr>
      </w:pPr>
    </w:p>
    <w:bookmarkStart w:id="177" w:name="page178"/>
    <w:bookmarkEnd w:id="177"/>
    <w:p>
      <w:pPr>
        <w:ind w:right="2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 Threshold</w:t>
      </w:r>
      <w:r>
        <w:rPr>
          <w:rFonts w:ascii="Times New Roman" w:cs="Times New Roman" w:eastAsia="Times New Roman" w:hAnsi="Times New Roman"/>
          <w:sz w:val="21"/>
          <w:szCs w:val="21"/>
          <w:color w:val="auto"/>
        </w:rPr>
        <w:t xml:space="preserve"> ” means, with respect to any calendar year, the KPI Threshold for such calendar year as set forth in the Sustainability Table, as the same may be adjusted from time to time as a result of a Sustainability Recalculation Event or otherwise in accordance with </w:t>
      </w:r>
      <w:r>
        <w:rPr>
          <w:rFonts w:ascii="Times New Roman" w:cs="Times New Roman" w:eastAsia="Times New Roman" w:hAnsi="Times New Roman"/>
          <w:sz w:val="21"/>
          <w:szCs w:val="21"/>
          <w:u w:val="single" w:color="auto"/>
          <w:color w:val="auto"/>
        </w:rPr>
        <w:t>Section 1.07</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right="220"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means any federal, state or local statute, law, rule, regulation, ordinance, order, code, or rule of common law, now or hereafter in effect, and in each case as amended, and any judicial or administrative interpretation thereof by a Governmental Authority or otherwise, including any judicial or administrative order, consent decree or judgment.</w:t>
      </w:r>
    </w:p>
    <w:p>
      <w:pPr>
        <w:spacing w:after="0" w:line="154" w:lineRule="exact"/>
        <w:rPr>
          <w:sz w:val="20"/>
          <w:szCs w:val="20"/>
          <w:color w:val="auto"/>
        </w:rPr>
      </w:pPr>
    </w:p>
    <w:p>
      <w:pPr>
        <w:ind w:right="48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Lead Arrangers</w:t>
      </w:r>
      <w:r>
        <w:rPr>
          <w:rFonts w:ascii="Times New Roman" w:cs="Times New Roman" w:eastAsia="Times New Roman" w:hAnsi="Times New Roman"/>
          <w:sz w:val="21"/>
          <w:szCs w:val="21"/>
          <w:color w:val="auto"/>
        </w:rPr>
        <w:t>” means JPMorgan Chase Bank, N.A., BMO Capital Markets Corp., BofA Securities, Inc., PNC Capital Markets LLC, Wells Fargo Securities, LLC and U.S. Bank National Association.</w:t>
      </w:r>
    </w:p>
    <w:p>
      <w:pPr>
        <w:spacing w:after="0" w:line="144" w:lineRule="exact"/>
        <w:rPr>
          <w:sz w:val="20"/>
          <w:szCs w:val="20"/>
          <w:color w:val="auto"/>
        </w:rPr>
      </w:pPr>
    </w:p>
    <w:p>
      <w:pPr>
        <w:ind w:right="28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Lender-Related Person</w:t>
      </w:r>
      <w:r>
        <w:rPr>
          <w:rFonts w:ascii="Times New Roman" w:cs="Times New Roman" w:eastAsia="Times New Roman" w:hAnsi="Times New Roman"/>
          <w:sz w:val="21"/>
          <w:szCs w:val="21"/>
          <w:color w:val="auto"/>
        </w:rPr>
        <w:t>” means the Administrative Agent, any Lead Arranger, and any Bank, and any Affiliates, directors, officers, employees, agents and advisors of any of the foregoing Persons.</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Liabilities</w:t>
      </w:r>
      <w:r>
        <w:rPr>
          <w:rFonts w:ascii="Times New Roman" w:cs="Times New Roman" w:eastAsia="Times New Roman" w:hAnsi="Times New Roman"/>
          <w:sz w:val="21"/>
          <w:szCs w:val="21"/>
          <w:color w:val="auto"/>
        </w:rPr>
        <w:t>” means any losses, claims (including intraparty claims), demands, damages or liabilities of any kind.</w:t>
      </w:r>
    </w:p>
    <w:p>
      <w:pPr>
        <w:spacing w:after="0" w:line="217" w:lineRule="exact"/>
        <w:rPr>
          <w:sz w:val="20"/>
          <w:szCs w:val="20"/>
          <w:color w:val="auto"/>
        </w:rPr>
      </w:pPr>
    </w:p>
    <w:p>
      <w:pPr>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any mortgage, deed of trust, pledge, security interest, hypothecation, assignment for collateral purposes, deposit arrangement, lien (statutory or other), or other security agreement or charge of any kind or nature whatsoever of any third party (excluding any right of setoff but including, without limitation, any conditional sale or other title retention agreement, any financing lease having substantially the same economic effect as any of the foregoing, and the filing of any financing statement under the Uniform Commercial Code or comparable law of any jurisdiction to evidence any of the foregoing).</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means, with respect to each Bank, its advances of Term Loans (including any New Term Loans), collectively.</w:t>
      </w:r>
    </w:p>
    <w:p>
      <w:pPr>
        <w:spacing w:after="0" w:line="217" w:lineRule="exact"/>
        <w:rPr>
          <w:sz w:val="20"/>
          <w:szCs w:val="20"/>
          <w:color w:val="auto"/>
        </w:rPr>
      </w:pPr>
    </w:p>
    <w:p>
      <w:pPr>
        <w:ind w:right="60" w:firstLine="629"/>
        <w:spacing w:after="0" w:line="27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Commitment</w:t>
      </w:r>
      <w:r>
        <w:rPr>
          <w:rFonts w:ascii="Times New Roman" w:cs="Times New Roman" w:eastAsia="Times New Roman" w:hAnsi="Times New Roman"/>
          <w:sz w:val="20"/>
          <w:szCs w:val="20"/>
          <w:color w:val="auto"/>
        </w:rPr>
        <w:t xml:space="preserve">” means, with respect to each Bank, the obligation to make a Term Loan in the principal amount set forth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attached hereto and incorporated herein, as such amount may be increased from time to time in accordance with the provisions of Section 2.16, including any New Term Loan Commitments (upon the execution of Assignment and Assumption Agreements, the definition of Loan Commitment shall be deemed revised to reflect the assignment being effected pursuant to each such Assignment and Assumption Agreement). The aggregate amount of the Loan Commitments on the date hereof is $850,000,000.</w:t>
      </w:r>
    </w:p>
    <w:p>
      <w:pPr>
        <w:spacing w:after="0" w:line="15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 means this Agreement, the Notes, the Authorization Letter and the Solvency Certificate, any amendments, modifications or supplements thereto, and any other agreements entered into in connection with this Agreement that are designated as “Loan Documents”.</w:t>
      </w:r>
    </w:p>
    <w:p>
      <w:pPr>
        <w:spacing w:after="0" w:line="162" w:lineRule="exact"/>
        <w:rPr>
          <w:sz w:val="20"/>
          <w:szCs w:val="20"/>
          <w:color w:val="auto"/>
        </w:rPr>
      </w:pPr>
    </w:p>
    <w:p>
      <w:pPr>
        <w:ind w:right="400"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Change</w:t>
      </w:r>
      <w:r>
        <w:rPr>
          <w:rFonts w:ascii="Times New Roman" w:cs="Times New Roman" w:eastAsia="Times New Roman" w:hAnsi="Times New Roman"/>
          <w:sz w:val="21"/>
          <w:szCs w:val="21"/>
          <w:color w:val="auto"/>
        </w:rPr>
        <w:t>” means either (1) a material adverse change in the status of the business, results of operations, financial condition, or property of Borrower or (2) any event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20"/>
          </w:cols>
          <w:pgMar w:left="320" w:top="1134" w:right="359" w:bottom="1440" w:gutter="0" w:footer="0" w:header="0"/>
        </w:sectPr>
      </w:pPr>
    </w:p>
    <w:bookmarkStart w:id="178" w:name="page179"/>
    <w:bookmarkEnd w:id="178"/>
    <w:p>
      <w:pPr>
        <w:ind w:right="940"/>
        <w:spacing w:after="0" w:line="280" w:lineRule="auto"/>
        <w:rPr>
          <w:sz w:val="20"/>
          <w:szCs w:val="20"/>
          <w:color w:val="auto"/>
        </w:rPr>
      </w:pPr>
      <w:r>
        <w:rPr>
          <w:rFonts w:ascii="Times New Roman" w:cs="Times New Roman" w:eastAsia="Times New Roman" w:hAnsi="Times New Roman"/>
          <w:sz w:val="21"/>
          <w:szCs w:val="21"/>
          <w:color w:val="auto"/>
        </w:rPr>
        <w:t>or occurrence of whatever nature which is likely to have a material adverse effect on the ability of Borrower to perform its obligations under the Loan Documents.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Affiliates</w:t>
      </w:r>
      <w:r>
        <w:rPr>
          <w:rFonts w:ascii="Times New Roman" w:cs="Times New Roman" w:eastAsia="Times New Roman" w:hAnsi="Times New Roman"/>
          <w:sz w:val="21"/>
          <w:szCs w:val="21"/>
          <w:color w:val="auto"/>
        </w:rPr>
        <w:t>” means the Affiliates of Borrower listed on EXHIBIT F.</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means February 15, 2029, subject to extension pursuant to Section 2.17.</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Maximum Increase Amount</w:t>
      </w:r>
      <w:r>
        <w:rPr>
          <w:rFonts w:ascii="Times New Roman" w:cs="Times New Roman" w:eastAsia="Times New Roman" w:hAnsi="Times New Roman"/>
          <w:sz w:val="21"/>
          <w:szCs w:val="21"/>
          <w:color w:val="auto"/>
        </w:rPr>
        <w:t>” has the meaning assigned to such term in Section 2.16(d)(i).</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Moody’s</w:t>
      </w:r>
      <w:r>
        <w:rPr>
          <w:rFonts w:ascii="Times New Roman" w:cs="Times New Roman" w:eastAsia="Times New Roman" w:hAnsi="Times New Roman"/>
          <w:sz w:val="21"/>
          <w:szCs w:val="21"/>
          <w:color w:val="auto"/>
        </w:rPr>
        <w:t>” means Moody’s Investors Service, Inc., and its successors.</w:t>
      </w:r>
    </w:p>
    <w:p>
      <w:pPr>
        <w:spacing w:after="0" w:line="217" w:lineRule="exact"/>
        <w:rPr>
          <w:sz w:val="20"/>
          <w:szCs w:val="20"/>
          <w:color w:val="auto"/>
        </w:rPr>
      </w:pPr>
    </w:p>
    <w:p>
      <w:pPr>
        <w:ind w:right="5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Multiemployer Plan</w:t>
      </w:r>
      <w:r>
        <w:rPr>
          <w:rFonts w:ascii="Times New Roman" w:cs="Times New Roman" w:eastAsia="Times New Roman" w:hAnsi="Times New Roman"/>
          <w:sz w:val="21"/>
          <w:szCs w:val="21"/>
          <w:color w:val="auto"/>
        </w:rPr>
        <w:t>” means a Plan defined as such in Section 3(37) of ERISA to which contributions have been or are required to be made by Borrower or General Partner or any ERISA Affiliate and which is covered by Title IV of ERISA.</w:t>
      </w:r>
    </w:p>
    <w:p>
      <w:pPr>
        <w:spacing w:after="0" w:line="144"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Equity Value</w:t>
      </w:r>
      <w:r>
        <w:rPr>
          <w:rFonts w:ascii="Times New Roman" w:cs="Times New Roman" w:eastAsia="Times New Roman" w:hAnsi="Times New Roman"/>
          <w:sz w:val="21"/>
          <w:szCs w:val="21"/>
          <w:color w:val="auto"/>
        </w:rPr>
        <w:t>” means, at any time, the total assets of the applicable business less the total liabilities of such business less the amounts attributable to the minority interest in such business, in each case as determined on a consolidated basis, in accordance with GAAP, subject to the last sentence of the definition of Capitalization Value.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Term Loan Commitments</w:t>
      </w:r>
      <w:r>
        <w:rPr>
          <w:rFonts w:ascii="Times New Roman" w:cs="Times New Roman" w:eastAsia="Times New Roman" w:hAnsi="Times New Roman"/>
          <w:sz w:val="21"/>
          <w:szCs w:val="21"/>
          <w:color w:val="auto"/>
        </w:rPr>
        <w:t>” has the meaning assigned to such term in Section 2.16(d)(i).</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Term Loan</w:t>
      </w:r>
      <w:r>
        <w:rPr>
          <w:rFonts w:ascii="Times New Roman" w:cs="Times New Roman" w:eastAsia="Times New Roman" w:hAnsi="Times New Roman"/>
          <w:sz w:val="21"/>
          <w:szCs w:val="21"/>
          <w:color w:val="auto"/>
        </w:rPr>
        <w:t>” has the meaning assigned to such term in Section 2.16(d)(iii)(A).</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Term Loan Lender</w:t>
      </w:r>
      <w:r>
        <w:rPr>
          <w:rFonts w:ascii="Times New Roman" w:cs="Times New Roman" w:eastAsia="Times New Roman" w:hAnsi="Times New Roman"/>
          <w:sz w:val="21"/>
          <w:szCs w:val="21"/>
          <w:color w:val="auto"/>
        </w:rPr>
        <w:t>” has the meaning assigned to such term in Section 2.16(d)(i).</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have the respective meanings specified in Section 2.09.</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w:t>
      </w:r>
      <w:r>
        <w:rPr>
          <w:rFonts w:ascii="Times New Roman" w:cs="Times New Roman" w:eastAsia="Times New Roman" w:hAnsi="Times New Roman"/>
          <w:sz w:val="21"/>
          <w:szCs w:val="21"/>
          <w:color w:val="auto"/>
        </w:rPr>
        <w:t>” means the Federal Reserve Bank of New York.</w:t>
      </w:r>
    </w:p>
    <w:p>
      <w:pPr>
        <w:spacing w:after="0" w:line="217" w:lineRule="exact"/>
        <w:rPr>
          <w:sz w:val="20"/>
          <w:szCs w:val="20"/>
          <w:color w:val="auto"/>
        </w:rPr>
      </w:pPr>
    </w:p>
    <w:p>
      <w:pPr>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 Rate</w:t>
      </w:r>
      <w:r>
        <w:rPr>
          <w:rFonts w:ascii="Times New Roman" w:cs="Times New Roman" w:eastAsia="Times New Roman" w:hAnsi="Times New Roman"/>
          <w:sz w:val="21"/>
          <w:szCs w:val="21"/>
          <w:color w:val="auto"/>
        </w:rPr>
        <w:t xml:space="preserve">” means, for any day, the greater of (a) the Federal Funds Effective Rate in effect on such day and (b) the Overnight Bank Funding Rate in effect on such day (or for any day that is not a Banking Day, for the immediately preceding Banking Day); provided that if none of such rates are published for any day that is a Banking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if any of the aforesaid rates shall be less than zero, such rate shall be deemed to be zero for purposes of this Agreement.</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NYFRB’s Website</w:t>
      </w:r>
      <w:r>
        <w:rPr>
          <w:rFonts w:ascii="Times New Roman" w:cs="Times New Roman" w:eastAsia="Times New Roman" w:hAnsi="Times New Roman"/>
          <w:sz w:val="21"/>
          <w:szCs w:val="21"/>
          <w:color w:val="auto"/>
        </w:rPr>
        <w:t>” means the website of the NYFRB at http://www.newyorkfed.org, or any successor source.</w:t>
      </w:r>
    </w:p>
    <w:p>
      <w:pPr>
        <w:spacing w:after="0" w:line="217"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means each and every obligation, covenant and agreement of Borrower, now or hereafter existing, contained in this Agreement, and any of the other Loan Documents, whether for principal, reimbursement obligations, interest, fees, expenses, indemnities or otherwise, and any amendments or supplements thereto, extensions or renewals thereof 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00"/>
          </w:cols>
          <w:pgMar w:left="320" w:top="1134" w:right="379" w:bottom="1440" w:gutter="0" w:footer="0" w:header="0"/>
        </w:sectPr>
      </w:pPr>
    </w:p>
    <w:bookmarkStart w:id="179" w:name="page180"/>
    <w:bookmarkEnd w:id="179"/>
    <w:p>
      <w:pPr>
        <w:ind w:right="40"/>
        <w:spacing w:after="0" w:line="256" w:lineRule="auto"/>
        <w:rPr>
          <w:sz w:val="20"/>
          <w:szCs w:val="20"/>
          <w:color w:val="auto"/>
        </w:rPr>
      </w:pPr>
      <w:r>
        <w:rPr>
          <w:rFonts w:ascii="Times New Roman" w:cs="Times New Roman" w:eastAsia="Times New Roman" w:hAnsi="Times New Roman"/>
          <w:sz w:val="21"/>
          <w:szCs w:val="21"/>
          <w:color w:val="auto"/>
        </w:rPr>
        <w:t>replacements therefor, including but not limited to all indebtedness, obligations and liabilities of Borrower to Administrative Agent and any Bank now existing or hereafter incurred under or arising out of or in connection with the Notes, this Agreement, the other Loan Documents, and any documents or instruments executed in connection therewith; in each case whether direct or indirect, joint or several, absolute or contingent, liquidated or unliquidated, now or hereafter existing, renewed or restructured, whether or not from time to time decreased or extinguished and later increased, created or incurred, and including all indebtedness of Borrower under any instrument now or hereafter evidencing or securing any of the foregoing.</w:t>
      </w:r>
    </w:p>
    <w:p>
      <w:pPr>
        <w:spacing w:after="0" w:line="170"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Occupancy Rate</w:t>
      </w:r>
      <w:r>
        <w:rPr>
          <w:rFonts w:ascii="Times New Roman" w:cs="Times New Roman" w:eastAsia="Times New Roman" w:hAnsi="Times New Roman"/>
          <w:sz w:val="21"/>
          <w:szCs w:val="21"/>
          <w:color w:val="auto"/>
        </w:rPr>
        <w:t>” means, with respect to a Real Property Asset at any time, the ratio, expressed as a percentage, of (a) the net rentable square footage of such Real Property Asset leased and occupied by tenants (excluding any tenants that have vacated such Real Property Asset and have not entered into a valid sublease for such space) that are (x) paying rent at rates not materially less than rates generally prevailing at the time the applicable lease was entered into and (y) not more than 90 days delinquent in the payment of rent or in bankruptcy to (b) the aggregate net rentable square footage of such Real Property Asset. For purposes of the definition of “Occupancy Rate”, a tenant shall be deemed to actually occupy a Real Property Asset notwithstanding a temporary cessation of operations for renovation, repairs or other temporary reason, or for the purpose of completing tenant build-out or that is otherwise scheduled to be open for business within 90 days of the date of such determination.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means The Office of Foreign Assets Control of the United States Department of the Treasury.</w:t>
      </w:r>
    </w:p>
    <w:p>
      <w:pPr>
        <w:spacing w:after="0" w:line="228" w:lineRule="exact"/>
        <w:rPr>
          <w:sz w:val="20"/>
          <w:szCs w:val="20"/>
          <w:color w:val="auto"/>
        </w:rPr>
      </w:pPr>
    </w:p>
    <w:p>
      <w:pPr>
        <w:ind w:right="60" w:firstLine="629"/>
        <w:spacing w:after="0" w:line="256" w:lineRule="auto"/>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u w:val="single" w:color="auto"/>
          <w:color w:val="auto"/>
        </w:rPr>
        <w:t>Other Connection Taxes</w:t>
      </w:r>
      <w:r>
        <w:rPr>
          <w:rFonts w:ascii="Times New Roman" w:cs="Times New Roman" w:eastAsia="Times New Roman" w:hAnsi="Times New Roman"/>
          <w:sz w:val="21"/>
          <w:szCs w:val="21"/>
          <w:color w:val="auto"/>
        </w:rPr>
        <w:t>” means, with respect to any Recipient, Taxes imposed as a result of a present or former connection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1" w:lineRule="exact"/>
        <w:rPr>
          <w:sz w:val="20"/>
          <w:szCs w:val="20"/>
          <w:color w:val="auto"/>
        </w:rPr>
      </w:pPr>
    </w:p>
    <w:p>
      <w:pPr>
        <w:ind w:right="4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Investment</w:t>
      </w:r>
      <w:r>
        <w:rPr>
          <w:rFonts w:ascii="Times New Roman" w:cs="Times New Roman" w:eastAsia="Times New Roman" w:hAnsi="Times New Roman"/>
          <w:sz w:val="21"/>
          <w:szCs w:val="21"/>
          <w:color w:val="auto"/>
        </w:rPr>
        <w:t xml:space="preserve">” means a Consolidated Business or UJV that does not own primarily Real Property Assets or publicly traded securities, including, without limitation, those entities more particularly set forth on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 xml:space="preserve"> attached hereto.</w:t>
      </w:r>
    </w:p>
    <w:p>
      <w:pPr>
        <w:spacing w:after="0" w:line="142"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means all present or future stamp, court or documentary, intangible, recording, filing or similar Taxes that arise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3.07).</w:t>
      </w:r>
    </w:p>
    <w:p>
      <w:pPr>
        <w:spacing w:after="0" w:line="178" w:lineRule="exact"/>
        <w:rPr>
          <w:sz w:val="20"/>
          <w:szCs w:val="20"/>
          <w:color w:val="auto"/>
        </w:rPr>
      </w:pPr>
    </w:p>
    <w:p>
      <w:pPr>
        <w:ind w:right="32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Outbound Investment Rules</w:t>
      </w:r>
      <w:r>
        <w:rPr>
          <w:rFonts w:ascii="Times New Roman" w:cs="Times New Roman" w:eastAsia="Times New Roman" w:hAnsi="Times New Roman"/>
          <w:sz w:val="21"/>
          <w:szCs w:val="21"/>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20"/>
          </w:cols>
          <w:pgMar w:left="320" w:top="1134" w:right="359" w:bottom="1440" w:gutter="0" w:footer="0" w:header="0"/>
        </w:sectPr>
      </w:pPr>
    </w:p>
    <w:bookmarkStart w:id="180" w:name="page181"/>
    <w:bookmarkEnd w:id="180"/>
    <w:p>
      <w:pPr>
        <w:ind w:right="30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Overnight Bank Funding Rate</w:t>
      </w:r>
      <w:r>
        <w:rPr>
          <w:rFonts w:ascii="Times New Roman" w:cs="Times New Roman" w:eastAsia="Times New Roman" w:hAnsi="Times New Roman"/>
          <w:sz w:val="21"/>
          <w:szCs w:val="21"/>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Banking Day by the NYFRB as an overnight bank funding rate.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means, with respect to any Bank, any Person controlling such Bank.</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has the meaning specified in Section 12.05(b).</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has the meaning specified in Section 12.05(b).</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has the meaning specified in Section 12.19.</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has the meaning specified in Section 10.12(b).</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 Notice</w:t>
      </w:r>
      <w:r>
        <w:rPr>
          <w:rFonts w:ascii="Times New Roman" w:cs="Times New Roman" w:eastAsia="Times New Roman" w:hAnsi="Times New Roman"/>
          <w:sz w:val="21"/>
          <w:szCs w:val="21"/>
          <w:color w:val="auto"/>
        </w:rPr>
        <w:t>” has the meaning specified in Section 10.12(b).</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Payor</w:t>
      </w:r>
      <w:r>
        <w:rPr>
          <w:rFonts w:ascii="Times New Roman" w:cs="Times New Roman" w:eastAsia="Times New Roman" w:hAnsi="Times New Roman"/>
          <w:sz w:val="21"/>
          <w:szCs w:val="21"/>
          <w:color w:val="auto"/>
        </w:rPr>
        <w:t>” has the meaning specified in Section 10.12.</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PBGC</w:t>
      </w:r>
      <w:r>
        <w:rPr>
          <w:rFonts w:ascii="Times New Roman" w:cs="Times New Roman" w:eastAsia="Times New Roman" w:hAnsi="Times New Roman"/>
          <w:sz w:val="21"/>
          <w:szCs w:val="21"/>
          <w:color w:val="auto"/>
        </w:rPr>
        <w:t>” means the Pension Benefit Guaranty Corporation and any entity succeeding to any or all of its functions under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ERISA.</w:t>
      </w:r>
    </w:p>
    <w:p>
      <w:pPr>
        <w:spacing w:after="0" w:line="193" w:lineRule="exact"/>
        <w:rPr>
          <w:sz w:val="20"/>
          <w:szCs w:val="20"/>
          <w:color w:val="auto"/>
        </w:rPr>
      </w:pPr>
    </w:p>
    <w:p>
      <w:pPr>
        <w:ind w:right="8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 individual, partnership, corporation, business trust, joint stock company, trust, unincorporated association, joint venture, limited liability company, Governmental Authority or other entity of whatever nature.</w:t>
      </w:r>
    </w:p>
    <w:p>
      <w:pPr>
        <w:spacing w:after="0" w:line="157" w:lineRule="exact"/>
        <w:rPr>
          <w:sz w:val="20"/>
          <w:szCs w:val="20"/>
          <w:color w:val="auto"/>
        </w:rPr>
      </w:pPr>
    </w:p>
    <w:p>
      <w:pPr>
        <w:ind w:right="12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any employee benefit or other plan (other than a Multiemployer Plan) established or maintained, or to which contributions have been or are required to be made, by Borrower or General Partner or any ERISA Affiliate and which is covered by Title IV of ERISA or to which Section 412 of the Code applies.</w:t>
      </w:r>
    </w:p>
    <w:p>
      <w:pPr>
        <w:spacing w:after="0" w:line="160" w:lineRule="exact"/>
        <w:rPr>
          <w:sz w:val="20"/>
          <w:szCs w:val="20"/>
          <w:color w:val="auto"/>
        </w:rPr>
      </w:pPr>
    </w:p>
    <w:p>
      <w:pPr>
        <w:ind w:right="20"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 Asset Regulations</w:t>
      </w:r>
      <w:r>
        <w:rPr>
          <w:rFonts w:ascii="Times New Roman" w:cs="Times New Roman" w:eastAsia="Times New Roman" w:hAnsi="Times New Roman"/>
          <w:sz w:val="21"/>
          <w:szCs w:val="21"/>
          <w:color w:val="auto"/>
        </w:rPr>
        <w:t xml:space="preserve">” means 29 CFR § 2510.3-101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as modified by Section 3(42) of ERISA, as amended from time to time.</w:t>
      </w:r>
    </w:p>
    <w:p>
      <w:pPr>
        <w:spacing w:after="0" w:line="155"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presence</w:t>
      </w:r>
      <w:r>
        <w:rPr>
          <w:rFonts w:ascii="Times New Roman" w:cs="Times New Roman" w:eastAsia="Times New Roman" w:hAnsi="Times New Roman"/>
          <w:sz w:val="21"/>
          <w:szCs w:val="21"/>
          <w:color w:val="auto"/>
        </w:rPr>
        <w:t>”, when used in connection with any Environmental Discharge or Hazardous Materials, means and includes presence, generation, manufacture, installation, treatment, use, storage, handling, repair, encapsulation, disposal, transportation, spill, discharge and release.</w:t>
      </w:r>
    </w:p>
    <w:p>
      <w:pPr>
        <w:spacing w:after="0" w:line="162"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Pricing Certificate</w:t>
      </w:r>
      <w:r>
        <w:rPr>
          <w:rFonts w:ascii="Times New Roman" w:cs="Times New Roman" w:eastAsia="Times New Roman" w:hAnsi="Times New Roman"/>
          <w:sz w:val="21"/>
          <w:szCs w:val="21"/>
          <w:color w:val="auto"/>
        </w:rPr>
        <w:t>” means a certificate substantially in the form of Exhibit L executed by the chief executive officer, chief operating officer, chief financial officer, chief sustainability officer, treasurer, assistant treasurer, controller or senior vice president of finance of the Borrower certifying and attaching (a) a true and correct copy of the KPI Metrics Report for the most recently ended calendar year and setting forth the Sustainability Margin Adjustment for the period covered thereby and computations in reasonable detail in respect thereof, (b) if applicable, information detailing any change in the Borrower’s internal policies related to sustainability that has been disclosed to the SEC as required pursuant to its promulgated rules and regulations since the Closing Date (for the first certificate delivered hereunder) or the date of the most recently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134" w:right="339" w:bottom="1440" w:gutter="0" w:footer="0" w:header="0"/>
        </w:sectPr>
      </w:pPr>
    </w:p>
    <w:bookmarkStart w:id="181" w:name="page182"/>
    <w:bookmarkEnd w:id="181"/>
    <w:p>
      <w:pPr>
        <w:ind w:right="60"/>
        <w:spacing w:after="0" w:line="258" w:lineRule="auto"/>
        <w:rPr>
          <w:sz w:val="20"/>
          <w:szCs w:val="20"/>
          <w:color w:val="auto"/>
        </w:rPr>
      </w:pPr>
      <w:r>
        <w:rPr>
          <w:rFonts w:ascii="Times New Roman" w:cs="Times New Roman" w:eastAsia="Times New Roman" w:hAnsi="Times New Roman"/>
          <w:sz w:val="21"/>
          <w:szCs w:val="21"/>
          <w:color w:val="auto"/>
        </w:rPr>
        <w:t>delivered Pricing Certificate (for each subsequent certificate); and (c) a true and correct review report of the Sustainability Assurance Provider, which report (i) measures, verifies, calculates and certifies the KPI set forth in the Pricing Certificate or the KPI Metrics Report, as applicable, for the most recently ended calendar year and (ii) confirms that the Sustainability Assurance Provider is not aware of any modifications that should be made to such computations in order for them to be presented in all material respects in conformity with the Standard for Sustainability Reporting.</w:t>
      </w:r>
    </w:p>
    <w:p>
      <w:pPr>
        <w:spacing w:after="0" w:line="169" w:lineRule="exact"/>
        <w:rPr>
          <w:sz w:val="20"/>
          <w:szCs w:val="20"/>
          <w:color w:val="auto"/>
        </w:rPr>
      </w:pPr>
    </w:p>
    <w:p>
      <w:pPr>
        <w:ind w:right="140" w:firstLine="62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the rate of interest last quoted by The Wall Street Journal as the “Prime Rate” in the U.S. or, if The Wall Street Journal ceases to quote such rate, the rate published by the Federal Reserve Board in Federal Reserve Statistical Release H.15</w:t>
      </w:r>
    </w:p>
    <w:p>
      <w:pPr>
        <w:ind w:right="160" w:firstLine="5"/>
        <w:spacing w:after="0" w:line="254" w:lineRule="auto"/>
        <w:tabs>
          <w:tab w:leader="none" w:pos="506"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 Each change in the Prime Rate shall be effective from and including the date such change is publicly announced or quoted as being effective.</w:t>
      </w:r>
    </w:p>
    <w:p>
      <w:pPr>
        <w:spacing w:after="0" w:line="172" w:lineRule="exact"/>
        <w:rPr>
          <w:sz w:val="20"/>
          <w:szCs w:val="20"/>
          <w:color w:val="auto"/>
        </w:rPr>
      </w:pPr>
    </w:p>
    <w:p>
      <w:pPr>
        <w:ind w:right="26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 Rata Share</w:t>
      </w:r>
      <w:r>
        <w:rPr>
          <w:rFonts w:ascii="Times New Roman" w:cs="Times New Roman" w:eastAsia="Times New Roman" w:hAnsi="Times New Roman"/>
          <w:sz w:val="21"/>
          <w:szCs w:val="21"/>
          <w:color w:val="auto"/>
        </w:rPr>
        <w:t>” means, with respect to each Bank, the percentage of the total Term Exposures of all Banks represented by such Bank’s Term Exposure.</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Prohibited Transaction</w:t>
      </w:r>
      <w:r>
        <w:rPr>
          <w:rFonts w:ascii="Times New Roman" w:cs="Times New Roman" w:eastAsia="Times New Roman" w:hAnsi="Times New Roman"/>
          <w:sz w:val="21"/>
          <w:szCs w:val="21"/>
          <w:color w:val="auto"/>
        </w:rPr>
        <w:t>” means any non-exempt transaction set forth in Section 406 of ERISA or Section 4975 of the Code.</w:t>
      </w:r>
    </w:p>
    <w:p>
      <w:pPr>
        <w:spacing w:after="0" w:line="217" w:lineRule="exact"/>
        <w:rPr>
          <w:sz w:val="20"/>
          <w:szCs w:val="20"/>
          <w:color w:val="auto"/>
        </w:rPr>
      </w:pPr>
    </w:p>
    <w:p>
      <w:pPr>
        <w:ind w:right="220"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PTE</w:t>
      </w:r>
      <w:r>
        <w:rPr>
          <w:rFonts w:ascii="Times New Roman" w:cs="Times New Roman" w:eastAsia="Times New Roman" w:hAnsi="Times New Roman"/>
          <w:sz w:val="21"/>
          <w:szCs w:val="21"/>
          <w:color w:val="auto"/>
        </w:rPr>
        <w:t>” means a prohibited transaction class exemption issued by the U.S. Department of Labor, as any such exemption may be amended from time to time.</w:t>
      </w:r>
    </w:p>
    <w:p>
      <w:pPr>
        <w:spacing w:after="0" w:line="131" w:lineRule="exact"/>
        <w:rPr>
          <w:sz w:val="20"/>
          <w:szCs w:val="20"/>
          <w:color w:val="auto"/>
        </w:rPr>
      </w:pPr>
    </w:p>
    <w:p>
      <w:pPr>
        <w:ind w:right="1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QFC</w:t>
      </w:r>
      <w:r>
        <w:rPr>
          <w:rFonts w:ascii="Times New Roman" w:cs="Times New Roman" w:eastAsia="Times New Roman" w:hAnsi="Times New Roman"/>
          <w:sz w:val="21"/>
          <w:szCs w:val="21"/>
          <w:color w:val="auto"/>
        </w:rPr>
        <w:t>” has the meaning assigned to the term “qualified financial contract” in, and shall be interpreted in accordance with, 12 U.S.C. 5390(c)(8)(D).</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QFC Credit Support</w:t>
      </w:r>
      <w:r>
        <w:rPr>
          <w:rFonts w:ascii="Times New Roman" w:cs="Times New Roman" w:eastAsia="Times New Roman" w:hAnsi="Times New Roman"/>
          <w:sz w:val="21"/>
          <w:szCs w:val="21"/>
          <w:color w:val="auto"/>
        </w:rPr>
        <w:t>” has the meaning assigned to it in Section 12.27.</w:t>
      </w:r>
    </w:p>
    <w:p>
      <w:pPr>
        <w:spacing w:after="0" w:line="217" w:lineRule="exact"/>
        <w:rPr>
          <w:sz w:val="20"/>
          <w:szCs w:val="20"/>
          <w:color w:val="auto"/>
        </w:rPr>
      </w:pPr>
    </w:p>
    <w:p>
      <w:pPr>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Qualified Institution</w:t>
      </w:r>
      <w:r>
        <w:rPr>
          <w:rFonts w:ascii="Times New Roman" w:cs="Times New Roman" w:eastAsia="Times New Roman" w:hAnsi="Times New Roman"/>
          <w:sz w:val="21"/>
          <w:szCs w:val="21"/>
          <w:color w:val="auto"/>
        </w:rPr>
        <w:t>” means a Bank, or one or more banks, finance companies, insurance or other financial institutions which (A) has (or, in the case of a banking institution which is a subsidiary, such banking institution’s parent has) a rating of its senior debt obligations of not less than BBB+ by S&amp;P or Baal by Moody’s or a comparable rating by a rating agency reasonably acceptable to the Administrative Agent and (B) has (or, in the case of a banking institution which is a subsidiary, such banking institution’s parent has) total assets in excess of Ten Billion Dollars ($10,000,000,000), but shall exclude any natural person, any Defaulting Lender and the Borrower or any of its Affiliates.</w:t>
      </w:r>
    </w:p>
    <w:p>
      <w:pPr>
        <w:spacing w:after="0" w:line="170" w:lineRule="exact"/>
        <w:rPr>
          <w:sz w:val="20"/>
          <w:szCs w:val="20"/>
          <w:color w:val="auto"/>
        </w:rPr>
      </w:pPr>
    </w:p>
    <w:p>
      <w:pPr>
        <w:ind w:right="20"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Real Property Asset</w:t>
      </w:r>
      <w:r>
        <w:rPr>
          <w:rFonts w:ascii="Times New Roman" w:cs="Times New Roman" w:eastAsia="Times New Roman" w:hAnsi="Times New Roman"/>
          <w:sz w:val="21"/>
          <w:szCs w:val="21"/>
          <w:color w:val="auto"/>
        </w:rPr>
        <w:t>” means an asset from which income is, or upon completion expected by the Borrower to be, derived predominantly from contractual rent payments under leases with unaffiliated third party tenants, hotel operations, tradeshow operations, signage or leasing commissions and management and development fees, and shall include those investments in mortgages and mortgage participations owned by the Borrower as to which the Borrower has demonstrated to the Administrative Agent, in the Administrative Agent’s reasonable discretion, that Borrower has control of the decision-making functions of management and leasing of such</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134" w:right="339" w:bottom="1440" w:gutter="0" w:footer="0" w:header="0"/>
        </w:sectPr>
      </w:pPr>
    </w:p>
    <w:bookmarkStart w:id="182" w:name="page183"/>
    <w:bookmarkEnd w:id="182"/>
    <w:p>
      <w:pPr>
        <w:ind w:right="780"/>
        <w:spacing w:after="0" w:line="280" w:lineRule="auto"/>
        <w:rPr>
          <w:sz w:val="20"/>
          <w:szCs w:val="20"/>
          <w:color w:val="auto"/>
        </w:rPr>
      </w:pPr>
      <w:r>
        <w:rPr>
          <w:rFonts w:ascii="Times New Roman" w:cs="Times New Roman" w:eastAsia="Times New Roman" w:hAnsi="Times New Roman"/>
          <w:sz w:val="21"/>
          <w:szCs w:val="21"/>
          <w:color w:val="auto"/>
        </w:rPr>
        <w:t>mortgaged properties, has control of the economic benefits of such mortgaged properties, and holds the right to acquire such mortgaged properties.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Real Property Business</w:t>
      </w:r>
      <w:r>
        <w:rPr>
          <w:rFonts w:ascii="Times New Roman" w:cs="Times New Roman" w:eastAsia="Times New Roman" w:hAnsi="Times New Roman"/>
          <w:sz w:val="21"/>
          <w:szCs w:val="21"/>
          <w:color w:val="auto"/>
        </w:rPr>
        <w:t>” means a Consolidated Business or UJV that owns primarily Real Property Assets.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Real Property UJV</w:t>
      </w:r>
      <w:r>
        <w:rPr>
          <w:rFonts w:ascii="Times New Roman" w:cs="Times New Roman" w:eastAsia="Times New Roman" w:hAnsi="Times New Roman"/>
          <w:sz w:val="21"/>
          <w:szCs w:val="21"/>
          <w:color w:val="auto"/>
        </w:rPr>
        <w:t>” means a UJV that is a Real Property Business.</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Recipient</w:t>
      </w:r>
      <w:r>
        <w:rPr>
          <w:rFonts w:ascii="Times New Roman" w:cs="Times New Roman" w:eastAsia="Times New Roman" w:hAnsi="Times New Roman"/>
          <w:sz w:val="21"/>
          <w:szCs w:val="21"/>
          <w:color w:val="auto"/>
        </w:rPr>
        <w:t>” means the Administrative Agent and any Bank.</w:t>
      </w:r>
    </w:p>
    <w:p>
      <w:pPr>
        <w:spacing w:after="0" w:line="217"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Recourse</w:t>
      </w:r>
      <w:r>
        <w:rPr>
          <w:rFonts w:ascii="Times New Roman" w:cs="Times New Roman" w:eastAsia="Times New Roman" w:hAnsi="Times New Roman"/>
          <w:sz w:val="21"/>
          <w:szCs w:val="21"/>
          <w:color w:val="auto"/>
        </w:rPr>
        <w:t>” means, with reference to any obligation or liability, any liability or obligation that is not Without Recourse to the obligor thereunder, directly or indirectly. For purposes hereof, a Person shall not be deemed to be “indirectly” liable for the liabilities or obligations of an obligor solely by reason of the fact that such Person has an ownership interest in such obligor, provided that such Person is not otherwise legally liable, directly or indirectly, for such obligor’s liabilities or obligations (e.g. by reason of a guaranty or contribution obligation, by operation of law or by reason of such Person being a general partner of such obligor). A guaranty of Debt issued by Borrower or General Partner (as distinguished from a Subsidiary) shall be Recourse, but a guaranty for completion of improvements, a carry guaranty and a recourse carve-out guaranty customarily given in connection with Debt shall be deemed Without Recourse, unless and except to the extent of a claim made under such guaranty that remains unpaid.</w:t>
      </w:r>
    </w:p>
    <w:p>
      <w:pPr>
        <w:spacing w:after="0" w:line="177" w:lineRule="exact"/>
        <w:rPr>
          <w:sz w:val="20"/>
          <w:szCs w:val="20"/>
          <w:color w:val="auto"/>
        </w:rPr>
      </w:pPr>
    </w:p>
    <w:p>
      <w:pPr>
        <w:ind w:firstLine="62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then-current Benchmark means (1) if such Benchmark is the Term SOFR Rate, 5:00 a.m. (Chicago time) on the day that is two U.S. Government Securities Business Days preceding the date of such setting or</w:t>
      </w:r>
    </w:p>
    <w:p>
      <w:pPr>
        <w:spacing w:after="0"/>
        <w:rPr>
          <w:sz w:val="20"/>
          <w:szCs w:val="20"/>
          <w:color w:val="auto"/>
        </w:rPr>
      </w:pPr>
      <w:r>
        <w:rPr>
          <w:rFonts w:ascii="Times New Roman" w:cs="Times New Roman" w:eastAsia="Times New Roman" w:hAnsi="Times New Roman"/>
          <w:sz w:val="21"/>
          <w:szCs w:val="21"/>
          <w:color w:val="auto"/>
        </w:rPr>
        <w:t>(2) if such Benchmark is not the Term SOFR Rate, the time determined by the Administrative Agent in its reasonable discretion.</w:t>
      </w:r>
    </w:p>
    <w:p>
      <w:pPr>
        <w:spacing w:after="0" w:line="204" w:lineRule="exact"/>
        <w:rPr>
          <w:sz w:val="20"/>
          <w:szCs w:val="20"/>
          <w:color w:val="auto"/>
        </w:rPr>
      </w:pPr>
    </w:p>
    <w:p>
      <w:pPr>
        <w:ind w:right="10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 D</w:t>
      </w:r>
      <w:r>
        <w:rPr>
          <w:rFonts w:ascii="Times New Roman" w:cs="Times New Roman" w:eastAsia="Times New Roman" w:hAnsi="Times New Roman"/>
          <w:sz w:val="21"/>
          <w:szCs w:val="21"/>
          <w:color w:val="auto"/>
        </w:rPr>
        <w:t>” means Regulation D of the Board of Governors of the Federal Reserve System, as the same may be amended or supplemented from time to time, or any similar Law from time to time in effect.</w:t>
      </w:r>
    </w:p>
    <w:p>
      <w:pPr>
        <w:spacing w:after="0" w:line="144" w:lineRule="exact"/>
        <w:rPr>
          <w:sz w:val="20"/>
          <w:szCs w:val="20"/>
          <w:color w:val="auto"/>
        </w:rPr>
      </w:pPr>
    </w:p>
    <w:p>
      <w:pPr>
        <w:ind w:right="10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 U</w:t>
      </w:r>
      <w:r>
        <w:rPr>
          <w:rFonts w:ascii="Times New Roman" w:cs="Times New Roman" w:eastAsia="Times New Roman" w:hAnsi="Times New Roman"/>
          <w:sz w:val="21"/>
          <w:szCs w:val="21"/>
          <w:color w:val="auto"/>
        </w:rPr>
        <w:t>” means Regulation U of the Board of Governors of the Federal Reserve System, as the same may be amended or supplemented from time to time, or any similar Law from time to time in effect.</w:t>
      </w:r>
    </w:p>
    <w:p>
      <w:pPr>
        <w:spacing w:after="0" w:line="157" w:lineRule="exact"/>
        <w:rPr>
          <w:sz w:val="20"/>
          <w:szCs w:val="20"/>
          <w:color w:val="auto"/>
        </w:rPr>
      </w:pPr>
    </w:p>
    <w:p>
      <w:pPr>
        <w:ind w:right="60"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Regulatory Change</w:t>
      </w:r>
      <w:r>
        <w:rPr>
          <w:rFonts w:ascii="Times New Roman" w:cs="Times New Roman" w:eastAsia="Times New Roman" w:hAnsi="Times New Roman"/>
          <w:sz w:val="21"/>
          <w:szCs w:val="21"/>
          <w:color w:val="auto"/>
        </w:rPr>
        <w:t xml:space="preserve">” means the occurrence after the date of this Agreement or, with respect to any Bank, such later date on which such Bank becomes a party to this Agreement, of (a) the adoption of or taking effect of any law, rule, regulation or treaty, (b) any change in any law, rule, regulation or treaty or in the interpretation or application thereof by any Governmental Authority or (c) compliance by any Bank (or, for purposes of Section 3.06, by any lending office of such Bank or by such Bank's holding company, if any) with any request, guideline or directive (whether or not having the force of law) of any Governmental Authority made or issued after the date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20"/>
          </w:cols>
          <w:pgMar w:left="320" w:top="1134" w:right="359" w:bottom="1440" w:gutter="0" w:footer="0" w:header="0"/>
        </w:sectPr>
      </w:pPr>
    </w:p>
    <w:bookmarkStart w:id="183" w:name="page184"/>
    <w:bookmarkEnd w:id="183"/>
    <w:p>
      <w:pPr>
        <w:ind w:right="260"/>
        <w:spacing w:after="0" w:line="258" w:lineRule="auto"/>
        <w:rPr>
          <w:sz w:val="20"/>
          <w:szCs w:val="20"/>
          <w:color w:val="auto"/>
        </w:rPr>
      </w:pPr>
      <w:r>
        <w:rPr>
          <w:rFonts w:ascii="Times New Roman" w:cs="Times New Roman" w:eastAsia="Times New Roman" w:hAnsi="Times New Roman"/>
          <w:sz w:val="21"/>
          <w:szCs w:val="21"/>
          <w:color w:val="auto"/>
        </w:rPr>
        <w:t>regulatory authorities, in each case pursuant to Basel III, shall be deemed to be a “Regulatory Change,” regardless of the date enacted, adopted or issued, provided, however, that if the applicable Bank shall have implemented changes prior to the Execution Date in response to any such requests, rules, guidelines or directives, then the same shall not be deemed to be a Regulatory Change with respect to such Bank.</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REIT</w:t>
      </w:r>
      <w:r>
        <w:rPr>
          <w:rFonts w:ascii="Times New Roman" w:cs="Times New Roman" w:eastAsia="Times New Roman" w:hAnsi="Times New Roman"/>
          <w:sz w:val="21"/>
          <w:szCs w:val="21"/>
          <w:color w:val="auto"/>
        </w:rPr>
        <w:t>” means a “real estate investment trust</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as such term is defined in Section 856 of the Code.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Documents</w:t>
      </w:r>
      <w:r>
        <w:rPr>
          <w:rFonts w:ascii="Times New Roman" w:cs="Times New Roman" w:eastAsia="Times New Roman" w:hAnsi="Times New Roman"/>
          <w:sz w:val="21"/>
          <w:szCs w:val="21"/>
          <w:color w:val="auto"/>
        </w:rPr>
        <w:t>” has the meaning specified in Section 11.02.</w:t>
      </w:r>
    </w:p>
    <w:p>
      <w:pPr>
        <w:spacing w:after="0" w:line="217" w:lineRule="exact"/>
        <w:rPr>
          <w:sz w:val="20"/>
          <w:szCs w:val="20"/>
          <w:color w:val="auto"/>
        </w:rPr>
      </w:pPr>
    </w:p>
    <w:p>
      <w:pPr>
        <w:jc w:val="both"/>
        <w:ind w:right="14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Governmental Body</w:t>
      </w:r>
      <w:r>
        <w:rPr>
          <w:rFonts w:ascii="Times New Roman" w:cs="Times New Roman" w:eastAsia="Times New Roman" w:hAnsi="Times New Roman"/>
          <w:sz w:val="21"/>
          <w:szCs w:val="21"/>
          <w:color w:val="auto"/>
        </w:rPr>
        <w:t>” means, the Federal Reserve Board and/or the NYFRB, the CME Term SOFR Administrator, as applicable, or a committee officially endorsed or convened by the Federal Reserve Board and/or the NYFRB or, in each case, any successor thereto.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Rate</w:t>
      </w:r>
      <w:r>
        <w:rPr>
          <w:rFonts w:ascii="Times New Roman" w:cs="Times New Roman" w:eastAsia="Times New Roman" w:hAnsi="Times New Roman"/>
          <w:sz w:val="21"/>
          <w:szCs w:val="21"/>
          <w:color w:val="auto"/>
        </w:rPr>
        <w:t>” means with respect to any Term Benchmark Loan, the Term SOFR Rate.</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Replacement Bank</w:t>
      </w:r>
      <w:r>
        <w:rPr>
          <w:rFonts w:ascii="Times New Roman" w:cs="Times New Roman" w:eastAsia="Times New Roman" w:hAnsi="Times New Roman"/>
          <w:sz w:val="21"/>
          <w:szCs w:val="21"/>
          <w:color w:val="auto"/>
        </w:rPr>
        <w:t>” has the meaning specified in Section 3.07.</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Replacement Notice</w:t>
      </w:r>
      <w:r>
        <w:rPr>
          <w:rFonts w:ascii="Times New Roman" w:cs="Times New Roman" w:eastAsia="Times New Roman" w:hAnsi="Times New Roman"/>
          <w:sz w:val="21"/>
          <w:szCs w:val="21"/>
          <w:color w:val="auto"/>
        </w:rPr>
        <w:t>” has the meaning specified in Section 3.07.</w:t>
      </w:r>
    </w:p>
    <w:p>
      <w:pPr>
        <w:spacing w:after="0" w:line="217" w:lineRule="exact"/>
        <w:rPr>
          <w:sz w:val="20"/>
          <w:szCs w:val="20"/>
          <w:color w:val="auto"/>
        </w:rPr>
      </w:pPr>
    </w:p>
    <w:p>
      <w:pPr>
        <w:ind w:right="32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Reportable Event</w:t>
      </w:r>
      <w:r>
        <w:rPr>
          <w:rFonts w:ascii="Times New Roman" w:cs="Times New Roman" w:eastAsia="Times New Roman" w:hAnsi="Times New Roman"/>
          <w:sz w:val="21"/>
          <w:szCs w:val="21"/>
          <w:color w:val="auto"/>
        </w:rPr>
        <w:t>” means any of the events set forth in Section 4043(c) of ERISA, other than those events as to which the thirty (30) day notice period is waived by the PBGC.</w:t>
      </w:r>
    </w:p>
    <w:p>
      <w:pPr>
        <w:spacing w:after="0" w:line="144" w:lineRule="exact"/>
        <w:rPr>
          <w:sz w:val="20"/>
          <w:szCs w:val="20"/>
          <w:color w:val="auto"/>
        </w:rPr>
      </w:pPr>
    </w:p>
    <w:p>
      <w:pPr>
        <w:ind w:right="2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Banks</w:t>
      </w:r>
      <w:r>
        <w:rPr>
          <w:rFonts w:ascii="Times New Roman" w:cs="Times New Roman" w:eastAsia="Times New Roman" w:hAnsi="Times New Roman"/>
          <w:sz w:val="21"/>
          <w:szCs w:val="21"/>
          <w:color w:val="auto"/>
        </w:rPr>
        <w:t xml:space="preserve">” means, at any time, Banks having Term Exposures and unused Loan Commitments representing more than 50% of the sum of the total Term Exposures and unused Loan Commitments at such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any of the Banks shall be a Defaulting Lender, then for so long as such Bank is a Defaulting Lender, “Required Banks” means Banks (excluding all Defaulting Lenders) having Term Exposures and unused Loan Commitments representing more than 50% of the sum of the total Term Exposures and unused Loan Commitments of such Banks (excluding all Defaulting Lenders) at such time.</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Payment</w:t>
      </w:r>
      <w:r>
        <w:rPr>
          <w:rFonts w:ascii="Times New Roman" w:cs="Times New Roman" w:eastAsia="Times New Roman" w:hAnsi="Times New Roman"/>
          <w:sz w:val="21"/>
          <w:szCs w:val="21"/>
          <w:color w:val="auto"/>
        </w:rPr>
        <w:t>” has the meaning set forth in Section 10.12.</w:t>
      </w:r>
    </w:p>
    <w:p>
      <w:pPr>
        <w:spacing w:after="0" w:line="230"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Resolution Authority</w:t>
      </w:r>
      <w:r>
        <w:rPr>
          <w:rFonts w:ascii="Times New Roman" w:cs="Times New Roman" w:eastAsia="Times New Roman" w:hAnsi="Times New Roman"/>
          <w:sz w:val="21"/>
          <w:szCs w:val="21"/>
          <w:color w:val="auto"/>
        </w:rPr>
        <w:t>” means an EEA Resolution Authority or, with respect to any UK Financial Institution, a UK Resolution Authority.</w:t>
      </w:r>
    </w:p>
    <w:p>
      <w:pPr>
        <w:spacing w:after="0" w:line="14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Country</w:t>
      </w:r>
      <w:r>
        <w:rPr>
          <w:rFonts w:ascii="Times New Roman" w:cs="Times New Roman" w:eastAsia="Times New Roman" w:hAnsi="Times New Roman"/>
          <w:sz w:val="21"/>
          <w:szCs w:val="21"/>
          <w:color w:val="auto"/>
        </w:rPr>
        <w:t>” means, at any time, a country, region or territory which is itself the subject or target of any Sanctions (at the time of this Agreement, including but not limited to Cuba, the Crimea Region of Ukraine, the so-called Luhansk People’s Republic, the so-called Donetsk People’s Republic, the Kherson and Zaporizhzhia Regions of Ukraine, Iran, and North Korea).</w:t>
      </w:r>
    </w:p>
    <w:p>
      <w:pPr>
        <w:spacing w:after="0" w:line="162" w:lineRule="exact"/>
        <w:rPr>
          <w:sz w:val="20"/>
          <w:szCs w:val="20"/>
          <w:color w:val="auto"/>
        </w:rPr>
      </w:pPr>
    </w:p>
    <w:p>
      <w:pPr>
        <w:ind w:right="160"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Person</w:t>
      </w:r>
      <w:r>
        <w:rPr>
          <w:rFonts w:ascii="Times New Roman" w:cs="Times New Roman" w:eastAsia="Times New Roman" w:hAnsi="Times New Roman"/>
          <w:sz w:val="21"/>
          <w:szCs w:val="21"/>
          <w:color w:val="auto"/>
        </w:rPr>
        <w:t>” means, at any time, (a) any Person listed in any Sanctions-related list of designated Persons maintained by the U.S. Government, including by OFAC or the U.S. Department of State, or by the United Nations Security Council, the European Union, any European Union member state, His Majesty’s Treasury of the United Kingdom or any other relevant sanctions authority, (b) any Person operating, organized or resident in a Sanctioned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134" w:right="339" w:bottom="1440" w:gutter="0" w:footer="0" w:header="0"/>
        </w:sectPr>
      </w:pPr>
    </w:p>
    <w:bookmarkStart w:id="184" w:name="page185"/>
    <w:bookmarkEnd w:id="184"/>
    <w:p>
      <w:pPr>
        <w:ind w:right="200"/>
        <w:spacing w:after="0" w:line="280" w:lineRule="auto"/>
        <w:rPr>
          <w:sz w:val="20"/>
          <w:szCs w:val="20"/>
          <w:color w:val="auto"/>
        </w:rPr>
      </w:pPr>
      <w:r>
        <w:rPr>
          <w:rFonts w:ascii="Times New Roman" w:cs="Times New Roman" w:eastAsia="Times New Roman" w:hAnsi="Times New Roman"/>
          <w:sz w:val="21"/>
          <w:szCs w:val="21"/>
          <w:color w:val="auto"/>
        </w:rPr>
        <w:t>Country, (c) any Person owned or controlled by any such Person or Persons described in the foregoing clauses (a) or (b), or (d) any Person otherwise the subject of Sanctions.</w:t>
      </w:r>
    </w:p>
    <w:p>
      <w:pPr>
        <w:spacing w:after="0" w:line="140" w:lineRule="exact"/>
        <w:rPr>
          <w:sz w:val="20"/>
          <w:szCs w:val="20"/>
          <w:color w:val="auto"/>
        </w:rPr>
      </w:pPr>
    </w:p>
    <w:p>
      <w:pPr>
        <w:ind w:right="220" w:firstLine="629"/>
        <w:spacing w:after="0" w:line="275" w:lineRule="auto"/>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economic or financial sanctions, trade embargoes or similar restrictions imposed, administered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enforced from time to time by (a) the U.S. government, including those administered by OFAC or the U.S. Department of State, or</w:t>
      </w:r>
    </w:p>
    <w:p>
      <w:pPr>
        <w:spacing w:after="0" w:line="1" w:lineRule="exact"/>
        <w:rPr>
          <w:sz w:val="20"/>
          <w:szCs w:val="20"/>
          <w:color w:val="auto"/>
        </w:rPr>
      </w:pPr>
    </w:p>
    <w:p>
      <w:pPr>
        <w:ind w:right="440" w:firstLine="5"/>
        <w:spacing w:after="0" w:line="267" w:lineRule="auto"/>
        <w:tabs>
          <w:tab w:leader="none" w:pos="297"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United Nations Security Council, the European Union, any European Union member state, His Majesty’s Treasury of the United Kingdom or other relevant sanctions authority.</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United States Securities and Exchange Commission.</w:t>
      </w:r>
    </w:p>
    <w:p>
      <w:pPr>
        <w:spacing w:after="0" w:line="217" w:lineRule="exact"/>
        <w:rPr>
          <w:sz w:val="20"/>
          <w:szCs w:val="20"/>
          <w:color w:val="auto"/>
        </w:rPr>
      </w:pPr>
    </w:p>
    <w:p>
      <w:pPr>
        <w:ind w:right="6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 Reports</w:t>
      </w:r>
      <w:r>
        <w:rPr>
          <w:rFonts w:ascii="Times New Roman" w:cs="Times New Roman" w:eastAsia="Times New Roman" w:hAnsi="Times New Roman"/>
          <w:sz w:val="21"/>
          <w:szCs w:val="21"/>
          <w:color w:val="auto"/>
        </w:rPr>
        <w:t>” means the reports required to be delivered to the Securities and Exchange Commission pursuant to the Securities Exchange Act of 1934, as amended.</w:t>
      </w:r>
    </w:p>
    <w:p>
      <w:pPr>
        <w:spacing w:after="0" w:line="144" w:lineRule="exact"/>
        <w:rPr>
          <w:sz w:val="20"/>
          <w:szCs w:val="20"/>
          <w:color w:val="auto"/>
        </w:rPr>
      </w:pPr>
    </w:p>
    <w:p>
      <w:pPr>
        <w:ind w:right="1080"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Indebtedness</w:t>
      </w:r>
      <w:r>
        <w:rPr>
          <w:rFonts w:ascii="Times New Roman" w:cs="Times New Roman" w:eastAsia="Times New Roman" w:hAnsi="Times New Roman"/>
          <w:sz w:val="21"/>
          <w:szCs w:val="21"/>
          <w:color w:val="auto"/>
        </w:rPr>
        <w:t>” means, at any time, that portion of Total Outstanding Indebtedness that is not Unsecured Indebtedness.</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Indebtedness Adjustment</w:t>
      </w:r>
      <w:r>
        <w:rPr>
          <w:rFonts w:ascii="Times New Roman" w:cs="Times New Roman" w:eastAsia="Times New Roman" w:hAnsi="Times New Roman"/>
          <w:sz w:val="21"/>
          <w:szCs w:val="21"/>
          <w:color w:val="auto"/>
        </w:rPr>
        <w:t>” has the meaning set forth in Section 8.07.</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w:t>
      </w:r>
      <w:r>
        <w:rPr>
          <w:rFonts w:ascii="Times New Roman" w:cs="Times New Roman" w:eastAsia="Times New Roman" w:hAnsi="Times New Roman"/>
          <w:sz w:val="21"/>
          <w:szCs w:val="21"/>
          <w:color w:val="auto"/>
        </w:rPr>
        <w:t>” has the meaning set forth in Section 2.16(d).</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w:t>
      </w:r>
      <w:r>
        <w:rPr>
          <w:rFonts w:ascii="Times New Roman" w:cs="Times New Roman" w:eastAsia="Times New Roman" w:hAnsi="Times New Roman"/>
          <w:sz w:val="21"/>
          <w:szCs w:val="21"/>
          <w:color w:val="auto"/>
        </w:rPr>
        <w:t>” means a rate equal to the secured overnight financing rate as administered by the SOFR Administrator.</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means the NYFRB (or a successor administrator of the secured overnight financing rate).</w:t>
      </w:r>
    </w:p>
    <w:p>
      <w:pPr>
        <w:spacing w:after="0" w:line="230" w:lineRule="exact"/>
        <w:rPr>
          <w:sz w:val="20"/>
          <w:szCs w:val="20"/>
          <w:color w:val="auto"/>
        </w:rPr>
      </w:pPr>
    </w:p>
    <w:p>
      <w:pPr>
        <w:ind w:right="32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Administrator’s Website</w:t>
      </w:r>
      <w:r>
        <w:rPr>
          <w:rFonts w:ascii="Times New Roman" w:cs="Times New Roman" w:eastAsia="Times New Roman" w:hAnsi="Times New Roman"/>
          <w:sz w:val="21"/>
          <w:szCs w:val="21"/>
          <w:color w:val="auto"/>
        </w:rPr>
        <w:t>” means the NYFRB’s website, currently at http://www.newyorkfed.org, or any successor source for the secured overnight financing rate identified as such by the SOFR Administrator from time to time.</w:t>
      </w:r>
    </w:p>
    <w:p>
      <w:pPr>
        <w:spacing w:after="0" w:line="144" w:lineRule="exact"/>
        <w:rPr>
          <w:sz w:val="20"/>
          <w:szCs w:val="20"/>
          <w:color w:val="auto"/>
        </w:rPr>
      </w:pPr>
    </w:p>
    <w:p>
      <w:pPr>
        <w:ind w:right="1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Solvency Certificate</w:t>
      </w:r>
      <w:r>
        <w:rPr>
          <w:rFonts w:ascii="Times New Roman" w:cs="Times New Roman" w:eastAsia="Times New Roman" w:hAnsi="Times New Roman"/>
          <w:sz w:val="21"/>
          <w:szCs w:val="21"/>
          <w:color w:val="auto"/>
        </w:rPr>
        <w:t>” means a certificate in substantially the form of EXHIBIT D, to be delivered by Borrower pursuant to the terms of this Agreement.</w:t>
      </w:r>
    </w:p>
    <w:p>
      <w:pPr>
        <w:spacing w:after="0" w:line="144"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means, when used with respect to any Person, that (1) the fair value of the property of such Person, on a going concern basis, is greater than the total amount of liabilities (including, without limitation, contingent liabilities) of such Person; (2) the present fair saleable value of the assets of such Person, on a going concern basis, is not less than the amount that will be required to pay the probable liabilities of such Person on its debts as they become absolute and matured; (3) such Person does not intend to, and does not believe that it will, incur debts or liabilities beyond such Person’s ability to pay as such debts and liabilities mature; (4)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and (5) such Person has sufficient resources, provided that such resources are prudently utilized, to satisfy all of such Person’s obligations. Contingent liabilities will be computed at the amount that, in light of all the facts and circumstances existing at such time, represents the amount that can reasonably be expected to become an actual or matured liability.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180"/>
          </w:cols>
          <w:pgMar w:left="320" w:top="1134" w:right="399" w:bottom="1440" w:gutter="0" w:footer="0" w:header="0"/>
        </w:sectPr>
      </w:pPr>
    </w:p>
    <w:bookmarkStart w:id="185" w:name="page186"/>
    <w:bookmarkEnd w:id="185"/>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S&amp;P</w:t>
      </w:r>
      <w:r>
        <w:rPr>
          <w:rFonts w:ascii="Times New Roman" w:cs="Times New Roman" w:eastAsia="Times New Roman" w:hAnsi="Times New Roman"/>
          <w:sz w:val="21"/>
          <w:szCs w:val="21"/>
          <w:color w:val="auto"/>
        </w:rPr>
        <w:t>” means S&amp;P Global Ratings and its successors.</w:t>
      </w:r>
    </w:p>
    <w:p>
      <w:pPr>
        <w:spacing w:after="0" w:line="217" w:lineRule="exact"/>
        <w:rPr>
          <w:sz w:val="20"/>
          <w:szCs w:val="20"/>
          <w:color w:val="auto"/>
        </w:rPr>
      </w:pPr>
    </w:p>
    <w:p>
      <w:pPr>
        <w:ind w:firstLine="629"/>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for Sustainability Reporting</w:t>
      </w:r>
      <w:r>
        <w:rPr>
          <w:rFonts w:ascii="Times New Roman" w:cs="Times New Roman" w:eastAsia="Times New Roman" w:hAnsi="Times New Roman"/>
          <w:sz w:val="20"/>
          <w:szCs w:val="20"/>
          <w:color w:val="auto"/>
        </w:rPr>
        <w:t>” means the Global Reporting Initiative; provided, that Borrower may, by written notice to Administrative Agent, adopt a new Standard for Sustainability Reporting in connection with Borrower’s compliance with any rules, regulations or guidance promulgated by the SEC or any other Governmental Authority with respect to sustainability reporting.</w:t>
      </w:r>
    </w:p>
    <w:p>
      <w:pPr>
        <w:spacing w:after="0" w:line="156" w:lineRule="exact"/>
        <w:rPr>
          <w:sz w:val="20"/>
          <w:szCs w:val="20"/>
          <w:color w:val="auto"/>
        </w:rPr>
      </w:pPr>
    </w:p>
    <w:p>
      <w:pPr>
        <w:ind w:right="120"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with respect to any Person, a corporation, partnership, joint venture, limited liability company or other entity, fifty percent (50%) or more of the outstanding voting stock, partnership interests or membership interests, as the case may be, of which are owned, directly or indirectly, by that Person or by one or more other Subsidiaries of that Person and over which that Person or one or more other Subsidiaries of that Person exercise sole control. For the purposes of this definition, “voting stock” means stock having voting power for the election of directors or trustees, as the case may be, whether at all times or only so long as no senior class of stock has voting power for the election of directors or trustees by reason of any contingency, and “control” means the power to direct the management and policies of a Person, directly or indirectly, whether through the ownership of voting securities, by contract or otherwise.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Supported QFC</w:t>
      </w:r>
      <w:r>
        <w:rPr>
          <w:rFonts w:ascii="Times New Roman" w:cs="Times New Roman" w:eastAsia="Times New Roman" w:hAnsi="Times New Roman"/>
          <w:sz w:val="21"/>
          <w:szCs w:val="21"/>
          <w:color w:val="auto"/>
        </w:rPr>
        <w:t>” has the meaning assigned to it in Section 12.27.</w:t>
      </w:r>
    </w:p>
    <w:p>
      <w:pPr>
        <w:spacing w:after="0" w:line="217" w:lineRule="exact"/>
        <w:rPr>
          <w:sz w:val="20"/>
          <w:szCs w:val="20"/>
          <w:color w:val="auto"/>
        </w:rPr>
      </w:pPr>
    </w:p>
    <w:p>
      <w:pPr>
        <w:ind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Assurance Provider</w:t>
      </w:r>
      <w:r>
        <w:rPr>
          <w:rFonts w:ascii="Times New Roman" w:cs="Times New Roman" w:eastAsia="Times New Roman" w:hAnsi="Times New Roman"/>
          <w:sz w:val="21"/>
          <w:szCs w:val="21"/>
          <w:color w:val="auto"/>
        </w:rPr>
        <w:t>” means a qualified external reviewer, independent of the Borrower and its Subsidiaries, with relevant expertise, such as an auditor, environmental consultant and/or independent ratings agency of recognized national standing that shall apply auditing standards and methodology consistent with the Standard for Sustainability Reporting. As of the date hereof, the term Sustainability Assurance Provider means Deloitte &amp; Touche LLP; provided that a replacement sustainability assurance provider may be designated from time to time by the Borrower if any such replacement Sustainability Assurance Provider</w:t>
      </w:r>
    </w:p>
    <w:p>
      <w:pPr>
        <w:spacing w:after="0" w:line="4" w:lineRule="exact"/>
        <w:rPr>
          <w:sz w:val="20"/>
          <w:szCs w:val="20"/>
          <w:color w:val="auto"/>
        </w:rPr>
      </w:pPr>
    </w:p>
    <w:p>
      <w:pPr>
        <w:ind w:right="120" w:firstLine="5"/>
        <w:spacing w:after="0" w:line="251" w:lineRule="auto"/>
        <w:tabs>
          <w:tab w:leader="none" w:pos="285"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(i) a qualified external reviewer, independent of the Borrower and its Subsidiaries, with relevant expertise, such as an auditor, environmental consultant and/or independent ratings agency of recognized national standing or (ii) another firm designated by the Borrower and reasonably approved by the Administrative Agent, and (b) shall apply substantially the same auditing standards and methodology used in the most recently delivered KPI Metrics Report, except for any changes to such standards and/or methodology that (i) are consistent with then generally accepted industry standards or SEC requirements or (ii) if not so consistent, are proposed by the Borrower and reasonably approved by the Administrative Agent.</w:t>
      </w:r>
    </w:p>
    <w:p>
      <w:pPr>
        <w:spacing w:after="0" w:line="177" w:lineRule="exact"/>
        <w:rPr>
          <w:sz w:val="20"/>
          <w:szCs w:val="20"/>
          <w:color w:val="auto"/>
        </w:rPr>
      </w:pPr>
    </w:p>
    <w:p>
      <w:pPr>
        <w:jc w:val="both"/>
        <w:ind w:right="340"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Margin Adjustment</w:t>
      </w:r>
      <w:r>
        <w:rPr>
          <w:rFonts w:ascii="Times New Roman" w:cs="Times New Roman" w:eastAsia="Times New Roman" w:hAnsi="Times New Roman"/>
          <w:sz w:val="21"/>
          <w:szCs w:val="21"/>
          <w:color w:val="auto"/>
        </w:rPr>
        <w:t>” means with respect to any KPI Metrics Report, for any period between Sustainability Pricing Adjustment Dates, an amount (whether positive, negative or zero), expressed as a percentage, equal to the KPI Applicable Margin Adjustment Amount (whether positive, negative or zero) for such period.</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Pricing Adjustment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1.07(a)</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ind w:right="20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Recalculation Event</w:t>
      </w:r>
      <w:r>
        <w:rPr>
          <w:rFonts w:ascii="Times New Roman" w:cs="Times New Roman" w:eastAsia="Times New Roman" w:hAnsi="Times New Roman"/>
          <w:sz w:val="21"/>
          <w:szCs w:val="21"/>
          <w:color w:val="auto"/>
        </w:rPr>
        <w:t>” means (i) any acquisition, disposition, merger or similar transaction or series of related transactions consummated by the Borrower and its Subsidiaries (otherwise in accordance with the provisions of this Agreement) whereby, as a</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134" w:right="339" w:bottom="1440" w:gutter="0" w:footer="0" w:header="0"/>
        </w:sectPr>
      </w:pPr>
    </w:p>
    <w:bookmarkStart w:id="186" w:name="page187"/>
    <w:bookmarkEnd w:id="186"/>
    <w:p>
      <w:pPr>
        <w:ind w:right="40"/>
        <w:spacing w:after="0" w:line="253" w:lineRule="auto"/>
        <w:rPr>
          <w:sz w:val="20"/>
          <w:szCs w:val="20"/>
          <w:color w:val="auto"/>
        </w:rPr>
      </w:pPr>
      <w:r>
        <w:rPr>
          <w:rFonts w:ascii="Times New Roman" w:cs="Times New Roman" w:eastAsia="Times New Roman" w:hAnsi="Times New Roman"/>
          <w:sz w:val="21"/>
          <w:szCs w:val="21"/>
          <w:color w:val="auto"/>
        </w:rPr>
        <w:t>result of the consummation of such transaction or series of related transactions the KPI would reasonably be expected to be (as determined in good faith by the Borrower), or shall be, increased or decreased by 5% or more (on a consolidated basis) as compared to the KPI in effect immediately prior to the consummation of such transaction or (ii) any change or anticipated change in Law (including rules, regulations and guidance promulgated by the SEC or any other Governmental Authority) applicable to any party hereto the result of which shall (A) prohibit or limit the use of the KPI hereunder, (B) prohibit or modify any sustainability calculation hereunder in any material respect or cause any other violation of any sustainability provision hereunder, or impose or modify any reporting obligation in respect thereof, (C) cause the Borrower to fail to attain or maintain the KPI or target or threshold with respect thereto or (D) prohibit or otherwise limit such party’s ability to make or maintain the Loans hereunder after applying the sustainability provisions hereunder.</w:t>
      </w:r>
    </w:p>
    <w:p>
      <w:pPr>
        <w:spacing w:after="0" w:line="171" w:lineRule="exact"/>
        <w:rPr>
          <w:sz w:val="20"/>
          <w:szCs w:val="20"/>
          <w:color w:val="auto"/>
        </w:rPr>
      </w:pPr>
    </w:p>
    <w:p>
      <w:pPr>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Report</w:t>
      </w:r>
      <w:r>
        <w:rPr>
          <w:rFonts w:ascii="Times New Roman" w:cs="Times New Roman" w:eastAsia="Times New Roman" w:hAnsi="Times New Roman"/>
          <w:sz w:val="21"/>
          <w:szCs w:val="21"/>
          <w:color w:val="auto"/>
        </w:rPr>
        <w:t>” means the annual non-financial disclosure report prepared in accordance with the Standard for Sustainability Reporting publicly reported by the Borrower and published on an Internet or intranet website to which each Bank and the Administrative Agent have been granted access free of charge (or at the expense of the Borrower), it being understood and agreed that the applicable Sustainability Report shall be such disclosure report as in effect and available on the date of delivery of the applicable Pricing Certificate.</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Table</w:t>
      </w:r>
      <w:r>
        <w:rPr>
          <w:rFonts w:ascii="Times New Roman" w:cs="Times New Roman" w:eastAsia="Times New Roman" w:hAnsi="Times New Roman"/>
          <w:sz w:val="21"/>
          <w:szCs w:val="21"/>
          <w:color w:val="auto"/>
        </w:rPr>
        <w:t xml:space="preserve">” means the Sustainability Table set forth on </w:t>
      </w:r>
      <w:r>
        <w:rPr>
          <w:rFonts w:ascii="Times New Roman" w:cs="Times New Roman" w:eastAsia="Times New Roman" w:hAnsi="Times New Roman"/>
          <w:sz w:val="21"/>
          <w:szCs w:val="21"/>
          <w:u w:val="single" w:color="auto"/>
          <w:color w:val="auto"/>
        </w:rPr>
        <w:t>Schedule 4</w:t>
      </w:r>
      <w:r>
        <w:rPr>
          <w:rFonts w:ascii="Times New Roman" w:cs="Times New Roman" w:eastAsia="Times New Roman" w:hAnsi="Times New Roman"/>
          <w:sz w:val="21"/>
          <w:szCs w:val="21"/>
          <w:color w:val="auto"/>
        </w:rPr>
        <w:t>.</w:t>
      </w:r>
    </w:p>
    <w:p>
      <w:pPr>
        <w:spacing w:after="0" w:line="230" w:lineRule="exact"/>
        <w:rPr>
          <w:sz w:val="20"/>
          <w:szCs w:val="20"/>
          <w:color w:val="auto"/>
        </w:rPr>
      </w:pPr>
    </w:p>
    <w:p>
      <w:pPr>
        <w:ind w:right="20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right="18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Benchmark</w:t>
      </w:r>
      <w:r>
        <w:rPr>
          <w:rFonts w:ascii="Times New Roman" w:cs="Times New Roman" w:eastAsia="Times New Roman" w:hAnsi="Times New Roman"/>
          <w:sz w:val="21"/>
          <w:szCs w:val="21"/>
          <w:color w:val="auto"/>
        </w:rPr>
        <w:t>” when used in reference to any Loan, refers to whether such Loan is bearing interest at a rate determined by reference to the Term SOFR Rate.</w:t>
      </w:r>
    </w:p>
    <w:p>
      <w:pPr>
        <w:spacing w:after="0" w:line="157" w:lineRule="exact"/>
        <w:rPr>
          <w:sz w:val="20"/>
          <w:szCs w:val="20"/>
          <w:color w:val="auto"/>
        </w:rPr>
      </w:pPr>
    </w:p>
    <w:p>
      <w:pPr>
        <w:ind w:right="2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Exposure</w:t>
      </w:r>
      <w:r>
        <w:rPr>
          <w:rFonts w:ascii="Times New Roman" w:cs="Times New Roman" w:eastAsia="Times New Roman" w:hAnsi="Times New Roman"/>
          <w:sz w:val="21"/>
          <w:szCs w:val="21"/>
          <w:color w:val="auto"/>
        </w:rPr>
        <w:t>” means, with respect to any Bank at any time, the sum of the outstanding principal amount of such Bank’s Term Loans and New Term Loans, if any, at such time.</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Loan</w:t>
      </w:r>
      <w:r>
        <w:rPr>
          <w:rFonts w:ascii="Times New Roman" w:cs="Times New Roman" w:eastAsia="Times New Roman" w:hAnsi="Times New Roman"/>
          <w:sz w:val="21"/>
          <w:szCs w:val="21"/>
          <w:color w:val="auto"/>
        </w:rPr>
        <w:t>” has the meaning specified in Section 2.01(b).</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Loan Note</w:t>
      </w:r>
      <w:r>
        <w:rPr>
          <w:rFonts w:ascii="Times New Roman" w:cs="Times New Roman" w:eastAsia="Times New Roman" w:hAnsi="Times New Roman"/>
          <w:sz w:val="21"/>
          <w:szCs w:val="21"/>
          <w:color w:val="auto"/>
        </w:rPr>
        <w:t>” has the meaning specified in Section 2.09.</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has the meaning assigned to it under the definition of Term SOFR Reference Rate.</w:t>
      </w:r>
    </w:p>
    <w:p>
      <w:pPr>
        <w:spacing w:after="0" w:line="217" w:lineRule="exact"/>
        <w:rPr>
          <w:sz w:val="20"/>
          <w:szCs w:val="20"/>
          <w:color w:val="auto"/>
        </w:rPr>
      </w:pPr>
    </w:p>
    <w:p>
      <w:pPr>
        <w:ind w:right="2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Rate</w:t>
      </w:r>
      <w:r>
        <w:rPr>
          <w:rFonts w:ascii="Times New Roman" w:cs="Times New Roman" w:eastAsia="Times New Roman" w:hAnsi="Times New Roman"/>
          <w:sz w:val="21"/>
          <w:szCs w:val="21"/>
          <w:color w:val="auto"/>
        </w:rPr>
        <w:t xml:space="preserve">” means, with respect to any Term Benchmark Loan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if the Term SOFR Rate as so determined would be less than the Floor, such rate shall be deemed to be equal to the Floor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00"/>
          </w:cols>
          <w:pgMar w:left="320" w:top="1134" w:right="379" w:bottom="1440" w:gutter="0" w:footer="0" w:header="0"/>
        </w:sectPr>
      </w:pPr>
    </w:p>
    <w:bookmarkStart w:id="187" w:name="page188"/>
    <w:bookmarkEnd w:id="187"/>
    <w:p>
      <w:pPr>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Reference Rate</w:t>
      </w:r>
      <w:r>
        <w:rPr>
          <w:rFonts w:ascii="Times New Roman" w:cs="Times New Roman" w:eastAsia="Times New Roman" w:hAnsi="Times New Roman"/>
          <w:sz w:val="21"/>
          <w:szCs w:val="21"/>
          <w:color w:val="auto"/>
        </w:rPr>
        <w:t>” means, for any day and time (such day, the “</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with respect to any Term Benchmark Loan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Banking Days prior to such Term SOFR Determination Day.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Loan Commitment</w:t>
      </w:r>
      <w:r>
        <w:rPr>
          <w:rFonts w:ascii="Times New Roman" w:cs="Times New Roman" w:eastAsia="Times New Roman" w:hAnsi="Times New Roman"/>
          <w:sz w:val="21"/>
          <w:szCs w:val="21"/>
          <w:color w:val="auto"/>
        </w:rPr>
        <w:t>” means an amount equal to the aggregate amount of all Loan Commitments.</w:t>
      </w:r>
    </w:p>
    <w:p>
      <w:pPr>
        <w:spacing w:after="0" w:line="230" w:lineRule="exact"/>
        <w:rPr>
          <w:sz w:val="20"/>
          <w:szCs w:val="20"/>
          <w:color w:val="auto"/>
        </w:rPr>
      </w:pPr>
    </w:p>
    <w:p>
      <w:pPr>
        <w:ind w:right="18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Outstanding Indebtedness</w:t>
      </w:r>
      <w:r>
        <w:rPr>
          <w:rFonts w:ascii="Times New Roman" w:cs="Times New Roman" w:eastAsia="Times New Roman" w:hAnsi="Times New Roman"/>
          <w:sz w:val="21"/>
          <w:szCs w:val="21"/>
          <w:color w:val="auto"/>
        </w:rPr>
        <w:t>” means, at any time, without duplication, the sum of Debt of the Borrower, the Borrower’s Pro Rata Share of Debt in respect of Consolidated Businesses, and any Debt of UJVs to the extent Recourse to the Borrower, as determined on a consolidated basis in accordance with GAAP.</w:t>
      </w:r>
    </w:p>
    <w:p>
      <w:pPr>
        <w:spacing w:after="0" w:line="162"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UJVs</w:t>
      </w:r>
      <w:r>
        <w:rPr>
          <w:rFonts w:ascii="Times New Roman" w:cs="Times New Roman" w:eastAsia="Times New Roman" w:hAnsi="Times New Roman"/>
          <w:sz w:val="21"/>
          <w:szCs w:val="21"/>
          <w:color w:val="auto"/>
        </w:rPr>
        <w:t>” means, at any time, (1) investments of the Borrower that are accounted for under the equity method in the Borrower’s Consolidated Financial Statements prepared in accordance with GAAP and (2) investments of the Borrower in which the Borrower owns less than 50% of the equity interests and that are consolidated in the Borrower’s Consolidated Financial Statements prepared in accordance with GAAP.</w:t>
      </w:r>
    </w:p>
    <w:p>
      <w:pPr>
        <w:spacing w:after="0" w:line="164" w:lineRule="exact"/>
        <w:rPr>
          <w:sz w:val="20"/>
          <w:szCs w:val="20"/>
          <w:color w:val="auto"/>
        </w:rPr>
      </w:pPr>
    </w:p>
    <w:p>
      <w:pPr>
        <w:ind w:right="40"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Financial Institutions</w:t>
      </w:r>
      <w:r>
        <w:rPr>
          <w:rFonts w:ascii="Times New Roman" w:cs="Times New Roman" w:eastAsia="Times New Roman" w:hAnsi="Times New Roman"/>
          <w:sz w:val="21"/>
          <w:szCs w:val="21"/>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4" w:lineRule="exact"/>
        <w:rPr>
          <w:sz w:val="20"/>
          <w:szCs w:val="20"/>
          <w:color w:val="auto"/>
        </w:rPr>
      </w:pPr>
    </w:p>
    <w:p>
      <w:pPr>
        <w:ind w:right="8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Resolution Authority</w:t>
      </w:r>
      <w:r>
        <w:rPr>
          <w:rFonts w:ascii="Times New Roman" w:cs="Times New Roman" w:eastAsia="Times New Roman" w:hAnsi="Times New Roman"/>
          <w:sz w:val="21"/>
          <w:szCs w:val="21"/>
          <w:color w:val="auto"/>
        </w:rPr>
        <w:t>” means the Bank of England or any other public administrative authority having responsibility for the resolution of any UK Financial Institution.</w:t>
      </w:r>
    </w:p>
    <w:p>
      <w:pPr>
        <w:spacing w:after="0" w:line="144" w:lineRule="exact"/>
        <w:rPr>
          <w:sz w:val="20"/>
          <w:szCs w:val="20"/>
          <w:color w:val="auto"/>
        </w:rPr>
      </w:pPr>
    </w:p>
    <w:p>
      <w:pPr>
        <w:ind w:right="48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Unadjusted Benchmark Replacement</w:t>
      </w:r>
      <w:r>
        <w:rPr>
          <w:rFonts w:ascii="Times New Roman" w:cs="Times New Roman" w:eastAsia="Times New Roman" w:hAnsi="Times New Roman"/>
          <w:sz w:val="21"/>
          <w:szCs w:val="21"/>
          <w:color w:val="auto"/>
        </w:rPr>
        <w:t>” means the applicable Benchmark Replacement excluding the related Benchmark Replacement Adjustment.</w:t>
      </w:r>
    </w:p>
    <w:p>
      <w:pPr>
        <w:spacing w:after="0" w:line="144" w:lineRule="exact"/>
        <w:rPr>
          <w:sz w:val="20"/>
          <w:szCs w:val="20"/>
          <w:color w:val="auto"/>
        </w:rPr>
      </w:pPr>
    </w:p>
    <w:p>
      <w:pPr>
        <w:ind w:right="60" w:firstLine="629"/>
        <w:spacing w:after="0" w:line="27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Unencumbered Assets</w:t>
      </w:r>
      <w:r>
        <w:rPr>
          <w:rFonts w:ascii="Times New Roman" w:cs="Times New Roman" w:eastAsia="Times New Roman" w:hAnsi="Times New Roman"/>
          <w:sz w:val="20"/>
          <w:szCs w:val="20"/>
          <w:color w:val="auto"/>
        </w:rPr>
        <w:t>” means, collectively, assets, reflected in the Borrower’s Consolidated Financial Statements, owned in whole or in part, directly or indirectly, by Borrower and not subject to any Lien to secure all or any portion of Secured Indebtedness or to any negative pledge or similar agreement, and assets of Consolidated Businesses and UJVs which are not subject to any Lien to secure all or any portion of Secured Indebtedness or to any negative pledge or similar agreement, provided that any such Consolidated Business or UJV is not the borrower or guarantor of any Unsecured Indebtedness. For clarity, (i) an agreement that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20"/>
          </w:cols>
          <w:pgMar w:left="320" w:top="1134" w:right="359" w:bottom="1440" w:gutter="0" w:footer="0" w:header="0"/>
        </w:sectPr>
      </w:pPr>
    </w:p>
    <w:bookmarkStart w:id="188" w:name="page189"/>
    <w:bookmarkEnd w:id="188"/>
    <w:p>
      <w:pPr>
        <w:spacing w:after="0" w:line="255" w:lineRule="auto"/>
        <w:rPr>
          <w:sz w:val="20"/>
          <w:szCs w:val="20"/>
          <w:color w:val="auto"/>
        </w:rPr>
      </w:pPr>
      <w:r>
        <w:rPr>
          <w:rFonts w:ascii="Times New Roman" w:cs="Times New Roman" w:eastAsia="Times New Roman" w:hAnsi="Times New Roman"/>
          <w:sz w:val="21"/>
          <w:szCs w:val="21"/>
          <w:color w:val="auto"/>
        </w:rPr>
        <w:t>conditions the ability to encumber assets upon the maintenance of one or more specified ratios but that does not generally prohibit the encumbrance of assets, or the encumbrance of specific assets, shall not constitute a negative pledge or similar agreement and (ii) in the event Borrower owns, directly or indirectly in whole or in part, both the fee estate in an asset and a separate leasehold estate in the same asset (or both a senior leasehold estate and a separate junior leasehold estate in the same asset) and one such estate is subject to a Lien to secure Secured Indebtedness or a negative pledge such that it would not be treated as an Unencumbered Asset but the other such estate is not subject to any such Lien or negative pledge, Borrower shall be entitled to treat each estate as a separate asset for purposes of determining whether each estate is an Unencumbered Asset.</w:t>
      </w:r>
    </w:p>
    <w:p>
      <w:pPr>
        <w:spacing w:after="0" w:line="169" w:lineRule="exact"/>
        <w:rPr>
          <w:sz w:val="20"/>
          <w:szCs w:val="20"/>
          <w:color w:val="auto"/>
        </w:rPr>
      </w:pPr>
    </w:p>
    <w:p>
      <w:pPr>
        <w:ind w:right="220"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Unencumbered Combined EBITDA</w:t>
      </w:r>
      <w:r>
        <w:rPr>
          <w:rFonts w:ascii="Times New Roman" w:cs="Times New Roman" w:eastAsia="Times New Roman" w:hAnsi="Times New Roman"/>
          <w:sz w:val="21"/>
          <w:szCs w:val="21"/>
          <w:color w:val="auto"/>
        </w:rPr>
        <w:t xml:space="preserve">” means that portion of Combined EBITDA attributable to Unencumbered Assets;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Unencumbered Combined EBITDA shall include only general and administrative expenses that are attributable to the management and operation of the Unencumbered Assets in accordance with GAAP and shall not include any corporate general and administrative expenses of Borrower, General Partner, Consolidated Businesses or UJVs (e.g., salaries of corporate officers).</w:t>
      </w:r>
    </w:p>
    <w:p>
      <w:pPr>
        <w:spacing w:after="0" w:line="164" w:lineRule="exact"/>
        <w:rPr>
          <w:sz w:val="20"/>
          <w:szCs w:val="20"/>
          <w:color w:val="auto"/>
        </w:rPr>
      </w:pPr>
    </w:p>
    <w:p>
      <w:pPr>
        <w:ind w:right="8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Unfunded Current Liability</w:t>
      </w:r>
      <w:r>
        <w:rPr>
          <w:rFonts w:ascii="Times New Roman" w:cs="Times New Roman" w:eastAsia="Times New Roman" w:hAnsi="Times New Roman"/>
          <w:sz w:val="21"/>
          <w:szCs w:val="21"/>
          <w:color w:val="auto"/>
        </w:rPr>
        <w:t>” of any Plan means the amount, if any, by which the actuarial present value of accumulated plan benefits as of the close of its most recent plan year, based upon the actuarial assumptions used by such Plan’s actuary in the most recent annual valuation of such Plan, exceeds the fair market value of the assets allocable thereto, determined in accordance with Section 412 of the Code.</w:t>
      </w:r>
    </w:p>
    <w:p>
      <w:pPr>
        <w:spacing w:after="0" w:line="180" w:lineRule="exact"/>
        <w:rPr>
          <w:sz w:val="20"/>
          <w:szCs w:val="20"/>
          <w:color w:val="auto"/>
        </w:rPr>
      </w:pPr>
    </w:p>
    <w:p>
      <w:pPr>
        <w:ind w:right="34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Unrestricted Cash and Cash Equivalents</w:t>
      </w:r>
      <w:r>
        <w:rPr>
          <w:rFonts w:ascii="Times New Roman" w:cs="Times New Roman" w:eastAsia="Times New Roman" w:hAnsi="Times New Roman"/>
          <w:sz w:val="21"/>
          <w:szCs w:val="21"/>
          <w:color w:val="auto"/>
        </w:rPr>
        <w:t>” means Cash or Cash Equivalents owned by Borrower, and Borrower’s Pro Rata Share of any Cash or Cash Equivalents owned by any Consolidated Businesses or UJV, that are not subject to any pledge, lien or control agreement, less amounts placed with third parties as deposits or security for contractual obligations.</w:t>
      </w:r>
    </w:p>
    <w:p>
      <w:pPr>
        <w:spacing w:after="0" w:line="162" w:lineRule="exact"/>
        <w:rPr>
          <w:sz w:val="20"/>
          <w:szCs w:val="20"/>
          <w:color w:val="auto"/>
        </w:rPr>
      </w:pPr>
    </w:p>
    <w:p>
      <w:pPr>
        <w:ind w:right="32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Unsecured Indebtedness</w:t>
      </w:r>
      <w:r>
        <w:rPr>
          <w:rFonts w:ascii="Times New Roman" w:cs="Times New Roman" w:eastAsia="Times New Roman" w:hAnsi="Times New Roman"/>
          <w:sz w:val="21"/>
          <w:szCs w:val="21"/>
          <w:color w:val="auto"/>
        </w:rPr>
        <w:t>” means, at any time, Total Outstanding Indebtedness that is not secured by a lien on assets of the Borrower, a Consolidated Business or a UJV, as the case may be.</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Unsecured Indebtedness Adjustment</w:t>
      </w:r>
      <w:r>
        <w:rPr>
          <w:rFonts w:ascii="Times New Roman" w:cs="Times New Roman" w:eastAsia="Times New Roman" w:hAnsi="Times New Roman"/>
          <w:sz w:val="21"/>
          <w:szCs w:val="21"/>
          <w:color w:val="auto"/>
        </w:rPr>
        <w:t>” has the meaning set forth in Section 8.06.</w:t>
      </w:r>
    </w:p>
    <w:p>
      <w:pPr>
        <w:spacing w:after="0" w:line="217" w:lineRule="exact"/>
        <w:rPr>
          <w:sz w:val="20"/>
          <w:szCs w:val="20"/>
          <w:color w:val="auto"/>
        </w:rPr>
      </w:pPr>
    </w:p>
    <w:p>
      <w:pPr>
        <w:ind w:right="16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Unsecured Interest Expense</w:t>
      </w:r>
      <w:r>
        <w:rPr>
          <w:rFonts w:ascii="Times New Roman" w:cs="Times New Roman" w:eastAsia="Times New Roman" w:hAnsi="Times New Roman"/>
          <w:sz w:val="21"/>
          <w:szCs w:val="21"/>
          <w:color w:val="auto"/>
        </w:rPr>
        <w:t>” means, for any period, the Borrower’s Pro Rata Share of Interest Expense attributable to Total Outstanding Indebtedness constituting Unsecured Indebtedness.</w:t>
      </w:r>
    </w:p>
    <w:p>
      <w:pPr>
        <w:spacing w:after="0" w:line="144"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Government Securities Business Day</w:t>
      </w:r>
      <w:r>
        <w:rPr>
          <w:rFonts w:ascii="Times New Roman" w:cs="Times New Roman" w:eastAsia="Times New Roman" w:hAnsi="Times New Roman"/>
          <w:sz w:val="21"/>
          <w:szCs w:val="21"/>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5"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Person</w:t>
      </w:r>
      <w:r>
        <w:rPr>
          <w:rFonts w:ascii="Times New Roman" w:cs="Times New Roman" w:eastAsia="Times New Roman" w:hAnsi="Times New Roman"/>
          <w:sz w:val="21"/>
          <w:szCs w:val="21"/>
          <w:color w:val="auto"/>
        </w:rPr>
        <w:t>” means (i) for purposes of Sections 5.27 and 7.05 hereof, any United States citizen, lawful permanent resident, entity organized under the laws of the United States or any jurisdiction within the United States, including any foreign branch of any such entity, or any person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134"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1"/>
          <w:szCs w:val="21"/>
          <w:color w:val="auto"/>
        </w:rPr>
        <w:t>in the United States and (ii) for all other purposes, a “United States person” within the meaning of Section 7701(a)(30) of the Code.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Special Resolution Regime</w:t>
      </w:r>
      <w:r>
        <w:rPr>
          <w:rFonts w:ascii="Times New Roman" w:cs="Times New Roman" w:eastAsia="Times New Roman" w:hAnsi="Times New Roman"/>
          <w:sz w:val="21"/>
          <w:szCs w:val="21"/>
          <w:color w:val="auto"/>
        </w:rPr>
        <w:t>” has the meaning assigned to it in Section 12.27.</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Tax Compliance Certificate</w:t>
      </w:r>
      <w:r>
        <w:rPr>
          <w:rFonts w:ascii="Times New Roman" w:cs="Times New Roman" w:eastAsia="Times New Roman" w:hAnsi="Times New Roman"/>
          <w:sz w:val="21"/>
          <w:szCs w:val="21"/>
          <w:color w:val="auto"/>
        </w:rPr>
        <w:t>” has the meaning assigned to such term in Section 10.13(f)(ii)(B)(3).</w:t>
      </w:r>
    </w:p>
    <w:p>
      <w:pPr>
        <w:spacing w:after="0" w:line="217" w:lineRule="exact"/>
        <w:rPr>
          <w:sz w:val="20"/>
          <w:szCs w:val="20"/>
          <w:color w:val="auto"/>
        </w:rPr>
      </w:pPr>
    </w:p>
    <w:p>
      <w:pPr>
        <w:ind w:right="36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VRT Principals</w:t>
      </w:r>
      <w:r>
        <w:rPr>
          <w:rFonts w:ascii="Times New Roman" w:cs="Times New Roman" w:eastAsia="Times New Roman" w:hAnsi="Times New Roman"/>
          <w:sz w:val="21"/>
          <w:szCs w:val="21"/>
          <w:color w:val="auto"/>
        </w:rPr>
        <w:t>” means the trustees, executive officers and directors of Borrower (other than General Partner) or General Partner at any applicable time.</w:t>
      </w:r>
    </w:p>
    <w:p>
      <w:pPr>
        <w:spacing w:after="0" w:line="144" w:lineRule="exact"/>
        <w:rPr>
          <w:sz w:val="20"/>
          <w:szCs w:val="20"/>
          <w:color w:val="auto"/>
        </w:rPr>
      </w:pPr>
    </w:p>
    <w:p>
      <w:pPr>
        <w:ind w:right="22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Without Recourse</w:t>
      </w:r>
      <w:r>
        <w:rPr>
          <w:rFonts w:ascii="Times New Roman" w:cs="Times New Roman" w:eastAsia="Times New Roman" w:hAnsi="Times New Roman"/>
          <w:sz w:val="21"/>
          <w:szCs w:val="21"/>
          <w:color w:val="auto"/>
        </w:rPr>
        <w:t>” means, with reference to any obligation or liability, any obligation or liability for which the obligor thereunder is not liable or obligated other than as to its interest in a designated asset or assets only, subject to such exceptions to the non-recourse nature of such obligation or liability (such as, but not limited to, fraud, misappropriation, misapplication and environmental indemnities), as are usual and customary in like transactions involving institutional lenders at the time of the incurrence of such obligation or liability.</w:t>
      </w:r>
    </w:p>
    <w:p>
      <w:pPr>
        <w:spacing w:after="0" w:line="169"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Write-Down and Conversion Powers</w:t>
      </w:r>
      <w:r>
        <w:rPr>
          <w:rFonts w:ascii="Times New Roman" w:cs="Times New Roman" w:eastAsia="Times New Roman" w:hAnsi="Times New Roman"/>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1"/>
          <w:szCs w:val="21"/>
          <w:u w:val="single" w:color="auto"/>
          <w:color w:val="auto"/>
        </w:rPr>
        <w:t>Accounting Terms.</w:t>
      </w:r>
      <w:r>
        <w:rPr>
          <w:rFonts w:ascii="Times New Roman" w:cs="Times New Roman" w:eastAsia="Times New Roman" w:hAnsi="Times New Roman"/>
          <w:sz w:val="21"/>
          <w:szCs w:val="21"/>
          <w:color w:val="auto"/>
        </w:rPr>
        <w:t xml:space="preserve"> All accounting terms not specifically defined herein shall be construed in accordance with GAAP, and, except as otherwise provided herein, all financial data required to be delivered hereunder shall be prepared in accordance with GAAP.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Debt or other liabilities of the Borrower or any Subsidiary at “fair value”, as defined therein, so that such Debt and other liabilities will be valued at the historical cost basis, which generally is the contractual amount owed adjusted for amortization or accretion of any premium or discount, and (ii) in a manner such that any obligations relating to a lease that was accounted for by a Person as an operating lease as of December 31, 2018 and any similar lease entered into after December 31, 2018 by such Person shall be accounted for as obligations relating to an operating lease and not as a Capital Lease.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134" w:right="339" w:bottom="1440" w:gutter="0" w:footer="0" w:header="0"/>
        </w:sectPr>
      </w:pPr>
    </w:p>
    <w:bookmarkStart w:id="190" w:name="page191"/>
    <w:bookmarkEnd w:id="190"/>
    <w:p>
      <w:pPr>
        <w:ind w:right="60" w:firstLine="629"/>
        <w:spacing w:after="0" w:line="263"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Computation of Time Periods</w:t>
      </w:r>
      <w:r>
        <w:rPr>
          <w:rFonts w:ascii="Times New Roman" w:cs="Times New Roman" w:eastAsia="Times New Roman" w:hAnsi="Times New Roman"/>
          <w:sz w:val="21"/>
          <w:szCs w:val="21"/>
          <w:color w:val="auto"/>
        </w:rPr>
        <w:t>. Except as otherwise provided herein, in this Agreement, in the computation of periods of time from a specified date to a later specified date, the word “from” means “from and including” and words “to” and “until” each means “to but excluding”.</w:t>
      </w:r>
    </w:p>
    <w:p>
      <w:pPr>
        <w:spacing w:after="0" w:line="58" w:lineRule="exact"/>
        <w:rPr>
          <w:sz w:val="20"/>
          <w:szCs w:val="20"/>
          <w:color w:val="auto"/>
        </w:rPr>
      </w:pPr>
    </w:p>
    <w:p>
      <w:pPr>
        <w:ind w:right="40"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u w:val="single" w:color="auto"/>
          <w:color w:val="auto"/>
        </w:rPr>
        <w:t>Rules of Construction.</w:t>
      </w:r>
      <w:r>
        <w:rPr>
          <w:rFonts w:ascii="Times New Roman" w:cs="Times New Roman" w:eastAsia="Times New Roman" w:hAnsi="Times New Roman"/>
          <w:sz w:val="21"/>
          <w:szCs w:val="21"/>
          <w:color w:val="auto"/>
        </w:rPr>
        <w:t xml:space="preserve"> When used in this Agreement: (1) “or” is not exclusive; (2) a reference to a Law includes any amendment or modification to such Law; (3) a reference to a Person includes its permitted successors and permitted assigns; (4) except as provided otherwise, all references to the singular shall include the plural and vice versa; (5) except as provided in this Agreement, a reference to an agreement, instrument or document shall include such agreement, instrument or document as the same may be amended, modified or supplemented from time to time in accordance with its terms and as permitted by the Loan Documents; (6) all references to Articles or Sections shall be to Articles and Sections of this Agreement unless otherwise indicated; and (7) all Exhibits to this Agreement shall be incorporated into this Agreement.</w:t>
      </w:r>
    </w:p>
    <w:p>
      <w:pPr>
        <w:spacing w:after="0" w:line="77" w:lineRule="exact"/>
        <w:rPr>
          <w:sz w:val="20"/>
          <w:szCs w:val="20"/>
          <w:color w:val="auto"/>
        </w:rPr>
      </w:pPr>
    </w:p>
    <w:p>
      <w:pPr>
        <w:ind w:right="20"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1.05 </w:t>
      </w:r>
      <w:r>
        <w:rPr>
          <w:rFonts w:ascii="Times New Roman" w:cs="Times New Roman" w:eastAsia="Times New Roman" w:hAnsi="Times New Roman"/>
          <w:sz w:val="21"/>
          <w:szCs w:val="21"/>
          <w:u w:val="single" w:color="auto"/>
          <w:color w:val="auto"/>
        </w:rPr>
        <w:t>Interest Rates; Benchmark Notification.</w:t>
      </w:r>
      <w:r>
        <w:rPr>
          <w:rFonts w:ascii="Times New Roman" w:cs="Times New Roman" w:eastAsia="Times New Roman" w:hAnsi="Times New Roman"/>
          <w:sz w:val="21"/>
          <w:szCs w:val="21"/>
          <w:color w:val="auto"/>
        </w:rPr>
        <w:t xml:space="preserve"> The interest rate on a Loan denominated in dollars may be derived from an interest rate benchmark that may be discontinued or is, or may in the future become, the subject of regulatory reform. Upon the occurrence of a Benchmark Transition Event, Section 3.02(b)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Bank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82" w:lineRule="exact"/>
        <w:rPr>
          <w:sz w:val="20"/>
          <w:szCs w:val="20"/>
          <w:color w:val="auto"/>
        </w:rPr>
      </w:pPr>
    </w:p>
    <w:p>
      <w:pPr>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1.06 </w:t>
      </w:r>
      <w:r>
        <w:rPr>
          <w:rFonts w:ascii="Times New Roman" w:cs="Times New Roman" w:eastAsia="Times New Roman" w:hAnsi="Times New Roman"/>
          <w:sz w:val="21"/>
          <w:szCs w:val="21"/>
          <w:u w:val="single" w:color="auto"/>
          <w:color w:val="auto"/>
        </w:rPr>
        <w:t>Divisions.</w:t>
      </w:r>
      <w:r>
        <w:rPr>
          <w:rFonts w:ascii="Times New Roman" w:cs="Times New Roman" w:eastAsia="Times New Roman" w:hAnsi="Times New Roman"/>
          <w:sz w:val="21"/>
          <w:szCs w:val="21"/>
          <w:color w:val="auto"/>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00"/>
          </w:cols>
          <w:pgMar w:left="320" w:top="1134" w:right="379" w:bottom="1440" w:gutter="0" w:footer="0" w:header="0"/>
        </w:sectPr>
      </w:pPr>
    </w:p>
    <w:bookmarkStart w:id="191" w:name="page192"/>
    <w:bookmarkEnd w:id="191"/>
    <w:p>
      <w:pPr>
        <w:ind w:left="1220"/>
        <w:spacing w:after="0"/>
        <w:tabs>
          <w:tab w:leader="none" w:pos="3080" w:val="left"/>
        </w:tabs>
        <w:rPr>
          <w:sz w:val="20"/>
          <w:szCs w:val="20"/>
          <w:color w:val="auto"/>
        </w:rPr>
      </w:pPr>
      <w:r>
        <w:rPr>
          <w:rFonts w:ascii="Times New Roman" w:cs="Times New Roman" w:eastAsia="Times New Roman" w:hAnsi="Times New Roman"/>
          <w:sz w:val="21"/>
          <w:szCs w:val="21"/>
          <w:color w:val="auto"/>
        </w:rPr>
        <w:t>SECTION 1.07</w:t>
      </w:r>
      <w:r>
        <w:rPr>
          <w:sz w:val="20"/>
          <w:szCs w:val="20"/>
          <w:color w:val="auto"/>
        </w:rPr>
        <w:tab/>
      </w:r>
      <w:r>
        <w:rPr>
          <w:rFonts w:ascii="Times New Roman" w:cs="Times New Roman" w:eastAsia="Times New Roman" w:hAnsi="Times New Roman"/>
          <w:sz w:val="20"/>
          <w:szCs w:val="20"/>
          <w:u w:val="single" w:color="auto"/>
          <w:color w:val="auto"/>
        </w:rPr>
        <w:t>Sustainability Adjustments</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ind w:left="-40" w:right="60" w:firstLine="1262"/>
        <w:spacing w:after="0" w:line="214" w:lineRule="auto"/>
        <w:tabs>
          <w:tab w:leader="none" w:pos="1843"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date on which Borrower provides a Pricing Certificate in respect of the most recently ended calendar year, commencing with the calendar year ended December 31, 2025, the Applicable Margin shall be increased or decreased (or not adjusted), as applicable, pursuant to the Sustainability Margin Adjustment as set forth in such Pricing Certificate. For purposes of the foregoing, (A) the Sustainability Margin Adjustment shall be determined and applied as of the fifth Banking Day following receipt by the Administrative Agent of a Pricing Certificate delivered pursuant to Section 1.07(f) based upon the KPI Metric set forth in such Pricing Certificate and the calculations of the Sustainability Margin Adjustment, therein (such day, the “</w:t>
      </w:r>
      <w:r>
        <w:rPr>
          <w:rFonts w:ascii="Times New Roman" w:cs="Times New Roman" w:eastAsia="Times New Roman" w:hAnsi="Times New Roman"/>
          <w:sz w:val="21"/>
          <w:szCs w:val="21"/>
          <w:u w:val="single" w:color="auto"/>
          <w:color w:val="auto"/>
        </w:rPr>
        <w:t>Sustainability Pricing Adjustment Date</w:t>
      </w:r>
      <w:r>
        <w:rPr>
          <w:rFonts w:ascii="Times New Roman" w:cs="Times New Roman" w:eastAsia="Times New Roman" w:hAnsi="Times New Roman"/>
          <w:sz w:val="21"/>
          <w:szCs w:val="21"/>
          <w:color w:val="auto"/>
        </w:rPr>
        <w:t>”) and (B) each change in the Applicable Margin resulting from a Pricing Certificate shall be effective during the period commencing on and including the applicable Sustainability Pricing Adjustment Date and ending on the date immediately preceding the next such Sustainability Pricing Adjustment Date (or, in the case of non-delivery of a Pricing Certificate, the last day such Pricing Certificate could have been delivered pursuant to the terms of Section 1.07(f)).</w:t>
      </w:r>
    </w:p>
    <w:p>
      <w:pPr>
        <w:spacing w:after="0" w:line="178" w:lineRule="exact"/>
        <w:rPr>
          <w:rFonts w:ascii="Times New Roman" w:cs="Times New Roman" w:eastAsia="Times New Roman" w:hAnsi="Times New Roman"/>
          <w:sz w:val="21"/>
          <w:szCs w:val="21"/>
          <w:color w:val="auto"/>
        </w:rPr>
      </w:pPr>
    </w:p>
    <w:p>
      <w:pPr>
        <w:ind w:left="-40" w:right="80" w:firstLine="1262"/>
        <w:spacing w:after="0" w:line="258" w:lineRule="auto"/>
        <w:tabs>
          <w:tab w:leader="none" w:pos="1842"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only one Pricing Certificate may be delivered in respect of any calendar year. It is further understood and agreed that the Applicable Margin will never be reduced or increased by more than 0.05% pursuant to the Sustainability Margin Adjustment during any calendar year. For the avoidance of doubt, any adjustment to the Applicable Margin by reason of meeting the KPI Metric in any year shall not be cumulative year-over-year. Each applicable adjustment shall only apply until the date on which the next adjustment is due to take place.</w:t>
      </w:r>
    </w:p>
    <w:p>
      <w:pPr>
        <w:spacing w:after="0" w:line="169" w:lineRule="exact"/>
        <w:rPr>
          <w:rFonts w:ascii="Times New Roman" w:cs="Times New Roman" w:eastAsia="Times New Roman" w:hAnsi="Times New Roman"/>
          <w:sz w:val="21"/>
          <w:szCs w:val="21"/>
          <w:color w:val="auto"/>
        </w:rPr>
      </w:pPr>
    </w:p>
    <w:p>
      <w:pPr>
        <w:ind w:left="-40" w:right="80" w:firstLine="1262"/>
        <w:spacing w:after="0" w:line="258" w:lineRule="auto"/>
        <w:tabs>
          <w:tab w:leader="none" w:pos="1843"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hereby understood and agreed that if no such Pricing Certificate is delivered by Borrower with regard to a particular calendar year within the period set forth in Section 1.07(f), the Sustainability Margin Adjustment will be positive 0.05% commencing on the last day such Pricing Certificate could have been delivered pursuant to the terms of Section 1.07(f) and continuing until Borrower delivers a Pricing Certificate to the Administrative Agent for the applicable calendar year.</w:t>
      </w:r>
    </w:p>
    <w:p>
      <w:pPr>
        <w:spacing w:after="0" w:line="179" w:lineRule="exact"/>
        <w:rPr>
          <w:rFonts w:ascii="Times New Roman" w:cs="Times New Roman" w:eastAsia="Times New Roman" w:hAnsi="Times New Roman"/>
          <w:sz w:val="21"/>
          <w:szCs w:val="21"/>
          <w:color w:val="auto"/>
        </w:rPr>
      </w:pPr>
    </w:p>
    <w:p>
      <w:pPr>
        <w:ind w:left="-40" w:firstLine="1262"/>
        <w:spacing w:after="0" w:line="265" w:lineRule="auto"/>
        <w:tabs>
          <w:tab w:leader="none" w:pos="1842"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(i)(A) any Bank becomes aware of any material inaccuracy in the Sustainability Margin Adjustment or the KPI Metric as reported in a Pricing Certificate (any such material inaccuracy, a “</w:t>
      </w:r>
      <w:r>
        <w:rPr>
          <w:rFonts w:ascii="Times New Roman" w:cs="Times New Roman" w:eastAsia="Times New Roman" w:hAnsi="Times New Roman"/>
          <w:sz w:val="20"/>
          <w:szCs w:val="20"/>
          <w:u w:val="single" w:color="auto"/>
          <w:color w:val="auto"/>
        </w:rPr>
        <w:t>Pricing Certificate Inaccuracy</w:t>
      </w:r>
      <w:r>
        <w:rPr>
          <w:rFonts w:ascii="Times New Roman" w:cs="Times New Roman" w:eastAsia="Times New Roman" w:hAnsi="Times New Roman"/>
          <w:sz w:val="20"/>
          <w:szCs w:val="20"/>
          <w:color w:val="auto"/>
        </w:rPr>
        <w:t>”) and such Bank delivers, not later than 10 Banking Days after obtaining knowledge thereof, a written notice to the Administrative Agent describing such Pricing Certificate Inaccuracy in reasonable detail (which description shall be shared with each Bank and the Borrower), or (B) the Borrower becomes aware of a Pricing Certificate Inaccuracy and the Borrower and the Administrative Agent shall mutually agree that there was a Pricing Certificate Inaccuracy at the time of delivery of a Pricing Certificate, and (ii) in either case, a proper calculation of the Sustainability Margin Adjustment or the KPI Metric would have resulted in no adjustment or an increase in the Applicable Margin for any period, (x) commencing on the fifth Banking Day following delivery of a corrected Sustainability Certificate to the Administrative Agent, the Applicable Margin shall be adjusted to reflect such corrected calculations of the Sustainability Margin Adjustment and (y) the Borrower shall be obligated to pay to the Administrative Agent for the account of the applicable Banks, promptly on demand by the Administrative Agent (or, after the occurrence of an actual or deemed entry of an order for relief with respect to any Borrower under the Bankruptcy Code (or any comparable event under non-U.S. Debtor Relief Laws), automatically and without further action by the Administrative Agent or any Bank), but in any event within 10 Banking Days after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180"/>
          </w:cols>
          <w:pgMar w:left="360" w:top="1134" w:right="3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1"/>
          <w:szCs w:val="21"/>
          <w:color w:val="auto"/>
        </w:rPr>
        <w:t xml:space="preserve">the Borrower has received written notice of (in the case of clause (d)(i)(A) above), or has agreed in writing that there was (in the case of clause (d)(i)(B) above), a Pricing Certificate Inaccuracy, an amount equal to the excess of (1) the amount of interest and fees that should have been paid for such period </w:t>
      </w:r>
      <w:r>
        <w:rPr>
          <w:rFonts w:ascii="Times New Roman" w:cs="Times New Roman" w:eastAsia="Times New Roman" w:hAnsi="Times New Roman"/>
          <w:sz w:val="21"/>
          <w:szCs w:val="21"/>
          <w:u w:val="single" w:color="auto"/>
          <w:color w:val="auto"/>
        </w:rPr>
        <w:t>over</w:t>
      </w:r>
      <w:r>
        <w:rPr>
          <w:rFonts w:ascii="Times New Roman" w:cs="Times New Roman" w:eastAsia="Times New Roman" w:hAnsi="Times New Roman"/>
          <w:sz w:val="21"/>
          <w:szCs w:val="21"/>
          <w:color w:val="auto"/>
        </w:rPr>
        <w:t xml:space="preserve"> (2) the amount of interest and fees actually paid for such period. If Borrower becomes aware of any Pricing Certificate Inaccuracy and, in connection therewith, if a proper calculation of the Sustainability Margin Adjustment or the KPI Metric would have resulted in a decrease in the Applicable Margin for any period, then, upon receipt by the Administrative Agent of notice from the Borrower of such Pricing Certificate Inaccuracy (which notice shall include corrections to the calculations of the Sustainability Margin Adjustment or the KPI Metric, as applicable), commencing on the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Banking Day following receipt by the Administrative Agent of such notice, the Applicable Margin shall be adjusted (but only with respect to periods commencing after such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Banking Day) to reflect the corrected calculations of the Sustainability Margin Adjustment or the KPI Metric, as applicable, for all periods occurring no sooner than 10 Banking Days after receipt by the Administrative Agent of such notice. For the avoidance of any doubt, the parties agree that any such adjustment to reflect a decrease in the Applicable Margin for any period shall only be effective on a prospective basis and shall not require any adjustments to amounts previously paid by the Borrower prior to the discovery of a Pricing Certificate Inaccuracy.</w:t>
      </w:r>
    </w:p>
    <w:p>
      <w:pPr>
        <w:spacing w:after="0" w:line="1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It is understood and agreed that any Pricing Certificate Inaccuracy shall not constitute a Default or Event of Default or</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otherwise result in the failure of any condition precedent to any advance; provided, that, the Borrower complies with the terms of this Section 1.07(d) and Section 6.09(17) with respect to such Pricing Certificate Inaccuracy. Notwithstanding anything to the contrary herein, unless such amounts shall be due upon the occurrence of an actual or deemed entry of an order for relief with respect to Borrower under the Bankruptcy Code (or any comparable event under non-U.S. Debtor Relief Laws), (a) any additional amounts required to be paid pursuant to the immediately preceding paragraph shall not be due and payable until 10 Banking Days after the Borrower has received written notice of (in the case of clause (d)(i)(A) above), or has agreed in writing that there was (in the case of clause (d)(i)(B) above), a Pricing Certificate Inaccuracy (such date, the “</w:t>
      </w:r>
      <w:r>
        <w:rPr>
          <w:rFonts w:ascii="Times New Roman" w:cs="Times New Roman" w:eastAsia="Times New Roman" w:hAnsi="Times New Roman"/>
          <w:sz w:val="21"/>
          <w:szCs w:val="21"/>
          <w:u w:val="single" w:color="auto"/>
          <w:color w:val="auto"/>
        </w:rPr>
        <w:t>Certificate Inaccuracy Payment Date</w:t>
      </w:r>
      <w:r>
        <w:rPr>
          <w:rFonts w:ascii="Times New Roman" w:cs="Times New Roman" w:eastAsia="Times New Roman" w:hAnsi="Times New Roman"/>
          <w:sz w:val="21"/>
          <w:szCs w:val="21"/>
          <w:color w:val="auto"/>
        </w:rPr>
        <w:t>”), (b) any nonpayment of such additional amounts prior to the Certificate Inaccuracy Payment Date shall not constitute a Default (whether retroactively or otherwise) and (c) none of such additional amounts shall be deemed overdue prior to the Certificate Inaccuracy Payment Date or shall accrue interest at the Default Rate prior to the Certificate Inaccuracy Payment Date.</w:t>
      </w:r>
    </w:p>
    <w:p>
      <w:pPr>
        <w:spacing w:after="0" w:line="175" w:lineRule="exact"/>
        <w:rPr>
          <w:sz w:val="20"/>
          <w:szCs w:val="20"/>
          <w:color w:val="auto"/>
        </w:rPr>
      </w:pPr>
    </w:p>
    <w:p>
      <w:pPr>
        <w:ind w:right="20" w:firstLine="1262"/>
        <w:spacing w:after="0" w:line="255" w:lineRule="auto"/>
        <w:tabs>
          <w:tab w:leader="none" w:pos="1883"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hereby agrees that neither the Administrative Agent nor any Sustainability Structuring Agent shall have (x) any duty to ascertain, inquire into or otherwise independently verify any sustainability related information or any other information or materials provided by the Borrower and used in connection with the sustainability provisions of the credit facility described in this Agreement, including with respect to the applicable KPI Metrics nor (y) any responsibility for (or liability in respect of) the completeness or accuracy of such information. Each party hereto hereby agrees that neither the Administrative Agent nor any Sustainability Structuring Agent nor any Lead Arranger shall have any responsibility for (or liability in respect of) reviewing, auditing or otherwise evaluating any calculation by the Borrower of any Sustainability Margin Adjustment (or any of the data or computations that are part of or related to any such calculation) set forth in any Pricing Certificate or notice as to 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134" w:right="339" w:bottom="1440" w:gutter="0" w:footer="0" w:header="0"/>
        </w:sectPr>
      </w:pPr>
    </w:p>
    <w:bookmarkStart w:id="193" w:name="page194"/>
    <w:bookmarkEnd w:id="193"/>
    <w:p>
      <w:pPr>
        <w:spacing w:after="0" w:line="280" w:lineRule="auto"/>
        <w:rPr>
          <w:sz w:val="20"/>
          <w:szCs w:val="20"/>
          <w:color w:val="auto"/>
        </w:rPr>
      </w:pPr>
      <w:r>
        <w:rPr>
          <w:rFonts w:ascii="Times New Roman" w:cs="Times New Roman" w:eastAsia="Times New Roman" w:hAnsi="Times New Roman"/>
          <w:sz w:val="21"/>
          <w:szCs w:val="21"/>
          <w:color w:val="auto"/>
        </w:rPr>
        <w:t>Pricing Certificate Inaccuracy (and the Administrative Agent and each Sustainability Structuring Agent may rely conclusively on any such certificate or notice, without further inquiry).</w:t>
      </w:r>
    </w:p>
    <w:p>
      <w:pPr>
        <w:spacing w:after="0" w:line="144" w:lineRule="exact"/>
        <w:rPr>
          <w:sz w:val="20"/>
          <w:szCs w:val="20"/>
          <w:color w:val="auto"/>
        </w:rPr>
      </w:pPr>
    </w:p>
    <w:p>
      <w:pPr>
        <w:ind w:right="40" w:firstLine="1262"/>
        <w:spacing w:after="0" w:line="253" w:lineRule="auto"/>
        <w:tabs>
          <w:tab w:leader="none" w:pos="1886"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and in any event within 120 days following the end of each calendar year (commencing with the calendar year ending December 31, 2025), Borrower shall deliver a Pricing Certificate to the Administrative Agent (and the Administrative Agent shall promptly provide a copy to each Bank) for the most recently-ended calendar year; provided, that, for any calendar year the Borrower may elect not to deliver a Pricing Certificate, and such election shall not constitute a Default or Event of Default (but such failure to so deliver a Pricing Certificate by the end of such 120-day period shall result in the Sustainability Margin Adjustment being applied as set forth in Section 1.07(c)). In the event (i) Borrower’s fiscal year is changed to a non-calendar year fiscal year or (ii) Borrower elects, in accordance with applicable rules, regulations or guidance of the SEC, to disclose its annual sustainability reporting with or following the filing of its quarterly report on Form 10-Q for the second quarter of its fiscal year, Borrower will be permitted to adjust the timing of delivery of the Pricing Certificate at its election to be coordinated with fiscal year and periodic reporting schedule.</w:t>
      </w:r>
    </w:p>
    <w:p>
      <w:pPr>
        <w:spacing w:after="0" w:line="178" w:lineRule="exact"/>
        <w:rPr>
          <w:rFonts w:ascii="Times New Roman" w:cs="Times New Roman" w:eastAsia="Times New Roman" w:hAnsi="Times New Roman"/>
          <w:sz w:val="21"/>
          <w:szCs w:val="21"/>
          <w:color w:val="auto"/>
        </w:rPr>
      </w:pPr>
    </w:p>
    <w:p>
      <w:pPr>
        <w:ind w:right="40" w:firstLine="1262"/>
        <w:spacing w:after="0" w:line="267" w:lineRule="auto"/>
        <w:tabs>
          <w:tab w:leader="none" w:pos="1882"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after the date hereof, there occurs any Sustainability Recalculation Event, and either (i) the Borrower notifies the Administrative Agent in writing that the Borrower requests an amendment to any provision hereof to eliminate, accommodate or otherwise take into account the effect of such Sustainability Recalculation Event, or (ii) the Administrative Agent notifies the Borrower that the Required Banks request an amendment to any provision or provisions hereof for such purpose (it being understood and agreed that any such notice may be given before or after such Sustainability Recalculation Event has occurred), then</w:t>
      </w:r>
    </w:p>
    <w:p>
      <w:pPr>
        <w:spacing w:after="0" w:line="2" w:lineRule="exact"/>
        <w:rPr>
          <w:rFonts w:ascii="Times New Roman" w:cs="Times New Roman" w:eastAsia="Times New Roman" w:hAnsi="Times New Roman"/>
          <w:sz w:val="20"/>
          <w:szCs w:val="20"/>
          <w:color w:val="auto"/>
        </w:rPr>
      </w:pPr>
    </w:p>
    <w:p>
      <w:pPr>
        <w:ind w:right="60" w:firstLine="5"/>
        <w:spacing w:after="0" w:line="250" w:lineRule="auto"/>
        <w:tabs>
          <w:tab w:leader="none" w:pos="343"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and the Administrative Agent shall negotiate in good faith to amend the provisions hereof to eliminate, accommodate or otherwise take into account the effect of such Sustainability Recalculation Event for the period from and after the occurrence of such Sustainability Recalculation Event, and (B) the provisions of this Agreement shall be interpreted on the basis of the provisions in effect and applied immediately prior to such Sustainability Recalculation Event for a period of not more than 30 days following the date of any such notice (unless the provisions hereof shall have been amended in accordance herewith or such notice shall have been withdrawn). If, after 30 days following the date of any such notice, the consent of the Borrower, the Administrative Agent and the requisite Banks under Section 12.02 has not been obtained (provided that adjustments to the KPI Target, KPI Threshold, Standard for Sustainability Reporting and/or Sustainability Table in connection with a Sustainability Recalculation Event shall not be deemed to be an amendment described in clause (1) of Section 12.02), (x) on the one-year anniversary of the date a delivered Pricing Certificate was most recently delivered or due and not delivered, as applicable, the Applicable Margin shall be calculated without regard to this Section 1.07, which Section and related definitions shall have no further force or effect, and (y) thereafter, no party to this Agreement shall make any public or private representations or description of the credit facility described in this Agreement as a sustainability-linked loan.</w:t>
      </w:r>
    </w:p>
    <w:p>
      <w:pPr>
        <w:spacing w:after="0" w:line="177" w:lineRule="exact"/>
        <w:rPr>
          <w:rFonts w:ascii="Times New Roman" w:cs="Times New Roman" w:eastAsia="Times New Roman" w:hAnsi="Times New Roman"/>
          <w:sz w:val="21"/>
          <w:szCs w:val="21"/>
          <w:color w:val="auto"/>
        </w:rPr>
      </w:pPr>
    </w:p>
    <w:p>
      <w:pPr>
        <w:ind w:right="60" w:firstLine="1262"/>
        <w:spacing w:after="0" w:line="262" w:lineRule="auto"/>
        <w:tabs>
          <w:tab w:leader="none" w:pos="1882"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reserves the right to adjust the baseline set forth in the Sustainability Table, in consultation with the Lead Sustainability Structuring Agent, in alignment with mandatory regulatory disclosure requirements and/or a new Science-Based Target (SBTi) aligned goal but the Sustainability Table shall maintain the 2.5% annual improvement for each year as the KPI Target and 1% annual improvement for each year as the KPI Threshold, in each</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00"/>
          </w:cols>
          <w:pgMar w:left="320" w:top="1134" w:right="379" w:bottom="1440" w:gutter="0" w:footer="0" w:header="0"/>
        </w:sectPr>
      </w:pPr>
    </w:p>
    <w:bookmarkStart w:id="194" w:name="page195"/>
    <w:bookmarkEnd w:id="194"/>
    <w:p>
      <w:pPr>
        <w:ind w:right="140"/>
        <w:spacing w:after="0" w:line="263" w:lineRule="auto"/>
        <w:rPr>
          <w:sz w:val="20"/>
          <w:szCs w:val="20"/>
          <w:color w:val="auto"/>
        </w:rPr>
      </w:pPr>
      <w:r>
        <w:rPr>
          <w:rFonts w:ascii="Times New Roman" w:cs="Times New Roman" w:eastAsia="Times New Roman" w:hAnsi="Times New Roman"/>
          <w:sz w:val="21"/>
          <w:szCs w:val="21"/>
          <w:color w:val="auto"/>
        </w:rPr>
        <w:t>case, from the 2022 baseline as so adjusted. In the event that the baseline is so adjusted, the Borrower, the Administrative Agent and the Lead Sustainability Structuring Agent shall amend the Sustainability Table in accordance with the foregoing sentence, and the Administrative Agent shall provide the amended Sustainability Table to the Banks.</w:t>
      </w:r>
    </w:p>
    <w:p>
      <w:pPr>
        <w:spacing w:after="0" w:line="1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II</w:t>
      </w:r>
    </w:p>
    <w:p>
      <w:pPr>
        <w:ind w:left="5040"/>
        <w:spacing w:after="0"/>
        <w:rPr>
          <w:sz w:val="20"/>
          <w:szCs w:val="20"/>
          <w:color w:val="auto"/>
        </w:rPr>
      </w:pPr>
      <w:r>
        <w:rPr>
          <w:rFonts w:ascii="Times New Roman" w:cs="Times New Roman" w:eastAsia="Times New Roman" w:hAnsi="Times New Roman"/>
          <w:sz w:val="21"/>
          <w:szCs w:val="21"/>
          <w:color w:val="auto"/>
        </w:rPr>
        <w:t>THE LOANS</w:t>
      </w:r>
    </w:p>
    <w:p>
      <w:pPr>
        <w:spacing w:after="0" w:line="180" w:lineRule="exact"/>
        <w:rPr>
          <w:sz w:val="20"/>
          <w:szCs w:val="20"/>
          <w:color w:val="auto"/>
        </w:rPr>
      </w:pPr>
    </w:p>
    <w:p>
      <w:pPr>
        <w:ind w:right="20" w:firstLine="1257"/>
        <w:spacing w:after="0" w:line="293" w:lineRule="auto"/>
        <w:rPr>
          <w:sz w:val="20"/>
          <w:szCs w:val="20"/>
          <w:color w:val="auto"/>
        </w:rPr>
      </w:pPr>
      <w:r>
        <w:rPr>
          <w:rFonts w:ascii="Times New Roman" w:cs="Times New Roman" w:eastAsia="Times New Roman" w:hAnsi="Times New Roman"/>
          <w:sz w:val="21"/>
          <w:szCs w:val="21"/>
          <w:color w:val="auto"/>
        </w:rPr>
        <w:t xml:space="preserve">SECTION 2.01 </w:t>
      </w:r>
      <w:r>
        <w:rPr>
          <w:rFonts w:ascii="Times New Roman" w:cs="Times New Roman" w:eastAsia="Times New Roman" w:hAnsi="Times New Roman"/>
          <w:sz w:val="21"/>
          <w:szCs w:val="21"/>
          <w:u w:val="single" w:color="auto"/>
          <w:color w:val="auto"/>
        </w:rPr>
        <w:t>Term Loans</w:t>
      </w:r>
      <w:r>
        <w:rPr>
          <w:rFonts w:ascii="Times New Roman" w:cs="Times New Roman" w:eastAsia="Times New Roman" w:hAnsi="Times New Roman"/>
          <w:sz w:val="21"/>
          <w:szCs w:val="21"/>
          <w:color w:val="auto"/>
        </w:rPr>
        <w:t>. (a) Subject to the terms and conditions of this Agreement, the Banks agree to make loans to Borrower as provided in this Article II.</w:t>
      </w:r>
    </w:p>
    <w:p>
      <w:pPr>
        <w:spacing w:after="0" w:line="26" w:lineRule="exact"/>
        <w:rPr>
          <w:sz w:val="20"/>
          <w:szCs w:val="20"/>
          <w:color w:val="auto"/>
        </w:rPr>
      </w:pPr>
    </w:p>
    <w:p>
      <w:pPr>
        <w:ind w:right="20" w:firstLine="1262"/>
        <w:spacing w:after="0" w:line="252" w:lineRule="auto"/>
        <w:tabs>
          <w:tab w:leader="none" w:pos="1882"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the Existing Term Loan Agreement, the Banks thereunder made term loans to the Borrower in the aggregate principal amount of $800,000,000 (the “</w:t>
      </w:r>
      <w:r>
        <w:rPr>
          <w:rFonts w:ascii="Times New Roman" w:cs="Times New Roman" w:eastAsia="Times New Roman" w:hAnsi="Times New Roman"/>
          <w:sz w:val="21"/>
          <w:szCs w:val="21"/>
          <w:u w:val="single" w:color="auto"/>
          <w:color w:val="auto"/>
        </w:rPr>
        <w:t>Existing Term Loans</w:t>
      </w:r>
      <w:r>
        <w:rPr>
          <w:rFonts w:ascii="Times New Roman" w:cs="Times New Roman" w:eastAsia="Times New Roman" w:hAnsi="Times New Roman"/>
          <w:sz w:val="21"/>
          <w:szCs w:val="21"/>
          <w:color w:val="auto"/>
        </w:rPr>
        <w:t>”). Such Existing Term Loans shall continue to be outstanding and shall be deemed to have been made as loans under this Agreement. In addition, subject to the terms and conditions set forth herein, on the Effective Date, the Banks shall make an additional term loan to the Borrower in the aggregate principal amount of $50,000,000 (such additional loans, together with the Existing Term Loans, each individually, a “</w:t>
      </w:r>
      <w:r>
        <w:rPr>
          <w:rFonts w:ascii="Times New Roman" w:cs="Times New Roman" w:eastAsia="Times New Roman" w:hAnsi="Times New Roman"/>
          <w:sz w:val="21"/>
          <w:szCs w:val="21"/>
          <w:u w:val="single" w:color="auto"/>
          <w:color w:val="auto"/>
        </w:rPr>
        <w:t>Term Loan</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Term Loans</w:t>
      </w:r>
      <w:r>
        <w:rPr>
          <w:rFonts w:ascii="Times New Roman" w:cs="Times New Roman" w:eastAsia="Times New Roman" w:hAnsi="Times New Roman"/>
          <w:sz w:val="21"/>
          <w:szCs w:val="21"/>
          <w:color w:val="auto"/>
        </w:rPr>
        <w:t>”). Subject to the terms and conditions set forth herein, on the Effective Date the Term Loans shall be advanced to the Borrower and reallocated among the Banks in accordance with their Loan Commitments as set forth in Section 12.26 and Schedule 1 attached hereto and the Banks shall make such payments among themselves as may be necessary to effect such advance and reallocation. Each Term Loan shall be deemed made by the Banks ratably in accordance with their respective Loan Commitments. The Term Loans may be outstanding as: (1) Base Rate Loans; (2) Term Benchmark Loans; or (3) a combination of the foregoing, as Borrower shall elect and notify Administrative Agent in accordance with Section 2.14. Each Term Benchmark Loan and Base Rate Loan of each Bank shall be maintained at such Bank’s Applicable Lending Office.</w:t>
      </w:r>
    </w:p>
    <w:p>
      <w:pPr>
        <w:spacing w:after="0" w:line="179" w:lineRule="exact"/>
        <w:rPr>
          <w:rFonts w:ascii="Times New Roman" w:cs="Times New Roman" w:eastAsia="Times New Roman" w:hAnsi="Times New Roman"/>
          <w:sz w:val="21"/>
          <w:szCs w:val="21"/>
          <w:color w:val="auto"/>
        </w:rPr>
      </w:pPr>
    </w:p>
    <w:p>
      <w:pPr>
        <w:ind w:right="40" w:firstLine="1262"/>
        <w:spacing w:after="0" w:line="262" w:lineRule="auto"/>
        <w:tabs>
          <w:tab w:leader="none" w:pos="1883"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of the Banks under this Agreement are several, and no Bank shall be responsible for the failure of any other Bank to make any advance of a Loan to be made by such other Bank. However, the failure of any Bank to make any advance of each Loan to be made by it hereunder on the date specified therefor shall not relieve any other Bank of its obligation to make any advance of its Loans specified hereby to be made on such date.</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auto"/>
              </w:rPr>
              <w:t>SECTION 2.02</w:t>
            </w:r>
          </w:p>
        </w:tc>
        <w:tc>
          <w:tcPr>
            <w:tcW w:w="98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8"/>
              </w:rPr>
              <w:t>[Reserved].</w:t>
            </w:r>
          </w:p>
        </w:tc>
      </w:tr>
      <w:tr>
        <w:trPr>
          <w:trHeight w:val="20"/>
        </w:trPr>
        <w:tc>
          <w:tcPr>
            <w:tcW w:w="1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auto"/>
              </w:rPr>
              <w:t>SECTION 2.03</w:t>
            </w:r>
          </w:p>
        </w:tc>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w w:val="98"/>
              </w:rPr>
              <w:t>[Reserved].</w:t>
            </w:r>
          </w:p>
        </w:tc>
      </w:tr>
      <w:tr>
        <w:trPr>
          <w:trHeight w:val="450"/>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auto"/>
              </w:rPr>
              <w:t>SECTION 2.04</w:t>
            </w:r>
          </w:p>
        </w:tc>
        <w:tc>
          <w:tcPr>
            <w:tcW w:w="98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8"/>
              </w:rPr>
              <w:t>[Reserved].</w:t>
            </w:r>
          </w:p>
        </w:tc>
      </w:tr>
    </w:tbl>
    <w:p>
      <w:pPr>
        <w:spacing w:after="0" w:line="144" w:lineRule="exact"/>
        <w:rPr>
          <w:sz w:val="20"/>
          <w:szCs w:val="20"/>
          <w:color w:val="auto"/>
        </w:rPr>
      </w:pPr>
    </w:p>
    <w:p>
      <w:pPr>
        <w:ind w:firstLine="1257"/>
        <w:spacing w:after="0" w:line="221" w:lineRule="auto"/>
        <w:rPr>
          <w:sz w:val="20"/>
          <w:szCs w:val="20"/>
          <w:color w:val="auto"/>
        </w:rPr>
      </w:pPr>
      <w:r>
        <w:rPr>
          <w:rFonts w:ascii="Times New Roman" w:cs="Times New Roman" w:eastAsia="Times New Roman" w:hAnsi="Times New Roman"/>
          <w:sz w:val="21"/>
          <w:szCs w:val="21"/>
          <w:color w:val="auto"/>
        </w:rPr>
        <w:t xml:space="preserve">SECTION 2.05 </w:t>
      </w:r>
      <w:r>
        <w:rPr>
          <w:rFonts w:ascii="Times New Roman" w:cs="Times New Roman" w:eastAsia="Times New Roman" w:hAnsi="Times New Roman"/>
          <w:sz w:val="21"/>
          <w:szCs w:val="21"/>
          <w:u w:val="single" w:color="auto"/>
          <w:color w:val="auto"/>
        </w:rPr>
        <w:t>Procedures for Advances.</w:t>
      </w:r>
      <w:r>
        <w:rPr>
          <w:rFonts w:ascii="Times New Roman" w:cs="Times New Roman" w:eastAsia="Times New Roman" w:hAnsi="Times New Roman"/>
          <w:sz w:val="21"/>
          <w:szCs w:val="21"/>
          <w:color w:val="auto"/>
        </w:rPr>
        <w:t xml:space="preserve"> In the case of advances of Loans, Borrower shall submit to Administrative Agent a request for each advance, stating the amount requested and the expected purpose for which such advance is to be used, no later than 11:00 a.m. (New York time) on the date, in the case of advances of Base Rate Loans, which is the proposed date of such Base Rate Loan, and, in the case of advances of Term Benchmark Loans, which is three (3) Banking Days, prior to the date such advance is to be made. Administrative Agent, upon its receipt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134" w:right="339" w:bottom="1440" w:gutter="0" w:footer="0" w:header="0"/>
        </w:sectPr>
      </w:pPr>
    </w:p>
    <w:bookmarkStart w:id="195" w:name="page196"/>
    <w:bookmarkEnd w:id="195"/>
    <w:p>
      <w:pPr>
        <w:ind w:right="120"/>
        <w:spacing w:after="0" w:line="271" w:lineRule="auto"/>
        <w:rPr>
          <w:sz w:val="20"/>
          <w:szCs w:val="20"/>
          <w:color w:val="auto"/>
        </w:rPr>
      </w:pPr>
      <w:r>
        <w:rPr>
          <w:rFonts w:ascii="Times New Roman" w:cs="Times New Roman" w:eastAsia="Times New Roman" w:hAnsi="Times New Roman"/>
          <w:sz w:val="20"/>
          <w:szCs w:val="20"/>
          <w:color w:val="auto"/>
        </w:rPr>
        <w:t>approval of the request for advance, will so notify the Banks. Not later than 11:30 a.m. (New York time) on the date of each advance (or 1:00 p.m. (New York time) in the case of a Base Rate Loan for which the Borrower has made a Loan request on such date), each Bank shall, through its Applicable Lending Office and subject to the conditions of this Agreement, make the amount to be advanced by it on such day available to Administrative Agent, at Administrative Agent’s Office and in immediately available funds for the account of Borrower. The amount so received by Administrative Agent shall, subject to the conditions of this Agreement, be made available to Borrower, in immediately available funds, by Administrative Agent’s to an account designated by Borrower.</w:t>
      </w:r>
    </w:p>
    <w:p>
      <w:pPr>
        <w:spacing w:after="0" w:line="158"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2.06 </w:t>
      </w:r>
      <w:r>
        <w:rPr>
          <w:rFonts w:ascii="Times New Roman" w:cs="Times New Roman" w:eastAsia="Times New Roman" w:hAnsi="Times New Roman"/>
          <w:sz w:val="21"/>
          <w:szCs w:val="21"/>
          <w:u w:val="single" w:color="auto"/>
          <w:color w:val="auto"/>
        </w:rPr>
        <w:t>Interest Periods; Renewals.</w:t>
      </w:r>
      <w:r>
        <w:rPr>
          <w:rFonts w:ascii="Times New Roman" w:cs="Times New Roman" w:eastAsia="Times New Roman" w:hAnsi="Times New Roman"/>
          <w:sz w:val="21"/>
          <w:szCs w:val="21"/>
          <w:color w:val="auto"/>
        </w:rPr>
        <w:t xml:space="preserve"> In the case of the Term Benchmark Loans, Borrower shall select an Interest Period of any duration in accordance with the definition of Interest Period, subject to the following limitations: (1) no Interest Period may extend beyond the Maturity Date; (2) if an Interest Period would end on a day which is not a Banking Day, such Interest Period shall be extended to the next Banking Day, unless such Banking Day would fall in the next calendar month, in which event such Interest Period shall end on the immediately preceding Banking Day; and (3) only eight (8) discrete segments of a Bank’s Loan that is a Term Benchmark Loan for a designated Interest Period pursuant to a particular Election, Conversion or Continuation, may be outstanding at any one time (each such segment of each Bank’s Loan corresponding to a proportionate segment of each of the other Banks’ Loans).</w:t>
      </w:r>
    </w:p>
    <w:p>
      <w:pPr>
        <w:spacing w:after="0" w:line="72" w:lineRule="exact"/>
        <w:rPr>
          <w:sz w:val="20"/>
          <w:szCs w:val="20"/>
          <w:color w:val="auto"/>
        </w:rPr>
      </w:pPr>
    </w:p>
    <w:p>
      <w:pPr>
        <w:ind w:right="80" w:firstLine="629"/>
        <w:spacing w:after="0" w:line="293" w:lineRule="auto"/>
        <w:rPr>
          <w:sz w:val="20"/>
          <w:szCs w:val="20"/>
          <w:color w:val="auto"/>
        </w:rPr>
      </w:pPr>
      <w:r>
        <w:rPr>
          <w:rFonts w:ascii="Times New Roman" w:cs="Times New Roman" w:eastAsia="Times New Roman" w:hAnsi="Times New Roman"/>
          <w:sz w:val="21"/>
          <w:szCs w:val="21"/>
          <w:color w:val="auto"/>
        </w:rPr>
        <w:t>Upon notice to Administrative Agent as provided in Section 2.14, Borrower may Continue any Term Benchmark Loan on the last day of the Interest Period of the same or different duration in accordance with the limitations provided above.</w:t>
      </w:r>
    </w:p>
    <w:p>
      <w:pPr>
        <w:spacing w:after="0" w:line="26" w:lineRule="exact"/>
        <w:rPr>
          <w:sz w:val="20"/>
          <w:szCs w:val="20"/>
          <w:color w:val="auto"/>
        </w:rPr>
      </w:pPr>
    </w:p>
    <w:p>
      <w:pPr>
        <w:ind w:right="60"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2.07 </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xml:space="preserve"> Borrower shall pay interest to Administrative Agent for the account of the applicable Bank on the outstanding and unpaid principal amount of the Loans, at a rate per annum as follows: (1) for Base Rate Loans at a rate equal to the Base Rate plus the Applicable Margin and (2) for Term Benchmark Loans at a rate equal to the Term SOFR Rate for the Interest Period in effect for such Loan plus the Applicable Margin. Any principal amount not paid when due (when scheduled, at acceleration or otherwise) shall bear interest thereafter, payable on demand, at the Default Rate.</w:t>
      </w:r>
    </w:p>
    <w:p>
      <w:pPr>
        <w:spacing w:after="0" w:line="64"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21"/>
          <w:szCs w:val="21"/>
          <w:color w:val="auto"/>
        </w:rPr>
        <w:t>The interest rate on Base Rate Loans shall change when the Base Rate changes. Interest shall be calculated for the actual number of days elapsed on the basis of a year consisting of three hundred sixty (360) days (except that interest computed by reference to the Base Rate when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Base Rate or Term SOFR Rate shall be determined by the Administrative Agent, and such determination shall be conclusive absent manifest error.</w:t>
      </w:r>
    </w:p>
    <w:p>
      <w:pPr>
        <w:spacing w:after="0" w:line="169" w:lineRule="exact"/>
        <w:rPr>
          <w:sz w:val="20"/>
          <w:szCs w:val="20"/>
          <w:color w:val="auto"/>
        </w:rPr>
      </w:pPr>
    </w:p>
    <w:p>
      <w:pPr>
        <w:jc w:val="both"/>
        <w:ind w:right="60" w:firstLine="629"/>
        <w:spacing w:after="0" w:line="263" w:lineRule="auto"/>
        <w:rPr>
          <w:sz w:val="20"/>
          <w:szCs w:val="20"/>
          <w:color w:val="auto"/>
        </w:rPr>
      </w:pPr>
      <w:r>
        <w:rPr>
          <w:rFonts w:ascii="Times New Roman" w:cs="Times New Roman" w:eastAsia="Times New Roman" w:hAnsi="Times New Roman"/>
          <w:sz w:val="21"/>
          <w:szCs w:val="21"/>
          <w:color w:val="auto"/>
        </w:rPr>
        <w:t>Notwithstanding anything herein to the contrary, if at any time the interest rate applicable to any Loan, together with all fees, charges and other amounts which are treated as interest on such Loan under applicable law (collectively, the “Charges”), shall exceed the maximum lawful rate (the “Maximum Rate”) which may be contracted for, charged, taken, received or reserved by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134" w:right="339" w:bottom="1440" w:gutter="0" w:footer="0" w:header="0"/>
        </w:sectPr>
      </w:pPr>
    </w:p>
    <w:bookmarkStart w:id="196" w:name="page197"/>
    <w:bookmarkEnd w:id="196"/>
    <w:p>
      <w:pPr>
        <w:spacing w:after="0" w:line="256" w:lineRule="auto"/>
        <w:rPr>
          <w:sz w:val="20"/>
          <w:szCs w:val="20"/>
          <w:color w:val="auto"/>
        </w:rPr>
      </w:pPr>
      <w:r>
        <w:rPr>
          <w:rFonts w:ascii="Times New Roman" w:cs="Times New Roman" w:eastAsia="Times New Roman" w:hAnsi="Times New Roman"/>
          <w:sz w:val="21"/>
          <w:szCs w:val="21"/>
          <w:color w:val="auto"/>
        </w:rPr>
        <w:t>the Bank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paragraph shall be cumulated and the interest and Charges payable to such Bank in respect of other Loans or periods shall be increased (but not above the Maximum Rate therefor) until such cumulated amount, together with interest thereon at the Federal Funds Effective Rate to the date of repayment, shall have been received by such Bank.</w:t>
      </w:r>
    </w:p>
    <w:p>
      <w:pPr>
        <w:spacing w:after="0" w:line="170" w:lineRule="exact"/>
        <w:rPr>
          <w:sz w:val="20"/>
          <w:szCs w:val="20"/>
          <w:color w:val="auto"/>
        </w:rPr>
      </w:pPr>
    </w:p>
    <w:p>
      <w:pPr>
        <w:ind w:right="480" w:firstLine="629"/>
        <w:spacing w:after="0" w:line="280" w:lineRule="auto"/>
        <w:rPr>
          <w:sz w:val="20"/>
          <w:szCs w:val="20"/>
          <w:color w:val="auto"/>
        </w:rPr>
      </w:pPr>
      <w:r>
        <w:rPr>
          <w:rFonts w:ascii="Times New Roman" w:cs="Times New Roman" w:eastAsia="Times New Roman" w:hAnsi="Times New Roman"/>
          <w:sz w:val="21"/>
          <w:szCs w:val="21"/>
          <w:color w:val="auto"/>
        </w:rPr>
        <w:t xml:space="preserve">Accrued interest shall be due and payable in arrears, in the case of Base Rate Loans and Term Benchmark Loans on each Interest Payment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interest accruing at the Default Rate shall be due and payable on demand.</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SECTION 2.08 [Reserved].</w:t>
      </w:r>
    </w:p>
    <w:p>
      <w:pPr>
        <w:spacing w:after="0" w:line="112" w:lineRule="exact"/>
        <w:rPr>
          <w:sz w:val="20"/>
          <w:szCs w:val="20"/>
          <w:color w:val="auto"/>
        </w:rPr>
      </w:pPr>
    </w:p>
    <w:p>
      <w:pPr>
        <w:ind w:right="20" w:firstLine="629"/>
        <w:spacing w:after="0" w:line="254" w:lineRule="auto"/>
        <w:rPr>
          <w:sz w:val="20"/>
          <w:szCs w:val="20"/>
          <w:color w:val="auto"/>
        </w:rPr>
      </w:pPr>
      <w:r>
        <w:rPr>
          <w:rFonts w:ascii="Times New Roman" w:cs="Times New Roman" w:eastAsia="Times New Roman" w:hAnsi="Times New Roman"/>
          <w:sz w:val="21"/>
          <w:szCs w:val="21"/>
          <w:color w:val="auto"/>
        </w:rPr>
        <w:t xml:space="preserve">SECTION 2.09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xml:space="preserve"> Unless otherwise requested by a Bank, any Loans made by each Bank under this Agreement shall be evidenced by, and repaid with interest in accordance with, a promissory note of Borrower in the form of EXHIBIT B duly completed and executed by Borrower, in a principal amount equal to such Bank’s Loan Commitment, payable to such Bank for the account of its Applicable Lending Office (each such note, as the same may hereafter be amended, modified, extended, severed, assigned, substituted, renewed or restated from time to time, including any substitute note pursuant to Section 3.07 or 12.05, a “</w:t>
      </w:r>
      <w:r>
        <w:rPr>
          <w:rFonts w:ascii="Times New Roman" w:cs="Times New Roman" w:eastAsia="Times New Roman" w:hAnsi="Times New Roman"/>
          <w:sz w:val="21"/>
          <w:szCs w:val="21"/>
          <w:u w:val="single" w:color="auto"/>
          <w:color w:val="auto"/>
        </w:rPr>
        <w:t>Term 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A particular Bank’s Term Loan Note(s) is also collectively referred to in this Agreement as such Bank’s “</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all such Term Loan Notes and interests are referred to collectively in this Agreement as the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The Term Loans shall mature, and all outstanding principal and accrued interest and other Obligations shall be paid in full, on the Maturity Date, as the same may be accelerated in accordance with this Agreement.</w:t>
      </w:r>
    </w:p>
    <w:p>
      <w:pPr>
        <w:spacing w:after="0" w:line="71" w:lineRule="exact"/>
        <w:rPr>
          <w:sz w:val="20"/>
          <w:szCs w:val="20"/>
          <w:color w:val="auto"/>
        </w:rPr>
      </w:pPr>
    </w:p>
    <w:p>
      <w:pPr>
        <w:ind w:right="120" w:firstLine="629"/>
        <w:spacing w:after="0" w:line="274" w:lineRule="auto"/>
        <w:rPr>
          <w:sz w:val="20"/>
          <w:szCs w:val="20"/>
          <w:color w:val="auto"/>
        </w:rPr>
      </w:pPr>
      <w:r>
        <w:rPr>
          <w:rFonts w:ascii="Times New Roman" w:cs="Times New Roman" w:eastAsia="Times New Roman" w:hAnsi="Times New Roman"/>
          <w:sz w:val="20"/>
          <w:szCs w:val="20"/>
          <w:color w:val="auto"/>
        </w:rPr>
        <w:t>Each Bank is hereby authorized by Borrower to endorse on the schedule attached to the Term Loan Note held by it or on any accounts maintained by it, the amount of each advance, and each payment of principal received by such Bank for the account of its Applicable Lending Office(s) on account of its Loans, which endorsement shall, in the absence of manifest error, be conclusive as to the outstanding balance of the Loans made by such Bank. The failure by any Bank to make such notations with respect to the Loans or each advance or payment shall not limit or otherwise affect the obligations of Borrower under this Agreement or the Notes.</w:t>
      </w:r>
    </w:p>
    <w:p>
      <w:pPr>
        <w:spacing w:after="0" w:line="154"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2.10 </w:t>
      </w:r>
      <w:r>
        <w:rPr>
          <w:rFonts w:ascii="Times New Roman" w:cs="Times New Roman" w:eastAsia="Times New Roman" w:hAnsi="Times New Roman"/>
          <w:sz w:val="21"/>
          <w:szCs w:val="21"/>
          <w:u w:val="single" w:color="auto"/>
          <w:color w:val="auto"/>
        </w:rPr>
        <w:t>Prepayments.</w:t>
      </w:r>
      <w:r>
        <w:rPr>
          <w:rFonts w:ascii="Times New Roman" w:cs="Times New Roman" w:eastAsia="Times New Roman" w:hAnsi="Times New Roman"/>
          <w:sz w:val="21"/>
          <w:szCs w:val="21"/>
          <w:color w:val="auto"/>
        </w:rPr>
        <w:t xml:space="preserve"> Without prepayment premium or penalty but subject to Section 3.05, Borrower may, upon at least one (1) Banking Day’s notice (by 2:00 p.m. New York time) to Administrative Agent in the case of the Base Rate Loans, and at least three (3) Banking Days’ notice (by 2:00 p.m. New York time) to Administrative Agent in the case of Term Benchmark Loans, prepay the Loans, in whole or in part, provided that (1) any partial prepayment under this Section shall be in integral multiples of One Million Dollars ($1,000,000); and (2) each prepayment under this Section shall include, at Administrative Agent’s option, all interest accrued on the amount of principal prepaid to (but excluding) the date of prepayment. Any Loans that are prepaid or repaid may not be reborrowed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134" w:right="339" w:bottom="1440" w:gutter="0" w:footer="0" w:header="0"/>
        </w:sectPr>
      </w:pPr>
    </w:p>
    <w:bookmarkStart w:id="197" w:name="page198"/>
    <w:bookmarkEnd w:id="197"/>
    <w:p>
      <w:pPr>
        <w:ind w:right="40"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2.11 </w:t>
      </w:r>
      <w:r>
        <w:rPr>
          <w:rFonts w:ascii="Times New Roman" w:cs="Times New Roman" w:eastAsia="Times New Roman" w:hAnsi="Times New Roman"/>
          <w:sz w:val="21"/>
          <w:szCs w:val="21"/>
          <w:u w:val="single" w:color="auto"/>
          <w:color w:val="auto"/>
        </w:rPr>
        <w:t>Method of Payment.</w:t>
      </w:r>
      <w:r>
        <w:rPr>
          <w:rFonts w:ascii="Times New Roman" w:cs="Times New Roman" w:eastAsia="Times New Roman" w:hAnsi="Times New Roman"/>
          <w:sz w:val="21"/>
          <w:szCs w:val="21"/>
          <w:color w:val="auto"/>
        </w:rPr>
        <w:t xml:space="preserve"> Borrower shall make each payment under this Agreement and under the Notes not later than 1:00 p.m. (New York time) on the date when due in Dollars to Administrative Agent at Administrative Agent’s Office in immediately available funds, without condition or deduction for any counterclaim, defense, recoupment or setoff. Borrower shall deliver federal reference number(s) evidencing the applicable wire transfer(s) to Administrative Agent as soon as available thereafter on such day. Administrative Agent will thereafter, on the day of its receipt of each such payment(s), cause to be distributed to each Bank (1) such Bank’s appropriate share (based upon the respective outstanding principal amounts and interest due under the Loans of the Banks) of the payments of principal and interest in like funds for the account of such Bank’s Applicable Lending Office; and (2) fees payable to such Bank by Borrower in accordance with the terms of this Agreement. If and to the extent that the Administrative Agent shall receive any such payment for the account of the Banks on or before 11:00 a.m. (New York time) on any Banking Day, and Administrative Agent shall not have distributed to any Bank its applicable share of such payment on such day, Administrative Agent shall distribute such amount to such Bank together with interest thereon paid by the Administrative Agent, for each day from the date such amount should have been distributed to such Bank until the date Administrative Agent distributes such amount to such Bank, at the Federal Funds Effective Rate.</w:t>
      </w:r>
    </w:p>
    <w:p>
      <w:pPr>
        <w:spacing w:after="0" w:line="70" w:lineRule="exact"/>
        <w:rPr>
          <w:sz w:val="20"/>
          <w:szCs w:val="20"/>
          <w:color w:val="auto"/>
        </w:rPr>
      </w:pPr>
    </w:p>
    <w:p>
      <w:pPr>
        <w:jc w:val="both"/>
        <w:ind w:right="60" w:firstLine="629"/>
        <w:spacing w:after="0" w:line="270" w:lineRule="auto"/>
        <w:rPr>
          <w:sz w:val="20"/>
          <w:szCs w:val="20"/>
          <w:color w:val="auto"/>
        </w:rPr>
      </w:pPr>
      <w:r>
        <w:rPr>
          <w:rFonts w:ascii="Times New Roman" w:cs="Times New Roman" w:eastAsia="Times New Roman" w:hAnsi="Times New Roman"/>
          <w:sz w:val="21"/>
          <w:szCs w:val="21"/>
          <w:color w:val="auto"/>
        </w:rPr>
        <w:t>Except to the extent provided in this Agreement, whenever any payment to be made under this Agreement or under the Notes is due on any day other than a Banking Day, such payment shall be made on the next succeeding Banking Day, and such extension of time shall in such case be included in the computation of the payment of interest and other fees, as the case may be.</w:t>
      </w:r>
    </w:p>
    <w:p>
      <w:pPr>
        <w:spacing w:after="0" w:line="154"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20"/>
          <w:szCs w:val="20"/>
          <w:color w:val="auto"/>
        </w:rPr>
        <w:t xml:space="preserve">SECTION 2.12 </w:t>
      </w:r>
      <w:r>
        <w:rPr>
          <w:rFonts w:ascii="Times New Roman" w:cs="Times New Roman" w:eastAsia="Times New Roman" w:hAnsi="Times New Roman"/>
          <w:sz w:val="20"/>
          <w:szCs w:val="20"/>
          <w:u w:val="single" w:color="auto"/>
          <w:color w:val="auto"/>
        </w:rPr>
        <w:t>Elections, Conversions or Continuation of Loans.</w:t>
      </w:r>
      <w:r>
        <w:rPr>
          <w:rFonts w:ascii="Times New Roman" w:cs="Times New Roman" w:eastAsia="Times New Roman" w:hAnsi="Times New Roman"/>
          <w:sz w:val="20"/>
          <w:szCs w:val="20"/>
          <w:color w:val="auto"/>
        </w:rPr>
        <w:t xml:space="preserve"> Subject to the provisions of Article III and Sections 2.06 and 2.13, Borrower shall have the right to Elect to have all or a portion of any advance of the Loans be Term Benchmark Loans, Base Rate Loans or a combination of the foregoing, to Convert Base Rate Loans into Term Benchmark Loans, to Convert Term Benchmark Loans into Base Rate Loans, or to Continue Term Benchmark Loans as Term Benchmark Loans, at any time or from time to time, provided that: (1) Borrower shall give Administrative Agent notice of each such Election, Conversion or Continuation as provided in Section 2.14 signed by an authorized officer of the Borrower (provided that if such notice is submitted through an Approved Borrower Portal, such signature requirement may be waived at the sole discretion of the Administrative Agent); and (2) a Term Benchmark Loan may be Continued or Converted only on the last day of the applicable Interest Period for such Term Benchmark Loan. Except as otherwise provided in this Agreement, each Election, Continuation and Conversion shall be applicable to each Bank’s Loan in accordance with its Pro Rata Share. Notwithstanding any contrary provision hereof, if an Event of Default has occurred and is continuing, the Administrative Agent, at the request of the Required Banks, may require, by notice to Borrower, that</w:t>
      </w:r>
    </w:p>
    <w:p>
      <w:pPr>
        <w:spacing w:after="0" w:line="5" w:lineRule="exact"/>
        <w:rPr>
          <w:sz w:val="20"/>
          <w:szCs w:val="20"/>
          <w:color w:val="auto"/>
        </w:rPr>
      </w:pPr>
    </w:p>
    <w:p>
      <w:pPr>
        <w:ind w:right="540" w:firstLine="5"/>
        <w:spacing w:after="0" w:line="256" w:lineRule="auto"/>
        <w:tabs>
          <w:tab w:leader="none" w:pos="25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outstanding Loan may be converted to or continued as a Term Benchmark Loan and (ii) unless repaid, each Loan shall be converted to a Base Rate Loan at the end of the Interest Period applicable thereto.</w:t>
      </w:r>
    </w:p>
    <w:p>
      <w:pPr>
        <w:spacing w:after="0" w:line="63" w:lineRule="exact"/>
        <w:rPr>
          <w:sz w:val="20"/>
          <w:szCs w:val="20"/>
          <w:color w:val="auto"/>
        </w:rPr>
      </w:pPr>
    </w:p>
    <w:p>
      <w:pPr>
        <w:ind w:right="200"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2.13 </w:t>
      </w:r>
      <w:r>
        <w:rPr>
          <w:rFonts w:ascii="Times New Roman" w:cs="Times New Roman" w:eastAsia="Times New Roman" w:hAnsi="Times New Roman"/>
          <w:sz w:val="21"/>
          <w:szCs w:val="21"/>
          <w:u w:val="single" w:color="auto"/>
          <w:color w:val="auto"/>
        </w:rPr>
        <w:t>Minimum Amounts.</w:t>
      </w:r>
      <w:r>
        <w:rPr>
          <w:rFonts w:ascii="Times New Roman" w:cs="Times New Roman" w:eastAsia="Times New Roman" w:hAnsi="Times New Roman"/>
          <w:sz w:val="21"/>
          <w:szCs w:val="21"/>
          <w:color w:val="auto"/>
        </w:rPr>
        <w:t xml:space="preserve"> With respect to the Loans as a whole, each Election and each Conversion shall be in an amount at least equal to One Million Dollars ($1,000,000) and in integral multiples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134"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1"/>
          <w:szCs w:val="21"/>
          <w:color w:val="auto"/>
        </w:rPr>
        <w:t>of One Hundred Thousand Dollars ($100,000) or such lesser amount as shall be available or outstanding, as the case may be.</w:t>
      </w:r>
    </w:p>
    <w:p>
      <w:pPr>
        <w:spacing w:after="0" w:line="217"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2.14 </w:t>
      </w:r>
      <w:r>
        <w:rPr>
          <w:rFonts w:ascii="Times New Roman" w:cs="Times New Roman" w:eastAsia="Times New Roman" w:hAnsi="Times New Roman"/>
          <w:sz w:val="21"/>
          <w:szCs w:val="21"/>
          <w:u w:val="single" w:color="auto"/>
          <w:color w:val="auto"/>
        </w:rPr>
        <w:t>Certain Notices Regarding Elections, Conversions and Continuations of Loans</w:t>
      </w:r>
      <w:r>
        <w:rPr>
          <w:rFonts w:ascii="Times New Roman" w:cs="Times New Roman" w:eastAsia="Times New Roman" w:hAnsi="Times New Roman"/>
          <w:sz w:val="21"/>
          <w:szCs w:val="21"/>
          <w:color w:val="auto"/>
        </w:rPr>
        <w:t>. Notices by Borrower to Administrative Agent of Elections, Conversions and Continuations of Term Benchmark Loans shall be irrevocable and shall be effective only if received by Administrative Agent not later than 11:00 a.m. (New York time) on the number of Banking Days prior to the date of the relevant Election, Conversion or Continuation specified below:</w:t>
      </w:r>
    </w:p>
    <w:p>
      <w:pPr>
        <w:spacing w:after="0" w:line="111" w:lineRule="exact"/>
        <w:rPr>
          <w:sz w:val="20"/>
          <w:szCs w:val="20"/>
          <w:color w:val="auto"/>
        </w:rPr>
      </w:pPr>
    </w:p>
    <w:tbl>
      <w:tblPr>
        <w:tblLayout w:type="fixed"/>
        <w:tblInd w:w="80" w:type="dxa"/>
        <w:tblCellMar>
          <w:top w:w="0" w:type="dxa"/>
          <w:left w:w="0" w:type="dxa"/>
          <w:bottom w:w="0" w:type="dxa"/>
          <w:right w:w="0" w:type="dxa"/>
        </w:tblCellMar>
      </w:tblPr>
      <w:tr>
        <w:trPr>
          <w:trHeight w:val="249"/>
        </w:trPr>
        <w:tc>
          <w:tcPr>
            <w:tcW w:w="3760" w:type="dxa"/>
            <w:vAlign w:val="bottom"/>
          </w:tcPr>
          <w:p>
            <w:pPr>
              <w:spacing w:after="0"/>
              <w:rPr>
                <w:sz w:val="21"/>
                <w:szCs w:val="21"/>
                <w:color w:val="auto"/>
              </w:rPr>
            </w:pPr>
          </w:p>
        </w:tc>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Notice</w:t>
            </w:r>
          </w:p>
        </w:tc>
        <w:tc>
          <w:tcPr>
            <w:tcW w:w="128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Number of</w:t>
            </w:r>
          </w:p>
        </w:tc>
        <w:tc>
          <w:tcPr>
            <w:tcW w:w="0" w:type="dxa"/>
            <w:vAlign w:val="bottom"/>
          </w:tcPr>
          <w:p>
            <w:pPr>
              <w:spacing w:after="0"/>
              <w:rPr>
                <w:sz w:val="1"/>
                <w:szCs w:val="1"/>
                <w:color w:val="auto"/>
              </w:rPr>
            </w:pPr>
          </w:p>
        </w:tc>
      </w:tr>
      <w:tr>
        <w:trPr>
          <w:trHeight w:val="217"/>
        </w:trPr>
        <w:tc>
          <w:tcPr>
            <w:tcW w:w="3760" w:type="dxa"/>
            <w:vAlign w:val="bottom"/>
          </w:tcPr>
          <w:p>
            <w:pPr>
              <w:spacing w:after="0"/>
              <w:rPr>
                <w:sz w:val="18"/>
                <w:szCs w:val="18"/>
                <w:color w:val="auto"/>
              </w:rPr>
            </w:pPr>
          </w:p>
        </w:tc>
        <w:tc>
          <w:tcPr>
            <w:tcW w:w="3800" w:type="dxa"/>
            <w:vAlign w:val="bottom"/>
            <w:gridSpan w:val="2"/>
            <w:vMerge w:val="continue"/>
          </w:tcPr>
          <w:p>
            <w:pPr>
              <w:spacing w:after="0"/>
              <w:rPr>
                <w:sz w:val="18"/>
                <w:szCs w:val="18"/>
                <w:color w:val="auto"/>
              </w:rPr>
            </w:pPr>
          </w:p>
        </w:tc>
        <w:tc>
          <w:tcPr>
            <w:tcW w:w="2940" w:type="dxa"/>
            <w:vAlign w:val="bottom"/>
            <w:gridSpan w:val="2"/>
          </w:tcPr>
          <w:p>
            <w:pPr>
              <w:jc w:val="center"/>
              <w:ind w:left="1175"/>
              <w:spacing w:after="0" w:line="191" w:lineRule="exact"/>
              <w:rPr>
                <w:sz w:val="20"/>
                <w:szCs w:val="20"/>
                <w:color w:val="auto"/>
              </w:rPr>
            </w:pPr>
            <w:r>
              <w:rPr>
                <w:rFonts w:ascii="Times New Roman" w:cs="Times New Roman" w:eastAsia="Times New Roman" w:hAnsi="Times New Roman"/>
                <w:sz w:val="21"/>
                <w:szCs w:val="21"/>
                <w:color w:val="auto"/>
                <w:w w:val="99"/>
              </w:rPr>
              <w:t>Banking Days Prior</w:t>
            </w:r>
          </w:p>
        </w:tc>
        <w:tc>
          <w:tcPr>
            <w:tcW w:w="0" w:type="dxa"/>
            <w:vAlign w:val="bottom"/>
          </w:tcPr>
          <w:p>
            <w:pPr>
              <w:spacing w:after="0"/>
              <w:rPr>
                <w:sz w:val="1"/>
                <w:szCs w:val="1"/>
                <w:color w:val="auto"/>
              </w:rPr>
            </w:pPr>
          </w:p>
        </w:tc>
      </w:tr>
      <w:tr>
        <w:trPr>
          <w:trHeight w:val="352"/>
        </w:trPr>
        <w:tc>
          <w:tcPr>
            <w:tcW w:w="75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Elections of, Conversions into or Continuations as Base Rate Loans</w:t>
            </w:r>
          </w:p>
        </w:tc>
        <w:tc>
          <w:tcPr>
            <w:tcW w:w="1280" w:type="dxa"/>
            <w:vAlign w:val="bottom"/>
          </w:tcPr>
          <w:p>
            <w:pPr>
              <w:spacing w:after="0"/>
              <w:rPr>
                <w:sz w:val="24"/>
                <w:szCs w:val="24"/>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Same Banking Day</w:t>
            </w:r>
          </w:p>
        </w:tc>
        <w:tc>
          <w:tcPr>
            <w:tcW w:w="0" w:type="dxa"/>
            <w:vAlign w:val="bottom"/>
          </w:tcPr>
          <w:p>
            <w:pPr>
              <w:spacing w:after="0"/>
              <w:rPr>
                <w:sz w:val="1"/>
                <w:szCs w:val="1"/>
                <w:color w:val="auto"/>
              </w:rPr>
            </w:pPr>
          </w:p>
        </w:tc>
      </w:tr>
      <w:tr>
        <w:trPr>
          <w:trHeight w:val="327"/>
        </w:trPr>
        <w:tc>
          <w:tcPr>
            <w:tcW w:w="75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Elections of, Conversions into or Continuations as Term Benchmark Loans</w:t>
            </w:r>
          </w:p>
        </w:tc>
        <w:tc>
          <w:tcPr>
            <w:tcW w:w="128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Three (3)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Promptly following its receipt of any such notice, Administrative Agent shall so advise the Banks. Each such notice of Election shall specify the portion of the amount of the advance that is to be Term Benchmark Loans (subject to Section 2.13) and the duration of the Interest Period applicable thereto (subject to Section 2.06); each such notice of Conversion shall specify the Term Benchmark Loans or Base Rate Loans to be Converted; and each such notice of Conversion or Continuation shall specify the date of Conversion or Continuation (which shall be a Banking Day), the amount thereof (subject to Section 2.13) and the duration of the Interest Period applicable thereto (subject to Section 2.06). In the event that Borrower fails to Elect to have any portion of an advance of the Loans be Term Benchmark Loans, the portion of such advance for which a Term Benchmark Loan Election is not made shall constitute Base Rate Loans. In the event that Borrower fails to Continue Term Benchmark Loans within the time period and as otherwise provided in this Section, such Term Benchmark Loans will be automatically Converted into Base Rate Loans on the last day of the then current applicable Interest Period for such Term Benchmark Loans.</w:t>
      </w:r>
    </w:p>
    <w:p>
      <w:pPr>
        <w:spacing w:after="0" w:line="179"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2.15 </w:t>
      </w:r>
      <w:r>
        <w:rPr>
          <w:rFonts w:ascii="Times New Roman" w:cs="Times New Roman" w:eastAsia="Times New Roman" w:hAnsi="Times New Roman"/>
          <w:sz w:val="21"/>
          <w:szCs w:val="21"/>
          <w:u w:val="single" w:color="auto"/>
          <w:color w:val="auto"/>
        </w:rPr>
        <w:t>Payments Generally.</w:t>
      </w:r>
      <w:r>
        <w:rPr>
          <w:rFonts w:ascii="Times New Roman" w:cs="Times New Roman" w:eastAsia="Times New Roman" w:hAnsi="Times New Roman"/>
          <w:sz w:val="21"/>
          <w:szCs w:val="21"/>
          <w:color w:val="auto"/>
        </w:rPr>
        <w:t xml:space="preserve"> If any Bank shall fail to make any payment required to be made by it pursuant to Section 2.01(b) or 10.05, then the Administrative Agent may, in its discretion and notwithstanding any contrary provision hereof, (i) apply any amounts thereafter received by the Administrative Agent for the account of such Bank for the benefit of the Administrative Agent to satisfy such Bank’s obligations to it under such Section until all such unsatisfied obligations are fully paid, and/or (ii) hold any such amounts in a segregated account as cash collateral for, and application to, any future funding obligations of such Bank under any such Section, in the case of each of clauses (i) and (ii) above, in any order as determined by the Administrative Agent in its discretion.</w:t>
      </w:r>
    </w:p>
    <w:p>
      <w:pPr>
        <w:spacing w:after="0" w:line="77" w:lineRule="exact"/>
        <w:rPr>
          <w:sz w:val="20"/>
          <w:szCs w:val="20"/>
          <w:color w:val="auto"/>
        </w:rPr>
      </w:pPr>
    </w:p>
    <w:p>
      <w:pPr>
        <w:ind w:left="1260"/>
        <w:spacing w:after="0"/>
        <w:tabs>
          <w:tab w:leader="none" w:pos="3120" w:val="left"/>
        </w:tabs>
        <w:rPr>
          <w:sz w:val="20"/>
          <w:szCs w:val="20"/>
          <w:color w:val="auto"/>
        </w:rPr>
      </w:pPr>
      <w:r>
        <w:rPr>
          <w:rFonts w:ascii="Times New Roman" w:cs="Times New Roman" w:eastAsia="Times New Roman" w:hAnsi="Times New Roman"/>
          <w:sz w:val="21"/>
          <w:szCs w:val="21"/>
          <w:color w:val="auto"/>
        </w:rPr>
        <w:t>SECTION 2.16</w:t>
      </w:r>
      <w:r>
        <w:rPr>
          <w:sz w:val="20"/>
          <w:szCs w:val="20"/>
          <w:color w:val="auto"/>
        </w:rPr>
        <w:tab/>
      </w:r>
      <w:r>
        <w:rPr>
          <w:rFonts w:ascii="Times New Roman" w:cs="Times New Roman" w:eastAsia="Times New Roman" w:hAnsi="Times New Roman"/>
          <w:sz w:val="20"/>
          <w:szCs w:val="20"/>
          <w:u w:val="single" w:color="auto"/>
          <w:color w:val="auto"/>
        </w:rPr>
        <w:t>Changes of Loan Commitments</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ind w:left="1880" w:hanging="618"/>
        <w:spacing w:after="0"/>
        <w:tabs>
          <w:tab w:leader="none" w:pos="188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77"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77"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134" w:right="339" w:bottom="1440" w:gutter="0" w:footer="0" w:header="0"/>
        </w:sectPr>
      </w:pPr>
    </w:p>
    <w:bookmarkStart w:id="199" w:name="page200"/>
    <w:bookmarkEnd w:id="199"/>
    <w:p>
      <w:pPr>
        <w:ind w:left="-20" w:firstLine="1262"/>
        <w:spacing w:after="0" w:line="212" w:lineRule="auto"/>
        <w:tabs>
          <w:tab w:leader="none" w:pos="1862"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Borrower may, by written notice to the Administrative Agent on one or more occasions on or after the Effective Date, elect to request the increase of the Total Loan Commitment or the establishment of one or more new term loan commitments (the “</w:t>
      </w:r>
      <w:r>
        <w:rPr>
          <w:rFonts w:ascii="Times New Roman" w:cs="Times New Roman" w:eastAsia="Times New Roman" w:hAnsi="Times New Roman"/>
          <w:sz w:val="21"/>
          <w:szCs w:val="21"/>
          <w:u w:val="single" w:color="auto"/>
          <w:color w:val="auto"/>
        </w:rPr>
        <w:t>New Term Loan Commitments</w:t>
      </w:r>
      <w:r>
        <w:rPr>
          <w:rFonts w:ascii="Times New Roman" w:cs="Times New Roman" w:eastAsia="Times New Roman" w:hAnsi="Times New Roman"/>
          <w:sz w:val="21"/>
          <w:szCs w:val="21"/>
          <w:color w:val="auto"/>
        </w:rPr>
        <w:t>”), by an aggregate amount of Four Hundred Million Dollars ($400,000,000) that would result in the sum of the Total Loan Commitment plus all New Term Loan Commitments not exceeding One Billion Two Hundred Fifty Million Dollars ($1,250,000,000) in the aggregate (each such amount in addition to the Total Loan Commitment as of the Effective Date, a “</w:t>
      </w:r>
      <w:r>
        <w:rPr>
          <w:rFonts w:ascii="Times New Roman" w:cs="Times New Roman" w:eastAsia="Times New Roman" w:hAnsi="Times New Roman"/>
          <w:sz w:val="21"/>
          <w:szCs w:val="21"/>
          <w:u w:val="single" w:color="auto"/>
          <w:color w:val="auto"/>
        </w:rPr>
        <w:t>Facility Increase</w:t>
      </w:r>
      <w:r>
        <w:rPr>
          <w:rFonts w:ascii="Times New Roman" w:cs="Times New Roman" w:eastAsia="Times New Roman" w:hAnsi="Times New Roman"/>
          <w:sz w:val="21"/>
          <w:szCs w:val="21"/>
          <w:color w:val="auto"/>
        </w:rPr>
        <w:t>” and the maximum aggregate increase, the “</w:t>
      </w:r>
      <w:r>
        <w:rPr>
          <w:rFonts w:ascii="Times New Roman" w:cs="Times New Roman" w:eastAsia="Times New Roman" w:hAnsi="Times New Roman"/>
          <w:sz w:val="21"/>
          <w:szCs w:val="21"/>
          <w:u w:val="single" w:color="auto"/>
          <w:color w:val="auto"/>
        </w:rPr>
        <w:t>Maximum Increase Amount</w:t>
      </w:r>
      <w:r>
        <w:rPr>
          <w:rFonts w:ascii="Times New Roman" w:cs="Times New Roman" w:eastAsia="Times New Roman" w:hAnsi="Times New Roman"/>
          <w:sz w:val="21"/>
          <w:szCs w:val="21"/>
          <w:color w:val="auto"/>
        </w:rPr>
        <w:t>”) and not less than $25,000,000 per request (or such lesser amount which shall be approved by Administrative Agent or such lesser amount that shall constitute the difference between the Maximum Increase Amount and the sum of all such Facility Increases obtained prior to such date), and integral multiples of $1,000,000 in excess of that amount. Each such notice shall specify (A) the date (each, an “</w:t>
      </w:r>
      <w:r>
        <w:rPr>
          <w:rFonts w:ascii="Times New Roman" w:cs="Times New Roman" w:eastAsia="Times New Roman" w:hAnsi="Times New Roman"/>
          <w:sz w:val="21"/>
          <w:szCs w:val="21"/>
          <w:u w:val="single" w:color="auto"/>
          <w:color w:val="auto"/>
        </w:rPr>
        <w:t>Increased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Amount Date</w:t>
      </w:r>
      <w:r>
        <w:rPr>
          <w:rFonts w:ascii="Times New Roman" w:cs="Times New Roman" w:eastAsia="Times New Roman" w:hAnsi="Times New Roman"/>
          <w:sz w:val="21"/>
          <w:szCs w:val="21"/>
          <w:color w:val="auto"/>
        </w:rPr>
        <w:t>”) on which the Borrower proposes that the Facility Increase shall be effective and (B) the identity of each Bank or other Person that is a Qualified Institution (each other Qualified Institution which agrees to provide all or a portion of such Facility Increase and which is not already a Bank being referred to herein as a “</w:t>
      </w:r>
      <w:r>
        <w:rPr>
          <w:rFonts w:ascii="Times New Roman" w:cs="Times New Roman" w:eastAsia="Times New Roman" w:hAnsi="Times New Roman"/>
          <w:sz w:val="21"/>
          <w:szCs w:val="21"/>
          <w:u w:val="single" w:color="auto"/>
          <w:color w:val="auto"/>
        </w:rPr>
        <w:t>New Term Loan Lender</w:t>
      </w:r>
      <w:r>
        <w:rPr>
          <w:rFonts w:ascii="Times New Roman" w:cs="Times New Roman" w:eastAsia="Times New Roman" w:hAnsi="Times New Roman"/>
          <w:sz w:val="21"/>
          <w:szCs w:val="21"/>
          <w:color w:val="auto"/>
        </w:rPr>
        <w:t xml:space="preserve">”) to which the Borrower proposes any portion of such Facility Increase be allocated and the amounts of such allocations;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Bank or other Qualified Institution approached to provide all or a portion of a Facility Increase may elect or decline, in its sole discretion, to provide such Facility Increase and the Administrative Agent shall have the right to approve any New Term Loan Lender, which approval will not be unreasonably withheld or delayed. Any Bank that fails to respond to a request for a Facility Increase shall be deemed to have elected to not provide such Facility Increase, and no Bank shall have any obligation to provide a Facility Increase.</w:t>
      </w:r>
    </w:p>
    <w:p>
      <w:pPr>
        <w:spacing w:after="0" w:line="146" w:lineRule="exact"/>
        <w:rPr>
          <w:rFonts w:ascii="Times New Roman" w:cs="Times New Roman" w:eastAsia="Times New Roman" w:hAnsi="Times New Roman"/>
          <w:sz w:val="21"/>
          <w:szCs w:val="21"/>
          <w:color w:val="auto"/>
        </w:rPr>
      </w:pPr>
    </w:p>
    <w:p>
      <w:pPr>
        <w:ind w:left="620" w:right="760" w:firstLine="1251"/>
        <w:spacing w:after="0" w:line="241" w:lineRule="auto"/>
        <w:tabs>
          <w:tab w:leader="none" w:pos="2500"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Facility Increase shall become effective as of such Increased Amount Date, subject to the satisfaction of each of the following conditions precedent:</w:t>
      </w:r>
    </w:p>
    <w:p>
      <w:pPr>
        <w:spacing w:after="0" w:line="143" w:lineRule="exact"/>
        <w:rPr>
          <w:rFonts w:ascii="Times New Roman" w:cs="Times New Roman" w:eastAsia="Times New Roman" w:hAnsi="Times New Roman"/>
          <w:sz w:val="21"/>
          <w:szCs w:val="21"/>
          <w:color w:val="auto"/>
        </w:rPr>
      </w:pPr>
    </w:p>
    <w:p>
      <w:pPr>
        <w:ind w:left="-20" w:right="40" w:firstLine="2520"/>
        <w:spacing w:after="0" w:line="215" w:lineRule="auto"/>
        <w:tabs>
          <w:tab w:leader="none" w:pos="3113" w:val="left"/>
        </w:tabs>
        <w:numPr>
          <w:ilvl w:val="2"/>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exist on such Increased Amount Date before or after giving effect to such Facility Increase, and each of the representations and warranties of Borrower contained in this Agreement and in each of the other Loan Documents shall be true and correct in all material respects (or in the case of any representation or warranty that is qualified as to “materiality”, “Material Adverse Change” or similar language, in all respects) as of the date of the Increased Amount Date, except (i) for any representation or warranty that expressly relates to an earlier date, in which case such representation or warranty was true and correct in all material respects (or, in the case of any representation or warranty that is qualified as to “materiality”, “Material Adverse Change” or similar language, in all respects) as of such earlier date and (ii) to the extent of any changes (x) resulting from transactions contemplated by this Agreement, (y) resulting from transactions and occurrences not prohibited by this Agreement and (z) occurring in the ordinary course of business;</w:t>
      </w:r>
    </w:p>
    <w:p>
      <w:pPr>
        <w:spacing w:after="0" w:line="148" w:lineRule="exact"/>
        <w:rPr>
          <w:rFonts w:ascii="Times New Roman" w:cs="Times New Roman" w:eastAsia="Times New Roman" w:hAnsi="Times New Roman"/>
          <w:sz w:val="21"/>
          <w:szCs w:val="21"/>
          <w:color w:val="auto"/>
        </w:rPr>
      </w:pPr>
    </w:p>
    <w:p>
      <w:pPr>
        <w:ind w:left="-20" w:right="140" w:firstLine="2520"/>
        <w:spacing w:after="0" w:line="224" w:lineRule="auto"/>
        <w:tabs>
          <w:tab w:leader="none" w:pos="3115" w:val="left"/>
        </w:tabs>
        <w:numPr>
          <w:ilvl w:val="2"/>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Facility Increase shall be effected pursuant to one or more joinder agreements in form and substance reasonably satisfactory to, and executed and delivered by, the Borrower, the Banks providing the Facility Increase and the Administrative Agent, each of which shall be recorded in the Register, and any New Term Loan Lender shall become a Bank hereunder;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00"/>
          </w:cols>
          <w:pgMar w:left="340" w:top="1108" w:right="359" w:bottom="1440" w:gutter="0" w:footer="0" w:header="0"/>
        </w:sectPr>
      </w:pPr>
    </w:p>
    <w:bookmarkStart w:id="200" w:name="page201"/>
    <w:bookmarkEnd w:id="200"/>
    <w:p>
      <w:pPr>
        <w:ind w:right="80" w:firstLine="2829"/>
        <w:spacing w:after="0" w:line="263" w:lineRule="auto"/>
        <w:rPr>
          <w:sz w:val="20"/>
          <w:szCs w:val="20"/>
          <w:color w:val="auto"/>
        </w:rPr>
      </w:pPr>
      <w:r>
        <w:rPr>
          <w:rFonts w:ascii="Times New Roman" w:cs="Times New Roman" w:eastAsia="Times New Roman" w:hAnsi="Times New Roman"/>
          <w:sz w:val="21"/>
          <w:szCs w:val="21"/>
          <w:color w:val="auto"/>
        </w:rPr>
        <w:t>(C)the Borrower shall deliver or cause to be delivered any promissory notes, certificates, legal opinions, resolutions or other documents reasonably requested by the Administrative Agent in connection with any such transaction, consistent with those delivered on the Effective Date under Section 4.01; and</w:t>
      </w:r>
    </w:p>
    <w:p>
      <w:pPr>
        <w:spacing w:after="0" w:line="162" w:lineRule="exact"/>
        <w:rPr>
          <w:sz w:val="20"/>
          <w:szCs w:val="20"/>
          <w:color w:val="auto"/>
        </w:rPr>
      </w:pPr>
    </w:p>
    <w:p>
      <w:pPr>
        <w:ind w:right="40" w:firstLine="2520"/>
        <w:spacing w:after="0" w:line="258" w:lineRule="auto"/>
        <w:tabs>
          <w:tab w:leader="none" w:pos="3133"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have paid, pursuant to separate agreements between the Borrower and the Administrative Agent, the arranger for the Facility Increase and/or the Banks providing such Facility Increase, (A) all reasonable costs and expenses incurred by the Administrative Agent in connection with the applicable Facility Increase and (B) any fees that the Borrower has agreed to pay to the arranger for the Facility Increase and/or the Banks providing such Facility Increase in connection with such Facility Increase.</w:t>
      </w:r>
    </w:p>
    <w:p>
      <w:pPr>
        <w:spacing w:after="0" w:line="169" w:lineRule="exact"/>
        <w:rPr>
          <w:rFonts w:ascii="Times New Roman" w:cs="Times New Roman" w:eastAsia="Times New Roman" w:hAnsi="Times New Roman"/>
          <w:sz w:val="21"/>
          <w:szCs w:val="21"/>
          <w:color w:val="auto"/>
        </w:rPr>
      </w:pPr>
    </w:p>
    <w:p>
      <w:pPr>
        <w:ind w:left="2520" w:hanging="629"/>
        <w:spacing w:after="0"/>
        <w:tabs>
          <w:tab w:leader="none" w:pos="252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Facility Increase Matters</w:t>
      </w:r>
      <w:r>
        <w:rPr>
          <w:rFonts w:ascii="Times New Roman" w:cs="Times New Roman" w:eastAsia="Times New Roman" w:hAnsi="Times New Roman"/>
          <w:sz w:val="21"/>
          <w:szCs w:val="21"/>
          <w:color w:val="auto"/>
        </w:rPr>
        <w:t>.</w:t>
      </w:r>
    </w:p>
    <w:p>
      <w:pPr>
        <w:spacing w:after="0" w:line="216" w:lineRule="exact"/>
        <w:rPr>
          <w:rFonts w:ascii="Times New Roman" w:cs="Times New Roman" w:eastAsia="Times New Roman" w:hAnsi="Times New Roman"/>
          <w:sz w:val="21"/>
          <w:szCs w:val="21"/>
          <w:color w:val="auto"/>
        </w:rPr>
      </w:pPr>
    </w:p>
    <w:p>
      <w:pPr>
        <w:ind w:firstLine="2520"/>
        <w:spacing w:after="0" w:line="256" w:lineRule="auto"/>
        <w:tabs>
          <w:tab w:leader="none" w:pos="3133"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any Increased Amount Date on which any Facility Increase is effective, subject to the satisfaction of the foregoing terms and conditions, (i) each Bank providing a commitment for such Facility Increase shall make a loan to Borrower (a “</w:t>
      </w:r>
      <w:r>
        <w:rPr>
          <w:rFonts w:ascii="Times New Roman" w:cs="Times New Roman" w:eastAsia="Times New Roman" w:hAnsi="Times New Roman"/>
          <w:sz w:val="21"/>
          <w:szCs w:val="21"/>
          <w:u w:val="single" w:color="auto"/>
          <w:color w:val="auto"/>
        </w:rPr>
        <w:t>New Term Loan</w:t>
      </w:r>
      <w:r>
        <w:rPr>
          <w:rFonts w:ascii="Times New Roman" w:cs="Times New Roman" w:eastAsia="Times New Roman" w:hAnsi="Times New Roman"/>
          <w:sz w:val="21"/>
          <w:szCs w:val="21"/>
          <w:color w:val="auto"/>
        </w:rPr>
        <w:t>”) in an amount equal to its commitment for such Facility Increase, and (ii) each Bank providing such Facility Increase shall become a Bank hereunder with respect to the New Term Loan made pursuant thereto. Any New Term Loans made on an Increased Amount Date may be designated a separate series (a “</w:t>
      </w:r>
      <w:r>
        <w:rPr>
          <w:rFonts w:ascii="Times New Roman" w:cs="Times New Roman" w:eastAsia="Times New Roman" w:hAnsi="Times New Roman"/>
          <w:sz w:val="21"/>
          <w:szCs w:val="21"/>
          <w:u w:val="single" w:color="auto"/>
          <w:color w:val="auto"/>
        </w:rPr>
        <w:t>Series</w:t>
      </w:r>
      <w:r>
        <w:rPr>
          <w:rFonts w:ascii="Times New Roman" w:cs="Times New Roman" w:eastAsia="Times New Roman" w:hAnsi="Times New Roman"/>
          <w:sz w:val="21"/>
          <w:szCs w:val="21"/>
          <w:color w:val="auto"/>
        </w:rPr>
        <w:t>”) of New Term Loans for purposes of this Agreement.</w:t>
      </w:r>
    </w:p>
    <w:p>
      <w:pPr>
        <w:spacing w:after="0" w:line="183" w:lineRule="exact"/>
        <w:rPr>
          <w:rFonts w:ascii="Times New Roman" w:cs="Times New Roman" w:eastAsia="Times New Roman" w:hAnsi="Times New Roman"/>
          <w:sz w:val="21"/>
          <w:szCs w:val="21"/>
          <w:color w:val="auto"/>
        </w:rPr>
      </w:pPr>
    </w:p>
    <w:p>
      <w:pPr>
        <w:jc w:val="both"/>
        <w:ind w:right="60" w:firstLine="2520"/>
        <w:spacing w:after="0" w:line="263" w:lineRule="auto"/>
        <w:tabs>
          <w:tab w:leader="none" w:pos="3135"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The terms of any such New Term Loans shall not provide for any amortization payments on or prior to the Maturity Date of the existing Loans, but may permit voluntary prepayment ratably with the existing Loans and (2) the applicable maturity date for such New Term Loans shall be no earlier than the latest Maturity Date of the existing Loans.</w:t>
      </w:r>
    </w:p>
    <w:p>
      <w:pPr>
        <w:spacing w:after="0" w:line="162" w:lineRule="exact"/>
        <w:rPr>
          <w:rFonts w:ascii="Times New Roman" w:cs="Times New Roman" w:eastAsia="Times New Roman" w:hAnsi="Times New Roman"/>
          <w:sz w:val="21"/>
          <w:szCs w:val="21"/>
          <w:color w:val="auto"/>
        </w:rPr>
      </w:pPr>
    </w:p>
    <w:p>
      <w:pPr>
        <w:ind w:right="80" w:firstLine="2520"/>
        <w:spacing w:after="0" w:line="258" w:lineRule="auto"/>
        <w:tabs>
          <w:tab w:leader="none" w:pos="3135"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joinder agreement executed in connection with a Facility Increase may, without the consent of any Banks other than those providing such Facility Increase, effect such amendments to this Agreement and the other Loan Documents as may be necessary or appropriate, in the good faith judgment of Administrative Agent, to effect the provisions of such Facility Increase and this Section 2.16(d), subject to approval by the Borrower;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that any amendments that adversely affect a Bank shall be subject to Section 12.02.</w:t>
      </w:r>
    </w:p>
    <w:p>
      <w:pPr>
        <w:spacing w:after="0" w:line="169" w:lineRule="exact"/>
        <w:rPr>
          <w:sz w:val="20"/>
          <w:szCs w:val="20"/>
          <w:color w:val="auto"/>
        </w:rPr>
      </w:pPr>
    </w:p>
    <w:p>
      <w:pPr>
        <w:ind w:right="20" w:firstLine="629"/>
        <w:spacing w:after="0" w:line="254" w:lineRule="auto"/>
        <w:rPr>
          <w:sz w:val="20"/>
          <w:szCs w:val="20"/>
          <w:color w:val="auto"/>
        </w:rPr>
      </w:pPr>
      <w:r>
        <w:rPr>
          <w:rFonts w:ascii="Times New Roman" w:cs="Times New Roman" w:eastAsia="Times New Roman" w:hAnsi="Times New Roman"/>
          <w:sz w:val="21"/>
          <w:szCs w:val="21"/>
          <w:color w:val="auto"/>
        </w:rPr>
        <w:t xml:space="preserve">SECTION 2.17 </w:t>
      </w:r>
      <w:r>
        <w:rPr>
          <w:rFonts w:ascii="Times New Roman" w:cs="Times New Roman" w:eastAsia="Times New Roman" w:hAnsi="Times New Roman"/>
          <w:sz w:val="21"/>
          <w:szCs w:val="21"/>
          <w:u w:val="single" w:color="auto"/>
          <w:color w:val="auto"/>
        </w:rPr>
        <w:t>Extension Option.</w:t>
      </w:r>
      <w:r>
        <w:rPr>
          <w:rFonts w:ascii="Times New Roman" w:cs="Times New Roman" w:eastAsia="Times New Roman" w:hAnsi="Times New Roman"/>
          <w:sz w:val="21"/>
          <w:szCs w:val="21"/>
          <w:color w:val="auto"/>
        </w:rPr>
        <w:t xml:space="preserve"> Borrower may extend the Maturity Date two (2) times only for a period of one (1) year per extension upon satisfaction of the following terms and conditions for each extension: (i) delivery by Borrower of a written notice to Administrative Agent (an “Extension Notice”) on or before a date that is not more than one hundred twenty (120) days nor less than one (1) month prior to the then-scheduled Maturity Date, which Extension Notice Administrative Agent shall promptly deliver to the Banks, which Extension Notice shall include a certification dated as of the date of such Extension Notice signed by a duly authorized signatory of Borrower, stating, to the best of the certifying party’s knowledge, (x) all representations and warranties contained in this Agreement and in each of the other Loan Documents are true and correct on and as of the date of such Extension Notice (except in those cases where such representation or warranty expressly relates to an earlier date, in which case such 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00"/>
          </w:cols>
          <w:pgMar w:left="320" w:top="1134" w:right="3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21"/>
          <w:szCs w:val="21"/>
          <w:color w:val="auto"/>
        </w:rPr>
        <w:t>were true and correct as of such date, and except for changes in factual circumstances not prohibited under the Loan Documents), and</w:t>
      </w:r>
    </w:p>
    <w:p>
      <w:pPr>
        <w:spacing w:after="0" w:line="31" w:lineRule="exact"/>
        <w:rPr>
          <w:sz w:val="20"/>
          <w:szCs w:val="20"/>
          <w:color w:val="auto"/>
        </w:rPr>
      </w:pPr>
    </w:p>
    <w:p>
      <w:pPr>
        <w:ind w:firstLine="5"/>
        <w:spacing w:after="0" w:line="244" w:lineRule="auto"/>
        <w:tabs>
          <w:tab w:leader="none" w:pos="297"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Event of Default has occurred and is continuing; (ii) no Event of Default shall have occurred and be continuing on the original Maturity Date (an “Extension Date”); and (iii) Borrower shall pay to Administrative Agent on or before such Extension Date a fee equal to 0.125% of the total Term Exposure of all Banks on such Extension Date for each extension, which fee shall be distributed by Administrative Agent pro rata to each of the Banks based on each Bank’s Pro Rata Share. Borrower’s delivery of an Extension Notice shall be irrevocable.</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ARTICLE III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YIELD PROTECTION; ILLEGALITY; ETC.</w:t>
      </w:r>
    </w:p>
    <w:p>
      <w:pPr>
        <w:spacing w:after="0" w:line="204" w:lineRule="exact"/>
        <w:rPr>
          <w:sz w:val="20"/>
          <w:szCs w:val="20"/>
          <w:color w:val="auto"/>
        </w:rPr>
      </w:pPr>
    </w:p>
    <w:p>
      <w:pPr>
        <w:ind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3.01 </w:t>
      </w:r>
      <w:r>
        <w:rPr>
          <w:rFonts w:ascii="Times New Roman" w:cs="Times New Roman" w:eastAsia="Times New Roman" w:hAnsi="Times New Roman"/>
          <w:sz w:val="21"/>
          <w:szCs w:val="21"/>
          <w:u w:val="single" w:color="auto"/>
          <w:color w:val="auto"/>
        </w:rPr>
        <w:t>Additional Costs.</w:t>
      </w:r>
      <w:r>
        <w:rPr>
          <w:rFonts w:ascii="Times New Roman" w:cs="Times New Roman" w:eastAsia="Times New Roman" w:hAnsi="Times New Roman"/>
          <w:sz w:val="21"/>
          <w:szCs w:val="21"/>
          <w:color w:val="auto"/>
        </w:rPr>
        <w:t xml:space="preserve"> Borrower shall pay directly to each Bank from time to time on demand such amounts as such Bank may reasonably determine to be necessary to compensate it for any increased costs which such Bank determines are attributable to its making or maintaining any Loan, or its obligation to make or maintain any Loan, or its obligation to Convert a Loan hereunder, or any reduction in any amount receivable by such Bank hereunder in respect of its Loan or such obligations (such increases in costs and reductions in amounts receivable being herein called “Additional Costs”), in each case resulting from any Regulatory Change which:</w:t>
      </w:r>
    </w:p>
    <w:p>
      <w:pPr>
        <w:spacing w:after="0" w:line="39" w:lineRule="exact"/>
        <w:rPr>
          <w:sz w:val="20"/>
          <w:szCs w:val="20"/>
          <w:color w:val="auto"/>
        </w:rPr>
      </w:pPr>
    </w:p>
    <w:p>
      <w:pPr>
        <w:jc w:val="both"/>
        <w:ind w:left="640" w:right="260" w:firstLine="622"/>
        <w:spacing w:after="0" w:line="265" w:lineRule="auto"/>
        <w:tabs>
          <w:tab w:leader="none" w:pos="1893"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(other than (A) Indemnified Taxes, and (B) Excluded Taxes) on its loans, loan principal, commitments, or other obligations, or its deposits, reserves, other liabilities or capital attributable thereto; or</w:t>
      </w:r>
    </w:p>
    <w:p>
      <w:pPr>
        <w:spacing w:after="0" w:line="120" w:lineRule="exact"/>
        <w:rPr>
          <w:rFonts w:ascii="Times New Roman" w:cs="Times New Roman" w:eastAsia="Times New Roman" w:hAnsi="Times New Roman"/>
          <w:sz w:val="20"/>
          <w:szCs w:val="20"/>
          <w:color w:val="auto"/>
        </w:rPr>
      </w:pPr>
    </w:p>
    <w:p>
      <w:pPr>
        <w:ind w:left="640" w:right="160" w:firstLine="622"/>
        <w:spacing w:after="0" w:line="221" w:lineRule="auto"/>
        <w:tabs>
          <w:tab w:leader="none" w:pos="1893"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to the extent any reserve requirement is taken into account in determining the Term SOFR Rate at the commencement of the applicable Interest Period) imposes or modifies any reserve, special deposit, liquidity, deposit insurance or assessment, minimum capital, capital ratio or similar requirements relating to any extensions of credit or other assets of, or any deposits with or other liabilities of, such Bank (including any Term Benchmark Loan”), or any commitment of such Bank (including such Bank’s Loan Commitment hereunder); or</w:t>
      </w:r>
    </w:p>
    <w:p>
      <w:pPr>
        <w:spacing w:after="0" w:line="145" w:lineRule="exact"/>
        <w:rPr>
          <w:rFonts w:ascii="Times New Roman" w:cs="Times New Roman" w:eastAsia="Times New Roman" w:hAnsi="Times New Roman"/>
          <w:sz w:val="21"/>
          <w:szCs w:val="21"/>
          <w:color w:val="auto"/>
        </w:rPr>
      </w:pPr>
    </w:p>
    <w:p>
      <w:pPr>
        <w:ind w:left="640" w:right="160" w:firstLine="622"/>
        <w:spacing w:after="0" w:line="241" w:lineRule="auto"/>
        <w:tabs>
          <w:tab w:leader="none" w:pos="1893"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imposes any other condition, cost or expense (other than Taxes) affecting this Agreement or the Notes (or any of such extensions of credit or liabilities).</w:t>
      </w:r>
    </w:p>
    <w:p>
      <w:pPr>
        <w:spacing w:after="0" w:line="170" w:lineRule="exact"/>
        <w:rPr>
          <w:sz w:val="20"/>
          <w:szCs w:val="20"/>
          <w:color w:val="auto"/>
        </w:rPr>
      </w:pPr>
    </w:p>
    <w:p>
      <w:pPr>
        <w:ind w:right="80" w:firstLine="629"/>
        <w:spacing w:after="0" w:line="258" w:lineRule="auto"/>
        <w:rPr>
          <w:sz w:val="20"/>
          <w:szCs w:val="20"/>
          <w:color w:val="auto"/>
        </w:rPr>
      </w:pPr>
      <w:r>
        <w:rPr>
          <w:rFonts w:ascii="Times New Roman" w:cs="Times New Roman" w:eastAsia="Times New Roman" w:hAnsi="Times New Roman"/>
          <w:sz w:val="21"/>
          <w:szCs w:val="21"/>
          <w:color w:val="auto"/>
        </w:rPr>
        <w:t>Without limiting the effect of the provisions of the first paragraph of this Section, in the event that, by reason of any Regulatory Change, any Bank becomes subject to restrictions on the amount of such a category of liabilities or assets which it may hold, then, if such Bank so elects by notice to Borrower (with a copy to Administrative Agent), the obligation of such Bank to permit Elections of, to Continue, or to Convert Loans shall be suspended (in which case the provisions of Section 3.04 shall be applicable) until such Regulatory Change ceases to be in effect.</w:t>
      </w:r>
    </w:p>
    <w:p>
      <w:pPr>
        <w:spacing w:after="0" w:line="169" w:lineRule="exact"/>
        <w:rPr>
          <w:sz w:val="20"/>
          <w:szCs w:val="20"/>
          <w:color w:val="auto"/>
        </w:rPr>
      </w:pPr>
    </w:p>
    <w:p>
      <w:pPr>
        <w:ind w:right="300" w:firstLine="629"/>
        <w:spacing w:after="0" w:line="280" w:lineRule="auto"/>
        <w:rPr>
          <w:sz w:val="20"/>
          <w:szCs w:val="20"/>
          <w:color w:val="auto"/>
        </w:rPr>
      </w:pPr>
      <w:r>
        <w:rPr>
          <w:rFonts w:ascii="Times New Roman" w:cs="Times New Roman" w:eastAsia="Times New Roman" w:hAnsi="Times New Roman"/>
          <w:sz w:val="21"/>
          <w:szCs w:val="21"/>
          <w:color w:val="auto"/>
        </w:rPr>
        <w:t>The obligations of Borrower under this Section shall survive the repayment of all amounts due under or in connection with any of the Loan Documents and the termination of the Loan Commitments in respect of the period prior to such termination.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134" w:right="339" w:bottom="1440" w:gutter="0" w:footer="0" w:header="0"/>
        </w:sectPr>
      </w:pPr>
    </w:p>
    <w:bookmarkStart w:id="202" w:name="page203"/>
    <w:bookmarkEnd w:id="202"/>
    <w:p>
      <w:pPr>
        <w:ind w:right="120" w:firstLine="629"/>
        <w:spacing w:after="0" w:line="258" w:lineRule="auto"/>
        <w:rPr>
          <w:sz w:val="20"/>
          <w:szCs w:val="20"/>
          <w:color w:val="auto"/>
        </w:rPr>
      </w:pPr>
      <w:r>
        <w:rPr>
          <w:rFonts w:ascii="Times New Roman" w:cs="Times New Roman" w:eastAsia="Times New Roman" w:hAnsi="Times New Roman"/>
          <w:sz w:val="21"/>
          <w:szCs w:val="21"/>
          <w:color w:val="auto"/>
        </w:rPr>
        <w:t>Determinations and allocations by a Bank for purposes of this Section of the effect of any Regulatory Change pursuant to the first or second paragraph of this Section, on its costs or rate of return of making or maintaining its Loan or portions thereof or on amounts receivable by it in respect of its Loan or portions thereof, and the amounts required to compensate such Bank under this Section, shall be included in a calculation of such amounts given to Borrower and shall be conclusive absent manifest error.</w:t>
      </w:r>
    </w:p>
    <w:p>
      <w:pPr>
        <w:spacing w:after="0" w:line="180" w:lineRule="exact"/>
        <w:rPr>
          <w:sz w:val="20"/>
          <w:szCs w:val="20"/>
          <w:color w:val="auto"/>
        </w:rPr>
      </w:pPr>
    </w:p>
    <w:p>
      <w:pPr>
        <w:ind w:right="100" w:firstLine="629"/>
        <w:spacing w:after="0" w:line="253" w:lineRule="auto"/>
        <w:rPr>
          <w:sz w:val="20"/>
          <w:szCs w:val="20"/>
          <w:color w:val="auto"/>
        </w:rPr>
      </w:pPr>
      <w:r>
        <w:rPr>
          <w:rFonts w:ascii="Times New Roman" w:cs="Times New Roman" w:eastAsia="Times New Roman" w:hAnsi="Times New Roman"/>
          <w:sz w:val="21"/>
          <w:szCs w:val="21"/>
          <w:color w:val="auto"/>
        </w:rPr>
        <w:t>Notwithstanding anything contained in this Article III to the contrary, Borrower shall only be obligated to pay any amounts due under this Section 3.01 or under Section 3.06 if, and a Bank shall not exercise any right under this Section 3.01 or Sections 3.02, 3.03, 3.04 or 3.06 unless, the applicable Bank has certified that it is generally imposing a similar charge on, or otherwise similarly enforcing its agreements with, its other similarly situated borrowers. In addition, Borrower shall not be obligated to compensate any Bank under any such provision for any amounts attributable to any period which is more than nine (9) months prior to such Bank’s delivery of notice thereof to Borrower (except that if a Regulatory Change is retroactive, then such period shall be extended to include the period of retroactive effect, provided that such Bank delivered notice thereof to Borrower no later than nine (9) months after the date on which the Regulatory Change with such retroactive effect was made).</w:t>
      </w:r>
    </w:p>
    <w:p>
      <w:pPr>
        <w:spacing w:after="0" w:line="151" w:lineRule="exact"/>
        <w:rPr>
          <w:sz w:val="20"/>
          <w:szCs w:val="20"/>
          <w:color w:val="auto"/>
        </w:rPr>
      </w:pPr>
    </w:p>
    <w:p>
      <w:pPr>
        <w:ind w:left="1260"/>
        <w:spacing w:after="0"/>
        <w:tabs>
          <w:tab w:leader="none" w:pos="3120" w:val="left"/>
        </w:tabs>
        <w:rPr>
          <w:sz w:val="20"/>
          <w:szCs w:val="20"/>
          <w:color w:val="auto"/>
        </w:rPr>
      </w:pPr>
      <w:r>
        <w:rPr>
          <w:rFonts w:ascii="Times New Roman" w:cs="Times New Roman" w:eastAsia="Times New Roman" w:hAnsi="Times New Roman"/>
          <w:sz w:val="21"/>
          <w:szCs w:val="21"/>
          <w:color w:val="auto"/>
        </w:rPr>
        <w:t>SECTION 3.02</w:t>
      </w:r>
      <w:r>
        <w:rPr>
          <w:sz w:val="20"/>
          <w:szCs w:val="20"/>
          <w:color w:val="auto"/>
        </w:rPr>
        <w:tab/>
      </w:r>
      <w:r>
        <w:rPr>
          <w:rFonts w:ascii="Times New Roman" w:cs="Times New Roman" w:eastAsia="Times New Roman" w:hAnsi="Times New Roman"/>
          <w:sz w:val="20"/>
          <w:szCs w:val="20"/>
          <w:u w:val="single" w:color="auto"/>
          <w:color w:val="auto"/>
        </w:rPr>
        <w:t>Alternate Rate of Interest</w:t>
      </w:r>
      <w:r>
        <w:rPr>
          <w:rFonts w:ascii="Times New Roman" w:cs="Times New Roman" w:eastAsia="Times New Roman" w:hAnsi="Times New Roman"/>
          <w:sz w:val="20"/>
          <w:szCs w:val="20"/>
          <w:color w:val="auto"/>
        </w:rPr>
        <w:t>. (a) Subject to clauses (b), (c), (d), (e) and (f) of this Section 3.02, if::</w:t>
      </w:r>
    </w:p>
    <w:p>
      <w:pPr>
        <w:spacing w:after="0" w:line="125" w:lineRule="exact"/>
        <w:rPr>
          <w:sz w:val="20"/>
          <w:szCs w:val="20"/>
          <w:color w:val="auto"/>
        </w:rPr>
      </w:pPr>
    </w:p>
    <w:p>
      <w:pPr>
        <w:jc w:val="both"/>
        <w:ind w:left="640" w:right="20" w:firstLine="1251"/>
        <w:spacing w:after="0" w:line="224" w:lineRule="auto"/>
        <w:tabs>
          <w:tab w:leader="none" w:pos="2514"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determines (which determination shall be conclusive absent manifest error) prior to the commencement of any Interest Period for a Term Benchmark Loan, that adequate and reasonable means do not exist for ascertaining the Term SOFR Rate (including because the Term SOFR Reference Rate is not available or published on a current basis), for such Interest Period; or</w:t>
      </w:r>
    </w:p>
    <w:p>
      <w:pPr>
        <w:spacing w:after="0" w:line="93" w:lineRule="exact"/>
        <w:rPr>
          <w:rFonts w:ascii="Times New Roman" w:cs="Times New Roman" w:eastAsia="Times New Roman" w:hAnsi="Times New Roman"/>
          <w:sz w:val="21"/>
          <w:szCs w:val="21"/>
          <w:color w:val="auto"/>
        </w:rPr>
      </w:pPr>
    </w:p>
    <w:p>
      <w:pPr>
        <w:ind w:left="640" w:right="440" w:firstLine="1251"/>
        <w:spacing w:after="0" w:line="242" w:lineRule="auto"/>
        <w:tabs>
          <w:tab w:leader="none" w:pos="252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is advised by the Required Banks that prior to the commencement of any Interest Period for a Term Benchmark Loan, the Term SOFR Rate for such Interest Period will not adequately and fairly reflect the cost to such Banks (or Bank) of making or maintaining their Loans (or its Loan) for such Interest Period;</w:t>
      </w:r>
    </w:p>
    <w:p>
      <w:pPr>
        <w:spacing w:after="0" w:line="1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then the Administrative Agent shall give notice thereof to the Borrower and the Banks by telephone, telecopy or electronic mail as promptly as practicable thereafter and, until (x) the Administrative Agent notifies the Borrower and the Banks that the circumstances giving rise to such notice no longer exist with respect to the relevant Benchmark and (y) the Borrower delivers a new notice of Election, Conversion or Continuation in accordance with the terms of Section 2.14 or a new borrowing request in accordance with the terms of Section 2.05, any notice of Election, Conversion or Continuation that requests the conversion of any Loan to, or continuation of any Loan as, a Term Benchmark Loan and any borrowing request that requests a Term Benchmark Loan shall instead be deemed to be a notice of Election, Conversion or Continuation or a borrowing request, as applicable, for a Base Rate Loan; provided that if the circumstances giving rise to such notice affect only one Type of Loan, then all other Types of Loans shall be permitted. Furthermore, if any Term Benchmark Loan is outstanding on the date of the Borrower’s receipt of the notice from the Administrative Agent referred to in this Section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40"/>
          </w:cols>
          <w:pgMar w:left="320" w:top="1134" w:right="339" w:bottom="1440" w:gutter="0" w:footer="0" w:header="0"/>
        </w:sectPr>
      </w:pPr>
    </w:p>
    <w:bookmarkStart w:id="203" w:name="page204"/>
    <w:bookmarkEnd w:id="203"/>
    <w:p>
      <w:pPr>
        <w:ind w:right="20"/>
        <w:spacing w:after="0" w:line="272" w:lineRule="auto"/>
        <w:rPr>
          <w:sz w:val="20"/>
          <w:szCs w:val="20"/>
          <w:color w:val="auto"/>
        </w:rPr>
      </w:pPr>
      <w:r>
        <w:rPr>
          <w:rFonts w:ascii="Times New Roman" w:cs="Times New Roman" w:eastAsia="Times New Roman" w:hAnsi="Times New Roman"/>
          <w:sz w:val="20"/>
          <w:szCs w:val="20"/>
          <w:color w:val="auto"/>
        </w:rPr>
        <w:t>3.02(a) with respect to a Relevant Rate applicable to such Term Benchmark Loan, then until (x) the Administrative Agent notifies the Borrower and the Banks that the circumstances giving rise to such notice no longer exist with respect to the relevant Benchmark and</w:t>
      </w:r>
    </w:p>
    <w:p>
      <w:pPr>
        <w:ind w:firstLine="5"/>
        <w:spacing w:after="0" w:line="254" w:lineRule="auto"/>
        <w:tabs>
          <w:tab w:leader="none" w:pos="297"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delivers a new notice of Election, Conversion or Continuation in accordance with the terms of Section 2.14 or a new borrowing request in accordance with the terms of Section 2.05, any Term Benchmark Loan shall on the last day of the Interest Period applicable to such Loan (or the next succeeding Banking Day if such day is not a Banking Day), be converted by the Administrative Agent to, and shall constitute a Base Rate Loan.</w:t>
      </w:r>
    </w:p>
    <w:p>
      <w:pPr>
        <w:spacing w:after="0" w:line="171" w:lineRule="exact"/>
        <w:rPr>
          <w:rFonts w:ascii="Times New Roman" w:cs="Times New Roman" w:eastAsia="Times New Roman" w:hAnsi="Times New Roman"/>
          <w:sz w:val="21"/>
          <w:szCs w:val="21"/>
          <w:color w:val="auto"/>
        </w:rPr>
      </w:pPr>
    </w:p>
    <w:p>
      <w:pPr>
        <w:ind w:right="80" w:firstLine="1262"/>
        <w:spacing w:after="0" w:line="255" w:lineRule="auto"/>
        <w:tabs>
          <w:tab w:leader="none" w:pos="1882"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Banking Day after the date notice of such Benchmark Replacement is provided to the Banks without any amendment to, or further action or consent of any other party to, this Agreement or any other Loan Document so long as the Administrative Agent has not received, by such time, written notice of objection to such Benchmark Replacement from Banks comprising the Required Banks.</w:t>
      </w:r>
    </w:p>
    <w:p>
      <w:pPr>
        <w:spacing w:after="0" w:line="168" w:lineRule="exact"/>
        <w:rPr>
          <w:rFonts w:ascii="Times New Roman" w:cs="Times New Roman" w:eastAsia="Times New Roman" w:hAnsi="Times New Roman"/>
          <w:sz w:val="21"/>
          <w:szCs w:val="21"/>
          <w:color w:val="auto"/>
        </w:rPr>
      </w:pPr>
    </w:p>
    <w:p>
      <w:pPr>
        <w:ind w:firstLine="1262"/>
        <w:spacing w:after="0" w:line="262" w:lineRule="auto"/>
        <w:tabs>
          <w:tab w:leader="none" w:pos="1883"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63" w:lineRule="exact"/>
        <w:rPr>
          <w:rFonts w:ascii="Times New Roman" w:cs="Times New Roman" w:eastAsia="Times New Roman" w:hAnsi="Times New Roman"/>
          <w:sz w:val="21"/>
          <w:szCs w:val="21"/>
          <w:color w:val="auto"/>
        </w:rPr>
      </w:pPr>
    </w:p>
    <w:p>
      <w:pPr>
        <w:ind w:right="200" w:firstLine="1262"/>
        <w:spacing w:after="0" w:line="268" w:lineRule="auto"/>
        <w:tabs>
          <w:tab w:leader="none" w:pos="1882"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will promptly notify the Borrower and the Banks of (i) any occurrence of a Benchmark Transition Event, (ii) the implementation of any Benchmark Replacement, (iii) the effectiveness of any Benchmark Replacement Conforming Changes, (iv) the removal or reinstatement of any tenor of a Benchmark pursuant to clause (f) below and</w:t>
      </w:r>
    </w:p>
    <w:p>
      <w:pPr>
        <w:spacing w:after="0" w:line="2" w:lineRule="exact"/>
        <w:rPr>
          <w:rFonts w:ascii="Times New Roman" w:cs="Times New Roman" w:eastAsia="Times New Roman" w:hAnsi="Times New Roman"/>
          <w:sz w:val="20"/>
          <w:szCs w:val="20"/>
          <w:color w:val="auto"/>
        </w:rPr>
      </w:pPr>
    </w:p>
    <w:p>
      <w:pPr>
        <w:ind w:right="40" w:firstLine="5"/>
        <w:spacing w:after="0" w:line="251" w:lineRule="auto"/>
        <w:tabs>
          <w:tab w:leader="none" w:pos="297"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commencement or conclusion of any Benchmark Unavailability Period. Any determination, decision or election that may be made by the Administrative Agent or, if applicable, any Bank (or group of Banks) pursuant to this Section 3.02,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3.02.</w:t>
      </w:r>
    </w:p>
    <w:p>
      <w:pPr>
        <w:spacing w:after="0" w:line="187" w:lineRule="exact"/>
        <w:rPr>
          <w:rFonts w:ascii="Times New Roman" w:cs="Times New Roman" w:eastAsia="Times New Roman" w:hAnsi="Times New Roman"/>
          <w:sz w:val="21"/>
          <w:szCs w:val="21"/>
          <w:color w:val="auto"/>
        </w:rPr>
      </w:pPr>
    </w:p>
    <w:p>
      <w:pPr>
        <w:ind w:right="280" w:firstLine="1262"/>
        <w:spacing w:after="0" w:line="256" w:lineRule="auto"/>
        <w:tabs>
          <w:tab w:leader="none" w:pos="1883"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at any time (including in connection with the implementation of a Benchmark Replacement), (i) if the then-current Benchmark is a term rate (including the Term SOFR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20"/>
          </w:cols>
          <w:pgMar w:left="320" w:top="1134" w:right="359" w:bottom="1440" w:gutter="0" w:footer="0" w:header="0"/>
        </w:sectPr>
      </w:pPr>
    </w:p>
    <w:bookmarkStart w:id="204" w:name="page205"/>
    <w:bookmarkEnd w:id="204"/>
    <w:p>
      <w:pPr>
        <w:ind w:right="160"/>
        <w:spacing w:after="0" w:line="256" w:lineRule="auto"/>
        <w:rPr>
          <w:sz w:val="20"/>
          <w:szCs w:val="20"/>
          <w:color w:val="auto"/>
        </w:rPr>
      </w:pPr>
      <w:r>
        <w:rPr>
          <w:rFonts w:ascii="Times New Roman" w:cs="Times New Roman" w:eastAsia="Times New Roman" w:hAnsi="Times New Roman"/>
          <w:sz w:val="21"/>
          <w:szCs w:val="21"/>
          <w:color w:val="auto"/>
        </w:rPr>
        <w:t>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44" w:lineRule="exact"/>
        <w:rPr>
          <w:sz w:val="20"/>
          <w:szCs w:val="20"/>
          <w:color w:val="auto"/>
        </w:rPr>
      </w:pPr>
    </w:p>
    <w:p>
      <w:pPr>
        <w:ind w:firstLine="1262"/>
        <w:spacing w:after="0" w:line="214" w:lineRule="auto"/>
        <w:tabs>
          <w:tab w:leader="none" w:pos="1886"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Borrower’s receipt of notice of the commencement of a Benchmark Unavailability Period, the Borrower may revoke any request for a Term Benchmark Loan or conversion to or continuation of Term Benchmark Loans to be made, converted or continued during any Benchmark Unavailability Period and, failing that, the Borrower will be deemed to have converted any request for a Term Benchmark Loan into a request for a borrowing of or conversion to a Base Rate Loan.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 Furthermore, if any Term Benchmark Loan is outstanding on the date of the Borrower’s receipt of notice of the commencement of a Benchmark Unavailability Period with respect to a Relevant Rate applicable to such Term Benchmark Loan, then until such time as a Benchmark Replacement is implemented pursuant to this Section 3.02, any Term Benchmark Loan shall on the last day of the Interest Period applicable to such Loan (or the next succeeding Banking Day if such day is not a Banking Day), be converted by the Administrative Agent to, and shall constitute, a Base Rate Loan.</w:t>
      </w:r>
    </w:p>
    <w:p>
      <w:pPr>
        <w:spacing w:after="0" w:line="173"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u w:val="single" w:color="auto"/>
          <w:color w:val="auto"/>
        </w:rPr>
        <w:t>Illegality.</w:t>
      </w:r>
      <w:r>
        <w:rPr>
          <w:rFonts w:ascii="Times New Roman" w:cs="Times New Roman" w:eastAsia="Times New Roman" w:hAnsi="Times New Roman"/>
          <w:sz w:val="21"/>
          <w:szCs w:val="21"/>
          <w:color w:val="auto"/>
        </w:rPr>
        <w:t xml:space="preserve"> Notwithstanding any other provision of this Agreement, in the event that it becomes unlawful for any Bank or its Applicable Lending Office to honor its obligation to make or maintain a Term Benchmark Loan hereunder, to allow Elections or Continuations of a Term Benchmark Loan or to Convert a Base Rate Loan into a Term Benchmark Loan, then such Bank shall promptly notify Administrative Agent and Borrower thereof and such Bank’s obligation to make or maintain a Term Benchmark Loan, or to permit Elections of, to Continue, or to Convert its Base Rate Loan into, a Term Benchmark Loan shall be suspended (in which case the provisions of Section 3.04 shall be applicable) until such time as such Bank may again make and maintain a Term Benchmark Loan.</w:t>
      </w:r>
    </w:p>
    <w:p>
      <w:pPr>
        <w:spacing w:after="0" w:line="64" w:lineRule="exact"/>
        <w:rPr>
          <w:sz w:val="20"/>
          <w:szCs w:val="20"/>
          <w:color w:val="auto"/>
        </w:rPr>
      </w:pPr>
    </w:p>
    <w:p>
      <w:pPr>
        <w:ind w:right="40"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3.04 </w:t>
      </w:r>
      <w:r>
        <w:rPr>
          <w:rFonts w:ascii="Times New Roman" w:cs="Times New Roman" w:eastAsia="Times New Roman" w:hAnsi="Times New Roman"/>
          <w:sz w:val="21"/>
          <w:szCs w:val="21"/>
          <w:u w:val="single" w:color="auto"/>
          <w:color w:val="auto"/>
        </w:rPr>
        <w:t>Treatment of Affected Loans.</w:t>
      </w:r>
      <w:r>
        <w:rPr>
          <w:rFonts w:ascii="Times New Roman" w:cs="Times New Roman" w:eastAsia="Times New Roman" w:hAnsi="Times New Roman"/>
          <w:sz w:val="21"/>
          <w:szCs w:val="21"/>
          <w:color w:val="auto"/>
        </w:rPr>
        <w:t xml:space="preserve"> If the obligations of any Bank to make or maintain a Term Benchmark Loan, or to permit an Election of a Term Benchmark Loan, to Continue its Term Benchmark Loan, or to Convert its Base Rate Loan into a Term Benchmark Loan, are suspended pursuant to Section 3.01 or 3.03 (each Term Benchmark Loan so affected being herein called an “Affected Loan”), such Bank’s Affected Loan shall be automatically Converted into a Base Rate Loan on the last day of the then current Interest Period for the Affected Loan (or, in the case of a Conversion or conversion resulting from Section 3.03, on such earlier date as such Bank may specify to Borrower).</w:t>
      </w:r>
    </w:p>
    <w:p>
      <w:pPr>
        <w:spacing w:after="0" w:line="66" w:lineRule="exact"/>
        <w:rPr>
          <w:sz w:val="20"/>
          <w:szCs w:val="20"/>
          <w:color w:val="auto"/>
        </w:rPr>
      </w:pPr>
    </w:p>
    <w:p>
      <w:pPr>
        <w:ind w:right="160" w:firstLine="629"/>
        <w:spacing w:after="0" w:line="293" w:lineRule="auto"/>
        <w:rPr>
          <w:sz w:val="20"/>
          <w:szCs w:val="20"/>
          <w:color w:val="auto"/>
        </w:rPr>
      </w:pPr>
      <w:r>
        <w:rPr>
          <w:rFonts w:ascii="Times New Roman" w:cs="Times New Roman" w:eastAsia="Times New Roman" w:hAnsi="Times New Roman"/>
          <w:sz w:val="21"/>
          <w:szCs w:val="21"/>
          <w:color w:val="auto"/>
        </w:rPr>
        <w:t>To the extent that such Bank’s Affected Loan has been so Converted (or the interest rate thereon so converted), all payments and prepayments of principal which would otherwise be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220"/>
          </w:cols>
          <w:pgMar w:left="320" w:top="1134" w:right="359" w:bottom="1440" w:gutter="0" w:footer="0" w:header="0"/>
        </w:sectPr>
      </w:pPr>
    </w:p>
    <w:bookmarkStart w:id="205" w:name="page206"/>
    <w:bookmarkEnd w:id="205"/>
    <w:p>
      <w:pPr>
        <w:ind w:right="640"/>
        <w:spacing w:after="0" w:line="280" w:lineRule="auto"/>
        <w:rPr>
          <w:sz w:val="20"/>
          <w:szCs w:val="20"/>
          <w:color w:val="auto"/>
        </w:rPr>
      </w:pPr>
      <w:r>
        <w:rPr>
          <w:rFonts w:ascii="Times New Roman" w:cs="Times New Roman" w:eastAsia="Times New Roman" w:hAnsi="Times New Roman"/>
          <w:sz w:val="21"/>
          <w:szCs w:val="21"/>
          <w:color w:val="auto"/>
        </w:rPr>
        <w:t>applied to such Bank’s Affected Loan shall be applied instead to its Base Rate Loan and such Bank shall have no obligation to Convert its Base Rate Loan into a Term Benchmark Loan.</w:t>
      </w:r>
    </w:p>
    <w:p>
      <w:pPr>
        <w:spacing w:after="0" w:line="39" w:lineRule="exact"/>
        <w:rPr>
          <w:sz w:val="20"/>
          <w:szCs w:val="20"/>
          <w:color w:val="auto"/>
        </w:rPr>
      </w:pPr>
    </w:p>
    <w:p>
      <w:pPr>
        <w:jc w:val="both"/>
        <w:ind w:right="140"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3.05 </w:t>
      </w:r>
      <w:r>
        <w:rPr>
          <w:rFonts w:ascii="Times New Roman" w:cs="Times New Roman" w:eastAsia="Times New Roman" w:hAnsi="Times New Roman"/>
          <w:sz w:val="21"/>
          <w:szCs w:val="21"/>
          <w:u w:val="single" w:color="auto"/>
          <w:color w:val="auto"/>
        </w:rPr>
        <w:t>Certain Compensation.</w:t>
      </w:r>
      <w:r>
        <w:rPr>
          <w:rFonts w:ascii="Times New Roman" w:cs="Times New Roman" w:eastAsia="Times New Roman" w:hAnsi="Times New Roman"/>
          <w:sz w:val="21"/>
          <w:szCs w:val="21"/>
          <w:color w:val="auto"/>
        </w:rPr>
        <w:t xml:space="preserve"> Other than in connection with a Conversion of an Affected Loan, Borrower shall pay to Administrative Agent for the account of the applicable Bank, upon the request of such Bank through Administrative Agent which request includes a calculation of the amount(s) due, such amount or amounts as shall be sufficient (in the reasonable opinion of such Bank) to compensate it for any loss, cost or expense which such Bank reasonably determines is attributable to:</w:t>
      </w:r>
    </w:p>
    <w:p>
      <w:pPr>
        <w:spacing w:after="0" w:line="33" w:lineRule="exact"/>
        <w:rPr>
          <w:sz w:val="20"/>
          <w:szCs w:val="20"/>
          <w:color w:val="auto"/>
        </w:rPr>
      </w:pPr>
    </w:p>
    <w:p>
      <w:pPr>
        <w:ind w:left="640" w:right="420" w:firstLine="622"/>
        <w:spacing w:after="0" w:line="229" w:lineRule="auto"/>
        <w:tabs>
          <w:tab w:leader="none" w:pos="1893"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or prepayment of a Term Benchmark Loan made by such Bank, or any Conversion of a Term Benchmark Loan made by such Bank, in any such case on a date other than the last day of an applicable Interest Period, whether by reason of acceleration or otherwise;</w:t>
      </w:r>
    </w:p>
    <w:p>
      <w:pPr>
        <w:spacing w:after="0" w:line="147" w:lineRule="exact"/>
        <w:rPr>
          <w:rFonts w:ascii="Times New Roman" w:cs="Times New Roman" w:eastAsia="Times New Roman" w:hAnsi="Times New Roman"/>
          <w:sz w:val="21"/>
          <w:szCs w:val="21"/>
          <w:color w:val="auto"/>
        </w:rPr>
      </w:pPr>
    </w:p>
    <w:p>
      <w:pPr>
        <w:ind w:left="640" w:right="460" w:firstLine="622"/>
        <w:spacing w:after="0" w:line="229" w:lineRule="auto"/>
        <w:tabs>
          <w:tab w:leader="none" w:pos="1893"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by Borrower for any reason to Convert a Term Benchmark Loan or a Base Rate Loan or to Continue a Term Benchmark Loan, as the case may be, to be Converted or Continued by such Bank on the date specified therefor in the relevant notice under Section 2.14;</w:t>
      </w:r>
    </w:p>
    <w:p>
      <w:pPr>
        <w:spacing w:after="0" w:line="147" w:lineRule="exact"/>
        <w:rPr>
          <w:rFonts w:ascii="Times New Roman" w:cs="Times New Roman" w:eastAsia="Times New Roman" w:hAnsi="Times New Roman"/>
          <w:sz w:val="21"/>
          <w:szCs w:val="21"/>
          <w:color w:val="auto"/>
        </w:rPr>
      </w:pPr>
    </w:p>
    <w:p>
      <w:pPr>
        <w:ind w:left="640" w:right="280" w:firstLine="622"/>
        <w:spacing w:after="0" w:line="229" w:lineRule="auto"/>
        <w:tabs>
          <w:tab w:leader="none" w:pos="1893"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by Borrower to borrow (or to qualify for a borrowing of) a Term Benchmark Loan which would otherwise be made hereunder on the date specified in the relevant Election notice under Section 2.14 given or submitted by Borrower; or</w:t>
      </w:r>
    </w:p>
    <w:p>
      <w:pPr>
        <w:spacing w:after="0" w:line="147"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by Borrower to prepay a Term Benchmark Loan on the date specified in a notice of prepayment.</w:t>
      </w:r>
    </w:p>
    <w:p>
      <w:pPr>
        <w:spacing w:after="0" w:line="204" w:lineRule="exact"/>
        <w:rPr>
          <w:sz w:val="20"/>
          <w:szCs w:val="20"/>
          <w:color w:val="auto"/>
        </w:rPr>
      </w:pPr>
    </w:p>
    <w:p>
      <w:pPr>
        <w:ind w:right="260" w:firstLine="629"/>
        <w:spacing w:after="0" w:line="280" w:lineRule="auto"/>
        <w:rPr>
          <w:sz w:val="20"/>
          <w:szCs w:val="20"/>
          <w:color w:val="auto"/>
        </w:rPr>
      </w:pPr>
      <w:r>
        <w:rPr>
          <w:rFonts w:ascii="Times New Roman" w:cs="Times New Roman" w:eastAsia="Times New Roman" w:hAnsi="Times New Roman"/>
          <w:sz w:val="21"/>
          <w:szCs w:val="21"/>
          <w:color w:val="auto"/>
        </w:rPr>
        <w:t>A certificate of any Bank as to the determination of the amounts payable pursuant to this Section shall be conclusive absent manifest error.</w:t>
      </w:r>
    </w:p>
    <w:p>
      <w:pPr>
        <w:spacing w:after="0" w:line="144" w:lineRule="exact"/>
        <w:rPr>
          <w:sz w:val="20"/>
          <w:szCs w:val="20"/>
          <w:color w:val="auto"/>
        </w:rPr>
      </w:pPr>
    </w:p>
    <w:p>
      <w:pPr>
        <w:ind w:right="300" w:firstLine="629"/>
        <w:spacing w:after="0" w:line="280" w:lineRule="auto"/>
        <w:rPr>
          <w:sz w:val="20"/>
          <w:szCs w:val="20"/>
          <w:color w:val="auto"/>
        </w:rPr>
      </w:pPr>
      <w:r>
        <w:rPr>
          <w:rFonts w:ascii="Times New Roman" w:cs="Times New Roman" w:eastAsia="Times New Roman" w:hAnsi="Times New Roman"/>
          <w:sz w:val="21"/>
          <w:szCs w:val="21"/>
          <w:color w:val="auto"/>
        </w:rPr>
        <w:t>The obligations of Borrower under this Section shall survive the repayment of all amounts due under or in connection with any of the Loan Documents and the termination of the Loan Commitments in respect of the period prior to such termination.</w:t>
      </w:r>
    </w:p>
    <w:p>
      <w:pPr>
        <w:spacing w:after="0" w:line="157"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3.06 </w:t>
      </w:r>
      <w:r>
        <w:rPr>
          <w:rFonts w:ascii="Times New Roman" w:cs="Times New Roman" w:eastAsia="Times New Roman" w:hAnsi="Times New Roman"/>
          <w:sz w:val="21"/>
          <w:szCs w:val="21"/>
          <w:u w:val="single" w:color="auto"/>
          <w:color w:val="auto"/>
        </w:rPr>
        <w:t>Capital Adequacy.</w:t>
      </w:r>
      <w:r>
        <w:rPr>
          <w:rFonts w:ascii="Times New Roman" w:cs="Times New Roman" w:eastAsia="Times New Roman" w:hAnsi="Times New Roman"/>
          <w:sz w:val="21"/>
          <w:szCs w:val="21"/>
          <w:color w:val="auto"/>
        </w:rPr>
        <w:t xml:space="preserve"> If any Bank shall have determined that, after the date hereof, due to any Regulatory Change or the adoption of, or any change in, any applicable law, rule or regulation regarding capital adequacy or liquidity requirements, or any change in the interpretation or administration thereof by any Governmental Authority, central bank or comparable agency charged with the interpretation or administration thereof, or any request or directive regarding capital adequacy or liquidity requirements (whether or not having the force of law) of any such Governmental Authority, central bank or comparable agency, has or would have the effect of reducing the rate of return on capital of such Bank (or its Parent) as a consequence of such Bank’s obligations hereunder to a level below that which such Bank (or its Parent) could have achieved but for such adoption, change, request or directive (taking into consideration its policies with respect to capital adequacy and liquidity) by an amount deemed by such Bank to be material, then from time to time, within thirty (30) days after demand by such Bank (with a copy to Administrative Agent), Borrower shall pay to such Bank such additional amount or amounts as will compensate such Bank (or its Parent) for such reduction. Each Bank shall allocate such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40"/>
          </w:cols>
          <w:pgMar w:left="320" w:top="1134" w:right="339" w:bottom="1440" w:gutter="0" w:footer="0" w:header="0"/>
        </w:sectPr>
      </w:pPr>
    </w:p>
    <w:bookmarkStart w:id="206" w:name="page207"/>
    <w:bookmarkEnd w:id="206"/>
    <w:p>
      <w:pPr>
        <w:spacing w:after="0" w:line="258" w:lineRule="auto"/>
        <w:rPr>
          <w:sz w:val="20"/>
          <w:szCs w:val="20"/>
          <w:color w:val="auto"/>
        </w:rPr>
      </w:pPr>
      <w:r>
        <w:rPr>
          <w:rFonts w:ascii="Times New Roman" w:cs="Times New Roman" w:eastAsia="Times New Roman" w:hAnsi="Times New Roman"/>
          <w:sz w:val="21"/>
          <w:szCs w:val="21"/>
          <w:color w:val="auto"/>
        </w:rPr>
        <w:t>cost increases and reductions among its customers in its discretion reasonably exercised in good faith; provided that in no event shall any Bank be obligated to disclose any information relating to its costs that it deems confidential. A certificate of any Bank claiming compensation under this Section, setting forth in reasonable detail the basis therefor, shall be conclusive absent manifest error. The obligations of Borrower under this Section shall survive the repayment of all amounts due under or in connection with any of the Loan Documents and the termination of the Loan Commitments in respect of the period prior to such termination.</w:t>
      </w:r>
    </w:p>
    <w:p>
      <w:pPr>
        <w:spacing w:after="0" w:line="169" w:lineRule="exact"/>
        <w:rPr>
          <w:sz w:val="20"/>
          <w:szCs w:val="20"/>
          <w:color w:val="auto"/>
        </w:rPr>
      </w:pPr>
    </w:p>
    <w:p>
      <w:pPr>
        <w:ind w:right="40"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3.07 </w:t>
      </w:r>
      <w:r>
        <w:rPr>
          <w:rFonts w:ascii="Times New Roman" w:cs="Times New Roman" w:eastAsia="Times New Roman" w:hAnsi="Times New Roman"/>
          <w:sz w:val="21"/>
          <w:szCs w:val="21"/>
          <w:u w:val="single" w:color="auto"/>
          <w:color w:val="auto"/>
        </w:rPr>
        <w:t>Substitution of Banks.</w:t>
      </w:r>
      <w:r>
        <w:rPr>
          <w:rFonts w:ascii="Times New Roman" w:cs="Times New Roman" w:eastAsia="Times New Roman" w:hAnsi="Times New Roman"/>
          <w:sz w:val="21"/>
          <w:szCs w:val="21"/>
          <w:color w:val="auto"/>
        </w:rPr>
        <w:t xml:space="preserve"> If any Bank (an “Affected Bank”) (i) makes demand upon Borrower for (or if Borrower is otherwise required to pay) Additional Costs pursuant to Section 3.01, (ii) is unable to make or maintain a Term Benchmark Loan as a result of a condition described in Section 3.03 or clause (2) of Section 3.02, (iii) has any increased costs as described in Section 3.06, (iv) requires the Borrower to pay any Indemnified Taxes or other amounts to such Bank or any Governmental Authority pursuant to Section 10.13, or (v) becomes a Defaulting Lender, Borrower may, within ninety (90) days of receipt of such demand or notice of the occurrence of an event described above in this Section 3.07 (provided (A) such 90-day limit shall not be applicable for a Defaulting Lender and (B) such 90-day period shall be extended for an additional period of 60 days if Borrower shall have attempted during such 90-day period to secure a Replacement Bank (as defined below) and shall be diligently pursuing such attempt), give written notice (a “Replacement Notice”) to Administrative Agent and to each Bank of Borrower’s intention either (x) to prepay in full the Affected Bank’s Loans and to terminate the Affected Bank’s entire Loan Commitment or (y) to replace the Affected Bank with another financial institution (the “Replacement Bank”) designated in such Replacement Notice. After its replacement, an Affected Bank shall remain entitled to the benefits of Sections 3.01, 3.06, 10.13 and 12.04 in respect of the period prior to its replacement.</w:t>
      </w:r>
    </w:p>
    <w:p>
      <w:pPr>
        <w:spacing w:after="0" w:line="70" w:lineRule="exact"/>
        <w:rPr>
          <w:sz w:val="20"/>
          <w:szCs w:val="20"/>
          <w:color w:val="auto"/>
        </w:rPr>
      </w:pPr>
    </w:p>
    <w:p>
      <w:pPr>
        <w:ind w:firstLine="629"/>
        <w:spacing w:after="0" w:line="254" w:lineRule="auto"/>
        <w:rPr>
          <w:sz w:val="20"/>
          <w:szCs w:val="20"/>
          <w:color w:val="auto"/>
        </w:rPr>
      </w:pPr>
      <w:r>
        <w:rPr>
          <w:rFonts w:ascii="Times New Roman" w:cs="Times New Roman" w:eastAsia="Times New Roman" w:hAnsi="Times New Roman"/>
          <w:sz w:val="21"/>
          <w:szCs w:val="21"/>
          <w:color w:val="auto"/>
        </w:rPr>
        <w:t xml:space="preserve">In the event Borrower opts to give the Replacement Notice described in clause (x) above, and if the Affected Bank shall not agree within thirty (30) days of its receipt thereof to waive the payment of the Additional Costs, Indemnified Taxes or other amounts in question or the effect of the circumstances described in Section 3.03, in clause (2) of Section 3.02 or in Section 3.06 or the Affected Bank shall continue to be a Defaulting Lender, then, so long as no Event of Default shall exist, Borrower may terminate the Affected Bank’s entire Loan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connection therewith it pays to the Affected Bank all outstanding principal and accrued and unpaid interest under the Affected Bank’s Loans, together with all other amounts, if any, due from Borrower to the Affected Bank, including all amounts properly demanded and unreimbursed under Sections 3.01, 3.05 or 10.13. After any termination as provided in this paragraph, an Affected Bank shall remain entitled to the benefits of Sections 3.01, 3.06, 10.13 and 12.04 in respect of the period prior to such termination.</w:t>
      </w:r>
    </w:p>
    <w:p>
      <w:pPr>
        <w:spacing w:after="0" w:line="71" w:lineRule="exact"/>
        <w:rPr>
          <w:sz w:val="20"/>
          <w:szCs w:val="20"/>
          <w:color w:val="auto"/>
        </w:rPr>
      </w:pPr>
    </w:p>
    <w:p>
      <w:pPr>
        <w:ind w:firstLine="629"/>
        <w:spacing w:after="0" w:line="256" w:lineRule="auto"/>
        <w:rPr>
          <w:sz w:val="20"/>
          <w:szCs w:val="20"/>
          <w:color w:val="auto"/>
        </w:rPr>
      </w:pPr>
      <w:r>
        <w:rPr>
          <w:rFonts w:ascii="Times New Roman" w:cs="Times New Roman" w:eastAsia="Times New Roman" w:hAnsi="Times New Roman"/>
          <w:sz w:val="21"/>
          <w:szCs w:val="21"/>
          <w:color w:val="auto"/>
        </w:rPr>
        <w:t>In the event Borrower opts to give the Replacement Notice described in clause (y) above, and if Administrative Agent shall promptly (and in any event, within thirty (30) days of its receipt of the Replacement Notice), notify Borrower and each Bank in writing that the Replacement Bank is reasonably satisfactory to Administrative Agent, then the Affected Bank shall, so long as no Event of Default shall exist, assign its Loans and all of its rights and obligations under this Agreement to the Replacement Bank, and the Replacement Bank shall assume all of the Affected Bank’s rights and obligations, pursuant to an agreement, substantially in the form of an Assignment and Assumption Agreement, executed by the Affected Bank 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140"/>
          </w:cols>
          <w:pgMar w:left="320" w:top="1134" w:right="439" w:bottom="1440" w:gutter="0" w:footer="0" w:header="0"/>
        </w:sectPr>
      </w:pPr>
    </w:p>
    <w:bookmarkStart w:id="207" w:name="page208"/>
    <w:bookmarkEnd w:id="207"/>
    <w:p>
      <w:pPr>
        <w:ind w:right="20"/>
        <w:spacing w:after="0" w:line="251" w:lineRule="auto"/>
        <w:rPr>
          <w:sz w:val="20"/>
          <w:szCs w:val="20"/>
          <w:color w:val="auto"/>
        </w:rPr>
      </w:pPr>
      <w:r>
        <w:rPr>
          <w:rFonts w:ascii="Times New Roman" w:cs="Times New Roman" w:eastAsia="Times New Roman" w:hAnsi="Times New Roman"/>
          <w:sz w:val="21"/>
          <w:szCs w:val="21"/>
          <w:color w:val="auto"/>
        </w:rPr>
        <w:t xml:space="preserve">the Replacement Bank. In connection with such assignment and assumption, the Replacement Bank shall pay to the Affected Bank an amount equal to the outstanding principal amount of the Affected Bank’s Loans plus all interest accrued thereon, plus all other amounts, if any (other than the Additional Costs in question), then due and payable to the Affected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prior to or simultaneously with any such assignment and assumption, Borrower shall have paid to such Affected Bank all amounts properly demanded and unreimbursed under Sections 3.01, 3.05 and 10.13. Upon the effective date of such assignment and assumption, the Replacement Bank shall become a Bank Party to this Agreement and shall have all the rights and obligations of a Bank as set forth in such Assignment and Assumption Agreement, and the Affected Bank shall be released from its obligations hereunder, and no further consent or action by any party shall be required. Upon the consummation of any assignment pursuant to this Section, a substitute Term Loan Note shall be issued to the Replacement Bank by Borrower, in exchange for the return of the Affected Bank’s Term Loan Note. The obligations evidenced by such substitute note shall constitute “Obligations” for all purposes of this Agreement and the other Loan Documents. If the Replacement Bank is not incorporated under the laws of the United States of America or a state thereof, it shall, prior to the first date on which interest or fees are payable hereunder for its account, deliver to Borrower and Administrative Agent a certification as to exemption from, or reduction of, deduction or withholding of any United States federal income taxes in accordance with Section 10.13. Each Replacement Bank shall be deemed to have made the representations contained in, and shall be bound by the provisions of, Section 10.13. After any assignment as provided in this paragraph, an Affected Bank shall remain entitled to the benefits of Sections 3.01, 3.06, 10.13 and 12.04 in respect of the period prior to such assignment.</w:t>
      </w:r>
    </w:p>
    <w:p>
      <w:pPr>
        <w:spacing w:after="0" w:line="186" w:lineRule="exact"/>
        <w:rPr>
          <w:sz w:val="20"/>
          <w:szCs w:val="20"/>
          <w:color w:val="auto"/>
        </w:rPr>
      </w:pPr>
    </w:p>
    <w:p>
      <w:pPr>
        <w:ind w:right="920" w:firstLine="629"/>
        <w:spacing w:after="0" w:line="280" w:lineRule="auto"/>
        <w:rPr>
          <w:sz w:val="20"/>
          <w:szCs w:val="20"/>
          <w:color w:val="auto"/>
        </w:rPr>
      </w:pPr>
      <w:r>
        <w:rPr>
          <w:rFonts w:ascii="Times New Roman" w:cs="Times New Roman" w:eastAsia="Times New Roman" w:hAnsi="Times New Roman"/>
          <w:sz w:val="21"/>
          <w:szCs w:val="21"/>
          <w:color w:val="auto"/>
        </w:rPr>
        <w:t>Borrower, Administrative Agent and the Banks shall execute such modifications to the Loan Documents as shall be reasonably required in connection with and to effectuate the foregoing.</w:t>
      </w:r>
    </w:p>
    <w:p>
      <w:pPr>
        <w:spacing w:after="0" w:line="118" w:lineRule="exact"/>
        <w:rPr>
          <w:sz w:val="20"/>
          <w:szCs w:val="20"/>
          <w:color w:val="auto"/>
        </w:rPr>
      </w:pPr>
    </w:p>
    <w:p>
      <w:pPr>
        <w:ind w:left="1260"/>
        <w:spacing w:after="0"/>
        <w:tabs>
          <w:tab w:leader="none" w:pos="3120" w:val="left"/>
        </w:tabs>
        <w:rPr>
          <w:sz w:val="20"/>
          <w:szCs w:val="20"/>
          <w:color w:val="auto"/>
        </w:rPr>
      </w:pPr>
      <w:r>
        <w:rPr>
          <w:rFonts w:ascii="Times New Roman" w:cs="Times New Roman" w:eastAsia="Times New Roman" w:hAnsi="Times New Roman"/>
          <w:sz w:val="21"/>
          <w:szCs w:val="21"/>
          <w:color w:val="auto"/>
        </w:rPr>
        <w:t>SECTION 3.08</w:t>
      </w:r>
      <w:r>
        <w:rPr>
          <w:sz w:val="20"/>
          <w:szCs w:val="20"/>
          <w:color w:val="auto"/>
        </w:rPr>
        <w:tab/>
      </w:r>
      <w:r>
        <w:rPr>
          <w:rFonts w:ascii="Times New Roman" w:cs="Times New Roman" w:eastAsia="Times New Roman" w:hAnsi="Times New Roman"/>
          <w:sz w:val="21"/>
          <w:szCs w:val="21"/>
          <w:u w:val="single" w:color="auto"/>
          <w:color w:val="auto"/>
        </w:rPr>
        <w:t>Obligation of Banks to Mitigate</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21"/>
          <w:szCs w:val="21"/>
          <w:color w:val="auto"/>
        </w:rPr>
        <w:t>Each Bank agrees that, as promptly as practicable after such Bank has actual knowledge of the occurrence of an event or the existence of a condition that would cause such Bank to become an Affected Bank or that would entitle such Bank to receive payments under Sections 3.01, 3.02, 3.03, 3.06 or 10.13, it will, to the extent not inconsistent with any applicable legal or regulatory restrictions, use reasonable efforts at the cost and expense of the Borrower (i) to make, issue, fund, or maintain the Loan Commitment of such Bank or the affected Loans of such Bank through another lending office of such Bank, or (ii) to assign its rights and obligations hereunder to another of its offices, branches or Affiliates, if as a result thereof the circumstances that would cause such Bank to be an Affected Bank would cease to exist or the additional amounts that would otherwise be required to be paid to such Bank pursuant to Sections 3.01, 3.02, 3.03, 3.06 or 10.13 would be reduced and if, as reasonably determined by such Bank in its sole discretion, the making, issuing, funding, or maintaining of such Loan Commitment or Loans through such other lending office or in accordance with such other measures, as the case may be, would not otherwise adversely affect such Loan Commitment or Loans or would not be otherwise disadvantageous to the interests of such Bank.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40"/>
          </w:cols>
          <w:pgMar w:left="320" w:top="1134" w:right="339" w:bottom="1440" w:gutter="0" w:footer="0" w:header="0"/>
        </w:sectPr>
      </w:pPr>
    </w:p>
    <w:bookmarkStart w:id="208" w:name="page209"/>
    <w:bookmarkEnd w:id="208"/>
    <w:p>
      <w:pPr>
        <w:ind w:left="5000"/>
        <w:spacing w:after="0"/>
        <w:rPr>
          <w:sz w:val="20"/>
          <w:szCs w:val="20"/>
          <w:color w:val="auto"/>
        </w:rPr>
      </w:pPr>
      <w:r>
        <w:rPr>
          <w:rFonts w:ascii="Times New Roman" w:cs="Times New Roman" w:eastAsia="Times New Roman" w:hAnsi="Times New Roman"/>
          <w:sz w:val="21"/>
          <w:szCs w:val="21"/>
          <w:color w:val="auto"/>
        </w:rPr>
        <w:t>ARTICLE IV</w:t>
      </w:r>
    </w:p>
    <w:p>
      <w:pPr>
        <w:spacing w:after="0" w:line="1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CONDITIONS PRECEDENT</w:t>
      </w:r>
    </w:p>
    <w:p>
      <w:pPr>
        <w:spacing w:after="0" w:line="20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21"/>
          <w:szCs w:val="21"/>
          <w:color w:val="auto"/>
        </w:rPr>
        <w:t xml:space="preserve">SECTION 4.01 </w:t>
      </w:r>
      <w:r>
        <w:rPr>
          <w:rFonts w:ascii="Times New Roman" w:cs="Times New Roman" w:eastAsia="Times New Roman" w:hAnsi="Times New Roman"/>
          <w:sz w:val="21"/>
          <w:szCs w:val="21"/>
          <w:u w:val="single" w:color="auto"/>
          <w:color w:val="auto"/>
        </w:rPr>
        <w:t>Conditions Precedent to the Loans.</w:t>
      </w:r>
      <w:r>
        <w:rPr>
          <w:rFonts w:ascii="Times New Roman" w:cs="Times New Roman" w:eastAsia="Times New Roman" w:hAnsi="Times New Roman"/>
          <w:sz w:val="21"/>
          <w:szCs w:val="21"/>
          <w:color w:val="auto"/>
        </w:rPr>
        <w:t xml:space="preserve"> The obligations of the Banks hereunder and the obligation of each Bank to be deemed to make the Term Loans hereunder are subject to the condition precedent that Administrative Agent shall have received the following documents, and each of the following requirements shall have been fulfilled:</w:t>
      </w:r>
    </w:p>
    <w:p>
      <w:pPr>
        <w:spacing w:after="0" w:line="31" w:lineRule="exact"/>
        <w:rPr>
          <w:sz w:val="20"/>
          <w:szCs w:val="20"/>
          <w:color w:val="auto"/>
        </w:rPr>
      </w:pPr>
    </w:p>
    <w:p>
      <w:pPr>
        <w:ind w:left="640" w:right="220" w:firstLine="622"/>
        <w:spacing w:after="0" w:line="229" w:lineRule="auto"/>
        <w:tabs>
          <w:tab w:leader="none" w:pos="189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Fees and Expenses</w:t>
      </w:r>
      <w:r>
        <w:rPr>
          <w:rFonts w:ascii="Times New Roman" w:cs="Times New Roman" w:eastAsia="Times New Roman" w:hAnsi="Times New Roman"/>
          <w:sz w:val="21"/>
          <w:szCs w:val="21"/>
          <w:color w:val="auto"/>
        </w:rPr>
        <w:t>. The payment of all fees and expenses owed to or incurred by Administrative Agent, the Lead Arrangers and the Banks in connection with the origination of the Loans (including, without limitation, the reasonable fees and expenses of legal counsel);</w:t>
      </w:r>
    </w:p>
    <w:p>
      <w:pPr>
        <w:spacing w:after="0" w:line="147"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A Term Loan Note for each Bank, unless not requested by such Bank, duly executed by Borrower;</w:t>
      </w:r>
    </w:p>
    <w:p>
      <w:pPr>
        <w:spacing w:after="0" w:line="177" w:lineRule="exact"/>
        <w:rPr>
          <w:rFonts w:ascii="Times New Roman" w:cs="Times New Roman" w:eastAsia="Times New Roman" w:hAnsi="Times New Roman"/>
          <w:sz w:val="21"/>
          <w:szCs w:val="21"/>
          <w:color w:val="auto"/>
        </w:rPr>
      </w:pPr>
    </w:p>
    <w:p>
      <w:pPr>
        <w:ind w:left="640" w:right="200" w:firstLine="622"/>
        <w:spacing w:after="0" w:line="229" w:lineRule="auto"/>
        <w:tabs>
          <w:tab w:leader="none" w:pos="189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Audited Borrower’s Consolidated Financial Statements as of and for the year ended December 31, 2024 and unaudited Borrower’s Consolidated Financial Statements as of and for the quarter ended September 30, 2025;</w:t>
      </w:r>
    </w:p>
    <w:p>
      <w:pPr>
        <w:spacing w:after="0" w:line="147" w:lineRule="exact"/>
        <w:rPr>
          <w:rFonts w:ascii="Times New Roman" w:cs="Times New Roman" w:eastAsia="Times New Roman" w:hAnsi="Times New Roman"/>
          <w:sz w:val="21"/>
          <w:szCs w:val="21"/>
          <w:color w:val="auto"/>
        </w:rPr>
      </w:pPr>
    </w:p>
    <w:p>
      <w:pPr>
        <w:jc w:val="both"/>
        <w:ind w:left="640" w:right="100" w:firstLine="622"/>
        <w:spacing w:after="0" w:line="265" w:lineRule="auto"/>
        <w:tabs>
          <w:tab w:leader="none" w:pos="189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of Limited Partnership/Trust</w:t>
      </w:r>
      <w:r>
        <w:rPr>
          <w:rFonts w:ascii="Times New Roman" w:cs="Times New Roman" w:eastAsia="Times New Roman" w:hAnsi="Times New Roman"/>
          <w:sz w:val="20"/>
          <w:szCs w:val="20"/>
          <w:color w:val="auto"/>
        </w:rPr>
        <w:t>. A copy of the Certificate of Limited Partnership for Borrower and a copy of the articles of trust of General Partner, each certified by the appropriate Secretary of State or equivalent state official;</w:t>
      </w:r>
    </w:p>
    <w:p>
      <w:pPr>
        <w:spacing w:after="0" w:line="120" w:lineRule="exact"/>
        <w:rPr>
          <w:rFonts w:ascii="Times New Roman" w:cs="Times New Roman" w:eastAsia="Times New Roman" w:hAnsi="Times New Roman"/>
          <w:sz w:val="20"/>
          <w:szCs w:val="20"/>
          <w:color w:val="auto"/>
        </w:rPr>
      </w:pPr>
    </w:p>
    <w:p>
      <w:pPr>
        <w:ind w:left="640" w:right="20" w:firstLine="622"/>
        <w:spacing w:after="0" w:line="229" w:lineRule="auto"/>
        <w:tabs>
          <w:tab w:leader="none" w:pos="189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Agreements of Limited Partnership/Bylaws</w:t>
      </w:r>
      <w:r>
        <w:rPr>
          <w:rFonts w:ascii="Times New Roman" w:cs="Times New Roman" w:eastAsia="Times New Roman" w:hAnsi="Times New Roman"/>
          <w:sz w:val="21"/>
          <w:szCs w:val="21"/>
          <w:color w:val="auto"/>
        </w:rPr>
        <w:t>. A copy of the Agreement of Limited Partnership for Borrower and a copy of the bylaws of General Partner, including all amendments thereto, each certified by the Secretary or an Assistant Secretary of General Partner as being in full force and effect on the Effective Date;</w:t>
      </w:r>
    </w:p>
    <w:p>
      <w:pPr>
        <w:spacing w:after="0" w:line="147" w:lineRule="exact"/>
        <w:rPr>
          <w:rFonts w:ascii="Times New Roman" w:cs="Times New Roman" w:eastAsia="Times New Roman" w:hAnsi="Times New Roman"/>
          <w:sz w:val="21"/>
          <w:szCs w:val="21"/>
          <w:color w:val="auto"/>
        </w:rPr>
      </w:pPr>
    </w:p>
    <w:p>
      <w:pPr>
        <w:ind w:left="640" w:right="80" w:firstLine="622"/>
        <w:spacing w:after="0" w:line="229" w:lineRule="auto"/>
        <w:tabs>
          <w:tab w:leader="none" w:pos="189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Standing Certificates</w:t>
      </w:r>
      <w:r>
        <w:rPr>
          <w:rFonts w:ascii="Times New Roman" w:cs="Times New Roman" w:eastAsia="Times New Roman" w:hAnsi="Times New Roman"/>
          <w:sz w:val="21"/>
          <w:szCs w:val="21"/>
          <w:color w:val="auto"/>
        </w:rPr>
        <w:t>. A certified copy of a certificate from the Secretary of State or equivalent state official of the states where Borrower and General Partner are organized, dated as of the most recent practicable date, showing the good standing or partnership qualification of Borrower and General Partner;</w:t>
      </w:r>
    </w:p>
    <w:p>
      <w:pPr>
        <w:spacing w:after="0" w:line="147" w:lineRule="exact"/>
        <w:rPr>
          <w:rFonts w:ascii="Times New Roman" w:cs="Times New Roman" w:eastAsia="Times New Roman" w:hAnsi="Times New Roman"/>
          <w:sz w:val="21"/>
          <w:szCs w:val="21"/>
          <w:color w:val="auto"/>
        </w:rPr>
      </w:pPr>
    </w:p>
    <w:p>
      <w:pPr>
        <w:ind w:left="640" w:right="80" w:firstLine="622"/>
        <w:spacing w:after="0" w:line="224" w:lineRule="auto"/>
        <w:tabs>
          <w:tab w:leader="none" w:pos="189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Foreign Qualification Certificates</w:t>
      </w:r>
      <w:r>
        <w:rPr>
          <w:rFonts w:ascii="Times New Roman" w:cs="Times New Roman" w:eastAsia="Times New Roman" w:hAnsi="Times New Roman"/>
          <w:sz w:val="21"/>
          <w:szCs w:val="21"/>
          <w:color w:val="auto"/>
        </w:rPr>
        <w:t>. A certified copy of a certificate from the Secretary of State or equivalent state official of the state where Borrower and General Partner maintain their principal places of business, dated as of the most recent practicable date, showing the qualification to transact business in such state as a foreign limited partnership or foreign trust, as the case may be, for Borrower and General Partner;</w:t>
      </w:r>
    </w:p>
    <w:p>
      <w:pPr>
        <w:spacing w:after="0" w:line="146" w:lineRule="exact"/>
        <w:rPr>
          <w:rFonts w:ascii="Times New Roman" w:cs="Times New Roman" w:eastAsia="Times New Roman" w:hAnsi="Times New Roman"/>
          <w:sz w:val="21"/>
          <w:szCs w:val="21"/>
          <w:color w:val="auto"/>
        </w:rPr>
      </w:pPr>
    </w:p>
    <w:p>
      <w:pPr>
        <w:ind w:left="640" w:right="40" w:firstLine="622"/>
        <w:spacing w:after="0" w:line="224" w:lineRule="auto"/>
        <w:tabs>
          <w:tab w:leader="none" w:pos="189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Resolutions</w:t>
      </w:r>
      <w:r>
        <w:rPr>
          <w:rFonts w:ascii="Times New Roman" w:cs="Times New Roman" w:eastAsia="Times New Roman" w:hAnsi="Times New Roman"/>
          <w:sz w:val="21"/>
          <w:szCs w:val="21"/>
          <w:color w:val="auto"/>
        </w:rPr>
        <w:t>. A copy of a resolution or resolutions adopted by the Board of Trustees of General Partner, certified by the Secretary or an Assistant Secretary of General Partner as being in full force and effect on the Effective Date, authorizing the Loans provided for herein and the execution, delivery and performance of the Loan Documents to be executed and delivered by General Partner hereunder on behalf Borrower;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108" w:right="339" w:bottom="1440" w:gutter="0" w:footer="0" w:header="0"/>
        </w:sectPr>
      </w:pPr>
    </w:p>
    <w:bookmarkStart w:id="209" w:name="page210"/>
    <w:bookmarkEnd w:id="209"/>
    <w:p>
      <w:pPr>
        <w:jc w:val="both"/>
        <w:ind w:left="600" w:firstLine="622"/>
        <w:spacing w:after="0" w:line="229" w:lineRule="auto"/>
        <w:tabs>
          <w:tab w:leader="none" w:pos="1853"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Incumbency Certificate</w:t>
      </w:r>
      <w:r>
        <w:rPr>
          <w:rFonts w:ascii="Times New Roman" w:cs="Times New Roman" w:eastAsia="Times New Roman" w:hAnsi="Times New Roman"/>
          <w:sz w:val="21"/>
          <w:szCs w:val="21"/>
          <w:color w:val="auto"/>
        </w:rPr>
        <w:t>. A certificate, signed by the Secretary or an Assistant Secretary of General Partner and dated the Effective Date, as to the incumbency, and containing the specimen signature or signatures, of the Persons authorized to execute and deliver the Loan Documents to be executed and delivered by it and Borrower hereunder;</w:t>
      </w:r>
    </w:p>
    <w:p>
      <w:pPr>
        <w:spacing w:after="0" w:line="147" w:lineRule="exact"/>
        <w:rPr>
          <w:rFonts w:ascii="Times New Roman" w:cs="Times New Roman" w:eastAsia="Times New Roman" w:hAnsi="Times New Roman"/>
          <w:sz w:val="21"/>
          <w:szCs w:val="21"/>
          <w:color w:val="auto"/>
        </w:rPr>
      </w:pPr>
    </w:p>
    <w:p>
      <w:pPr>
        <w:ind w:left="1840" w:hanging="618"/>
        <w:spacing w:after="0"/>
        <w:tabs>
          <w:tab w:leader="none" w:pos="184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Solvency Certificate</w:t>
      </w:r>
      <w:r>
        <w:rPr>
          <w:rFonts w:ascii="Times New Roman" w:cs="Times New Roman" w:eastAsia="Times New Roman" w:hAnsi="Times New Roman"/>
          <w:sz w:val="21"/>
          <w:szCs w:val="21"/>
          <w:color w:val="auto"/>
        </w:rPr>
        <w:t>. A Solvency Certificate, duly executed, from Borrower;</w:t>
      </w:r>
    </w:p>
    <w:p>
      <w:pPr>
        <w:spacing w:after="0" w:line="177" w:lineRule="exact"/>
        <w:rPr>
          <w:rFonts w:ascii="Times New Roman" w:cs="Times New Roman" w:eastAsia="Times New Roman" w:hAnsi="Times New Roman"/>
          <w:sz w:val="21"/>
          <w:szCs w:val="21"/>
          <w:color w:val="auto"/>
        </w:rPr>
      </w:pPr>
    </w:p>
    <w:p>
      <w:pPr>
        <w:ind w:left="600" w:right="620" w:firstLine="622"/>
        <w:spacing w:after="0" w:line="241" w:lineRule="auto"/>
        <w:tabs>
          <w:tab w:leader="none" w:pos="1845"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Opinion of Counsel for Borrower</w:t>
      </w:r>
      <w:r>
        <w:rPr>
          <w:rFonts w:ascii="Times New Roman" w:cs="Times New Roman" w:eastAsia="Times New Roman" w:hAnsi="Times New Roman"/>
          <w:sz w:val="21"/>
          <w:szCs w:val="21"/>
          <w:color w:val="auto"/>
        </w:rPr>
        <w:t>. Favorable opinions, dated as of the Effective Date, from counsels for Borrower and General Partner, as to such matters as Administrative Agent may reasonably request;</w:t>
      </w:r>
    </w:p>
    <w:p>
      <w:pPr>
        <w:spacing w:after="0" w:line="143" w:lineRule="exact"/>
        <w:rPr>
          <w:rFonts w:ascii="Times New Roman" w:cs="Times New Roman" w:eastAsia="Times New Roman" w:hAnsi="Times New Roman"/>
          <w:sz w:val="21"/>
          <w:szCs w:val="21"/>
          <w:color w:val="auto"/>
        </w:rPr>
      </w:pPr>
    </w:p>
    <w:p>
      <w:pPr>
        <w:ind w:left="1840" w:hanging="618"/>
        <w:spacing w:after="0"/>
        <w:tabs>
          <w:tab w:leader="none" w:pos="184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Authorization Letter</w:t>
      </w:r>
      <w:r>
        <w:rPr>
          <w:rFonts w:ascii="Times New Roman" w:cs="Times New Roman" w:eastAsia="Times New Roman" w:hAnsi="Times New Roman"/>
          <w:sz w:val="21"/>
          <w:szCs w:val="21"/>
          <w:color w:val="auto"/>
        </w:rPr>
        <w:t>. The Authorization Letter, duly executed by Borrower;</w:t>
      </w:r>
    </w:p>
    <w:p>
      <w:pPr>
        <w:spacing w:after="0" w:line="177" w:lineRule="exact"/>
        <w:rPr>
          <w:rFonts w:ascii="Times New Roman" w:cs="Times New Roman" w:eastAsia="Times New Roman" w:hAnsi="Times New Roman"/>
          <w:sz w:val="21"/>
          <w:szCs w:val="21"/>
          <w:color w:val="auto"/>
        </w:rPr>
      </w:pPr>
    </w:p>
    <w:p>
      <w:pPr>
        <w:ind w:left="1840" w:hanging="618"/>
        <w:spacing w:after="0"/>
        <w:tabs>
          <w:tab w:leader="none" w:pos="184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ind w:left="1840" w:hanging="618"/>
        <w:spacing w:after="0"/>
        <w:tabs>
          <w:tab w:leader="none" w:pos="184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Request for Advance</w:t>
      </w:r>
      <w:r>
        <w:rPr>
          <w:rFonts w:ascii="Times New Roman" w:cs="Times New Roman" w:eastAsia="Times New Roman" w:hAnsi="Times New Roman"/>
          <w:sz w:val="21"/>
          <w:szCs w:val="21"/>
          <w:color w:val="auto"/>
        </w:rPr>
        <w:t>. A request for an advance in accordance with Section 2.05;</w:t>
      </w:r>
    </w:p>
    <w:p>
      <w:pPr>
        <w:spacing w:after="0" w:line="177" w:lineRule="exact"/>
        <w:rPr>
          <w:rFonts w:ascii="Times New Roman" w:cs="Times New Roman" w:eastAsia="Times New Roman" w:hAnsi="Times New Roman"/>
          <w:sz w:val="21"/>
          <w:szCs w:val="21"/>
          <w:color w:val="auto"/>
        </w:rPr>
      </w:pPr>
    </w:p>
    <w:p>
      <w:pPr>
        <w:jc w:val="both"/>
        <w:ind w:left="600" w:right="200" w:firstLine="622"/>
        <w:spacing w:after="0" w:line="229" w:lineRule="auto"/>
        <w:tabs>
          <w:tab w:leader="none" w:pos="1853"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w:t>
      </w:r>
      <w:r>
        <w:rPr>
          <w:rFonts w:ascii="Times New Roman" w:cs="Times New Roman" w:eastAsia="Times New Roman" w:hAnsi="Times New Roman"/>
          <w:sz w:val="21"/>
          <w:szCs w:val="21"/>
          <w:color w:val="auto"/>
        </w:rPr>
        <w:t>. The following statements shall be true and Administrative Agent shall have received a certificate dated as of the Effective Date signed by a duly authorized signatory of Borrower stating, to the best of the certifying party’s knowledge, the following:</w:t>
      </w:r>
    </w:p>
    <w:p>
      <w:pPr>
        <w:spacing w:after="0" w:line="147" w:lineRule="exact"/>
        <w:rPr>
          <w:sz w:val="20"/>
          <w:szCs w:val="20"/>
          <w:color w:val="auto"/>
        </w:rPr>
      </w:pPr>
    </w:p>
    <w:p>
      <w:pPr>
        <w:ind w:left="-40" w:right="200" w:firstLine="1262"/>
        <w:spacing w:after="0" w:line="241" w:lineRule="auto"/>
        <w:tabs>
          <w:tab w:leader="none" w:pos="1843"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representations and warranties contained in this Agreement and in each of the other Loan Documents are true and correct on and as of the Effective Date as though made on and as of such date, and</w:t>
      </w:r>
    </w:p>
    <w:p>
      <w:pPr>
        <w:spacing w:after="0" w:line="143" w:lineRule="exact"/>
        <w:rPr>
          <w:rFonts w:ascii="Times New Roman" w:cs="Times New Roman" w:eastAsia="Times New Roman" w:hAnsi="Times New Roman"/>
          <w:sz w:val="21"/>
          <w:szCs w:val="21"/>
          <w:color w:val="auto"/>
        </w:rPr>
      </w:pPr>
    </w:p>
    <w:p>
      <w:pPr>
        <w:ind w:left="1840" w:hanging="618"/>
        <w:spacing w:after="0"/>
        <w:tabs>
          <w:tab w:leader="none" w:pos="184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has occurred and is continuing;</w:t>
      </w:r>
    </w:p>
    <w:p>
      <w:pPr>
        <w:spacing w:after="0" w:line="178" w:lineRule="exact"/>
        <w:rPr>
          <w:sz w:val="20"/>
          <w:szCs w:val="20"/>
          <w:color w:val="auto"/>
        </w:rPr>
      </w:pPr>
    </w:p>
    <w:p>
      <w:pPr>
        <w:ind w:left="1840" w:hanging="618"/>
        <w:spacing w:after="0"/>
        <w:tabs>
          <w:tab w:leader="none" w:pos="184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Certificate</w:t>
      </w:r>
      <w:r>
        <w:rPr>
          <w:rFonts w:ascii="Times New Roman" w:cs="Times New Roman" w:eastAsia="Times New Roman" w:hAnsi="Times New Roman"/>
          <w:sz w:val="21"/>
          <w:szCs w:val="21"/>
          <w:color w:val="auto"/>
        </w:rPr>
        <w:t>. A certificate of the sort required by paragraph (3) of Section 6.09;</w:t>
      </w:r>
    </w:p>
    <w:p>
      <w:pPr>
        <w:spacing w:after="0" w:line="177" w:lineRule="exact"/>
        <w:rPr>
          <w:rFonts w:ascii="Times New Roman" w:cs="Times New Roman" w:eastAsia="Times New Roman" w:hAnsi="Times New Roman"/>
          <w:sz w:val="21"/>
          <w:szCs w:val="21"/>
          <w:color w:val="auto"/>
        </w:rPr>
      </w:pPr>
    </w:p>
    <w:p>
      <w:pPr>
        <w:ind w:left="1840" w:hanging="618"/>
        <w:spacing w:after="0"/>
        <w:tabs>
          <w:tab w:leader="none" w:pos="184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Evidence of the insurance described in Section 5.17; and</w:t>
      </w:r>
    </w:p>
    <w:p>
      <w:pPr>
        <w:spacing w:after="0" w:line="177" w:lineRule="exact"/>
        <w:rPr>
          <w:rFonts w:ascii="Times New Roman" w:cs="Times New Roman" w:eastAsia="Times New Roman" w:hAnsi="Times New Roman"/>
          <w:sz w:val="21"/>
          <w:szCs w:val="21"/>
          <w:color w:val="auto"/>
        </w:rPr>
      </w:pPr>
    </w:p>
    <w:p>
      <w:pPr>
        <w:ind w:left="600" w:right="60" w:firstLine="622"/>
        <w:spacing w:after="0" w:line="216" w:lineRule="auto"/>
        <w:tabs>
          <w:tab w:leader="none" w:pos="1853"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KYC Information</w:t>
      </w:r>
      <w:r>
        <w:rPr>
          <w:rFonts w:ascii="Times New Roman" w:cs="Times New Roman" w:eastAsia="Times New Roman" w:hAnsi="Times New Roman"/>
          <w:sz w:val="21"/>
          <w:szCs w:val="21"/>
          <w:color w:val="auto"/>
        </w:rPr>
        <w:t>. (A)The Administrative Agent and the Banks shall have received all documentation and other information about the Borrower as shall have been reasonably requested by the Administrative Agent or such Bank that it shall have reasonably determined is required by regulatory authorities under applicable “know your customer” and anti-money laundering rules and regulations and (B) to the extent the Borrower qualifies as a “legal entity customer” under the Beneficial Ownership Regulation, at least five days prior to the Effective Date, any Bank that has requested, in a written notice to the Borrower at least 10 days prior to the Effective Date, a Beneficial Ownership Certification in relation to the Borrower shall have received such Beneficial Ownership Certification (provided that, upon the execution and delivery by such Bank of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1160"/>
          </w:cols>
          <w:pgMar w:left="360" w:top="1343" w:right="379" w:bottom="1440" w:gutter="0" w:footer="0" w:header="0"/>
        </w:sectPr>
      </w:pPr>
    </w:p>
    <w:bookmarkStart w:id="210" w:name="page211"/>
    <w:bookmarkEnd w:id="210"/>
    <w:p>
      <w:pPr>
        <w:ind w:left="640"/>
        <w:spacing w:after="0"/>
        <w:rPr>
          <w:sz w:val="20"/>
          <w:szCs w:val="20"/>
          <w:color w:val="auto"/>
        </w:rPr>
      </w:pPr>
      <w:r>
        <w:rPr>
          <w:rFonts w:ascii="Times New Roman" w:cs="Times New Roman" w:eastAsia="Times New Roman" w:hAnsi="Times New Roman"/>
          <w:sz w:val="21"/>
          <w:szCs w:val="21"/>
          <w:color w:val="auto"/>
        </w:rPr>
        <w:t>its signature page to this Agreement, the condition set forth in this clause (B) shall be deemed to be satisfied).</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SECTION 4.02 [Reserved].</w:t>
      </w:r>
    </w:p>
    <w:p>
      <w:pPr>
        <w:spacing w:after="0" w:line="112" w:lineRule="exact"/>
        <w:rPr>
          <w:sz w:val="20"/>
          <w:szCs w:val="20"/>
          <w:color w:val="auto"/>
        </w:rPr>
      </w:pPr>
    </w:p>
    <w:p>
      <w:pPr>
        <w:ind w:right="20" w:firstLine="629"/>
        <w:spacing w:after="0" w:line="264" w:lineRule="auto"/>
        <w:rPr>
          <w:sz w:val="20"/>
          <w:szCs w:val="20"/>
          <w:color w:val="auto"/>
        </w:rPr>
      </w:pPr>
      <w:r>
        <w:rPr>
          <w:rFonts w:ascii="Times New Roman" w:cs="Times New Roman" w:eastAsia="Times New Roman" w:hAnsi="Times New Roman"/>
          <w:sz w:val="20"/>
          <w:szCs w:val="20"/>
          <w:color w:val="auto"/>
        </w:rPr>
        <w:t xml:space="preserve">SECTION 4.03 </w:t>
      </w:r>
      <w:r>
        <w:rPr>
          <w:rFonts w:ascii="Times New Roman" w:cs="Times New Roman" w:eastAsia="Times New Roman" w:hAnsi="Times New Roman"/>
          <w:sz w:val="20"/>
          <w:szCs w:val="20"/>
          <w:u w:val="single" w:color="auto"/>
          <w:color w:val="auto"/>
        </w:rPr>
        <w:t>Deemed Representations.</w:t>
      </w:r>
      <w:r>
        <w:rPr>
          <w:rFonts w:ascii="Times New Roman" w:cs="Times New Roman" w:eastAsia="Times New Roman" w:hAnsi="Times New Roman"/>
          <w:sz w:val="20"/>
          <w:szCs w:val="20"/>
          <w:color w:val="auto"/>
        </w:rPr>
        <w:t xml:space="preserve"> Each request by Borrower for, and acceptance by Borrower of, an advance of proceeds of the Loans shall constitute a representation and warranty by Borrower that, as of both the date of such request and the date of such advance (1) no Default or Event of Default has occurred and is continuing as of the date of such advance, and (2) each of the representations and warranties by Borrower contained in this Agreement and in each of the other Loan Documents is true and correct in all material respects (or in the case of any representation or warranty that is qualified as to “materiality”, “Material Adverse Change” or similar language, in all respects) on and as of such date with the same effect as if made on and as of such date, except (i) for any representation or warranty that expressly relates to an earlier date, in which case such representation or warranty was true and correct in all material respects (or, in the case of any representation or warranty that is qualified as to “materiality”, “Material Adverse Change” or similar language, in all respects) as of such earlier date and (ii) to the extent of any changes (x) resulting from transactions contemplated by this Agreement, (y) resulting from transactions and occurrences not prohibited by this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(z) occurring in the ordinary course of business.</w:t>
      </w:r>
    </w:p>
    <w:p>
      <w:pPr>
        <w:spacing w:after="0" w:line="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V</w:t>
      </w:r>
    </w:p>
    <w:p>
      <w:pPr>
        <w:spacing w:after="0" w:line="17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REPRESENTATIONS AND WARRANTIES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Borrower represents and warrants to Administrative Agent and each Bank as follows:</w:t>
      </w:r>
    </w:p>
    <w:p>
      <w:pPr>
        <w:spacing w:after="0" w:line="217"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5.01 </w:t>
      </w:r>
      <w:r>
        <w:rPr>
          <w:rFonts w:ascii="Times New Roman" w:cs="Times New Roman" w:eastAsia="Times New Roman" w:hAnsi="Times New Roman"/>
          <w:sz w:val="21"/>
          <w:szCs w:val="21"/>
          <w:u w:val="single" w:color="auto"/>
          <w:color w:val="auto"/>
        </w:rPr>
        <w:t>Existence.</w:t>
      </w:r>
      <w:r>
        <w:rPr>
          <w:rFonts w:ascii="Times New Roman" w:cs="Times New Roman" w:eastAsia="Times New Roman" w:hAnsi="Times New Roman"/>
          <w:sz w:val="21"/>
          <w:szCs w:val="21"/>
          <w:color w:val="auto"/>
        </w:rPr>
        <w:t xml:space="preserve"> Borrower is a limited partnership duly organized and existing under the laws of the State of Delaware, with its principal executive office in the State of New York, and is duly qualified as a foreign limited partnership, properly licensed, in good standing and has all requisite authority to conduct its business in each jurisdiction in which it owns properties or conducts business except where the failure to be so qualified or to obtain such authority would not constitute a Material Adverse Change. Each of its Consolidated Businesses is duly organized, validly existing and in good standing under the laws of its jurisdiction of organization and has all requisite authority to conduct its business in each jurisdiction in which it owns property or conducts business, except where the failure to be so qualified or to obtain such authority would not constitute a Material Adverse Change. General Partner is a REIT duly organized and existing under the laws of the State of Maryland, with its principal executive office in the State of New York, is duly qualified as a foreign corporation or trust and properly licensed and in good standing in each jurisdiction where the failure to qualify or be licensed would constitute a Material Adverse Change. The common shares of beneficial interest of General Partner are listed on the New York Stock Exchange.</w:t>
      </w:r>
    </w:p>
    <w:p>
      <w:pPr>
        <w:spacing w:after="0" w:line="68" w:lineRule="exact"/>
        <w:rPr>
          <w:sz w:val="20"/>
          <w:szCs w:val="20"/>
          <w:color w:val="auto"/>
        </w:rPr>
      </w:pPr>
    </w:p>
    <w:p>
      <w:pPr>
        <w:ind w:right="240"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5.02 </w:t>
      </w:r>
      <w:r>
        <w:rPr>
          <w:rFonts w:ascii="Times New Roman" w:cs="Times New Roman" w:eastAsia="Times New Roman" w:hAnsi="Times New Roman"/>
          <w:sz w:val="21"/>
          <w:szCs w:val="21"/>
          <w:u w:val="single" w:color="auto"/>
          <w:color w:val="auto"/>
        </w:rPr>
        <w:t>Corporate/Partnership Powers.</w:t>
      </w:r>
      <w:r>
        <w:rPr>
          <w:rFonts w:ascii="Times New Roman" w:cs="Times New Roman" w:eastAsia="Times New Roman" w:hAnsi="Times New Roman"/>
          <w:sz w:val="21"/>
          <w:szCs w:val="21"/>
          <w:color w:val="auto"/>
        </w:rPr>
        <w:t xml:space="preserve"> The execution, delivery and performance of this Agreement and the other Loan Documents required to be delivered by Borrower hereunder are within its partnership authority, have been duly authorized by all requisite action, and are not in conflict with the terms of any organizational documents of such entity, or any instrument or agreement to</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108" w:right="339" w:bottom="1440" w:gutter="0" w:footer="0" w:header="0"/>
        </w:sectPr>
      </w:pPr>
    </w:p>
    <w:bookmarkStart w:id="211" w:name="page212"/>
    <w:bookmarkEnd w:id="211"/>
    <w:p>
      <w:pPr>
        <w:ind w:right="180"/>
        <w:spacing w:after="0" w:line="280" w:lineRule="auto"/>
        <w:rPr>
          <w:sz w:val="20"/>
          <w:szCs w:val="20"/>
          <w:color w:val="auto"/>
        </w:rPr>
      </w:pPr>
      <w:r>
        <w:rPr>
          <w:rFonts w:ascii="Times New Roman" w:cs="Times New Roman" w:eastAsia="Times New Roman" w:hAnsi="Times New Roman"/>
          <w:sz w:val="21"/>
          <w:szCs w:val="21"/>
          <w:color w:val="auto"/>
        </w:rPr>
        <w:t>which Borrower or General Partner is a party or by which Borrower, General Partner or any of their respective assets may be bound or affected (which conflict with any such instrument or agreement would likely cause a Material Adverse Change to occur).</w:t>
      </w:r>
    </w:p>
    <w:p>
      <w:pPr>
        <w:spacing w:after="0" w:line="39"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21"/>
          <w:szCs w:val="21"/>
          <w:color w:val="auto"/>
        </w:rPr>
        <w:t xml:space="preserve">SECTION 5.03 </w:t>
      </w:r>
      <w:r>
        <w:rPr>
          <w:rFonts w:ascii="Times New Roman" w:cs="Times New Roman" w:eastAsia="Times New Roman" w:hAnsi="Times New Roman"/>
          <w:sz w:val="21"/>
          <w:szCs w:val="21"/>
          <w:u w:val="single" w:color="auto"/>
          <w:color w:val="auto"/>
        </w:rPr>
        <w:t>Power of Officers.</w:t>
      </w:r>
      <w:r>
        <w:rPr>
          <w:rFonts w:ascii="Times New Roman" w:cs="Times New Roman" w:eastAsia="Times New Roman" w:hAnsi="Times New Roman"/>
          <w:sz w:val="21"/>
          <w:szCs w:val="21"/>
          <w:color w:val="auto"/>
        </w:rPr>
        <w:t xml:space="preserve"> The officers of General Partner executing the Loan Documents required to be delivered by it on behalf of Borrower hereunder have been duly elected or appointed and were fully authorized to execute the same at the time each such Loan Document was executed.</w:t>
      </w:r>
    </w:p>
    <w:p>
      <w:pPr>
        <w:spacing w:after="0" w:line="49" w:lineRule="exact"/>
        <w:rPr>
          <w:sz w:val="20"/>
          <w:szCs w:val="20"/>
          <w:color w:val="auto"/>
        </w:rPr>
      </w:pPr>
    </w:p>
    <w:p>
      <w:pPr>
        <w:ind w:right="20"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5.04 </w:t>
      </w:r>
      <w:r>
        <w:rPr>
          <w:rFonts w:ascii="Times New Roman" w:cs="Times New Roman" w:eastAsia="Times New Roman" w:hAnsi="Times New Roman"/>
          <w:sz w:val="21"/>
          <w:szCs w:val="21"/>
          <w:u w:val="single" w:color="auto"/>
          <w:color w:val="auto"/>
        </w:rPr>
        <w:t>Power and Authority; No Conflicts; Compliance With Laws.</w:t>
      </w:r>
      <w:r>
        <w:rPr>
          <w:rFonts w:ascii="Times New Roman" w:cs="Times New Roman" w:eastAsia="Times New Roman" w:hAnsi="Times New Roman"/>
          <w:sz w:val="21"/>
          <w:szCs w:val="21"/>
          <w:color w:val="auto"/>
        </w:rPr>
        <w:t xml:space="preserve"> The execution and delivery of, and the performance of the obligations required to be performed by Borrower under, the Loan Documents do not and will not (a) violate any provision of, or, except for those which have been made or obtained, require any filing (other than SEC disclosure filings), registration, consent or approval under, any Law (including, without limitation, Regulation U), order, writ, judgment, injunction, decree, determination or award presently in effect having applicability to it, except for such violations, or filings, registrations, consents and approvals which if not done or obtained would not likely cause a Material Adverse Change to occur, (b) result in a breach of or constitute a default under or require any consent under any indenture or loan or credit agreement or any other agreement, lease or instrument to which it may be a party or by which it or its properties may be bound or affected except for consents which have been obtained or which if not obtained are not likely to cause a Material Adverse Change to occur, (c) result in, or require, the creation or imposition of any Lien, upon or with respect to any of its properties now owned or hereafter acquired which would likely cause a Material Adverse Change to occur, or (d) cause it to be in default under any such Law, order, writ, judgment, injunction, decree, determination or award or any such indenture, agreement, lease or instrument which would likely cause a Material Adverse Change to occur; to the best of its knowledge, Borrower is in compliance with all Laws applicable to it and its properties where the failure to be in compliance would cause a Material Adverse Change to occur.</w:t>
      </w:r>
    </w:p>
    <w:p>
      <w:pPr>
        <w:spacing w:after="0" w:line="79"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5.05 </w:t>
      </w:r>
      <w:r>
        <w:rPr>
          <w:rFonts w:ascii="Times New Roman" w:cs="Times New Roman" w:eastAsia="Times New Roman" w:hAnsi="Times New Roman"/>
          <w:sz w:val="21"/>
          <w:szCs w:val="21"/>
          <w:u w:val="single" w:color="auto"/>
          <w:color w:val="auto"/>
        </w:rPr>
        <w:t>Legally Enforceable Agreements.</w:t>
      </w:r>
      <w:r>
        <w:rPr>
          <w:rFonts w:ascii="Times New Roman" w:cs="Times New Roman" w:eastAsia="Times New Roman" w:hAnsi="Times New Roman"/>
          <w:sz w:val="21"/>
          <w:szCs w:val="21"/>
          <w:color w:val="auto"/>
        </w:rPr>
        <w:t xml:space="preserve"> Each Loan Document is a legal, valid and binding obligation of Borrower, enforceable in accordance with its terms, except to the extent that such enforcement may be limited by applicable bankruptcy, insolvency and other similar laws affecting creditors’ rights generally, as well as general principles of equity and an implied covenant of good faith and fair dealing.</w:t>
      </w:r>
    </w:p>
    <w:p>
      <w:pPr>
        <w:spacing w:after="0" w:line="59" w:lineRule="exact"/>
        <w:rPr>
          <w:sz w:val="20"/>
          <w:szCs w:val="20"/>
          <w:color w:val="auto"/>
        </w:rPr>
      </w:pPr>
    </w:p>
    <w:p>
      <w:pPr>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5.06 </w:t>
      </w: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xml:space="preserve"> Except as disclosed in General Partner’s SEC Reports existing as of the date hereof, there are no investigations, actions, suits or proceedings pending or, to its knowledge, threatened against Borrower, General Partner or any of their Affiliates before any court or arbitrator or any Governmental Authority reasonably likely to (i) have a material effect on Borrower’s ability to repay the Loans, (ii) result in a Material Adverse Change, or (iii) affect the validity or enforceability of any Loan Document.</w:t>
      </w:r>
    </w:p>
    <w:p>
      <w:pPr>
        <w:spacing w:after="0" w:line="64" w:lineRule="exact"/>
        <w:rPr>
          <w:sz w:val="20"/>
          <w:szCs w:val="20"/>
          <w:color w:val="auto"/>
        </w:rPr>
      </w:pPr>
    </w:p>
    <w:p>
      <w:pPr>
        <w:ind w:right="60"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5.07 </w:t>
      </w:r>
      <w:r>
        <w:rPr>
          <w:rFonts w:ascii="Times New Roman" w:cs="Times New Roman" w:eastAsia="Times New Roman" w:hAnsi="Times New Roman"/>
          <w:sz w:val="21"/>
          <w:szCs w:val="21"/>
          <w:u w:val="single" w:color="auto"/>
          <w:color w:val="auto"/>
        </w:rPr>
        <w:t>Good Title to Properties.</w:t>
      </w:r>
      <w:r>
        <w:rPr>
          <w:rFonts w:ascii="Times New Roman" w:cs="Times New Roman" w:eastAsia="Times New Roman" w:hAnsi="Times New Roman"/>
          <w:sz w:val="21"/>
          <w:szCs w:val="21"/>
          <w:color w:val="auto"/>
        </w:rPr>
        <w:t xml:space="preserve"> Borrower and each of its Material Affiliates have good, marketable and legal title to all of the properties and assets each of them purports to own (including, without limitation, those reflected in the financial statements referred to in Sections 4.01(3) and 5.15 and only with exceptions which do not materially detract from the value of such property or assets or the use thereof in Borrower’s and such Affiliate’s businesses, and except to the extent that any such properties and assets have been encumbered or disposed of since the date of such financial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1220"/>
          </w:cols>
          <w:pgMar w:left="320" w:top="1134" w:right="359" w:bottom="1440" w:gutter="0" w:footer="0" w:header="0"/>
        </w:sectPr>
      </w:pPr>
    </w:p>
    <w:bookmarkStart w:id="212" w:name="page213"/>
    <w:bookmarkEnd w:id="212"/>
    <w:p>
      <w:pPr>
        <w:ind w:right="100"/>
        <w:spacing w:after="0" w:line="258" w:lineRule="auto"/>
        <w:rPr>
          <w:sz w:val="20"/>
          <w:szCs w:val="20"/>
          <w:color w:val="auto"/>
        </w:rPr>
      </w:pPr>
      <w:r>
        <w:rPr>
          <w:rFonts w:ascii="Times New Roman" w:cs="Times New Roman" w:eastAsia="Times New Roman" w:hAnsi="Times New Roman"/>
          <w:sz w:val="21"/>
          <w:szCs w:val="21"/>
          <w:color w:val="auto"/>
        </w:rPr>
        <w:t>statements without violating any of the covenants contained in Article VII or elsewhere in this Agreement) except where failure to comply with the foregoing would not likely result in a Material Adverse Change. Borrower and its Material Affiliates enjoy peaceful and undisturbed possession of all leased property under leases which are valid and subsisting and are in full force and effect, except to the extent that the failure to be so would not likely result in a Material Adverse Change.</w:t>
      </w:r>
    </w:p>
    <w:p>
      <w:pPr>
        <w:spacing w:after="0" w:line="75" w:lineRule="exact"/>
        <w:rPr>
          <w:sz w:val="20"/>
          <w:szCs w:val="20"/>
          <w:color w:val="auto"/>
        </w:rPr>
      </w:pPr>
    </w:p>
    <w:p>
      <w:pPr>
        <w:ind w:right="240"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5.08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xml:space="preserve"> Borrower has filed all tax returns (federal, state and local) required to be filed and has paid all taxes, assessments and governmental charges and levies due and payable without the imposition of a penalty, including interest and penalties, except to the extent they are the subject of a Good Faith Contest or where the failure to comply with the foregoing would not likely result in a Material Adverse Change.</w:t>
      </w:r>
    </w:p>
    <w:p>
      <w:pPr>
        <w:spacing w:after="0" w:line="62"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5.09 </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xml:space="preserve"> To the knowledge of Borrower, each Plan is in compliance in all material respects with its terms and all applicable provisions of ERISA. Neither a Reportable Event nor a Prohibited Transaction has occurred with respect to any Plan that, assuming the taxable period of the transaction expired as of the date hereof, could subject Borrower, General Partner or any ERISA Affiliate to a tax or penalty imposed under Section 4975 of the Code or Section 502(i) of ERISA in an amount that would reasonably be expected to result in a Material Adverse Change; except as would not likely result in a Material Adverse Change, no Reportable Event has occurred with respect to any Plan within the last six (6) years; except as would not likely result in a Material Adverse Change, no notice of intent to terminate a Plan has been filed nor has any Plan been terminated within the past five (5) years; to the knowledge of Borrower, there are no circumstances which constitute grounds under Section 4042 of ERISA entitling the PBGC to institute proceedings to terminate, or appoint a trustee to administer, a Plan, nor has the PBGC instituted any such proceedings; except as would not likely result in a Material Adverse Change, Borrower, General Partner and the ERISA Affiliates have met the minimum funding requirements of Section 412 of the Code and Section 302 of ERISA with respect to the Plans of each and except as disclosed in the Borrower’s Consolidated Financial Statements there was no Unfunded Current Liability with respect to any Plan established or maintained by each as of the last day of the most recent plan year of each Plan; and except as would not likely result in a Material Adverse Change, Borrower, General Partner and the ERISA Affiliates have not incurred any liability to the PBGC under ERISA (other than for the payment of premiums under Section 4007 of ERISA) which is due and payable for more than 45 days and has not been reserved against. None of the assets of Borrower or General Partner under this Agreement constitute “plan assets” (within the meaning of C.F.R. §2510.3-101, as modified by Section 3(42) of ERISA) of any “employee benefit plan” within the meaning of ERISA or of any “plan” within the meaning of Section 4975(e)(1) of the Code.</w:t>
      </w:r>
    </w:p>
    <w:p>
      <w:pPr>
        <w:spacing w:after="0" w:line="91" w:lineRule="exact"/>
        <w:rPr>
          <w:sz w:val="20"/>
          <w:szCs w:val="20"/>
          <w:color w:val="auto"/>
        </w:rPr>
      </w:pPr>
    </w:p>
    <w:p>
      <w:pPr>
        <w:ind w:right="40"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5.10 </w:t>
      </w:r>
      <w:r>
        <w:rPr>
          <w:rFonts w:ascii="Times New Roman" w:cs="Times New Roman" w:eastAsia="Times New Roman" w:hAnsi="Times New Roman"/>
          <w:sz w:val="21"/>
          <w:szCs w:val="21"/>
          <w:u w:val="single" w:color="auto"/>
          <w:color w:val="auto"/>
        </w:rPr>
        <w:t>No Default on Outstanding Judgments or Orders.</w:t>
      </w:r>
      <w:r>
        <w:rPr>
          <w:rFonts w:ascii="Times New Roman" w:cs="Times New Roman" w:eastAsia="Times New Roman" w:hAnsi="Times New Roman"/>
          <w:sz w:val="21"/>
          <w:szCs w:val="21"/>
          <w:color w:val="auto"/>
        </w:rPr>
        <w:t xml:space="preserve"> Borrower has satisfied all judgments which are not being appealed and is not in default with respect to any rule or regulation or any judgment, order, writ, injunction or decree applicable to Borrower, of any court, arbitrator or federal, state, municipal or other Governmental Authority, commission, board, bureau, agency or instrumentality, domestic or foreign, in each case which failure to satisfy or which being in default is likely to result in a Material Adverse Change.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ectPr>
          <w:pgSz w:w="11900" w:h="16838" w:orient="portrait"/>
          <w:cols w:equalWidth="0" w:num="1">
            <w:col w:w="11240"/>
          </w:cols>
          <w:pgMar w:left="320" w:top="1134" w:right="339" w:bottom="1440" w:gutter="0" w:footer="0" w:header="0"/>
        </w:sectPr>
      </w:pPr>
    </w:p>
    <w:bookmarkStart w:id="213" w:name="page214"/>
    <w:bookmarkEnd w:id="213"/>
    <w:p>
      <w:pPr>
        <w:ind w:right="40"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5.11 </w:t>
      </w:r>
      <w:r>
        <w:rPr>
          <w:rFonts w:ascii="Times New Roman" w:cs="Times New Roman" w:eastAsia="Times New Roman" w:hAnsi="Times New Roman"/>
          <w:sz w:val="21"/>
          <w:szCs w:val="21"/>
          <w:u w:val="single" w:color="auto"/>
          <w:color w:val="auto"/>
        </w:rPr>
        <w:t>No Defaults on Other Agreements.</w:t>
      </w:r>
      <w:r>
        <w:rPr>
          <w:rFonts w:ascii="Times New Roman" w:cs="Times New Roman" w:eastAsia="Times New Roman" w:hAnsi="Times New Roman"/>
          <w:sz w:val="21"/>
          <w:szCs w:val="21"/>
          <w:color w:val="auto"/>
        </w:rPr>
        <w:t xml:space="preserve"> Except as disclosed to the Bank Parties in writing or as disclosed in General Partner’s SEC Reports existing as of the date hereof, Borrower, to the best of its knowledge, is not a party to any indenture, loan or credit agreement or any lease or other agreement or instrument or subject to any partnership, trust or other restriction which is likely to result in a Material Adverse Change. To the best of its knowledge, Borrower is not in default in any respect in the performance, observance or fulfillment of any of the obligations, covenants or conditions contained in any agreement or instrument which is likely to result in a Material Adverse Change.</w:t>
      </w:r>
    </w:p>
    <w:p>
      <w:pPr>
        <w:spacing w:after="0" w:line="66" w:lineRule="exact"/>
        <w:rPr>
          <w:sz w:val="20"/>
          <w:szCs w:val="20"/>
          <w:color w:val="auto"/>
        </w:rPr>
      </w:pPr>
    </w:p>
    <w:p>
      <w:pPr>
        <w:ind w:right="700"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5.12 </w:t>
      </w:r>
      <w:r>
        <w:rPr>
          <w:rFonts w:ascii="Times New Roman" w:cs="Times New Roman" w:eastAsia="Times New Roman" w:hAnsi="Times New Roman"/>
          <w:sz w:val="21"/>
          <w:szCs w:val="21"/>
          <w:u w:val="single" w:color="auto"/>
          <w:color w:val="auto"/>
        </w:rPr>
        <w:t>Government Regulation.</w:t>
      </w:r>
      <w:r>
        <w:rPr>
          <w:rFonts w:ascii="Times New Roman" w:cs="Times New Roman" w:eastAsia="Times New Roman" w:hAnsi="Times New Roman"/>
          <w:sz w:val="21"/>
          <w:szCs w:val="21"/>
          <w:color w:val="auto"/>
        </w:rPr>
        <w:t xml:space="preserve"> Neither Borrower nor General Partner is, or is required to be registered as an “investment company”, or subject to regulation, under the Investment Company Act of 1940.</w:t>
      </w:r>
    </w:p>
    <w:p>
      <w:pPr>
        <w:spacing w:after="0" w:line="39" w:lineRule="exact"/>
        <w:rPr>
          <w:sz w:val="20"/>
          <w:szCs w:val="20"/>
          <w:color w:val="auto"/>
        </w:rPr>
      </w:pPr>
    </w:p>
    <w:p>
      <w:pPr>
        <w:ind w:right="160"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5.13 </w:t>
      </w:r>
      <w:r>
        <w:rPr>
          <w:rFonts w:ascii="Times New Roman" w:cs="Times New Roman" w:eastAsia="Times New Roman" w:hAnsi="Times New Roman"/>
          <w:sz w:val="21"/>
          <w:szCs w:val="21"/>
          <w:u w:val="single" w:color="auto"/>
          <w:color w:val="auto"/>
        </w:rPr>
        <w:t>Environmental Protection.</w:t>
      </w:r>
      <w:r>
        <w:rPr>
          <w:rFonts w:ascii="Times New Roman" w:cs="Times New Roman" w:eastAsia="Times New Roman" w:hAnsi="Times New Roman"/>
          <w:sz w:val="21"/>
          <w:szCs w:val="21"/>
          <w:color w:val="auto"/>
        </w:rPr>
        <w:t xml:space="preserve"> To Borrower’s knowledge, except as disclosed in General Partner’s SEC Reports existing as of the date hereof, none of Borrower’s or its Affiliates’ properties contains any Hazardous Materials that, under any Environmental Law currently in effect, (1) would impose liability on Borrower that is likely to result in a Material Adverse Change, or (2) is likely to result in the imposition of a Lien on any assets of Borrower or any Material Affiliates that is likely to result in a Material Adverse Change. To Borrower’s knowledge, neither it nor any Material Affiliates are in violation of, or subject to any existing, pending or threatened investigation or proceeding by any Governmental Authority under any Environmental Law that is likely to result in a Material Adverse Change.</w:t>
      </w:r>
    </w:p>
    <w:p>
      <w:pPr>
        <w:spacing w:after="0" w:line="77" w:lineRule="exact"/>
        <w:rPr>
          <w:sz w:val="20"/>
          <w:szCs w:val="20"/>
          <w:color w:val="auto"/>
        </w:rPr>
      </w:pPr>
    </w:p>
    <w:p>
      <w:pPr>
        <w:ind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5.14 </w:t>
      </w:r>
      <w:r>
        <w:rPr>
          <w:rFonts w:ascii="Times New Roman" w:cs="Times New Roman" w:eastAsia="Times New Roman" w:hAnsi="Times New Roman"/>
          <w:sz w:val="21"/>
          <w:szCs w:val="21"/>
          <w:u w:val="single" w:color="auto"/>
          <w:color w:val="auto"/>
        </w:rPr>
        <w:t>Solvency.</w:t>
      </w:r>
      <w:r>
        <w:rPr>
          <w:rFonts w:ascii="Times New Roman" w:cs="Times New Roman" w:eastAsia="Times New Roman" w:hAnsi="Times New Roman"/>
          <w:sz w:val="21"/>
          <w:szCs w:val="21"/>
          <w:color w:val="auto"/>
        </w:rPr>
        <w:t xml:space="preserve"> Borrower is, and upon consummation of the transactions contemplated by this Agreement, the other Loan Documents and any other documents, instruments or agreements relating thereto, will be, Solvent.</w:t>
      </w:r>
    </w:p>
    <w:p>
      <w:pPr>
        <w:spacing w:after="0" w:line="39" w:lineRule="exact"/>
        <w:rPr>
          <w:sz w:val="20"/>
          <w:szCs w:val="20"/>
          <w:color w:val="auto"/>
        </w:rPr>
      </w:pPr>
    </w:p>
    <w:p>
      <w:pPr>
        <w:ind w:right="360"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5.15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xml:space="preserve"> Borrower’s Consolidated Financial Statements most recently delivered to the Banks prior to the date of this Agreement are in all material respects complete and fairly present the financial condition and results of operations of the subjects thereof as of the dates of and for the periods covered by such statements, all in accordance with GAAP. There has been no Material Adverse Change since the date of such most recently delivered Borrower’s Consolidated Financial Statements or if any of Borrower’s Consolidated Financial Statements have been delivered pursuant to Section 6.09(1) or (2) subsequent to the date of this Agreement, there has been no Material Adverse Change since the date of Borrower’s Consolidated Financial Statements most recently delivered pursuant to one of such sections.</w:t>
      </w:r>
    </w:p>
    <w:p>
      <w:pPr>
        <w:spacing w:after="0" w:line="64" w:lineRule="exact"/>
        <w:rPr>
          <w:sz w:val="20"/>
          <w:szCs w:val="20"/>
          <w:color w:val="auto"/>
        </w:rPr>
      </w:pPr>
    </w:p>
    <w:p>
      <w:pPr>
        <w:ind w:right="20"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5.16 </w:t>
      </w:r>
      <w:r>
        <w:rPr>
          <w:rFonts w:ascii="Times New Roman" w:cs="Times New Roman" w:eastAsia="Times New Roman" w:hAnsi="Times New Roman"/>
          <w:sz w:val="21"/>
          <w:szCs w:val="21"/>
          <w:u w:val="single" w:color="auto"/>
          <w:color w:val="auto"/>
        </w:rPr>
        <w:t>Valid Existence of Affiliates.</w:t>
      </w:r>
      <w:r>
        <w:rPr>
          <w:rFonts w:ascii="Times New Roman" w:cs="Times New Roman" w:eastAsia="Times New Roman" w:hAnsi="Times New Roman"/>
          <w:sz w:val="21"/>
          <w:szCs w:val="21"/>
          <w:color w:val="auto"/>
        </w:rPr>
        <w:t xml:space="preserve"> Each Material Affiliate is an entity duly organized and existing in good standing under the laws of the jurisdiction of its formation. As to each Material Affiliate, its correct name, the jurisdiction of its formation, Borrower’s direct or indirect percentage of beneficial interest therein, and the type of business in which it is primarily engaged, are set forth on EXHIBIT F. Borrower and each of its Material Affiliates have the power to own their respective properties and to carry on their respective businesses now being conducted. Each Material Affiliate is duly qualified as a foreign corporation to do business and is in good standing in every jurisdiction in which the nature of the respective businesses conducted by it or its respective properties, owned or held under lease, make such qualification necessary and where the failure to be so qualified would likely cause a Material Adverse Change to occur.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57</w:t>
      </w:r>
    </w:p>
    <w:p>
      <w:pPr>
        <w:sectPr>
          <w:pgSz w:w="11900" w:h="16838" w:orient="portrait"/>
          <w:cols w:equalWidth="0" w:num="1">
            <w:col w:w="11240"/>
          </w:cols>
          <w:pgMar w:left="320" w:top="1369" w:right="339" w:bottom="1440" w:gutter="0" w:footer="0" w:header="0"/>
        </w:sectPr>
      </w:pPr>
    </w:p>
    <w:bookmarkStart w:id="214" w:name="page215"/>
    <w:bookmarkEnd w:id="214"/>
    <w:p>
      <w:pPr>
        <w:ind w:right="280" w:firstLine="629"/>
        <w:spacing w:after="0" w:line="263" w:lineRule="auto"/>
        <w:rPr>
          <w:sz w:val="20"/>
          <w:szCs w:val="20"/>
          <w:color w:val="auto"/>
        </w:rPr>
      </w:pPr>
      <w:r>
        <w:rPr>
          <w:rFonts w:ascii="Times New Roman" w:cs="Times New Roman" w:eastAsia="Times New Roman" w:hAnsi="Times New Roman"/>
          <w:sz w:val="21"/>
          <w:szCs w:val="21"/>
          <w:color w:val="auto"/>
        </w:rPr>
        <w:t xml:space="preserve">SECTION 5.17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xml:space="preserve"> Each of Borrower and each of its Material Affiliates has in force paid insurance with financially sound and reputable insurance companies or associations in such amounts and covering such risks as are usually carried by companies engaged in the same or a similar business and similarly situated.</w:t>
      </w:r>
    </w:p>
    <w:p>
      <w:pPr>
        <w:spacing w:after="0" w:line="5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color w:val="auto"/>
        </w:rPr>
        <w:t xml:space="preserve">SECTION 5.18 </w:t>
      </w:r>
      <w:r>
        <w:rPr>
          <w:rFonts w:ascii="Times New Roman" w:cs="Times New Roman" w:eastAsia="Times New Roman" w:hAnsi="Times New Roman"/>
          <w:sz w:val="21"/>
          <w:szCs w:val="21"/>
          <w:u w:val="single" w:color="auto"/>
          <w:color w:val="auto"/>
        </w:rPr>
        <w:t>Accuracy of Information; Full Disclosure</w:t>
      </w:r>
      <w:r>
        <w:rPr>
          <w:rFonts w:ascii="Times New Roman" w:cs="Times New Roman" w:eastAsia="Times New Roman" w:hAnsi="Times New Roman"/>
          <w:sz w:val="21"/>
          <w:szCs w:val="21"/>
          <w:color w:val="auto"/>
        </w:rPr>
        <w:t>. (a) Neither this Agreement nor any documents, financial statements, reports, notices, schedules, certificates, statements or other writings furnished by or on behalf of Borrower to Administrative Agent or any Bank in connection with the negotiation of this Agreement or the consummation of the transactions contemplated hereby, required herein to be furnished by or on behalf of Borrower (other than projections which are made by Borrower in good faith) or certified as being true and correct by or on behalf of the Borrower to the Administrative Agent or any Bank in connection with the negotiation of this Agreement or delivered hereunder (as modified or supplemented by other information so certified) contains any untrue statement of a material fact or omits to state any material fact necessary to make the statements herein or therein, in the light of the circumstances under which they were made, not misleading in any material respect; provided that, with respect to projected financial information, the Borrower represents only that such information was prepared in good faith based upon assumptions believed to be reasonable at the time. There is no fact which Borrower has not disclosed to Administrative Agent and the Banks in writing or that is not included in General Partner’s SEC Reports that materially affects adversely or, so far as Borrower can now reasonably foresee, will materially affect adversely the business or financial condition of Borrower or the ability of Borrower to perform this Agreement and the other Loan Documents.</w:t>
      </w:r>
    </w:p>
    <w:p>
      <w:pPr>
        <w:spacing w:after="0" w:line="2" w:lineRule="exact"/>
        <w:rPr>
          <w:sz w:val="20"/>
          <w:szCs w:val="20"/>
          <w:color w:val="auto"/>
        </w:rPr>
      </w:pPr>
    </w:p>
    <w:p>
      <w:pPr>
        <w:ind w:right="60" w:firstLine="1262"/>
        <w:spacing w:after="0" w:line="221" w:lineRule="auto"/>
        <w:tabs>
          <w:tab w:leader="none" w:pos="1882"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Effective Date, to the best knowledge of the Borrower, the information included in the Beneficial Ownership Certification provided on or prior to the Effective Date (if any) to any Bank in connection with this Agreement is true and correct in all respects.</w:t>
      </w:r>
    </w:p>
    <w:p>
      <w:pPr>
        <w:spacing w:after="0" w:line="173" w:lineRule="exact"/>
        <w:rPr>
          <w:sz w:val="20"/>
          <w:szCs w:val="20"/>
          <w:color w:val="auto"/>
        </w:rPr>
      </w:pPr>
    </w:p>
    <w:p>
      <w:pPr>
        <w:ind w:right="120"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5.19 </w:t>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xml:space="preserve"> All proceeds of the Loans will be used by Borrower for any purpose permitted by law, including, without limitation, working capital and other general corporate purposes. Neither the making of any Loan nor the use of the proceeds thereof nor any other extension of credit hereunder will violate the provisions of Regulations T, U, or X of the Federal Reserve Board. None of the General Partner, the Borrower or their Subsidiaries is engaged principally or as one of its important activities in the business of extending credit for the purposes of “purchasing” or “carrying” any “margin stock” within the respective meanings of such terms under Regulations T, U and X of the Federal Reserve Board in a manner that would violate the provisions of Regulations T, U, or X of the Federal Reserve Board.</w:t>
      </w:r>
    </w:p>
    <w:p>
      <w:pPr>
        <w:spacing w:after="0" w:line="64" w:lineRule="exact"/>
        <w:rPr>
          <w:sz w:val="20"/>
          <w:szCs w:val="20"/>
          <w:color w:val="auto"/>
        </w:rPr>
      </w:pPr>
    </w:p>
    <w:p>
      <w:pPr>
        <w:ind w:right="100"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5.20 </w:t>
      </w:r>
      <w:r>
        <w:rPr>
          <w:rFonts w:ascii="Times New Roman" w:cs="Times New Roman" w:eastAsia="Times New Roman" w:hAnsi="Times New Roman"/>
          <w:sz w:val="21"/>
          <w:szCs w:val="21"/>
          <w:u w:val="single" w:color="auto"/>
          <w:color w:val="auto"/>
        </w:rPr>
        <w:t>Governmental Approvals.</w:t>
      </w:r>
      <w:r>
        <w:rPr>
          <w:rFonts w:ascii="Times New Roman" w:cs="Times New Roman" w:eastAsia="Times New Roman" w:hAnsi="Times New Roman"/>
          <w:sz w:val="21"/>
          <w:szCs w:val="21"/>
          <w:color w:val="auto"/>
        </w:rPr>
        <w:t xml:space="preserve"> No order, consent, approval, license, authorization, or validation of, or filing, recording or registration with, or exemption by, any governmental or public body or authority, or any subdivision thereof, is required to authorize, or is required in connection with the execution, delivery and performance of any Loan Document or the consummation of any of the transactions contemplated thereby other than those that have already been duly made or obtained and remain in full force and effect or those which, if not made or obtained, would not likely result in a Material Adverse Change and those which will be made in due course as SEC disclosure filings.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ectPr>
          <w:pgSz w:w="11900" w:h="16838" w:orient="portrait"/>
          <w:cols w:equalWidth="0" w:num="1">
            <w:col w:w="11240"/>
          </w:cols>
          <w:pgMar w:left="320" w:top="1134" w:right="339" w:bottom="1440" w:gutter="0" w:footer="0" w:header="0"/>
        </w:sectPr>
      </w:pPr>
    </w:p>
    <w:bookmarkStart w:id="215" w:name="page216"/>
    <w:bookmarkEnd w:id="215"/>
    <w:p>
      <w:pPr>
        <w:ind w:right="120"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5.21 </w:t>
      </w:r>
      <w:r>
        <w:rPr>
          <w:rFonts w:ascii="Times New Roman" w:cs="Times New Roman" w:eastAsia="Times New Roman" w:hAnsi="Times New Roman"/>
          <w:sz w:val="21"/>
          <w:szCs w:val="21"/>
          <w:u w:val="single" w:color="auto"/>
          <w:color w:val="auto"/>
        </w:rPr>
        <w:t>Principal Offices.</w:t>
      </w:r>
      <w:r>
        <w:rPr>
          <w:rFonts w:ascii="Times New Roman" w:cs="Times New Roman" w:eastAsia="Times New Roman" w:hAnsi="Times New Roman"/>
          <w:sz w:val="21"/>
          <w:szCs w:val="21"/>
          <w:color w:val="auto"/>
        </w:rPr>
        <w:t xml:space="preserve"> As of the Execution Date, the principal office, chief executive office and principal place of business of Borrower is 888 Seventh Avenue, New York, New York 10106.</w:t>
      </w:r>
    </w:p>
    <w:p>
      <w:pPr>
        <w:spacing w:after="0" w:line="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5.22 </w:t>
      </w:r>
      <w:r>
        <w:rPr>
          <w:rFonts w:ascii="Times New Roman" w:cs="Times New Roman" w:eastAsia="Times New Roman" w:hAnsi="Times New Roman"/>
          <w:sz w:val="21"/>
          <w:szCs w:val="21"/>
          <w:u w:val="single" w:color="auto"/>
          <w:color w:val="auto"/>
        </w:rPr>
        <w:t>General Partner Status.</w:t>
      </w:r>
      <w:r>
        <w:rPr>
          <w:rFonts w:ascii="Times New Roman" w:cs="Times New Roman" w:eastAsia="Times New Roman" w:hAnsi="Times New Roman"/>
          <w:sz w:val="21"/>
          <w:szCs w:val="21"/>
          <w:color w:val="auto"/>
        </w:rPr>
        <w:t xml:space="preserve"> General Partner is qualified and General Partner intends to continue to qualify as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REIT.</w:t>
      </w:r>
    </w:p>
    <w:p>
      <w:pPr>
        <w:spacing w:after="0" w:line="75" w:lineRule="exact"/>
        <w:rPr>
          <w:sz w:val="20"/>
          <w:szCs w:val="20"/>
          <w:color w:val="auto"/>
        </w:rPr>
      </w:pPr>
    </w:p>
    <w:p>
      <w:pPr>
        <w:ind w:left="640" w:right="460" w:firstLine="622"/>
        <w:spacing w:after="0" w:line="241" w:lineRule="auto"/>
        <w:tabs>
          <w:tab w:leader="none" w:pos="1893"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hereof, the General Partner owns no assets other than ownership interests in Borrower or as disclosed on Schedule 2A attached hereto.</w:t>
      </w:r>
    </w:p>
    <w:p>
      <w:pPr>
        <w:spacing w:after="0" w:line="143" w:lineRule="exact"/>
        <w:rPr>
          <w:rFonts w:ascii="Times New Roman" w:cs="Times New Roman" w:eastAsia="Times New Roman" w:hAnsi="Times New Roman"/>
          <w:sz w:val="21"/>
          <w:szCs w:val="21"/>
          <w:color w:val="auto"/>
        </w:rPr>
      </w:pPr>
    </w:p>
    <w:p>
      <w:pPr>
        <w:ind w:left="640" w:right="580" w:firstLine="622"/>
        <w:spacing w:after="0" w:line="241" w:lineRule="auto"/>
        <w:tabs>
          <w:tab w:leader="none" w:pos="1893"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General Partner is neither the borrower nor guarantor of any Debt except as disclosed on Schedule 3 attached hereto.</w:t>
      </w:r>
    </w:p>
    <w:p>
      <w:pPr>
        <w:spacing w:after="0" w:line="170" w:lineRule="exact"/>
        <w:rPr>
          <w:sz w:val="20"/>
          <w:szCs w:val="20"/>
          <w:color w:val="auto"/>
        </w:rPr>
      </w:pPr>
    </w:p>
    <w:p>
      <w:pPr>
        <w:ind w:right="120"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5.23 </w:t>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 xml:space="preserve"> Except for collective bargaining agreements disclosed on EXHIBIT I and Multiemployer Plans named in such collective bargaining agreements, (i) as of the date hereof, there are no collective bargaining agreements or Multiemployer Plans covering the employees of Borrower, General Partner, or any ERISA Affiliate and (ii) neither Borrower, General Partner, nor any ERISA Affiliate has suffered any strikes, walkouts, work stoppages or other material labor difficulty within the last five years which would likely result in a Material Adverse Change.</w:t>
      </w:r>
    </w:p>
    <w:p>
      <w:pPr>
        <w:spacing w:after="0" w:line="66" w:lineRule="exact"/>
        <w:rPr>
          <w:sz w:val="20"/>
          <w:szCs w:val="20"/>
          <w:color w:val="auto"/>
        </w:rPr>
      </w:pPr>
    </w:p>
    <w:p>
      <w:pPr>
        <w:ind w:right="40"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5.24 </w:t>
      </w:r>
      <w:r>
        <w:rPr>
          <w:rFonts w:ascii="Times New Roman" w:cs="Times New Roman" w:eastAsia="Times New Roman" w:hAnsi="Times New Roman"/>
          <w:sz w:val="21"/>
          <w:szCs w:val="21"/>
          <w:u w:val="single" w:color="auto"/>
          <w:color w:val="auto"/>
        </w:rPr>
        <w:t>Organizational Documents.</w:t>
      </w:r>
      <w:r>
        <w:rPr>
          <w:rFonts w:ascii="Times New Roman" w:cs="Times New Roman" w:eastAsia="Times New Roman" w:hAnsi="Times New Roman"/>
          <w:sz w:val="21"/>
          <w:szCs w:val="21"/>
          <w:color w:val="auto"/>
        </w:rPr>
        <w:t xml:space="preserve"> The documents delivered pursuant to Section 4.01(4) and (5) constitute, as of the Execution Date, all of the organizational documents of the Borrower and General Partner. Borrower represents that it has delivered to Administrative Agent true, correct and complete copies of each such documents. General Partner is the general partner of the Borrower. General Partner holds (directly or indirectly) not less than ninety percent (90%) of the ownership interests in Borrower as of the Execution Date.</w:t>
      </w:r>
    </w:p>
    <w:p>
      <w:pPr>
        <w:spacing w:after="0" w:line="64" w:lineRule="exact"/>
        <w:rPr>
          <w:sz w:val="20"/>
          <w:szCs w:val="20"/>
          <w:color w:val="auto"/>
        </w:rPr>
      </w:pPr>
    </w:p>
    <w:p>
      <w:pPr>
        <w:ind w:right="20" w:firstLine="629"/>
        <w:spacing w:after="0" w:line="254" w:lineRule="auto"/>
        <w:rPr>
          <w:sz w:val="20"/>
          <w:szCs w:val="20"/>
          <w:color w:val="auto"/>
        </w:rPr>
      </w:pPr>
      <w:r>
        <w:rPr>
          <w:rFonts w:ascii="Times New Roman" w:cs="Times New Roman" w:eastAsia="Times New Roman" w:hAnsi="Times New Roman"/>
          <w:sz w:val="21"/>
          <w:szCs w:val="21"/>
          <w:color w:val="auto"/>
        </w:rPr>
        <w:t xml:space="preserve">SECTION 5.25 </w:t>
      </w:r>
      <w:r>
        <w:rPr>
          <w:rFonts w:ascii="Times New Roman" w:cs="Times New Roman" w:eastAsia="Times New Roman" w:hAnsi="Times New Roman"/>
          <w:sz w:val="21"/>
          <w:szCs w:val="21"/>
          <w:u w:val="single" w:color="auto"/>
          <w:color w:val="auto"/>
        </w:rPr>
        <w:t>Anti-Corruption Laws and Sanctions.</w:t>
      </w:r>
      <w:r>
        <w:rPr>
          <w:rFonts w:ascii="Times New Roman" w:cs="Times New Roman" w:eastAsia="Times New Roman" w:hAnsi="Times New Roman"/>
          <w:sz w:val="21"/>
          <w:szCs w:val="21"/>
          <w:color w:val="auto"/>
        </w:rPr>
        <w:t xml:space="preserve"> The Borrower has implemented and maintains in effect policies and procedures designed to attain compliance by the General Partner, the Borrower, its Subsidiaries and their respective directors, trustees, officers, employees and agents with Anti-Corruption Laws and applicable Sanctions, and the Borrower, its Subsidiaries and their respective directors, officers and employees and to the knowledge of the Borrower its agents, are in compliance with Anti-Corruption Laws and applicable Sanctions in all material respects. None of (a) the General Partner, the Borrower, any Subsidiary or any of their respective directors, trustees, officers or employees, or (b) to the knowledge of the Borrower, any agent of the Borrower or any Subsidiary that will act in any capacity in connection with or benefit from the credit facility established hereby, is a Sanctioned Person. No Loan, use of proceeds or other transaction contemplated by this Agreement will violate any Anti-Corruption Law or applicable Sanctions.</w:t>
      </w:r>
    </w:p>
    <w:p>
      <w:pPr>
        <w:spacing w:after="0" w:line="71" w:lineRule="exact"/>
        <w:rPr>
          <w:sz w:val="20"/>
          <w:szCs w:val="20"/>
          <w:color w:val="auto"/>
        </w:rPr>
      </w:pPr>
    </w:p>
    <w:p>
      <w:pPr>
        <w:ind w:right="500"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5.26 </w:t>
      </w:r>
      <w:r>
        <w:rPr>
          <w:rFonts w:ascii="Times New Roman" w:cs="Times New Roman" w:eastAsia="Times New Roman" w:hAnsi="Times New Roman"/>
          <w:sz w:val="21"/>
          <w:szCs w:val="21"/>
          <w:u w:val="single" w:color="auto"/>
          <w:color w:val="auto"/>
        </w:rPr>
        <w:t>Affected Financial Institutions.</w:t>
      </w:r>
      <w:r>
        <w:rPr>
          <w:rFonts w:ascii="Times New Roman" w:cs="Times New Roman" w:eastAsia="Times New Roman" w:hAnsi="Times New Roman"/>
          <w:sz w:val="21"/>
          <w:szCs w:val="21"/>
          <w:color w:val="auto"/>
        </w:rPr>
        <w:t xml:space="preserve"> Neither the Borrower nor any of its Subsidiaries is an Affected Financial Institution.</w:t>
      </w:r>
    </w:p>
    <w:p>
      <w:pPr>
        <w:spacing w:after="0" w:line="39"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5.27 </w:t>
      </w:r>
      <w:r>
        <w:rPr>
          <w:rFonts w:ascii="Times New Roman" w:cs="Times New Roman" w:eastAsia="Times New Roman" w:hAnsi="Times New Roman"/>
          <w:sz w:val="21"/>
          <w:szCs w:val="21"/>
          <w:u w:val="single" w:color="auto"/>
          <w:color w:val="auto"/>
        </w:rPr>
        <w:t>Outbound Investment Rules.</w:t>
      </w:r>
      <w:r>
        <w:rPr>
          <w:rFonts w:ascii="Times New Roman" w:cs="Times New Roman" w:eastAsia="Times New Roman" w:hAnsi="Times New Roman"/>
          <w:sz w:val="21"/>
          <w:szCs w:val="21"/>
          <w:color w:val="auto"/>
        </w:rPr>
        <w:t xml:space="preserve">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ectPr>
          <w:pgSz w:w="11900" w:h="16838" w:orient="portrait"/>
          <w:cols w:equalWidth="0" w:num="1">
            <w:col w:w="11240"/>
          </w:cols>
          <w:pgMar w:left="320" w:top="1134" w:right="339" w:bottom="1440" w:gutter="0" w:footer="0" w:header="0"/>
        </w:sectPr>
      </w:pPr>
    </w:p>
    <w:bookmarkStart w:id="216" w:name="page217"/>
    <w:bookmarkEnd w:id="216"/>
    <w:p>
      <w:pPr>
        <w:ind w:right="60"/>
        <w:spacing w:after="0" w:line="224" w:lineRule="auto"/>
        <w:rPr>
          <w:sz w:val="20"/>
          <w:szCs w:val="20"/>
          <w:color w:val="auto"/>
        </w:rPr>
      </w:pPr>
      <w:r>
        <w:rPr>
          <w:rFonts w:ascii="Times New Roman" w:cs="Times New Roman" w:eastAsia="Times New Roman" w:hAnsi="Times New Roman"/>
          <w:sz w:val="21"/>
          <w:szCs w:val="21"/>
          <w:color w:val="auto"/>
        </w:rPr>
        <w:t>“covered activity” or a “covered transaction”, as each such term is defined in the Outbound Investment Rules, if the Borrower were a U.S. Person or (iii) any other activity that would cause the Administrative Agent or any Bank to be in violation of the Outbound Investment Rules or cause the Administrative Agent or any Bank to be legally prohibited by the Outbound Investment Rules from performing under this Agreement.</w:t>
      </w:r>
    </w:p>
    <w:p>
      <w:pPr>
        <w:spacing w:after="0" w:line="14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VI</w:t>
      </w:r>
    </w:p>
    <w:p>
      <w:pPr>
        <w:spacing w:after="0" w:line="17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AFFIRMATIVE COVENANTS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So long as any of the Loans shall remain unpaid or the Loan Commitments remain in effect, or any other amount is owing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Borrower to any Bank hereunder or under any other Loan Document remains outstanding, Borrower shall:</w:t>
      </w:r>
    </w:p>
    <w:p>
      <w:pPr>
        <w:spacing w:after="0" w:line="193" w:lineRule="exact"/>
        <w:rPr>
          <w:sz w:val="20"/>
          <w:szCs w:val="20"/>
          <w:color w:val="auto"/>
        </w:rPr>
      </w:pPr>
    </w:p>
    <w:p>
      <w:pPr>
        <w:ind w:right="320" w:firstLine="629"/>
        <w:spacing w:after="0" w:line="270" w:lineRule="auto"/>
        <w:rPr>
          <w:sz w:val="20"/>
          <w:szCs w:val="20"/>
          <w:color w:val="auto"/>
        </w:rPr>
      </w:pPr>
      <w:r>
        <w:rPr>
          <w:rFonts w:ascii="Times New Roman" w:cs="Times New Roman" w:eastAsia="Times New Roman" w:hAnsi="Times New Roman"/>
          <w:sz w:val="21"/>
          <w:szCs w:val="21"/>
          <w:color w:val="auto"/>
        </w:rPr>
        <w:t xml:space="preserve">SECTION 6.01 </w:t>
      </w:r>
      <w:r>
        <w:rPr>
          <w:rFonts w:ascii="Times New Roman" w:cs="Times New Roman" w:eastAsia="Times New Roman" w:hAnsi="Times New Roman"/>
          <w:sz w:val="21"/>
          <w:szCs w:val="21"/>
          <w:u w:val="single" w:color="auto"/>
          <w:color w:val="auto"/>
        </w:rPr>
        <w:t>Maintenance of Existence.</w:t>
      </w:r>
      <w:r>
        <w:rPr>
          <w:rFonts w:ascii="Times New Roman" w:cs="Times New Roman" w:eastAsia="Times New Roman" w:hAnsi="Times New Roman"/>
          <w:sz w:val="21"/>
          <w:szCs w:val="21"/>
          <w:color w:val="auto"/>
        </w:rPr>
        <w:t xml:space="preserve"> Preserve and maintain its legal existence and, if applicable, good standing in its jurisdiction of organization and, if applicable, qualify and remain qualified as a foreign entity in each jurisdiction in which such qualification is required, except to the extent that failure to so qualify would not likely result in a Material Adverse Change.</w:t>
      </w:r>
    </w:p>
    <w:p>
      <w:pPr>
        <w:spacing w:after="0" w:line="49" w:lineRule="exact"/>
        <w:rPr>
          <w:sz w:val="20"/>
          <w:szCs w:val="20"/>
          <w:color w:val="auto"/>
        </w:rPr>
      </w:pPr>
    </w:p>
    <w:p>
      <w:pPr>
        <w:ind w:right="560"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6.02 </w:t>
      </w:r>
      <w:r>
        <w:rPr>
          <w:rFonts w:ascii="Times New Roman" w:cs="Times New Roman" w:eastAsia="Times New Roman" w:hAnsi="Times New Roman"/>
          <w:sz w:val="21"/>
          <w:szCs w:val="21"/>
          <w:u w:val="single" w:color="auto"/>
          <w:color w:val="auto"/>
        </w:rPr>
        <w:t>Maintenance of Records.</w:t>
      </w:r>
      <w:r>
        <w:rPr>
          <w:rFonts w:ascii="Times New Roman" w:cs="Times New Roman" w:eastAsia="Times New Roman" w:hAnsi="Times New Roman"/>
          <w:sz w:val="21"/>
          <w:szCs w:val="21"/>
          <w:color w:val="auto"/>
        </w:rPr>
        <w:t xml:space="preserve"> Keep adequate records and books of account, in which entries will be made in accordance with GAAP in all material respects, except as disclosed in Borrower’s financial statements.</w:t>
      </w:r>
    </w:p>
    <w:p>
      <w:pPr>
        <w:spacing w:after="0" w:line="39" w:lineRule="exact"/>
        <w:rPr>
          <w:sz w:val="20"/>
          <w:szCs w:val="20"/>
          <w:color w:val="auto"/>
        </w:rPr>
      </w:pPr>
    </w:p>
    <w:p>
      <w:pPr>
        <w:jc w:val="both"/>
        <w:ind w:right="220"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6.03 </w:t>
      </w:r>
      <w:r>
        <w:rPr>
          <w:rFonts w:ascii="Times New Roman" w:cs="Times New Roman" w:eastAsia="Times New Roman" w:hAnsi="Times New Roman"/>
          <w:sz w:val="21"/>
          <w:szCs w:val="21"/>
          <w:u w:val="single" w:color="auto"/>
          <w:color w:val="auto"/>
        </w:rPr>
        <w:t>Maintenance of Insurance.</w:t>
      </w:r>
      <w:r>
        <w:rPr>
          <w:rFonts w:ascii="Times New Roman" w:cs="Times New Roman" w:eastAsia="Times New Roman" w:hAnsi="Times New Roman"/>
          <w:sz w:val="21"/>
          <w:szCs w:val="21"/>
          <w:color w:val="auto"/>
        </w:rPr>
        <w:t xml:space="preserve"> At all times, maintain and keep in force, and cause each of its Material Affiliates to maintain and keep in force, insurance with financially sound and reputable insurance companies or associations in such amounts and covering such risks as are usually carried by companies engaged in the same or a similar business and similarly situated, which insurance may provide for reasonable deductibles from coverage thereof.</w:t>
      </w:r>
    </w:p>
    <w:p>
      <w:pPr>
        <w:spacing w:after="0" w:line="59" w:lineRule="exact"/>
        <w:rPr>
          <w:sz w:val="20"/>
          <w:szCs w:val="20"/>
          <w:color w:val="auto"/>
        </w:rPr>
      </w:pPr>
    </w:p>
    <w:p>
      <w:pPr>
        <w:ind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xml:space="preserve"> Payment of Taxes. Comply in all material respects with all Laws applicable to it or to any of its properties or any part thereof, such compliance to include, without limitation, paying before the same become delinquent all taxes, assessments and governmental charges imposed upon it or upon any of its property, except to the extent they are the subject of a Good Faith Contest or the failure to so comply would not cause a Material Adverse Change. The Borrower will maintain in effect and enforce policies and procedures designed to attain compliance by the General Partner, the Borrower, its Subsidiaries and their respective directors, trustees, officers, employees and agents with Anti-Corruption Laws and applicable Sanctions.</w:t>
      </w:r>
    </w:p>
    <w:p>
      <w:pPr>
        <w:spacing w:after="0" w:line="66" w:lineRule="exact"/>
        <w:rPr>
          <w:sz w:val="20"/>
          <w:szCs w:val="20"/>
          <w:color w:val="auto"/>
        </w:rPr>
      </w:pPr>
    </w:p>
    <w:p>
      <w:pPr>
        <w:ind w:right="80"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6.05 </w:t>
      </w:r>
      <w:r>
        <w:rPr>
          <w:rFonts w:ascii="Times New Roman" w:cs="Times New Roman" w:eastAsia="Times New Roman" w:hAnsi="Times New Roman"/>
          <w:sz w:val="21"/>
          <w:szCs w:val="21"/>
          <w:u w:val="single" w:color="auto"/>
          <w:color w:val="auto"/>
        </w:rPr>
        <w:t>Right of Inspection.</w:t>
      </w:r>
      <w:r>
        <w:rPr>
          <w:rFonts w:ascii="Times New Roman" w:cs="Times New Roman" w:eastAsia="Times New Roman" w:hAnsi="Times New Roman"/>
          <w:sz w:val="21"/>
          <w:szCs w:val="21"/>
          <w:color w:val="auto"/>
        </w:rPr>
        <w:t xml:space="preserve"> At any reasonable time and from time to time upon reasonable notice, but not more frequently than twice in any 12-month period provided that no Event of Default shall have occurred and be continuing, permit Administrative Agent or any Bank or any agent or representative thereof (provided that, at Borrower’s request, Administrative Agent or such Bank, or such representative, must be accompanied by a representative of Borrower), to examine and make copies and abstracts from the records and books of account of, and visit the properties of, Borrower and to discuss the affairs, finances and accounts of Borrower with the independent accountants of Borrower. The request by any Bank or agent or representative thereof for such an inspection shall be made to the Administrative Agent and the Administrative Agent promptly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ectPr>
          <w:pgSz w:w="11900" w:h="16838" w:orient="portrait"/>
          <w:cols w:equalWidth="0" w:num="1">
            <w:col w:w="11240"/>
          </w:cols>
          <w:pgMar w:left="320" w:top="1108" w:right="339" w:bottom="1440" w:gutter="0" w:footer="0" w:header="0"/>
        </w:sectPr>
      </w:pPr>
    </w:p>
    <w:bookmarkStart w:id="217" w:name="page218"/>
    <w:bookmarkEnd w:id="217"/>
    <w:p>
      <w:pPr>
        <w:ind w:right="200"/>
        <w:spacing w:after="0" w:line="263" w:lineRule="auto"/>
        <w:rPr>
          <w:sz w:val="20"/>
          <w:szCs w:val="20"/>
          <w:color w:val="auto"/>
        </w:rPr>
      </w:pPr>
      <w:r>
        <w:rPr>
          <w:rFonts w:ascii="Times New Roman" w:cs="Times New Roman" w:eastAsia="Times New Roman" w:hAnsi="Times New Roman"/>
          <w:sz w:val="21"/>
          <w:szCs w:val="21"/>
          <w:color w:val="auto"/>
        </w:rPr>
        <w:t>shall notify all the Banks of such request (or if the Administrative Agent shall have requested the same on its behalf, the Administrative Agent shall notify all the Banks thereof) and any Bank that shall so desire may accompany Administrative Agent or such Bank, or such representative on such examination.</w:t>
      </w:r>
    </w:p>
    <w:p>
      <w:pPr>
        <w:spacing w:after="0" w:line="58" w:lineRule="exact"/>
        <w:rPr>
          <w:sz w:val="20"/>
          <w:szCs w:val="20"/>
          <w:color w:val="auto"/>
        </w:rPr>
      </w:pPr>
    </w:p>
    <w:p>
      <w:pPr>
        <w:jc w:val="both"/>
        <w:ind w:right="320" w:firstLine="629"/>
        <w:spacing w:after="0" w:line="289" w:lineRule="auto"/>
        <w:rPr>
          <w:sz w:val="20"/>
          <w:szCs w:val="20"/>
          <w:color w:val="auto"/>
        </w:rPr>
      </w:pPr>
      <w:r>
        <w:rPr>
          <w:rFonts w:ascii="Times New Roman" w:cs="Times New Roman" w:eastAsia="Times New Roman" w:hAnsi="Times New Roman"/>
          <w:sz w:val="20"/>
          <w:szCs w:val="20"/>
          <w:color w:val="auto"/>
        </w:rPr>
        <w:t xml:space="preserve">SECTION 6.06 </w:t>
      </w:r>
      <w:r>
        <w:rPr>
          <w:rFonts w:ascii="Times New Roman" w:cs="Times New Roman" w:eastAsia="Times New Roman" w:hAnsi="Times New Roman"/>
          <w:sz w:val="20"/>
          <w:szCs w:val="20"/>
          <w:u w:val="single" w:color="auto"/>
          <w:color w:val="auto"/>
        </w:rPr>
        <w:t>Compliance With Environmental Laws.</w:t>
      </w:r>
      <w:r>
        <w:rPr>
          <w:rFonts w:ascii="Times New Roman" w:cs="Times New Roman" w:eastAsia="Times New Roman" w:hAnsi="Times New Roman"/>
          <w:sz w:val="20"/>
          <w:szCs w:val="20"/>
          <w:color w:val="auto"/>
        </w:rPr>
        <w:t xml:space="preserve"> Comply in all material respects with all applicable Environmental Laws and immediately pay or cause to be paid all costs and expenses incurred in connection with such compliance, except to the extent there is a Good Faith Contest or the failure to so comply would not likely cause a Material Adverse Change.</w:t>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6.07 </w:t>
      </w:r>
      <w:r>
        <w:rPr>
          <w:rFonts w:ascii="Times New Roman" w:cs="Times New Roman" w:eastAsia="Times New Roman" w:hAnsi="Times New Roman"/>
          <w:sz w:val="21"/>
          <w:szCs w:val="21"/>
          <w:u w:val="single" w:color="auto"/>
          <w:color w:val="auto"/>
        </w:rPr>
        <w:t>Payment of Costs.</w:t>
      </w:r>
      <w:r>
        <w:rPr>
          <w:rFonts w:ascii="Times New Roman" w:cs="Times New Roman" w:eastAsia="Times New Roman" w:hAnsi="Times New Roman"/>
          <w:sz w:val="21"/>
          <w:szCs w:val="21"/>
          <w:color w:val="auto"/>
        </w:rPr>
        <w:t xml:space="preserve"> Pay all fees and expenses of the Administrative Agent required by this Agreement.</w:t>
      </w:r>
    </w:p>
    <w:p>
      <w:pPr>
        <w:spacing w:after="0" w:line="112" w:lineRule="exact"/>
        <w:rPr>
          <w:sz w:val="20"/>
          <w:szCs w:val="20"/>
          <w:color w:val="auto"/>
        </w:rPr>
      </w:pPr>
    </w:p>
    <w:p>
      <w:pPr>
        <w:jc w:val="both"/>
        <w:ind w:right="100" w:firstLine="629"/>
        <w:spacing w:after="0" w:line="263" w:lineRule="auto"/>
        <w:rPr>
          <w:sz w:val="20"/>
          <w:szCs w:val="20"/>
          <w:color w:val="auto"/>
        </w:rPr>
      </w:pPr>
      <w:r>
        <w:rPr>
          <w:rFonts w:ascii="Times New Roman" w:cs="Times New Roman" w:eastAsia="Times New Roman" w:hAnsi="Times New Roman"/>
          <w:sz w:val="21"/>
          <w:szCs w:val="21"/>
          <w:color w:val="auto"/>
        </w:rPr>
        <w:t xml:space="preserve">SECTION 6.08 </w:t>
      </w:r>
      <w:r>
        <w:rPr>
          <w:rFonts w:ascii="Times New Roman" w:cs="Times New Roman" w:eastAsia="Times New Roman" w:hAnsi="Times New Roman"/>
          <w:sz w:val="21"/>
          <w:szCs w:val="21"/>
          <w:u w:val="single" w:color="auto"/>
          <w:color w:val="auto"/>
        </w:rPr>
        <w:t>Maintenance of Properties.</w:t>
      </w:r>
      <w:r>
        <w:rPr>
          <w:rFonts w:ascii="Times New Roman" w:cs="Times New Roman" w:eastAsia="Times New Roman" w:hAnsi="Times New Roman"/>
          <w:sz w:val="21"/>
          <w:szCs w:val="21"/>
          <w:color w:val="auto"/>
        </w:rPr>
        <w:t xml:space="preserve"> Do all things reasonably necessary to maintain, preserve, protect and keep its and its Affiliates’ properties in good repair, working order and condition except where the failure to do so would not result in a Material Adverse Change.</w:t>
      </w:r>
    </w:p>
    <w:p>
      <w:pPr>
        <w:spacing w:after="0" w:line="71" w:lineRule="exact"/>
        <w:rPr>
          <w:sz w:val="20"/>
          <w:szCs w:val="20"/>
          <w:color w:val="auto"/>
        </w:rPr>
      </w:pPr>
    </w:p>
    <w:p>
      <w:pPr>
        <w:ind w:right="720"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6.09 </w:t>
      </w:r>
      <w:r>
        <w:rPr>
          <w:rFonts w:ascii="Times New Roman" w:cs="Times New Roman" w:eastAsia="Times New Roman" w:hAnsi="Times New Roman"/>
          <w:sz w:val="21"/>
          <w:szCs w:val="21"/>
          <w:u w:val="single" w:color="auto"/>
          <w:color w:val="auto"/>
        </w:rPr>
        <w:t>Reporting and Miscellaneous Document Requirements.</w:t>
      </w:r>
      <w:r>
        <w:rPr>
          <w:rFonts w:ascii="Times New Roman" w:cs="Times New Roman" w:eastAsia="Times New Roman" w:hAnsi="Times New Roman"/>
          <w:sz w:val="21"/>
          <w:szCs w:val="21"/>
          <w:color w:val="auto"/>
        </w:rPr>
        <w:t xml:space="preserve"> Furnish to Administrative Agent (which shall promptly distribute to each of the Banks):</w:t>
      </w:r>
    </w:p>
    <w:p>
      <w:pPr>
        <w:spacing w:after="0" w:line="39" w:lineRule="exact"/>
        <w:rPr>
          <w:sz w:val="20"/>
          <w:szCs w:val="20"/>
          <w:color w:val="auto"/>
        </w:rPr>
      </w:pPr>
    </w:p>
    <w:p>
      <w:pPr>
        <w:ind w:left="640" w:right="160" w:firstLine="622"/>
        <w:spacing w:after="0" w:line="258" w:lineRule="auto"/>
        <w:tabs>
          <w:tab w:leader="none" w:pos="1893"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Financial Statements</w:t>
      </w:r>
      <w:r>
        <w:rPr>
          <w:rFonts w:ascii="Times New Roman" w:cs="Times New Roman" w:eastAsia="Times New Roman" w:hAnsi="Times New Roman"/>
          <w:sz w:val="21"/>
          <w:szCs w:val="21"/>
          <w:color w:val="auto"/>
        </w:rPr>
        <w:t>. As soon as available and in any event within ninety-five (95) days after the end of each Fiscal Year, commencing with the Fiscal Year ending December 31, 2025, the Borrower’s Consolidated Financial Statements as of the end of and for such Fiscal Year, audited by Borrower’s Accountants; provided, however, that such Consolidated Financial Statements need not be separately furnished to Administrative Agent if they are publicly filed and available prior to the end of such 95-day period as part of the annual form 10-K filings with the SEC of Borrower;</w:t>
      </w:r>
    </w:p>
    <w:p>
      <w:pPr>
        <w:spacing w:after="0" w:line="169" w:lineRule="exact"/>
        <w:rPr>
          <w:rFonts w:ascii="Times New Roman" w:cs="Times New Roman" w:eastAsia="Times New Roman" w:hAnsi="Times New Roman"/>
          <w:sz w:val="21"/>
          <w:szCs w:val="21"/>
          <w:color w:val="auto"/>
        </w:rPr>
      </w:pPr>
    </w:p>
    <w:p>
      <w:pPr>
        <w:ind w:left="640" w:firstLine="622"/>
        <w:spacing w:after="0" w:line="256" w:lineRule="auto"/>
        <w:tabs>
          <w:tab w:leader="none" w:pos="1893"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Quarterly Financial Statements</w:t>
      </w:r>
      <w:r>
        <w:rPr>
          <w:rFonts w:ascii="Times New Roman" w:cs="Times New Roman" w:eastAsia="Times New Roman" w:hAnsi="Times New Roman"/>
          <w:sz w:val="21"/>
          <w:szCs w:val="21"/>
          <w:color w:val="auto"/>
        </w:rPr>
        <w:t>. As soon as available and in any event within fifty (50) days after the end of each calendar quarter (other than the last quarter of the Fiscal Year), commencing with the calendar quarter ending March 31, 2026, the unaudited Borrower’s Consolidated Financial Statements as of the end of and for such calendar quarter, reviewed by Borrower’s Accountants; provided, however, that such Consolidated Financial Statements need not be separately furnished to Administrative Agent if they are publicly filed and available prior to the end of such 50-day period as part of the annual form 10-Q filings with the SEC of Borrower for the applicable calendar quarter;</w:t>
      </w:r>
    </w:p>
    <w:p>
      <w:pPr>
        <w:spacing w:after="0" w:line="170" w:lineRule="exact"/>
        <w:rPr>
          <w:rFonts w:ascii="Times New Roman" w:cs="Times New Roman" w:eastAsia="Times New Roman" w:hAnsi="Times New Roman"/>
          <w:sz w:val="21"/>
          <w:szCs w:val="21"/>
          <w:color w:val="auto"/>
        </w:rPr>
      </w:pPr>
    </w:p>
    <w:p>
      <w:pPr>
        <w:ind w:left="640" w:right="200" w:firstLine="622"/>
        <w:spacing w:after="0" w:line="255" w:lineRule="auto"/>
        <w:tabs>
          <w:tab w:leader="none" w:pos="1893"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 of No Default and Financial Compliance</w:t>
      </w:r>
      <w:r>
        <w:rPr>
          <w:rFonts w:ascii="Times New Roman" w:cs="Times New Roman" w:eastAsia="Times New Roman" w:hAnsi="Times New Roman"/>
          <w:sz w:val="21"/>
          <w:szCs w:val="21"/>
          <w:color w:val="auto"/>
        </w:rPr>
        <w:t>. Within fifty (50) days after the end of each of the first three quarters of each Fiscal Year and within ninety-five (95) days after the end of each Fiscal Year, a certificate of the chief financial officer or other appropriate financial officer of General Partner (a) stating that, to the best of his or her knowledge, no Default or Event of Default has occurred and is continuing, or if a Default or Event of Default has occurred and is continuing, specifying the nature thereof and the action which is being taken with respect thereto; (b) stating that the covenants contained in Article VIII have been complied with (or specifying those that have not been complied with) and including computations demonstrating such compliance (or non-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61</w:t>
      </w:r>
    </w:p>
    <w:p>
      <w:pPr>
        <w:sectPr>
          <w:pgSz w:w="11900" w:h="16838" w:orient="portrait"/>
          <w:cols w:equalWidth="0" w:num="1">
            <w:col w:w="11220"/>
          </w:cols>
          <w:pgMar w:left="320" w:top="1134" w:right="359" w:bottom="1440" w:gutter="0" w:footer="0" w:header="0"/>
        </w:sectPr>
      </w:pPr>
    </w:p>
    <w:bookmarkStart w:id="218" w:name="page219"/>
    <w:bookmarkEnd w:id="218"/>
    <w:p>
      <w:pPr>
        <w:jc w:val="both"/>
        <w:ind w:right="120"/>
        <w:spacing w:after="0" w:line="258" w:lineRule="auto"/>
        <w:rPr>
          <w:sz w:val="20"/>
          <w:szCs w:val="20"/>
          <w:color w:val="auto"/>
        </w:rPr>
      </w:pPr>
      <w:r>
        <w:rPr>
          <w:rFonts w:ascii="Times New Roman" w:cs="Times New Roman" w:eastAsia="Times New Roman" w:hAnsi="Times New Roman"/>
          <w:sz w:val="21"/>
          <w:szCs w:val="21"/>
          <w:color w:val="auto"/>
        </w:rPr>
        <w:t>compliance); (c) setting forth all items comprising Total Outstanding Indebtedness (including amount, maturity, interest rate and amortization requirements), Capitalization Value, Secured Indebtedness, Combined EBITDA, Unencumbered Combined EBITDA, Interest Expense, Unsecured Interest Expense and Unsecured Indebtedness; and (d) only at the end of each Fiscal Year an estimate of Borrower’s taxable income;</w:t>
      </w:r>
    </w:p>
    <w:p>
      <w:pPr>
        <w:spacing w:after="0" w:line="75" w:lineRule="exact"/>
        <w:rPr>
          <w:sz w:val="20"/>
          <w:szCs w:val="20"/>
          <w:color w:val="auto"/>
        </w:rPr>
      </w:pPr>
    </w:p>
    <w:p>
      <w:pPr>
        <w:ind w:right="60" w:firstLine="622"/>
        <w:spacing w:after="0" w:line="252" w:lineRule="auto"/>
        <w:tabs>
          <w:tab w:leader="none" w:pos="1253"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 of Borrower’s Accountants</w:t>
      </w:r>
      <w:r>
        <w:rPr>
          <w:rFonts w:ascii="Times New Roman" w:cs="Times New Roman" w:eastAsia="Times New Roman" w:hAnsi="Times New Roman"/>
          <w:sz w:val="21"/>
          <w:szCs w:val="21"/>
          <w:color w:val="auto"/>
        </w:rPr>
        <w:t>. Within ninety-five (95) days after the end of each Fiscal Year, a report with respect thereto of Borrower’s Accountants, which report shall be unqualified, except as provided in the second sentence of this clause (4), and shall state that such financial statements fairly present the consolidated financial position of each of the Borrower and its Subsidiaries as at the dates indicated and the consolidated results of their operations and cash flows for the periods indicated, in conformity with GAAP applied on a basis consistent with prior years (except for changes which shall have been disclosed in the notes to the financial statements). In the event that such report is qualified, a copy of the Borrower’s Accountants’ communications with those charged with governance or any similar report delivered to the General Partner or to any officer or employee thereof by Borrower’s Accountants in connection with such financial statements (which letter or report shall be subject to the confidentiality limitations set forth herein), as well as a statement of Borrower’s Accountants to the effect that in connection with their audit, nothing came to their attention that caused them to believe that the Borrower failed to comply with the terms, covenants, provisions or conditions of Article VIII, insofar as they relate to financial and accounting matters.</w:t>
      </w:r>
    </w:p>
    <w:p>
      <w:pPr>
        <w:spacing w:after="0" w:line="153" w:lineRule="exact"/>
        <w:rPr>
          <w:rFonts w:ascii="Times New Roman" w:cs="Times New Roman" w:eastAsia="Times New Roman" w:hAnsi="Times New Roman"/>
          <w:sz w:val="21"/>
          <w:szCs w:val="21"/>
          <w:color w:val="auto"/>
        </w:rPr>
      </w:pPr>
    </w:p>
    <w:p>
      <w:pPr>
        <w:jc w:val="both"/>
        <w:ind w:firstLine="622"/>
        <w:spacing w:after="0" w:line="229" w:lineRule="auto"/>
        <w:tabs>
          <w:tab w:leader="none" w:pos="1253"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Litigation</w:t>
      </w:r>
      <w:r>
        <w:rPr>
          <w:rFonts w:ascii="Times New Roman" w:cs="Times New Roman" w:eastAsia="Times New Roman" w:hAnsi="Times New Roman"/>
          <w:sz w:val="21"/>
          <w:szCs w:val="21"/>
          <w:color w:val="auto"/>
        </w:rPr>
        <w:t>. Promptly after the commencement and knowledge thereof, notice of all actions, suits, and proceedings before any court or arbitrator, affecting Borrower which, if determined adversely to Borrower is likely to result in a Material Adverse Change and which would be required to be reported in Borrower’s SEC Reports;</w:t>
      </w:r>
    </w:p>
    <w:p>
      <w:pPr>
        <w:spacing w:after="0" w:line="147" w:lineRule="exact"/>
        <w:rPr>
          <w:rFonts w:ascii="Times New Roman" w:cs="Times New Roman" w:eastAsia="Times New Roman" w:hAnsi="Times New Roman"/>
          <w:sz w:val="21"/>
          <w:szCs w:val="21"/>
          <w:color w:val="auto"/>
        </w:rPr>
      </w:pPr>
    </w:p>
    <w:p>
      <w:pPr>
        <w:ind w:right="460" w:firstLine="622"/>
        <w:spacing w:after="0" w:line="241" w:lineRule="auto"/>
        <w:tabs>
          <w:tab w:leader="none" w:pos="1253"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ERISA Events</w:t>
      </w:r>
      <w:r>
        <w:rPr>
          <w:rFonts w:ascii="Times New Roman" w:cs="Times New Roman" w:eastAsia="Times New Roman" w:hAnsi="Times New Roman"/>
          <w:sz w:val="21"/>
          <w:szCs w:val="21"/>
          <w:color w:val="auto"/>
        </w:rPr>
        <w:t>. Promptly after the occurrence thereof, notice of any action or event described in clauses (c) or (d) of Section 9.01(7);</w:t>
      </w:r>
    </w:p>
    <w:p>
      <w:pPr>
        <w:spacing w:after="0" w:line="143" w:lineRule="exact"/>
        <w:rPr>
          <w:rFonts w:ascii="Times New Roman" w:cs="Times New Roman" w:eastAsia="Times New Roman" w:hAnsi="Times New Roman"/>
          <w:sz w:val="21"/>
          <w:szCs w:val="21"/>
          <w:color w:val="auto"/>
        </w:rPr>
      </w:pPr>
    </w:p>
    <w:p>
      <w:pPr>
        <w:ind w:right="180" w:firstLine="622"/>
        <w:spacing w:after="0" w:line="229" w:lineRule="auto"/>
        <w:tabs>
          <w:tab w:leader="none" w:pos="1253"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of Defaults and Events of Default</w:t>
      </w:r>
      <w:r>
        <w:rPr>
          <w:rFonts w:ascii="Times New Roman" w:cs="Times New Roman" w:eastAsia="Times New Roman" w:hAnsi="Times New Roman"/>
          <w:sz w:val="21"/>
          <w:szCs w:val="21"/>
          <w:color w:val="auto"/>
        </w:rPr>
        <w:t>. As soon as possible and in any event within fifteen (15) days after Borrower becomes aware of the occurrence of a material Default or any Event of Default a written notice setting forth the details of such Default or Event of Default and the action which is proposed to be taken with respect thereto;</w:t>
      </w:r>
    </w:p>
    <w:p>
      <w:pPr>
        <w:spacing w:after="0" w:line="147" w:lineRule="exact"/>
        <w:rPr>
          <w:rFonts w:ascii="Times New Roman" w:cs="Times New Roman" w:eastAsia="Times New Roman" w:hAnsi="Times New Roman"/>
          <w:sz w:val="21"/>
          <w:szCs w:val="21"/>
          <w:color w:val="auto"/>
        </w:rPr>
      </w:pPr>
    </w:p>
    <w:p>
      <w:pPr>
        <w:ind w:right="380" w:firstLine="622"/>
        <w:spacing w:after="0" w:line="224" w:lineRule="auto"/>
        <w:tabs>
          <w:tab w:leader="none" w:pos="1253"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Sales or Acquisitions of Assets</w:t>
      </w:r>
      <w:r>
        <w:rPr>
          <w:rFonts w:ascii="Times New Roman" w:cs="Times New Roman" w:eastAsia="Times New Roman" w:hAnsi="Times New Roman"/>
          <w:sz w:val="21"/>
          <w:szCs w:val="21"/>
          <w:color w:val="auto"/>
        </w:rPr>
        <w:t>. Promptly after the occurrence thereof, written notice of any Disposition or acquisition of an individual asset (other than acquisitions or Dispositions of investments such as certificates of deposit, Treasury securities and money market deposits in the ordinary course of Borrower’s cash management) in excess of One Billion Dollars ($1,000,000,000);</w:t>
      </w:r>
    </w:p>
    <w:p>
      <w:pPr>
        <w:spacing w:after="0" w:line="146" w:lineRule="exact"/>
        <w:rPr>
          <w:rFonts w:ascii="Times New Roman" w:cs="Times New Roman" w:eastAsia="Times New Roman" w:hAnsi="Times New Roman"/>
          <w:sz w:val="21"/>
          <w:szCs w:val="21"/>
          <w:color w:val="auto"/>
        </w:rPr>
      </w:pPr>
    </w:p>
    <w:p>
      <w:pPr>
        <w:ind w:right="240" w:firstLine="622"/>
        <w:spacing w:after="0" w:line="241" w:lineRule="auto"/>
        <w:tabs>
          <w:tab w:leader="none" w:pos="1253"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Material Adverse Change</w:t>
      </w:r>
      <w:r>
        <w:rPr>
          <w:rFonts w:ascii="Times New Roman" w:cs="Times New Roman" w:eastAsia="Times New Roman" w:hAnsi="Times New Roman"/>
          <w:sz w:val="21"/>
          <w:szCs w:val="21"/>
          <w:color w:val="auto"/>
        </w:rPr>
        <w:t>. As soon as is practicable and in any event within five (5) days after knowledge of the occurrence of any event or circumstance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62</w:t>
      </w:r>
    </w:p>
    <w:p>
      <w:pPr>
        <w:sectPr>
          <w:pgSz w:w="11900" w:h="16838" w:orient="portrait"/>
          <w:cols w:equalWidth="0" w:num="1">
            <w:col w:w="10580"/>
          </w:cols>
          <w:pgMar w:left="960" w:top="1134" w:right="359" w:bottom="1440" w:gutter="0" w:footer="0" w:header="0"/>
        </w:sectPr>
      </w:pPr>
    </w:p>
    <w:bookmarkStart w:id="219" w:name="page220"/>
    <w:bookmarkEnd w:id="219"/>
    <w:p>
      <w:pPr>
        <w:ind w:right="580"/>
        <w:spacing w:after="0" w:line="220" w:lineRule="auto"/>
        <w:rPr>
          <w:sz w:val="20"/>
          <w:szCs w:val="20"/>
          <w:color w:val="auto"/>
        </w:rPr>
      </w:pPr>
      <w:r>
        <w:rPr>
          <w:rFonts w:ascii="Times New Roman" w:cs="Times New Roman" w:eastAsia="Times New Roman" w:hAnsi="Times New Roman"/>
          <w:sz w:val="21"/>
          <w:szCs w:val="21"/>
          <w:color w:val="auto"/>
        </w:rPr>
        <w:t>which is likely to result in or has resulted in a Material Adverse Change and which would be required to be reported in Borrower’s SEC Reports, written notice thereof;</w:t>
      </w:r>
    </w:p>
    <w:p>
      <w:pPr>
        <w:ind w:right="280" w:firstLine="622"/>
        <w:spacing w:after="0" w:line="218" w:lineRule="auto"/>
        <w:tabs>
          <w:tab w:leader="none" w:pos="1253"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Bankruptcy of Tenants</w:t>
      </w:r>
      <w:r>
        <w:rPr>
          <w:rFonts w:ascii="Times New Roman" w:cs="Times New Roman" w:eastAsia="Times New Roman" w:hAnsi="Times New Roman"/>
          <w:sz w:val="21"/>
          <w:szCs w:val="21"/>
          <w:color w:val="auto"/>
        </w:rPr>
        <w:t>. Promptly after becoming aware of the same, written notice of the bankruptcy, insolvency or cessation of operations of any tenant in any Real Property Asset of Borrower or in which Borrower has an interest to which four percent (4%) or more of aggregate annual minimum rent payable to Borrower directly or through its Consolidated Businesses or UJVs is attributable;</w:t>
      </w:r>
    </w:p>
    <w:p>
      <w:pPr>
        <w:spacing w:after="0" w:line="146"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Offices</w:t>
      </w:r>
      <w:r>
        <w:rPr>
          <w:rFonts w:ascii="Times New Roman" w:cs="Times New Roman" w:eastAsia="Times New Roman" w:hAnsi="Times New Roman"/>
          <w:sz w:val="21"/>
          <w:szCs w:val="21"/>
          <w:color w:val="auto"/>
        </w:rPr>
        <w:t>. Thirty (30) days’ prior written notice of any change in the principal executive office of Borrower;</w:t>
      </w:r>
    </w:p>
    <w:p>
      <w:pPr>
        <w:spacing w:after="0" w:line="177" w:lineRule="exact"/>
        <w:rPr>
          <w:rFonts w:ascii="Times New Roman" w:cs="Times New Roman" w:eastAsia="Times New Roman" w:hAnsi="Times New Roman"/>
          <w:sz w:val="21"/>
          <w:szCs w:val="21"/>
          <w:color w:val="auto"/>
        </w:rPr>
      </w:pPr>
    </w:p>
    <w:p>
      <w:pPr>
        <w:ind w:right="220" w:firstLine="622"/>
        <w:spacing w:after="0" w:line="229" w:lineRule="auto"/>
        <w:tabs>
          <w:tab w:leader="none" w:pos="1253"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Environmental and Other Notices</w:t>
      </w:r>
      <w:r>
        <w:rPr>
          <w:rFonts w:ascii="Times New Roman" w:cs="Times New Roman" w:eastAsia="Times New Roman" w:hAnsi="Times New Roman"/>
          <w:sz w:val="21"/>
          <w:szCs w:val="21"/>
          <w:color w:val="auto"/>
        </w:rPr>
        <w:t>. As soon as possible and in any event within thirty (30) days after receipt, copies of all Environmental Notices received by Borrower which are not received in the ordinary course of business and which relate to a previously undisclosed situation which is likely to result in a Material Adverse Change;</w:t>
      </w:r>
    </w:p>
    <w:p>
      <w:pPr>
        <w:spacing w:after="0" w:line="147" w:lineRule="exact"/>
        <w:rPr>
          <w:rFonts w:ascii="Times New Roman" w:cs="Times New Roman" w:eastAsia="Times New Roman" w:hAnsi="Times New Roman"/>
          <w:sz w:val="21"/>
          <w:szCs w:val="21"/>
          <w:color w:val="auto"/>
        </w:rPr>
      </w:pPr>
    </w:p>
    <w:p>
      <w:pPr>
        <w:ind w:right="20" w:firstLine="622"/>
        <w:spacing w:after="0" w:line="241" w:lineRule="auto"/>
        <w:tabs>
          <w:tab w:leader="none" w:pos="1253"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Insurance Coverage</w:t>
      </w:r>
      <w:r>
        <w:rPr>
          <w:rFonts w:ascii="Times New Roman" w:cs="Times New Roman" w:eastAsia="Times New Roman" w:hAnsi="Times New Roman"/>
          <w:sz w:val="21"/>
          <w:szCs w:val="21"/>
          <w:color w:val="auto"/>
        </w:rPr>
        <w:t>. Promptly, such information concerning Borrower’s insurance coverage as Administrative Agent may reasonably request;</w:t>
      </w:r>
    </w:p>
    <w:p>
      <w:pPr>
        <w:spacing w:after="0" w:line="143" w:lineRule="exact"/>
        <w:rPr>
          <w:rFonts w:ascii="Times New Roman" w:cs="Times New Roman" w:eastAsia="Times New Roman" w:hAnsi="Times New Roman"/>
          <w:sz w:val="21"/>
          <w:szCs w:val="21"/>
          <w:color w:val="auto"/>
        </w:rPr>
      </w:pPr>
    </w:p>
    <w:p>
      <w:pPr>
        <w:ind w:firstLine="622"/>
        <w:spacing w:after="0" w:line="219" w:lineRule="auto"/>
        <w:tabs>
          <w:tab w:leader="none" w:pos="1253"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Proxy Statements, Etc.</w:t>
      </w:r>
      <w:r>
        <w:rPr>
          <w:rFonts w:ascii="Times New Roman" w:cs="Times New Roman" w:eastAsia="Times New Roman" w:hAnsi="Times New Roman"/>
          <w:sz w:val="21"/>
          <w:szCs w:val="21"/>
          <w:color w:val="auto"/>
        </w:rPr>
        <w:t xml:space="preserve"> Promptly after the sending or filing thereof, copies of all proxy statements, financial statements and reports which Borrower or General Partner sends to its respective shareholders, and copies of all regular, periodic and special reports, and all registration statements, which Borrower or General Partner files with the SEC or any Governmental Authority which may be substituted therefor, or with any national securities exchange; provided, however, that such statements and reports need not be separately furnished to Administrative Agent if they are publicly filed and available with the SEC;</w:t>
      </w:r>
    </w:p>
    <w:p>
      <w:pPr>
        <w:spacing w:after="0" w:line="144" w:lineRule="exact"/>
        <w:rPr>
          <w:rFonts w:ascii="Times New Roman" w:cs="Times New Roman" w:eastAsia="Times New Roman" w:hAnsi="Times New Roman"/>
          <w:sz w:val="21"/>
          <w:szCs w:val="21"/>
          <w:color w:val="auto"/>
        </w:rPr>
      </w:pPr>
    </w:p>
    <w:p>
      <w:pPr>
        <w:ind w:right="60" w:firstLine="622"/>
        <w:spacing w:after="0" w:line="229" w:lineRule="auto"/>
        <w:tabs>
          <w:tab w:leader="none" w:pos="1253"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 Expenditures</w:t>
      </w:r>
      <w:r>
        <w:rPr>
          <w:rFonts w:ascii="Times New Roman" w:cs="Times New Roman" w:eastAsia="Times New Roman" w:hAnsi="Times New Roman"/>
          <w:sz w:val="21"/>
          <w:szCs w:val="21"/>
          <w:color w:val="auto"/>
        </w:rPr>
        <w:t>. If reasonably requested by the Administrative Agent, a schedule of such Fiscal Year’s capital expenditures and a budget for the next Fiscal Year’s planned capital expenditures for each Consolidated Business that is a Real Property Business;</w:t>
      </w:r>
    </w:p>
    <w:p>
      <w:pPr>
        <w:spacing w:after="0" w:line="147" w:lineRule="exact"/>
        <w:rPr>
          <w:rFonts w:ascii="Times New Roman" w:cs="Times New Roman" w:eastAsia="Times New Roman" w:hAnsi="Times New Roman"/>
          <w:sz w:val="21"/>
          <w:szCs w:val="21"/>
          <w:color w:val="auto"/>
        </w:rPr>
      </w:pPr>
    </w:p>
    <w:p>
      <w:pPr>
        <w:jc w:val="both"/>
        <w:ind w:right="60" w:firstLine="622"/>
        <w:spacing w:after="0" w:line="224" w:lineRule="auto"/>
        <w:tabs>
          <w:tab w:leader="none" w:pos="1253"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Borrower’s Credit Rating or Beneficial Ownership</w:t>
      </w:r>
      <w:r>
        <w:rPr>
          <w:rFonts w:ascii="Times New Roman" w:cs="Times New Roman" w:eastAsia="Times New Roman" w:hAnsi="Times New Roman"/>
          <w:sz w:val="21"/>
          <w:szCs w:val="21"/>
          <w:color w:val="auto"/>
        </w:rPr>
        <w:t>. Within two (2) Banking Days after Borrower’s receipt of notice of any change in Borrower’s Credit Rating, written notice of such change, and prompt notice of any change in the information provided in any Beneficial Ownership Certification delivered to any Bank that would result in a change to the list of beneficial owners identified in such certification; and</w:t>
      </w:r>
    </w:p>
    <w:p>
      <w:pPr>
        <w:spacing w:after="0" w:line="146" w:lineRule="exact"/>
        <w:rPr>
          <w:rFonts w:ascii="Times New Roman" w:cs="Times New Roman" w:eastAsia="Times New Roman" w:hAnsi="Times New Roman"/>
          <w:sz w:val="21"/>
          <w:szCs w:val="21"/>
          <w:color w:val="auto"/>
        </w:rPr>
      </w:pPr>
    </w:p>
    <w:p>
      <w:pPr>
        <w:ind w:right="340" w:firstLine="622"/>
        <w:spacing w:after="0" w:line="241" w:lineRule="auto"/>
        <w:tabs>
          <w:tab w:leader="none" w:pos="1253"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Pricing Certificate Inaccuracy</w:t>
      </w:r>
      <w:r>
        <w:rPr>
          <w:rFonts w:ascii="Times New Roman" w:cs="Times New Roman" w:eastAsia="Times New Roman" w:hAnsi="Times New Roman"/>
          <w:sz w:val="21"/>
          <w:szCs w:val="21"/>
          <w:color w:val="auto"/>
        </w:rPr>
        <w:t>. Promptly following obtaining actual knowledge thereof, notice of a Pricing Certificate Inaccuracy;</w:t>
      </w:r>
    </w:p>
    <w:p>
      <w:pPr>
        <w:spacing w:after="0" w:line="143" w:lineRule="exact"/>
        <w:rPr>
          <w:rFonts w:ascii="Times New Roman" w:cs="Times New Roman" w:eastAsia="Times New Roman" w:hAnsi="Times New Roman"/>
          <w:sz w:val="21"/>
          <w:szCs w:val="21"/>
          <w:color w:val="auto"/>
        </w:rPr>
      </w:pPr>
    </w:p>
    <w:p>
      <w:pPr>
        <w:ind w:right="100" w:firstLine="622"/>
        <w:spacing w:after="0" w:line="229" w:lineRule="auto"/>
        <w:tabs>
          <w:tab w:leader="none" w:pos="1253"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Information</w:t>
      </w:r>
      <w:r>
        <w:rPr>
          <w:rFonts w:ascii="Times New Roman" w:cs="Times New Roman" w:eastAsia="Times New Roman" w:hAnsi="Times New Roman"/>
          <w:sz w:val="21"/>
          <w:szCs w:val="21"/>
          <w:color w:val="auto"/>
        </w:rPr>
        <w:t>. Promptly, (a) such other information respecting the condition or operations, financial or otherwise (including information and documentation reasonably requested by the Administrative Agent or any Bank for purposes of compliance with applicable “know-your-customer” requirements, Anti-Corruption Laws,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63</w:t>
      </w:r>
    </w:p>
    <w:p>
      <w:pPr>
        <w:sectPr>
          <w:pgSz w:w="11900" w:h="16838" w:orient="portrait"/>
          <w:cols w:equalWidth="0" w:num="1">
            <w:col w:w="10520"/>
          </w:cols>
          <w:pgMar w:left="960" w:top="1108" w:right="419" w:bottom="1440" w:gutter="0" w:footer="0" w:header="0"/>
        </w:sectPr>
      </w:pPr>
    </w:p>
    <w:bookmarkStart w:id="220" w:name="page221"/>
    <w:bookmarkEnd w:id="220"/>
    <w:p>
      <w:pPr>
        <w:ind w:left="640" w:right="60"/>
        <w:spacing w:after="0" w:line="219" w:lineRule="auto"/>
        <w:rPr>
          <w:sz w:val="20"/>
          <w:szCs w:val="20"/>
          <w:color w:val="auto"/>
        </w:rPr>
      </w:pPr>
      <w:r>
        <w:rPr>
          <w:rFonts w:ascii="Times New Roman" w:cs="Times New Roman" w:eastAsia="Times New Roman" w:hAnsi="Times New Roman"/>
          <w:sz w:val="21"/>
          <w:szCs w:val="21"/>
          <w:color w:val="auto"/>
        </w:rPr>
        <w:t>including the Patriot Act, and the Beneficial Ownership Regulation), of Borrower or any properties of Borrower as Administrative Agent or any Bank may from time to time reasonably request and (b) such other non-confidential and non-privileged information regarding sustainability matters and practices of the Borrower (including with respect to sustainability initiatives or strategy, corporate governance, environmental, social and employee matters, respect for human rights, anti-corruption and anti-bribery) as the Administrative Agent or any Bank may reasonably request for purposes of compliance with any legal or regulatory requirement or internal policies applicable to it.</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ARTICLE VII</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NEGATIVE COVENANTS</w:t>
      </w:r>
    </w:p>
    <w:p>
      <w:pPr>
        <w:spacing w:after="0" w:line="204"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21"/>
          <w:szCs w:val="21"/>
          <w:color w:val="auto"/>
        </w:rPr>
        <w:t>So long as any of the Loans shall remain unpaid, or the Loan Commitments remain in effect, or any other amount is owing by Borrower to Administrative Agent or any Bank hereunder or under any other Loan Document remains outstanding, Borrower shall not do any or all of the following:</w:t>
      </w:r>
    </w:p>
    <w:p>
      <w:pPr>
        <w:spacing w:after="0" w:line="162" w:lineRule="exact"/>
        <w:rPr>
          <w:sz w:val="20"/>
          <w:szCs w:val="20"/>
          <w:color w:val="auto"/>
        </w:rPr>
      </w:pPr>
    </w:p>
    <w:p>
      <w:pPr>
        <w:ind w:firstLine="1257"/>
        <w:spacing w:after="0" w:line="252" w:lineRule="auto"/>
        <w:rPr>
          <w:sz w:val="20"/>
          <w:szCs w:val="20"/>
          <w:color w:val="auto"/>
        </w:rPr>
      </w:pPr>
      <w:r>
        <w:rPr>
          <w:rFonts w:ascii="Times New Roman" w:cs="Times New Roman" w:eastAsia="Times New Roman" w:hAnsi="Times New Roman"/>
          <w:sz w:val="21"/>
          <w:szCs w:val="21"/>
          <w:color w:val="auto"/>
        </w:rPr>
        <w:t xml:space="preserve">SECTION 7.01 </w:t>
      </w:r>
      <w:r>
        <w:rPr>
          <w:rFonts w:ascii="Times New Roman" w:cs="Times New Roman" w:eastAsia="Times New Roman" w:hAnsi="Times New Roman"/>
          <w:sz w:val="21"/>
          <w:szCs w:val="21"/>
          <w:u w:val="single" w:color="auto"/>
          <w:color w:val="auto"/>
        </w:rPr>
        <w:t>Mergers, Etc.</w:t>
      </w:r>
      <w:r>
        <w:rPr>
          <w:rFonts w:ascii="Times New Roman" w:cs="Times New Roman" w:eastAsia="Times New Roman" w:hAnsi="Times New Roman"/>
          <w:sz w:val="21"/>
          <w:szCs w:val="21"/>
          <w:color w:val="auto"/>
        </w:rPr>
        <w:t xml:space="preserve"> Without the Required Banks’ consent (which shall not be unreasonably withheld) merge or consolidate with (except where Borrower or General Partner is the surviving entity, or in a transaction of which the purpose is to redomesticate such entity in another United States jurisdiction, and no Default or Event of Default has occurred and is continuing (except where such Default or Event of Default shall be cured concurrently with the effectuation of such merger, consolidation or transaction)), or sell, assign, lease or otherwise dispose of (whether in one transaction or in a series of transactions, including pursuant to a limited liability company division described below) Borrower’s or General Partner’s assets substantially as an entirety (whether now owned or hereafter acquired), or if Borrower or General Partner changes its form of organization to a limited liability company, divide itself into two or more limited liability companies or series thereof (pursuant to a “plan of division” as contemplated under the Delaware Limited Liability Company Act or otherwise), or enter into any agreement to do any of the foregoing (unless Borrower’s obligation to close thereunder is conditioned on obtaining the Required Banks’ consent). Without the Required Banks’ consent (which shall not be unreasonably withheld) neither Borrower nor General Partner shall liquidate, wind up or dissolve (or suffer any liquidation or dissolution) or discontinue its business.</w:t>
      </w:r>
    </w:p>
    <w:p>
      <w:pPr>
        <w:spacing w:after="0" w:line="62" w:lineRule="exact"/>
        <w:rPr>
          <w:sz w:val="20"/>
          <w:szCs w:val="20"/>
          <w:color w:val="auto"/>
        </w:rPr>
      </w:pPr>
    </w:p>
    <w:p>
      <w:pPr>
        <w:ind w:left="1260"/>
        <w:spacing w:after="0"/>
        <w:tabs>
          <w:tab w:leader="none" w:pos="3120" w:val="left"/>
        </w:tabs>
        <w:rPr>
          <w:sz w:val="20"/>
          <w:szCs w:val="20"/>
          <w:color w:val="auto"/>
        </w:rPr>
      </w:pPr>
      <w:r>
        <w:rPr>
          <w:rFonts w:ascii="Times New Roman" w:cs="Times New Roman" w:eastAsia="Times New Roman" w:hAnsi="Times New Roman"/>
          <w:sz w:val="21"/>
          <w:szCs w:val="21"/>
          <w:color w:val="auto"/>
        </w:rPr>
        <w:t>SECTION 7.02</w:t>
      </w:r>
      <w:r>
        <w:rPr>
          <w:sz w:val="20"/>
          <w:szCs w:val="20"/>
          <w:color w:val="auto"/>
        </w:rPr>
        <w:tab/>
      </w:r>
      <w:r>
        <w:rPr>
          <w:rFonts w:ascii="Times New Roman" w:cs="Times New Roman" w:eastAsia="Times New Roman" w:hAnsi="Times New Roman"/>
          <w:sz w:val="20"/>
          <w:szCs w:val="20"/>
          <w:u w:val="single" w:color="auto"/>
          <w:color w:val="auto"/>
        </w:rPr>
        <w:t>Distributions</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ind w:right="360" w:firstLine="629"/>
        <w:spacing w:after="0" w:line="280" w:lineRule="auto"/>
        <w:rPr>
          <w:sz w:val="20"/>
          <w:szCs w:val="20"/>
          <w:color w:val="auto"/>
        </w:rPr>
      </w:pPr>
      <w:r>
        <w:rPr>
          <w:rFonts w:ascii="Times New Roman" w:cs="Times New Roman" w:eastAsia="Times New Roman" w:hAnsi="Times New Roman"/>
          <w:sz w:val="21"/>
          <w:szCs w:val="21"/>
          <w:color w:val="auto"/>
        </w:rPr>
        <w:t>Distribute cash and other property to the General Partner except only in anticipation of payment by the General Partner of dividends to its shareholders.</w:t>
      </w:r>
    </w:p>
    <w:p>
      <w:pPr>
        <w:spacing w:after="0" w:line="118" w:lineRule="exact"/>
        <w:rPr>
          <w:sz w:val="20"/>
          <w:szCs w:val="20"/>
          <w:color w:val="auto"/>
        </w:rPr>
      </w:pPr>
    </w:p>
    <w:p>
      <w:pPr>
        <w:ind w:left="1260"/>
        <w:spacing w:after="0"/>
        <w:tabs>
          <w:tab w:leader="none" w:pos="3120" w:val="left"/>
        </w:tabs>
        <w:rPr>
          <w:sz w:val="20"/>
          <w:szCs w:val="20"/>
          <w:color w:val="auto"/>
        </w:rPr>
      </w:pPr>
      <w:r>
        <w:rPr>
          <w:rFonts w:ascii="Times New Roman" w:cs="Times New Roman" w:eastAsia="Times New Roman" w:hAnsi="Times New Roman"/>
          <w:sz w:val="21"/>
          <w:szCs w:val="21"/>
          <w:color w:val="auto"/>
        </w:rPr>
        <w:t>SECTION 7.03</w:t>
      </w:r>
      <w:r>
        <w:rPr>
          <w:sz w:val="20"/>
          <w:szCs w:val="20"/>
          <w:color w:val="auto"/>
        </w:rPr>
        <w:tab/>
      </w:r>
      <w:r>
        <w:rPr>
          <w:rFonts w:ascii="Times New Roman" w:cs="Times New Roman" w:eastAsia="Times New Roman" w:hAnsi="Times New Roman"/>
          <w:sz w:val="20"/>
          <w:szCs w:val="20"/>
          <w:u w:val="single" w:color="auto"/>
          <w:color w:val="auto"/>
        </w:rPr>
        <w:t>Amendments to Organizational Documents</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right="80" w:firstLine="1262"/>
        <w:spacing w:after="0" w:line="242" w:lineRule="auto"/>
        <w:tabs>
          <w:tab w:leader="none" w:pos="188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Borrower’s agreement of limited partnership or other organizational documents in any manner that would result in a Material Adverse Change without the Required Banks’ consent, which consent shall not be unreasonably withheld. Without limitation of the foregoing, no Person shall be admitted as a general partner of the Borrower other than General Partner.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64</w:t>
      </w:r>
    </w:p>
    <w:p>
      <w:pPr>
        <w:sectPr>
          <w:pgSz w:w="11900" w:h="16838" w:orient="portrait"/>
          <w:cols w:equalWidth="0" w:num="1">
            <w:col w:w="11200"/>
          </w:cols>
          <w:pgMar w:left="320" w:top="1107" w:right="379" w:bottom="1440" w:gutter="0" w:footer="0" w:header="0"/>
        </w:sectPr>
      </w:pPr>
    </w:p>
    <w:bookmarkStart w:id="221" w:name="page222"/>
    <w:bookmarkEnd w:id="221"/>
    <w:p>
      <w:pPr>
        <w:ind w:right="100" w:firstLine="1577"/>
        <w:spacing w:after="0" w:line="263" w:lineRule="auto"/>
        <w:tabs>
          <w:tab w:leader="none" w:pos="1882"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“in-kind” transfer of any of Borrower’s property or assets to any of Borrower’s constituent partners if such transfer would result in an Event of Default, without, in each case, the Required Banks’ consent, which consent shall not be unreasonably withheld.</w:t>
      </w:r>
    </w:p>
    <w:p>
      <w:pPr>
        <w:spacing w:after="0" w:line="162" w:lineRule="exact"/>
        <w:rPr>
          <w:sz w:val="20"/>
          <w:szCs w:val="20"/>
          <w:color w:val="auto"/>
        </w:rPr>
      </w:pPr>
    </w:p>
    <w:p>
      <w:pPr>
        <w:ind w:right="20"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7.04 </w:t>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xml:space="preserve"> Request any Loan and the Borrower shall not use, and shall procure that its Subsidiaries and its or their respective directors, trustees, officers, employees and agents shall not use, the proceeds of any Loan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66" w:lineRule="exact"/>
        <w:rPr>
          <w:sz w:val="20"/>
          <w:szCs w:val="20"/>
          <w:color w:val="auto"/>
        </w:rPr>
      </w:pPr>
    </w:p>
    <w:p>
      <w:pPr>
        <w:ind w:right="40" w:firstLine="629"/>
        <w:spacing w:after="0" w:line="279" w:lineRule="auto"/>
        <w:rPr>
          <w:sz w:val="20"/>
          <w:szCs w:val="20"/>
          <w:color w:val="auto"/>
        </w:rPr>
      </w:pPr>
      <w:r>
        <w:rPr>
          <w:rFonts w:ascii="Times New Roman" w:cs="Times New Roman" w:eastAsia="Times New Roman" w:hAnsi="Times New Roman"/>
          <w:sz w:val="20"/>
          <w:szCs w:val="20"/>
          <w:color w:val="auto"/>
        </w:rPr>
        <w:t xml:space="preserve">SECTION 7.05 </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xml:space="preserve"> The Borrower will not, and will not permit any of its Subsidiaries to, (a) be or become a “covered foreign person”, as that term is defined in the Outbound Investment Rules, or (b) engage, directly or indirectly, in</w:t>
      </w:r>
    </w:p>
    <w:p>
      <w:pPr>
        <w:ind w:firstLine="5"/>
        <w:spacing w:after="0" w:line="252" w:lineRule="auto"/>
        <w:tabs>
          <w:tab w:leader="none" w:pos="25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Bank to be in violation of the Outbound Investment Rules or cause the Administrative Agent or any Bank to be legally prohibited by the Outbound Investment Rules from performing under this Agreement.</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ARTICLE VIII</w:t>
      </w:r>
    </w:p>
    <w:p>
      <w:pPr>
        <w:spacing w:after="0" w:line="1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FINANCIAL COVENANTS</w:t>
      </w:r>
    </w:p>
    <w:p>
      <w:pPr>
        <w:spacing w:after="0" w:line="204"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21"/>
          <w:szCs w:val="21"/>
          <w:color w:val="auto"/>
        </w:rPr>
        <w:t>So long as any of the Loans shall remain unpaid, or the Loan Commitments remain in effect, or any other amount is owing by Borrower to Administrative Agent or any Bank under this Agreement or under any other Loan Document remains outstanding, Borrower shall not permit or suffer: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SECTION 8.01 </w:t>
      </w:r>
      <w:r>
        <w:rPr>
          <w:rFonts w:ascii="Times New Roman" w:cs="Times New Roman" w:eastAsia="Times New Roman" w:hAnsi="Times New Roman"/>
          <w:sz w:val="21"/>
          <w:szCs w:val="21"/>
          <w:u w:val="single" w:color="auto"/>
          <w:color w:val="auto"/>
        </w:rPr>
        <w:t>Intentionally Omitted.</w:t>
      </w:r>
    </w:p>
    <w:p>
      <w:pPr>
        <w:spacing w:after="0" w:line="125" w:lineRule="exact"/>
        <w:rPr>
          <w:sz w:val="20"/>
          <w:szCs w:val="20"/>
          <w:color w:val="auto"/>
        </w:rPr>
      </w:pPr>
    </w:p>
    <w:p>
      <w:pPr>
        <w:ind w:right="80" w:firstLine="629"/>
        <w:spacing w:after="0" w:line="264" w:lineRule="auto"/>
        <w:rPr>
          <w:sz w:val="20"/>
          <w:szCs w:val="20"/>
          <w:color w:val="auto"/>
        </w:rPr>
      </w:pPr>
      <w:r>
        <w:rPr>
          <w:rFonts w:ascii="Times New Roman" w:cs="Times New Roman" w:eastAsia="Times New Roman" w:hAnsi="Times New Roman"/>
          <w:sz w:val="20"/>
          <w:szCs w:val="20"/>
          <w:color w:val="auto"/>
        </w:rPr>
        <w:t xml:space="preserve">SECTION 8.02 </w:t>
      </w:r>
      <w:r>
        <w:rPr>
          <w:rFonts w:ascii="Times New Roman" w:cs="Times New Roman" w:eastAsia="Times New Roman" w:hAnsi="Times New Roman"/>
          <w:sz w:val="20"/>
          <w:szCs w:val="20"/>
          <w:u w:val="single" w:color="auto"/>
          <w:color w:val="auto"/>
        </w:rPr>
        <w:t>Ratio of Total Outstanding Indebtedness to Capitalization Value.</w:t>
      </w:r>
      <w:r>
        <w:rPr>
          <w:rFonts w:ascii="Times New Roman" w:cs="Times New Roman" w:eastAsia="Times New Roman" w:hAnsi="Times New Roman"/>
          <w:sz w:val="20"/>
          <w:szCs w:val="20"/>
          <w:color w:val="auto"/>
        </w:rPr>
        <w:t xml:space="preserve"> Total Outstanding Indebtedness to exceed sixty percent (60%) of Capitalization Value, each measured as of the most recently ended calendar quarter; for purposes of this covenant, (i) Total Outstanding Indebtedness shall be adjusted by deducting therefrom an amount equal to the lesser of (x) Total Outstanding Indebtedness that by its terms is either (1) scheduled to mature (including by reason of the election of the borrower of such debt to redeem such debt prior to its maturity) on or before the date that is 24 months from the date of calculation, or (2) convertible Debt with the right to put all or a portion thereof on or before the date that is 24 months from the date of calculation, and</w:t>
      </w:r>
    </w:p>
    <w:p>
      <w:pPr>
        <w:spacing w:after="0" w:line="1" w:lineRule="exact"/>
        <w:rPr>
          <w:sz w:val="20"/>
          <w:szCs w:val="20"/>
          <w:color w:val="auto"/>
        </w:rPr>
      </w:pPr>
    </w:p>
    <w:p>
      <w:pPr>
        <w:ind w:left="300" w:hanging="295"/>
        <w:spacing w:after="0"/>
        <w:tabs>
          <w:tab w:leader="none" w:pos="30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Unrestricted Cash and Cash Equivalents, and (ii) Capitalization Value shall be adjusted by deducting therefrom the amount by</w:t>
      </w:r>
    </w:p>
    <w:p>
      <w:pPr>
        <w:spacing w:after="0" w:line="18" w:lineRule="exact"/>
        <w:rPr>
          <w:rFonts w:ascii="Times New Roman" w:cs="Times New Roman" w:eastAsia="Times New Roman" w:hAnsi="Times New Roman"/>
          <w:sz w:val="21"/>
          <w:szCs w:val="21"/>
          <w:color w:val="auto"/>
        </w:rPr>
      </w:pPr>
    </w:p>
    <w:p>
      <w:pPr>
        <w:ind w:right="20"/>
        <w:spacing w:after="0" w:line="25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Total Outstanding Indebtedness is adjusted under clause (i); for purposes of determining Capitalization Value for this covenant only, (A) costs and expenses incurred during the applicable period with respect to acquisitions and lending transactions that failed to close and were abandoned during such period shall not be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65</w:t>
      </w:r>
    </w:p>
    <w:p>
      <w:pPr>
        <w:sectPr>
          <w:pgSz w:w="11900" w:h="16838" w:orient="portrait"/>
          <w:cols w:equalWidth="0" w:num="1">
            <w:col w:w="11200"/>
          </w:cols>
          <w:pgMar w:left="320" w:top="1134" w:right="379" w:bottom="1440" w:gutter="0" w:footer="0" w:header="0"/>
        </w:sectPr>
      </w:pPr>
    </w:p>
    <w:bookmarkStart w:id="222" w:name="page223"/>
    <w:bookmarkEnd w:id="222"/>
    <w:p>
      <w:pPr>
        <w:ind w:right="880"/>
        <w:spacing w:after="0" w:line="256" w:lineRule="auto"/>
        <w:rPr>
          <w:sz w:val="20"/>
          <w:szCs w:val="20"/>
          <w:color w:val="auto"/>
        </w:rPr>
      </w:pPr>
      <w:r>
        <w:rPr>
          <w:rFonts w:ascii="Times New Roman" w:cs="Times New Roman" w:eastAsia="Times New Roman" w:hAnsi="Times New Roman"/>
          <w:sz w:val="21"/>
          <w:szCs w:val="21"/>
          <w:color w:val="auto"/>
        </w:rPr>
        <w:t>deducted in determining EBITDA, and (B) Unrestricted Cash and Cash Equivalents shall be adjusted to deduct therefrom $35,000,000; and for purposes of clause (i)(y) above, Unrestricted Cash and Cash Equivalents shall be without inclusion of Borrower’s Pro Rata Share of any Cash or Cash Equivalents owned by any UJV.</w:t>
      </w:r>
    </w:p>
    <w:p>
      <w:pPr>
        <w:ind w:left="1260"/>
        <w:spacing w:after="0"/>
        <w:tabs>
          <w:tab w:leader="none" w:pos="3120" w:val="left"/>
        </w:tabs>
        <w:rPr>
          <w:sz w:val="20"/>
          <w:szCs w:val="20"/>
          <w:color w:val="auto"/>
        </w:rPr>
      </w:pPr>
      <w:r>
        <w:rPr>
          <w:rFonts w:ascii="Times New Roman" w:cs="Times New Roman" w:eastAsia="Times New Roman" w:hAnsi="Times New Roman"/>
          <w:sz w:val="21"/>
          <w:szCs w:val="21"/>
          <w:color w:val="auto"/>
        </w:rPr>
        <w:t>SECTION 8.03</w:t>
      </w:r>
      <w:r>
        <w:rPr>
          <w:sz w:val="20"/>
          <w:szCs w:val="20"/>
          <w:color w:val="auto"/>
        </w:rPr>
        <w:tab/>
      </w:r>
      <w:r>
        <w:rPr>
          <w:rFonts w:ascii="Times New Roman" w:cs="Times New Roman" w:eastAsia="Times New Roman" w:hAnsi="Times New Roman"/>
          <w:sz w:val="21"/>
          <w:szCs w:val="21"/>
          <w:u w:val="single" w:color="auto"/>
          <w:color w:val="auto"/>
        </w:rPr>
        <w:t>Intentionally Omitted</w:t>
      </w:r>
    </w:p>
    <w:p>
      <w:pPr>
        <w:spacing w:after="0" w:line="151" w:lineRule="exact"/>
        <w:rPr>
          <w:sz w:val="20"/>
          <w:szCs w:val="20"/>
          <w:color w:val="auto"/>
        </w:rPr>
      </w:pPr>
    </w:p>
    <w:p>
      <w:pPr>
        <w:ind w:right="40" w:firstLine="1257"/>
        <w:spacing w:after="0" w:line="259" w:lineRule="auto"/>
        <w:rPr>
          <w:sz w:val="20"/>
          <w:szCs w:val="20"/>
          <w:color w:val="auto"/>
        </w:rPr>
      </w:pPr>
      <w:r>
        <w:rPr>
          <w:rFonts w:ascii="Times New Roman" w:cs="Times New Roman" w:eastAsia="Times New Roman" w:hAnsi="Times New Roman"/>
          <w:sz w:val="21"/>
          <w:szCs w:val="21"/>
          <w:color w:val="auto"/>
        </w:rPr>
        <w:t xml:space="preserve">SECTION 8.04 </w:t>
      </w:r>
      <w:r>
        <w:rPr>
          <w:rFonts w:ascii="Times New Roman" w:cs="Times New Roman" w:eastAsia="Times New Roman" w:hAnsi="Times New Roman"/>
          <w:sz w:val="21"/>
          <w:szCs w:val="21"/>
          <w:u w:val="single" w:color="auto"/>
          <w:color w:val="auto"/>
        </w:rPr>
        <w:t>Ratio of Combined EBITDA to Fixed Charges.</w:t>
      </w:r>
      <w:r>
        <w:rPr>
          <w:rFonts w:ascii="Times New Roman" w:cs="Times New Roman" w:eastAsia="Times New Roman" w:hAnsi="Times New Roman"/>
          <w:sz w:val="21"/>
          <w:szCs w:val="21"/>
          <w:color w:val="auto"/>
        </w:rPr>
        <w:t xml:space="preserve"> The ratio of Combined EBITDA for the period of four calendar quarters then ended to Fixed Charges for such period, each measured as of the most recently ended calendar quarter, to be less than 1.40 to 1.00.</w:t>
      </w:r>
    </w:p>
    <w:p>
      <w:pPr>
        <w:spacing w:after="0" w:line="2" w:lineRule="exact"/>
        <w:rPr>
          <w:sz w:val="20"/>
          <w:szCs w:val="20"/>
          <w:color w:val="auto"/>
        </w:rPr>
      </w:pPr>
    </w:p>
    <w:p>
      <w:pPr>
        <w:ind w:right="580" w:firstLine="1257"/>
        <w:spacing w:after="0" w:line="251" w:lineRule="auto"/>
        <w:rPr>
          <w:sz w:val="20"/>
          <w:szCs w:val="20"/>
          <w:color w:val="auto"/>
        </w:rPr>
      </w:pPr>
      <w:r>
        <w:rPr>
          <w:rFonts w:ascii="Times New Roman" w:cs="Times New Roman" w:eastAsia="Times New Roman" w:hAnsi="Times New Roman"/>
          <w:sz w:val="21"/>
          <w:szCs w:val="21"/>
          <w:color w:val="auto"/>
        </w:rPr>
        <w:t xml:space="preserve">SECTION 8.05 </w:t>
      </w:r>
      <w:r>
        <w:rPr>
          <w:rFonts w:ascii="Times New Roman" w:cs="Times New Roman" w:eastAsia="Times New Roman" w:hAnsi="Times New Roman"/>
          <w:sz w:val="21"/>
          <w:szCs w:val="21"/>
          <w:u w:val="single" w:color="auto"/>
          <w:color w:val="auto"/>
        </w:rPr>
        <w:t>Ratio of Unencumbered Combined EBITDA to Unsecured Interest Expense.</w:t>
      </w:r>
      <w:r>
        <w:rPr>
          <w:rFonts w:ascii="Times New Roman" w:cs="Times New Roman" w:eastAsia="Times New Roman" w:hAnsi="Times New Roman"/>
          <w:sz w:val="21"/>
          <w:szCs w:val="21"/>
          <w:color w:val="auto"/>
        </w:rPr>
        <w:t xml:space="preserve"> The ratio of Unencumbered Combined EBITDA for the period of four calendar quarters then ended to Unsecured Interest Expense for such period, each measured as of the most recently ended calendar quarter, to be less than 1.75 to 1.00.</w:t>
      </w:r>
    </w:p>
    <w:p>
      <w:pPr>
        <w:spacing w:after="0" w:line="17" w:lineRule="exact"/>
        <w:rPr>
          <w:sz w:val="20"/>
          <w:szCs w:val="20"/>
          <w:color w:val="auto"/>
        </w:rPr>
      </w:pPr>
    </w:p>
    <w:p>
      <w:pPr>
        <w:ind w:firstLine="1257"/>
        <w:spacing w:after="0" w:line="252" w:lineRule="auto"/>
        <w:rPr>
          <w:sz w:val="20"/>
          <w:szCs w:val="20"/>
          <w:color w:val="auto"/>
        </w:rPr>
      </w:pPr>
      <w:r>
        <w:rPr>
          <w:rFonts w:ascii="Times New Roman" w:cs="Times New Roman" w:eastAsia="Times New Roman" w:hAnsi="Times New Roman"/>
          <w:sz w:val="21"/>
          <w:szCs w:val="21"/>
          <w:color w:val="auto"/>
        </w:rPr>
        <w:t xml:space="preserve">SECTION 8.06 </w:t>
      </w:r>
      <w:r>
        <w:rPr>
          <w:rFonts w:ascii="Times New Roman" w:cs="Times New Roman" w:eastAsia="Times New Roman" w:hAnsi="Times New Roman"/>
          <w:sz w:val="21"/>
          <w:szCs w:val="21"/>
          <w:u w:val="single" w:color="auto"/>
          <w:color w:val="auto"/>
        </w:rPr>
        <w:t>Ratio of Unsecured Indebtedness to Capitalization Value of Unencumbered Assets.</w:t>
      </w:r>
      <w:r>
        <w:rPr>
          <w:rFonts w:ascii="Times New Roman" w:cs="Times New Roman" w:eastAsia="Times New Roman" w:hAnsi="Times New Roman"/>
          <w:sz w:val="21"/>
          <w:szCs w:val="21"/>
          <w:color w:val="auto"/>
        </w:rPr>
        <w:t xml:space="preserve"> Unsecured Indebtedness to exceed sixty percent (60%) of Capitalization Value of Unencumbered Assets, each measured as of the most recently ended calendar quarter for purposes of this covenant, (i) Unsecured Indebtedness shall be adjusted by deducting therefrom an amount equal to the lesser of (x) Unsecured Indebtedness that by its terms is either (1) scheduled to mature (including by reason of the election of the borrower of such debt to redeem such debt prior to its maturity) on or before the date that is 24 months from the date of calculation, or (2) convertible Debt with the right to put all or a portion thereof on or before the date that is 24 months from the date of calculation, and (y) Unrestricted Cash and Cash Equivalents or such lesser amount of Unrestricted Cash and Cash Equivalents as Borrower shall specify for this purpose (the “Unsecured Indebtedness Adjustment”), and (ii) Capitalization Value shall be adjusted by deducting therefrom the Unsecured Indebtedness Adjustment; for purposes of determining Capitalization Value of Unencumbered Assets for this covenant only, (A) costs and expenses incurred during the applicable period with respect to acquisitions and lending transactions that failed to close and were abandoned during such period shall not be deducted in determining EBITDA; and (B) Unrestricted Cash and Cash Equivalents shall be adjusted to deduct therefrom $35,000,000; and for purposes of clause (i)(y) above, Unrestricted Cash and Cash Equivalents shall be adjusted to deduct therefrom any Unrestricted Cash and Cash Equivalents used to determine the Secured Indebtedness Adjustment in Section 8.07 and be without inclusion of Borrower’s Pro Rata Share of any Cash or Cash Equivalents owned by any UJV.</w:t>
      </w:r>
    </w:p>
    <w:p>
      <w:pPr>
        <w:spacing w:after="0" w:line="74" w:lineRule="exact"/>
        <w:rPr>
          <w:sz w:val="20"/>
          <w:szCs w:val="20"/>
          <w:color w:val="auto"/>
        </w:rPr>
      </w:pPr>
    </w:p>
    <w:p>
      <w:pPr>
        <w:ind w:right="80" w:firstLine="1257"/>
        <w:spacing w:after="0" w:line="255" w:lineRule="auto"/>
        <w:rPr>
          <w:sz w:val="20"/>
          <w:szCs w:val="20"/>
          <w:color w:val="auto"/>
        </w:rPr>
      </w:pPr>
      <w:r>
        <w:rPr>
          <w:rFonts w:ascii="Times New Roman" w:cs="Times New Roman" w:eastAsia="Times New Roman" w:hAnsi="Times New Roman"/>
          <w:sz w:val="21"/>
          <w:szCs w:val="21"/>
          <w:color w:val="auto"/>
        </w:rPr>
        <w:t xml:space="preserve">SECTION 8.07 </w:t>
      </w:r>
      <w:r>
        <w:rPr>
          <w:rFonts w:ascii="Times New Roman" w:cs="Times New Roman" w:eastAsia="Times New Roman" w:hAnsi="Times New Roman"/>
          <w:sz w:val="21"/>
          <w:szCs w:val="21"/>
          <w:u w:val="single" w:color="auto"/>
          <w:color w:val="auto"/>
        </w:rPr>
        <w:t>Ratio of Secured Indebtedness to Capitalization Value.</w:t>
      </w:r>
      <w:r>
        <w:rPr>
          <w:rFonts w:ascii="Times New Roman" w:cs="Times New Roman" w:eastAsia="Times New Roman" w:hAnsi="Times New Roman"/>
          <w:sz w:val="21"/>
          <w:szCs w:val="21"/>
          <w:color w:val="auto"/>
        </w:rPr>
        <w:t xml:space="preserve"> The ratio of Secured Indebtedness to Capitalization Value, each measured as of the most recently ended calendar quarter, to exceed 50%; for purposes of this covenant, (i) Secured Indebtedness shall be adjusted by deducting therefrom an amount equal to the lesser of (x) Secured Indebtedness that by its terms is either (1) scheduled to mature on (including by reason of the election of the borrower of such debt to redeem such debt prior to its maturity) or before the date that is 24 months from the date of calculation, or (2) convertible Debt with the right to put all or a portion thereof on or before the date that is 24 months from the date of calculation, and (y) Unrestricted Cash and Cash Equivalents or such lesser amount of Unrestricted Cash and Cash Equivalents as Borrower shall specify for this purpose (the “</w:t>
      </w:r>
      <w:r>
        <w:rPr>
          <w:rFonts w:ascii="Times New Roman" w:cs="Times New Roman" w:eastAsia="Times New Roman" w:hAnsi="Times New Roman"/>
          <w:sz w:val="21"/>
          <w:szCs w:val="21"/>
          <w:u w:val="single" w:color="auto"/>
          <w:color w:val="auto"/>
        </w:rPr>
        <w:t>Secured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Indebtedness Adjustment</w:t>
      </w:r>
      <w:r>
        <w:rPr>
          <w:rFonts w:ascii="Times New Roman" w:cs="Times New Roman" w:eastAsia="Times New Roman" w:hAnsi="Times New Roman"/>
          <w:sz w:val="21"/>
          <w:szCs w:val="21"/>
          <w:color w:val="auto"/>
        </w:rPr>
        <w:t>”), and (ii) Capitalization Value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66</w:t>
      </w:r>
    </w:p>
    <w:p>
      <w:pPr>
        <w:sectPr>
          <w:pgSz w:w="11900" w:h="16838" w:orient="portrait"/>
          <w:cols w:equalWidth="0" w:num="1">
            <w:col w:w="11220"/>
          </w:cols>
          <w:pgMar w:left="320" w:top="1134" w:right="359" w:bottom="1440" w:gutter="0" w:footer="0" w:header="0"/>
        </w:sectPr>
      </w:pPr>
    </w:p>
    <w:bookmarkStart w:id="223" w:name="page224"/>
    <w:bookmarkEnd w:id="223"/>
    <w:p>
      <w:pPr>
        <w:ind w:right="20"/>
        <w:spacing w:after="0" w:line="255" w:lineRule="auto"/>
        <w:rPr>
          <w:sz w:val="20"/>
          <w:szCs w:val="20"/>
          <w:color w:val="auto"/>
        </w:rPr>
      </w:pPr>
      <w:r>
        <w:rPr>
          <w:rFonts w:ascii="Times New Roman" w:cs="Times New Roman" w:eastAsia="Times New Roman" w:hAnsi="Times New Roman"/>
          <w:sz w:val="21"/>
          <w:szCs w:val="21"/>
          <w:color w:val="auto"/>
        </w:rPr>
        <w:t>shall be adjusted by deducting therefrom the Secured Indebtedness Adjustment; for purposes of determining Capitalization Value for this covenant only, (A) costs and expenses incurred during the applicable period with respect to acquisitions and lending transactions that failed to close and were abandoned during such period shall not be deducted in determining EBITDA, and (B) Unrestricted Cash and Cash Equivalents shall be adjusted to deduct therefrom $35,000,000; and for purposes of clause (i)(y) above, Unrestricted Cash and Cash Equivalents shall be adjusted to deduct therefrom any Unrestricted Cash and Cash Equivalents used to determine the Unsecured Indebtedness Adjustment in Section 8.06 and be without inclusion of Borrower’s Pro Rata Share of any Cash or Cash Equivalents owned by any UJV.</w:t>
      </w:r>
    </w:p>
    <w:p>
      <w:pPr>
        <w:spacing w:after="0" w:line="64" w:lineRule="exact"/>
        <w:rPr>
          <w:sz w:val="20"/>
          <w:szCs w:val="20"/>
          <w:color w:val="auto"/>
        </w:rPr>
      </w:pPr>
    </w:p>
    <w:p>
      <w:pPr>
        <w:ind w:firstLine="1257"/>
        <w:spacing w:after="0" w:line="263" w:lineRule="auto"/>
        <w:rPr>
          <w:sz w:val="20"/>
          <w:szCs w:val="20"/>
          <w:color w:val="auto"/>
        </w:rPr>
      </w:pPr>
      <w:r>
        <w:rPr>
          <w:rFonts w:ascii="Times New Roman" w:cs="Times New Roman" w:eastAsia="Times New Roman" w:hAnsi="Times New Roman"/>
          <w:sz w:val="21"/>
          <w:szCs w:val="21"/>
          <w:color w:val="auto"/>
        </w:rPr>
        <w:t xml:space="preserve">SECTION 8.08 </w:t>
      </w:r>
      <w:r>
        <w:rPr>
          <w:rFonts w:ascii="Times New Roman" w:cs="Times New Roman" w:eastAsia="Times New Roman" w:hAnsi="Times New Roman"/>
          <w:sz w:val="21"/>
          <w:szCs w:val="21"/>
          <w:u w:val="single" w:color="auto"/>
          <w:color w:val="auto"/>
        </w:rPr>
        <w:t>Debt of the General Partner.</w:t>
      </w:r>
      <w:r>
        <w:rPr>
          <w:rFonts w:ascii="Times New Roman" w:cs="Times New Roman" w:eastAsia="Times New Roman" w:hAnsi="Times New Roman"/>
          <w:sz w:val="21"/>
          <w:szCs w:val="21"/>
          <w:color w:val="auto"/>
        </w:rPr>
        <w:t xml:space="preserve"> Notwithstanding anything contained herein to the contrary, any Debt of the General Partner shall be deemed to be Debt of the Borrower (provided that the same shall be without duplication), for purposes of calculating the financial covenants set forth in this Article VIII.</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IX</w:t>
      </w:r>
    </w:p>
    <w:p>
      <w:pPr>
        <w:spacing w:after="0" w:line="17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EVENTS OF DEFAULT</w:t>
      </w: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 xml:space="preserve">SECTION 9.01 </w:t>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 xml:space="preserve"> Any of the following events shall be an “Event of Default”:</w:t>
      </w:r>
    </w:p>
    <w:p>
      <w:pPr>
        <w:spacing w:after="0" w:line="112" w:lineRule="exact"/>
        <w:rPr>
          <w:sz w:val="20"/>
          <w:szCs w:val="20"/>
          <w:color w:val="auto"/>
        </w:rPr>
      </w:pPr>
    </w:p>
    <w:p>
      <w:pPr>
        <w:jc w:val="both"/>
        <w:ind w:left="640" w:right="20" w:firstLine="622"/>
        <w:spacing w:after="0" w:line="275" w:lineRule="auto"/>
        <w:tabs>
          <w:tab w:leader="none" w:pos="1893"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Borrower shall fail to pay the principal of any Loans as and when due; or fail to pay interest accruing on any Loans as and when due and such failure to pay shall continue unremedied for five (5) days after the due date of such amount; or fail to pay any fee or any other amount due under this Agreement or any other Loan Document as and when due and such failure to pay shall continue unremedied for five (5) days after notice by Administrative Agent of such failure to pay;</w:t>
      </w:r>
    </w:p>
    <w:p>
      <w:pPr>
        <w:spacing w:after="0" w:line="164" w:lineRule="exact"/>
        <w:rPr>
          <w:rFonts w:ascii="Times New Roman" w:cs="Times New Roman" w:eastAsia="Times New Roman" w:hAnsi="Times New Roman"/>
          <w:sz w:val="20"/>
          <w:szCs w:val="20"/>
          <w:color w:val="auto"/>
        </w:rPr>
      </w:pPr>
    </w:p>
    <w:p>
      <w:pPr>
        <w:ind w:left="640" w:right="180" w:firstLine="622"/>
        <w:spacing w:after="0" w:line="258" w:lineRule="auto"/>
        <w:tabs>
          <w:tab w:leader="none" w:pos="1893"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representation or warranty made or deemed made by Borrower in this Agreement or in any other Loan Document or which is contained in any certificate, document, opinion, financial or other statement furnished at any time under or in connection with a Loan Document shall prove to have been incorrect in any material respect on or as of the date made or deemed made;</w:t>
      </w:r>
    </w:p>
    <w:p>
      <w:pPr>
        <w:spacing w:after="0" w:line="166" w:lineRule="exact"/>
        <w:rPr>
          <w:rFonts w:ascii="Times New Roman" w:cs="Times New Roman" w:eastAsia="Times New Roman" w:hAnsi="Times New Roman"/>
          <w:sz w:val="21"/>
          <w:szCs w:val="21"/>
          <w:color w:val="auto"/>
        </w:rPr>
      </w:pPr>
    </w:p>
    <w:p>
      <w:pPr>
        <w:ind w:left="640" w:right="40" w:firstLine="622"/>
        <w:spacing w:after="0" w:line="254" w:lineRule="auto"/>
        <w:tabs>
          <w:tab w:leader="none" w:pos="1893"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Borrower shall fail (a) to perform or observe any term, covenant or agreement contained in Section 6.01 (with respect to the legal existence of the Borrower), Section 6.09(7), Article VII or Article VIII; or (b) to perform or observe any term, covenant or agreement contained in this Agreement (other than obligations specifically referred to elsewhere in this Section 9.01) and such failure shall remain unremedied for thirty (30) consecutive calendar days after notice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any such default under clause (b) above cannot by its nature be cured within such thirty (30) day grace period and so long as Borrower shall have commenced cure within such thirty (30) day grace period and shall, at all times thereafter, diligently prosecute the same to completion, Borrower shall have an additional period of forty-five (45) days to cure such default;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is the foregoing intended to effect an extension of the Maturity Date;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67</w:t>
      </w:r>
    </w:p>
    <w:p>
      <w:pPr>
        <w:sectPr>
          <w:pgSz w:w="11900" w:h="16838" w:orient="portrait"/>
          <w:cols w:equalWidth="0" w:num="1">
            <w:col w:w="11200"/>
          </w:cols>
          <w:pgMar w:left="320" w:top="1134" w:right="379" w:bottom="1440" w:gutter="0" w:footer="0" w:header="0"/>
        </w:sectPr>
      </w:pPr>
    </w:p>
    <w:bookmarkStart w:id="224" w:name="page225"/>
    <w:bookmarkEnd w:id="224"/>
    <w:p>
      <w:pPr>
        <w:ind w:left="6" w:firstLine="622"/>
        <w:spacing w:after="0" w:line="251" w:lineRule="auto"/>
        <w:tabs>
          <w:tab w:leader="none" w:pos="1259"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Borrower shall fail (a) to pay any Debt (other than the payment obligations described in paragraph (1) of this Section 9.01 or obligations that are recourse to Borrower solely for fraud, misappropriation, environmental liability and other normal and customary bad-act carveouts to nonrecourse obligations) the Recourse portion of which to Borrower is an amount equal to or greater than Fifty Million Dollars ($50,000,000) when due (whether by scheduled maturity, required prepayment, acceleration, demand or otherwise) after the expiration of any applicable grace period, or (b) to perform or observe any material term, covenant, or condition under any agreement or instrument relating to any such Debt, when required to be performed or observed, if the effect of such failure to perform or observe is to accelerate, or to permit the acceleration of, after the giving of notice or the lapse of time, or both (other than in cases where, in the judgment of the Required Banks, meaningful discussions likely to result in (i) a waiver or cure of the failure to perform or observe, or (ii) otherwise averting such acceleration are in progress between Borrower and the obligee of such Debt; it being understood with respect to the foregoing clauses (i) and (ii) that a waiver or cure of the failure to perform or observe under any other credit facility (or any amendment related thereto) that has been acknowledged or agreed by the obligee of such Debt shall not result in an Event of Default being outstanding pursuant to this Agreement), the maturity of such Debt, or any such Debt shall be declared to be due and payable, or required to be prepaid (other than by a regularly scheduled or otherwise required prepayment, repurchase or defeasance), prior to the stated maturity thereof;</w:t>
      </w:r>
    </w:p>
    <w:p>
      <w:pPr>
        <w:spacing w:after="0" w:line="193" w:lineRule="exact"/>
        <w:rPr>
          <w:rFonts w:ascii="Times New Roman" w:cs="Times New Roman" w:eastAsia="Times New Roman" w:hAnsi="Times New Roman"/>
          <w:sz w:val="21"/>
          <w:szCs w:val="21"/>
          <w:color w:val="auto"/>
        </w:rPr>
      </w:pPr>
    </w:p>
    <w:p>
      <w:pPr>
        <w:ind w:left="6" w:right="40" w:firstLine="622"/>
        <w:spacing w:after="0" w:line="265" w:lineRule="auto"/>
        <w:tabs>
          <w:tab w:leader="none" w:pos="1259"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either Borrower or General Partner shall (a) generally not, or be unable to, or shall admit in writing its inability to, pay its debts as such debts become due; (b) make an assignment for the benefit of creditors, petition or apply to any tribunal for the appointment of a custodian, receiver or trustee for it or a substantial part of its assets; (c) commence any proceeding under any bankruptcy, reorganization, arrangement, readjustment of debt, dissolution or liquidation law or statute of any jurisdiction, whether now or hereafter in effect; (d) have had any such petition or application filed or any such proceeding shall have been commenced, against it, in which an adjudication or appointment is made or order for relief is entered, or which petition, application or proceeding remains undismissed or unstayed for a period of sixty (60) days or more;</w:t>
      </w:r>
    </w:p>
    <w:p>
      <w:pPr>
        <w:spacing w:after="0" w:line="1" w:lineRule="exact"/>
        <w:rPr>
          <w:rFonts w:ascii="Times New Roman" w:cs="Times New Roman" w:eastAsia="Times New Roman" w:hAnsi="Times New Roman"/>
          <w:sz w:val="20"/>
          <w:szCs w:val="20"/>
          <w:color w:val="auto"/>
        </w:rPr>
      </w:pPr>
    </w:p>
    <w:p>
      <w:pPr>
        <w:jc w:val="both"/>
        <w:ind w:left="6" w:right="120" w:hanging="6"/>
        <w:spacing w:after="0" w:line="252" w:lineRule="auto"/>
        <w:tabs>
          <w:tab w:leader="none" w:pos="291"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the subject of any proceeding under which all or a substantial part of its assets may be subject to seizure, forfeiture or divestiture by any governmental entity; (f) by any act or omission indicate its consent to, approval of or acquiescence in any such petition, application or proceeding or order for relief or the appointment of a custodian, receiver or trustee for all or any substantial part of its property; or (g) suffer any such custodianship, receivership or trusteeship for all or any substantial part of its property, to continue undischarged for a period of sixty (60) days or more;</w:t>
      </w:r>
    </w:p>
    <w:p>
      <w:pPr>
        <w:spacing w:after="0" w:line="175" w:lineRule="exact"/>
        <w:rPr>
          <w:rFonts w:ascii="Times New Roman" w:cs="Times New Roman" w:eastAsia="Times New Roman" w:hAnsi="Times New Roman"/>
          <w:sz w:val="21"/>
          <w:szCs w:val="21"/>
          <w:color w:val="auto"/>
        </w:rPr>
      </w:pPr>
    </w:p>
    <w:p>
      <w:pPr>
        <w:ind w:left="1246" w:hanging="618"/>
        <w:spacing w:after="0"/>
        <w:tabs>
          <w:tab w:leader="none" w:pos="1246"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one or more judgments, decrees or orders for the payment of money in excess of Fifty Million Dollars</w:t>
      </w:r>
    </w:p>
    <w:p>
      <w:pPr>
        <w:spacing w:after="0" w:line="31" w:lineRule="exact"/>
        <w:rPr>
          <w:sz w:val="20"/>
          <w:szCs w:val="20"/>
          <w:color w:val="auto"/>
        </w:rPr>
      </w:pPr>
    </w:p>
    <w:p>
      <w:pPr>
        <w:ind w:left="6" w:right="180"/>
        <w:spacing w:after="0" w:line="251" w:lineRule="auto"/>
        <w:rPr>
          <w:sz w:val="20"/>
          <w:szCs w:val="20"/>
          <w:color w:val="auto"/>
        </w:rPr>
      </w:pPr>
      <w:r>
        <w:rPr>
          <w:rFonts w:ascii="Times New Roman" w:cs="Times New Roman" w:eastAsia="Times New Roman" w:hAnsi="Times New Roman"/>
          <w:sz w:val="21"/>
          <w:szCs w:val="21"/>
          <w:color w:val="auto"/>
        </w:rPr>
        <w:t>($50,000,000) in the aggregate shall be rendered against Borrower or General Partner, and any such judgments, decrees or orders shall continue unsatisfied and in effect for a period of thirty (30) consecutive days without being vacated, discharged, satisfied or stayed or bonded pending appeal;</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86"/>
        <w:spacing w:after="0"/>
        <w:rPr>
          <w:sz w:val="20"/>
          <w:szCs w:val="20"/>
          <w:color w:val="auto"/>
        </w:rPr>
      </w:pPr>
      <w:r>
        <w:rPr>
          <w:rFonts w:ascii="Times New Roman" w:cs="Times New Roman" w:eastAsia="Times New Roman" w:hAnsi="Times New Roman"/>
          <w:sz w:val="21"/>
          <w:szCs w:val="21"/>
          <w:color w:val="auto"/>
        </w:rPr>
        <w:t>68</w:t>
      </w:r>
    </w:p>
    <w:p>
      <w:pPr>
        <w:sectPr>
          <w:pgSz w:w="11900" w:h="16838" w:orient="portrait"/>
          <w:cols w:equalWidth="0" w:num="1">
            <w:col w:w="10586"/>
          </w:cols>
          <w:pgMar w:left="954" w:top="1370" w:right="359" w:bottom="1440" w:gutter="0" w:footer="0" w:header="0"/>
        </w:sectPr>
      </w:pPr>
    </w:p>
    <w:bookmarkStart w:id="225" w:name="page226"/>
    <w:bookmarkEnd w:id="225"/>
    <w:p>
      <w:pPr>
        <w:ind w:left="6" w:firstLine="622"/>
        <w:spacing w:after="0" w:line="265" w:lineRule="auto"/>
        <w:tabs>
          <w:tab w:leader="none" w:pos="1259"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of the following events shall occur or exist with respect to any Plan: (a) any Prohibited Transaction; (b) any Reportable Event; (c) the filing under Section 4041 of ERISA of a notice of intent to terminate any Plan or the termination of any Plan; (d) receipt of notice of an application by the PBGC to institute proceedings under Section 4042 of ERISA for the termination of, or for the appointment of a trustee to administer, any Plan, or the institution by the PBGC of any such proceedings; (e) a condition exists which gives rise to imposition of a lien under Section 412(n) or (f) of the Code on Borrower, General Partner or any ERISA Affiliate, and in each case above, if either (1) such event or conditions, if any, result in Borrower, General Partner or any ERISA Affiliate being subject to any tax, penalty or other liability to a Plan, the PBGC or otherwise (or any combination thereof), which in the aggregate exceeds or is reasonably likely to exceed Twenty Million Dollars ($20,000,000), and the same continues unremedied or unpaid for a period of forty-five (45) consecutive days after the date upon which such amount became due and payable or (2) such event or conditions, if any, is reasonably likely to result in Borrower, General Partner or any ERISA Affiliate being subject to any tax, penalty or other liability to a Plan, the PBGC or otherwise (or any combination thereof), which in the aggregate exceeds or may exceed Twenty Million Dollars ($20,000,000) and such event or condition is unremedied, or such tax, penalty or other liability is not reserved against or the payment thereof otherwise secured to the reasonable satisfaction of the Administrative Agent, for a period of forty-five (45) consecutive days after the later of (x) the date upon which such amount became due and payable and (y) notice from the Administrative Agent;</w:t>
      </w:r>
    </w:p>
    <w:p>
      <w:pPr>
        <w:spacing w:after="0" w:line="172" w:lineRule="exact"/>
        <w:rPr>
          <w:rFonts w:ascii="Times New Roman" w:cs="Times New Roman" w:eastAsia="Times New Roman" w:hAnsi="Times New Roman"/>
          <w:sz w:val="20"/>
          <w:szCs w:val="20"/>
          <w:color w:val="auto"/>
        </w:rPr>
      </w:pPr>
    </w:p>
    <w:p>
      <w:pPr>
        <w:ind w:left="6" w:right="180" w:firstLine="622"/>
        <w:spacing w:after="0" w:line="268" w:lineRule="auto"/>
        <w:tabs>
          <w:tab w:leader="none" w:pos="1259"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General Partner shall fail at any time to (i) maintain at least one class of its common shares which has trading privileges on the New York Stock Exchange or the American Stock Exchange or is the subject of price quotations in the over-the-counter market as reported by the National Association of Securities Dealers Automated Quotation System, or</w:t>
      </w:r>
    </w:p>
    <w:p>
      <w:pPr>
        <w:ind w:left="6" w:right="200" w:hanging="6"/>
        <w:spacing w:after="0" w:line="256" w:lineRule="auto"/>
        <w:tabs>
          <w:tab w:leader="none" w:pos="315"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its status as a self-directed and self-administered REIT, and in either case such failure shall remain unremedied for thirty (30) consecutive calendar days after notice thereof;</w:t>
      </w:r>
    </w:p>
    <w:p>
      <w:pPr>
        <w:spacing w:after="0" w:line="181" w:lineRule="exact"/>
        <w:rPr>
          <w:rFonts w:ascii="Times New Roman" w:cs="Times New Roman" w:eastAsia="Times New Roman" w:hAnsi="Times New Roman"/>
          <w:sz w:val="21"/>
          <w:szCs w:val="21"/>
          <w:color w:val="auto"/>
        </w:rPr>
      </w:pPr>
    </w:p>
    <w:p>
      <w:pPr>
        <w:ind w:left="6" w:right="20" w:firstLine="622"/>
        <w:spacing w:after="0" w:line="263" w:lineRule="auto"/>
        <w:tabs>
          <w:tab w:leader="none" w:pos="1259"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General Partner acquires any material assets other than additional interests in Borrower or as permitted by Borrower’s partnership agreement and shall fail to dispose of any such material asset for thirty (30) consecutive calendar days after notice thereof;</w:t>
      </w:r>
    </w:p>
    <w:p>
      <w:pPr>
        <w:spacing w:after="0" w:line="162" w:lineRule="exact"/>
        <w:rPr>
          <w:rFonts w:ascii="Times New Roman" w:cs="Times New Roman" w:eastAsia="Times New Roman" w:hAnsi="Times New Roman"/>
          <w:sz w:val="21"/>
          <w:szCs w:val="21"/>
          <w:color w:val="auto"/>
        </w:rPr>
      </w:pPr>
    </w:p>
    <w:p>
      <w:pPr>
        <w:ind w:left="6" w:right="140" w:firstLine="622"/>
        <w:spacing w:after="0" w:line="280" w:lineRule="auto"/>
        <w:tabs>
          <w:tab w:leader="none" w:pos="1259"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assets of the Borrower or General Partner constitute plan assets for ERISA purposes (within the meaning of C.F.R. §2510.3-101, as modified by Section 3(42) of ERISA);</w:t>
      </w:r>
    </w:p>
    <w:p>
      <w:pPr>
        <w:spacing w:after="0" w:line="143" w:lineRule="exact"/>
        <w:rPr>
          <w:rFonts w:ascii="Times New Roman" w:cs="Times New Roman" w:eastAsia="Times New Roman" w:hAnsi="Times New Roman"/>
          <w:sz w:val="21"/>
          <w:szCs w:val="21"/>
          <w:color w:val="auto"/>
        </w:rPr>
      </w:pPr>
    </w:p>
    <w:p>
      <w:pPr>
        <w:ind w:left="1246" w:hanging="618"/>
        <w:spacing w:after="0"/>
        <w:tabs>
          <w:tab w:leader="none" w:pos="1246"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default beyond applicable notice and grace periods (if any) under any of the other Loan Documents; or</w:t>
      </w:r>
    </w:p>
    <w:p>
      <w:pPr>
        <w:spacing w:after="0" w:line="230" w:lineRule="exact"/>
        <w:rPr>
          <w:rFonts w:ascii="Times New Roman" w:cs="Times New Roman" w:eastAsia="Times New Roman" w:hAnsi="Times New Roman"/>
          <w:sz w:val="21"/>
          <w:szCs w:val="21"/>
          <w:color w:val="auto"/>
        </w:rPr>
      </w:pPr>
    </w:p>
    <w:p>
      <w:pPr>
        <w:ind w:left="6" w:right="100" w:firstLine="622"/>
        <w:spacing w:after="0" w:line="263" w:lineRule="auto"/>
        <w:tabs>
          <w:tab w:leader="none" w:pos="1259"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provision of any Loan Document, at any time after its execution and delivery and for any reason other than as expressly permitted hereunder or thereunder or satisfactions in full of all Obligations or with the express prior written agreement, consent or approval of the Required Banks, ceases to be in full force and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886"/>
        <w:spacing w:after="0"/>
        <w:rPr>
          <w:sz w:val="20"/>
          <w:szCs w:val="20"/>
          <w:color w:val="auto"/>
        </w:rPr>
      </w:pPr>
      <w:r>
        <w:rPr>
          <w:rFonts w:ascii="Times New Roman" w:cs="Times New Roman" w:eastAsia="Times New Roman" w:hAnsi="Times New Roman"/>
          <w:sz w:val="21"/>
          <w:szCs w:val="21"/>
          <w:color w:val="auto"/>
        </w:rPr>
        <w:t>69</w:t>
      </w:r>
    </w:p>
    <w:p>
      <w:pPr>
        <w:sectPr>
          <w:pgSz w:w="11900" w:h="16838" w:orient="portrait"/>
          <w:cols w:equalWidth="0" w:num="1">
            <w:col w:w="10586"/>
          </w:cols>
          <w:pgMar w:left="954" w:top="1134" w:right="359" w:bottom="1440" w:gutter="0" w:footer="0" w:header="0"/>
        </w:sectPr>
      </w:pPr>
    </w:p>
    <w:bookmarkStart w:id="226" w:name="page227"/>
    <w:bookmarkEnd w:id="226"/>
    <w:p>
      <w:pPr>
        <w:ind w:left="640" w:right="60"/>
        <w:spacing w:after="0" w:line="241" w:lineRule="auto"/>
        <w:rPr>
          <w:sz w:val="20"/>
          <w:szCs w:val="20"/>
          <w:color w:val="auto"/>
        </w:rPr>
      </w:pPr>
      <w:r>
        <w:rPr>
          <w:rFonts w:ascii="Times New Roman" w:cs="Times New Roman" w:eastAsia="Times New Roman" w:hAnsi="Times New Roman"/>
          <w:sz w:val="21"/>
          <w:szCs w:val="21"/>
          <w:color w:val="auto"/>
        </w:rPr>
        <w:t>effect, or any action at law, suit or in equity or other legal proceeding to make unenforceable, cancel, revoke or rescind any of the Loan Documents shall be commenced by or on behalf of the Borrower.</w:t>
      </w:r>
    </w:p>
    <w:p>
      <w:pPr>
        <w:spacing w:after="0" w:line="65" w:lineRule="exact"/>
        <w:rPr>
          <w:sz w:val="20"/>
          <w:szCs w:val="20"/>
          <w:color w:val="auto"/>
        </w:rPr>
      </w:pPr>
    </w:p>
    <w:p>
      <w:pPr>
        <w:ind w:firstLine="1257"/>
        <w:spacing w:after="0" w:line="253" w:lineRule="auto"/>
        <w:rPr>
          <w:sz w:val="20"/>
          <w:szCs w:val="20"/>
          <w:color w:val="auto"/>
        </w:rPr>
      </w:pPr>
      <w:r>
        <w:rPr>
          <w:rFonts w:ascii="Times New Roman" w:cs="Times New Roman" w:eastAsia="Times New Roman" w:hAnsi="Times New Roman"/>
          <w:sz w:val="21"/>
          <w:szCs w:val="21"/>
          <w:color w:val="auto"/>
        </w:rPr>
        <w:t xml:space="preserve">SECTION 9.02 </w:t>
      </w: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xml:space="preserve"> If any Event of Default shall occur and be continuing, Administrative Agent shall, upon request of the Required Banks, by notice to Borrower, (1) terminate the Loan Commitments, whereupon the Loan Commitments shall terminate and the Banks shall have no further obligation to extend credit hereunder; and/or (2) declare the unpaid balance of the Loans, all interest thereon, and all other Obligations payable under this Agreement to be forthwith due and payable, whereupon such balance, all such interest, and all such other Obligations due under this Agreement shall become and be forthwith due and payable, without presentment, demand, protest, or further notice of any kind, all of which are hereby expressly waived by Borrower; and/or (3) exercise any remedies provided in any of the Loan Documents or by law; provided, however, that upon the occurrence of any Event of Default specified in Section 9.01(5), the Loan Commitments shall automatically terminate (and the Banks shall have no further obligation to extend credit hereunder) and the unpaid balance of the Loans, all interest thereon, and all other Obligations payable under this Agreement shall automatically be and become forthwith due and payable, without presentment, demand, protest, or further notice of any kind, all of which are hereby expressly waived by Borrower.</w:t>
      </w:r>
    </w:p>
    <w:p>
      <w:pPr>
        <w:spacing w:after="0" w:line="68" w:lineRule="exact"/>
        <w:rPr>
          <w:sz w:val="20"/>
          <w:szCs w:val="20"/>
          <w:color w:val="auto"/>
        </w:rPr>
      </w:pPr>
    </w:p>
    <w:p>
      <w:pPr>
        <w:ind w:right="80" w:firstLine="1257"/>
        <w:spacing w:after="0" w:line="258" w:lineRule="auto"/>
        <w:rPr>
          <w:sz w:val="20"/>
          <w:szCs w:val="20"/>
          <w:color w:val="auto"/>
        </w:rPr>
      </w:pPr>
      <w:r>
        <w:rPr>
          <w:rFonts w:ascii="Times New Roman" w:cs="Times New Roman" w:eastAsia="Times New Roman" w:hAnsi="Times New Roman"/>
          <w:sz w:val="21"/>
          <w:szCs w:val="21"/>
          <w:color w:val="auto"/>
        </w:rPr>
        <w:t xml:space="preserve">SECTION 9.03 </w:t>
      </w:r>
      <w:r>
        <w:rPr>
          <w:rFonts w:ascii="Times New Roman" w:cs="Times New Roman" w:eastAsia="Times New Roman" w:hAnsi="Times New Roman"/>
          <w:sz w:val="21"/>
          <w:szCs w:val="21"/>
          <w:u w:val="single" w:color="auto"/>
          <w:color w:val="auto"/>
        </w:rPr>
        <w:t>Application of Payments.</w:t>
      </w:r>
      <w:r>
        <w:rPr>
          <w:rFonts w:ascii="Times New Roman" w:cs="Times New Roman" w:eastAsia="Times New Roman" w:hAnsi="Times New Roman"/>
          <w:sz w:val="21"/>
          <w:szCs w:val="21"/>
          <w:color w:val="auto"/>
        </w:rPr>
        <w:t xml:space="preserve"> Notwithstanding anything herein to the contrary, following the occurrence and during the continuance of an Event of Default, and notice thereof to the Administrative Agent by the Borrower or the Required Banks all payments received on account of the Obligations shall, subject to Section 12.20, be applied by the Administrative Agent as follows:</w:t>
      </w:r>
    </w:p>
    <w:p>
      <w:pPr>
        <w:spacing w:after="0" w:line="49" w:lineRule="exact"/>
        <w:rPr>
          <w:sz w:val="20"/>
          <w:szCs w:val="20"/>
          <w:color w:val="auto"/>
        </w:rPr>
      </w:pPr>
    </w:p>
    <w:p>
      <w:pPr>
        <w:ind w:left="640" w:right="320" w:firstLine="1251"/>
        <w:spacing w:after="0" w:line="224" w:lineRule="auto"/>
        <w:tabs>
          <w:tab w:leader="none" w:pos="2514"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to payment of that portion of the Obligations constituting fees, indemnities, expenses and other amounts payable to the Administrative Agent (including fees and disbursements and other charges of counsel to the Administrative Agent payable under Section 12.04 and amounts pursuant to any separate fee letter payable to the Administrative Agent in its capacity as such);</w:t>
      </w:r>
    </w:p>
    <w:p>
      <w:pPr>
        <w:spacing w:after="0" w:line="146" w:lineRule="exact"/>
        <w:rPr>
          <w:rFonts w:ascii="Times New Roman" w:cs="Times New Roman" w:eastAsia="Times New Roman" w:hAnsi="Times New Roman"/>
          <w:sz w:val="21"/>
          <w:szCs w:val="21"/>
          <w:color w:val="auto"/>
        </w:rPr>
      </w:pPr>
    </w:p>
    <w:p>
      <w:pPr>
        <w:ind w:left="640" w:right="80" w:firstLine="1251"/>
        <w:spacing w:after="0" w:line="224" w:lineRule="auto"/>
        <w:tabs>
          <w:tab w:leader="none" w:pos="252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second, to payment of that portion of the Obligations constituting fees, expenses, indemnities and other amounts (other than principal and interest) payable to the Banks (including fees and disbursements and other charges of counsel to the Banks payable under Section 12.04) arising under the Loan Documents, ratably among them in proportion to the respective amounts described in this clause (ii) payable to them;</w:t>
      </w:r>
    </w:p>
    <w:p>
      <w:pPr>
        <w:spacing w:after="0" w:line="146" w:lineRule="exact"/>
        <w:rPr>
          <w:rFonts w:ascii="Times New Roman" w:cs="Times New Roman" w:eastAsia="Times New Roman" w:hAnsi="Times New Roman"/>
          <w:sz w:val="21"/>
          <w:szCs w:val="21"/>
          <w:color w:val="auto"/>
        </w:rPr>
      </w:pPr>
    </w:p>
    <w:p>
      <w:pPr>
        <w:ind w:left="640" w:right="500" w:firstLine="1251"/>
        <w:spacing w:after="0" w:line="265" w:lineRule="auto"/>
        <w:tabs>
          <w:tab w:leader="none" w:pos="2526"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to payment of that portion of the Obligations constituting accrued and unpaid interest on the Loans, ratably among the Banks in proportion to the respective amounts described in this clause (iii) payable to them;</w:t>
      </w:r>
    </w:p>
    <w:p>
      <w:pPr>
        <w:spacing w:after="0" w:line="120" w:lineRule="exact"/>
        <w:rPr>
          <w:rFonts w:ascii="Times New Roman" w:cs="Times New Roman" w:eastAsia="Times New Roman" w:hAnsi="Times New Roman"/>
          <w:sz w:val="20"/>
          <w:szCs w:val="20"/>
          <w:color w:val="auto"/>
        </w:rPr>
      </w:pPr>
    </w:p>
    <w:p>
      <w:pPr>
        <w:ind w:left="640" w:right="160" w:firstLine="1251"/>
        <w:spacing w:after="0" w:line="241" w:lineRule="auto"/>
        <w:tabs>
          <w:tab w:leader="none" w:pos="2514"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fourth, to payment of that portion of the Obligations constituting unpaid principal of the Loans ratably among the Banks in proportion to the respective amounts described in this clause (iv) payable to them;</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70</w:t>
      </w:r>
    </w:p>
    <w:p>
      <w:pPr>
        <w:sectPr>
          <w:pgSz w:w="11900" w:h="16838" w:orient="portrait"/>
          <w:cols w:equalWidth="0" w:num="1">
            <w:col w:w="11240"/>
          </w:cols>
          <w:pgMar w:left="320" w:top="1108" w:right="339" w:bottom="1440" w:gutter="0" w:footer="0" w:header="0"/>
        </w:sectPr>
      </w:pPr>
    </w:p>
    <w:bookmarkStart w:id="227" w:name="page228"/>
    <w:bookmarkEnd w:id="227"/>
    <w:p>
      <w:pPr>
        <w:ind w:left="640" w:right="140" w:firstLine="1251"/>
        <w:spacing w:after="0" w:line="229" w:lineRule="auto"/>
        <w:tabs>
          <w:tab w:leader="none" w:pos="2522"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fifth, to the payment in full of all other Obligations, in each case ratably among the Administrative Agent, the Banks based upon the respective aggregate amounts of all such Obligations owing to them in accordance with the respective amounts thereof then due and payable; and</w:t>
      </w:r>
    </w:p>
    <w:p>
      <w:pPr>
        <w:spacing w:after="0" w:line="147" w:lineRule="exact"/>
        <w:rPr>
          <w:rFonts w:ascii="Times New Roman" w:cs="Times New Roman" w:eastAsia="Times New Roman" w:hAnsi="Times New Roman"/>
          <w:sz w:val="21"/>
          <w:szCs w:val="21"/>
          <w:color w:val="auto"/>
        </w:rPr>
      </w:pPr>
    </w:p>
    <w:p>
      <w:pPr>
        <w:ind w:left="640" w:right="160" w:firstLine="1251"/>
        <w:spacing w:after="0" w:line="241" w:lineRule="auto"/>
        <w:tabs>
          <w:tab w:leader="none" w:pos="2514"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finally, the balance, if any, after all Obligations have been indefeasibly paid in full, to the Borrower or as otherwise required by law.</w:t>
      </w:r>
    </w:p>
    <w:p>
      <w:pPr>
        <w:spacing w:after="0" w:line="14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color w:val="auto"/>
        </w:rPr>
        <w:t>ARTICLE X</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ADMINISTRATIVE AGENT; RELATIONS AMONG BANKS</w:t>
      </w:r>
    </w:p>
    <w:p>
      <w:pPr>
        <w:spacing w:after="0" w:line="204" w:lineRule="exact"/>
        <w:rPr>
          <w:sz w:val="20"/>
          <w:szCs w:val="20"/>
          <w:color w:val="auto"/>
        </w:rPr>
      </w:pPr>
    </w:p>
    <w:p>
      <w:pPr>
        <w:ind w:firstLine="1257"/>
        <w:spacing w:after="0" w:line="250" w:lineRule="auto"/>
        <w:rPr>
          <w:sz w:val="20"/>
          <w:szCs w:val="20"/>
          <w:color w:val="auto"/>
        </w:rPr>
      </w:pPr>
      <w:r>
        <w:rPr>
          <w:rFonts w:ascii="Times New Roman" w:cs="Times New Roman" w:eastAsia="Times New Roman" w:hAnsi="Times New Roman"/>
          <w:sz w:val="21"/>
          <w:szCs w:val="21"/>
          <w:color w:val="auto"/>
        </w:rPr>
        <w:t xml:space="preserve">SECTION 10.01 </w:t>
      </w:r>
      <w:r>
        <w:rPr>
          <w:rFonts w:ascii="Times New Roman" w:cs="Times New Roman" w:eastAsia="Times New Roman" w:hAnsi="Times New Roman"/>
          <w:sz w:val="21"/>
          <w:szCs w:val="21"/>
          <w:u w:val="single" w:color="auto"/>
          <w:color w:val="auto"/>
        </w:rPr>
        <w:t>Appointment, Powers and Immunities of Administrative Agent.</w:t>
      </w:r>
      <w:r>
        <w:rPr>
          <w:rFonts w:ascii="Times New Roman" w:cs="Times New Roman" w:eastAsia="Times New Roman" w:hAnsi="Times New Roman"/>
          <w:sz w:val="21"/>
          <w:szCs w:val="21"/>
          <w:color w:val="auto"/>
        </w:rPr>
        <w:t xml:space="preserve"> Each Bank hereby irrevocably appoints and authorizes Administrative Agent to act as its agent hereunder and under any other Loan Document with such powers as are specifically delegated to Administrative Agent by the terms of this Agreement and any other Loan Document, together with such other powers as are reasonably incidental thereto. Administrative Agent shall have no duties or responsibilities except those expressly set forth in this Agreement and any other Loan Document or required by law and its duties are entirely mechanical and administrative in nature. The motivations of the Administrative Agent are commercial in nature and not to invest in the general performance or operations of the Borrower. Administrative Agent shall not by reason of this Agreement be a fiduciary or trustee for any Bank except to the extent that Administrative Agent acts as an agent with respect to the receipt or payment of funds (nor shall Administrative Agent have any fiduciary duty to Borrower nor shall any Bank have any fiduciary duty to Borrower or to any other Bank)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Bank agrees that it will not assert any claim against the Administrative Agent based on an alleged breach of fiduciary duty by the Administrative Agent in connection with this Agreement and the transactions contemplated hereby. Administrative Agent shall not be responsible to the Banks for any recitals, statements, representations or warranties made by Borrower or any officer, partner or official of Borrower or any other Person contained in this Agreement or any other Loan Document, or in any certificate or other document or instrument referred to or provided for in, or received by any of them under, this Agreement or any other Loan Document, or for the value, legality, validity, effectiveness, genuineness, enforceability or sufficiency of this Agreement or any other Loan Document or any other document or instrument referred to or provided for herein or therein (including, for the avoidance of doubt, in connection with the Administrative Agent’s reliance on any Electronic Signature transmitted by telecopy, emailed pdf. or any other electronic means that reproduces an image of an actual executed signature page), for the perfection or priority of any Lien securing the Obligations or for any failure by Borrower to perform any of its obligations hereunder or thereunder. Administrative Agent may employ agents and attorneys-in-fact and shall not be responsible, except as to money or securities received by it or its authorized agents, for the negligence or misconduct of any such agents or attorneys-in-fact except to the extent that a court of competent jurisdiction determines in a final and nonappealable judgment that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71</w:t>
      </w:r>
    </w:p>
    <w:p>
      <w:pPr>
        <w:sectPr>
          <w:pgSz w:w="11900" w:h="16838" w:orient="portrait"/>
          <w:cols w:equalWidth="0" w:num="1">
            <w:col w:w="11220"/>
          </w:cols>
          <w:pgMar w:left="320" w:top="1344" w:right="359" w:bottom="1440" w:gutter="0" w:footer="0" w:header="0"/>
        </w:sectPr>
      </w:pPr>
    </w:p>
    <w:bookmarkStart w:id="228" w:name="page229"/>
    <w:bookmarkEnd w:id="228"/>
    <w:p>
      <w:pPr>
        <w:ind w:right="120"/>
        <w:spacing w:after="0" w:line="219" w:lineRule="auto"/>
        <w:rPr>
          <w:sz w:val="20"/>
          <w:szCs w:val="20"/>
          <w:color w:val="auto"/>
        </w:rPr>
      </w:pPr>
      <w:r>
        <w:rPr>
          <w:rFonts w:ascii="Times New Roman" w:cs="Times New Roman" w:eastAsia="Times New Roman" w:hAnsi="Times New Roman"/>
          <w:sz w:val="21"/>
          <w:szCs w:val="21"/>
          <w:color w:val="auto"/>
        </w:rPr>
        <w:t>Administrative Agent acted with gross negligence or willful misconduct in the selection of such agent or attorney-in-fact. Neither Administrative Agent nor any of its directors, officers, employees or agents shall be liable or responsible for any action taken or omitted to be taken by it or them hereunder or under any other Loan Document or in connection herewith or therewith, except for its or their own gross negligence or willful misconduct as determined by a court of competent jurisdiction by a final and nonappealable judgment. Borrower shall pay any fee agreed to by Borrower and Administrative Agent with respect to Administrative Agent’s services hereunder.</w:t>
      </w:r>
    </w:p>
    <w:p>
      <w:pPr>
        <w:spacing w:after="0" w:line="66" w:lineRule="exact"/>
        <w:rPr>
          <w:sz w:val="20"/>
          <w:szCs w:val="20"/>
          <w:color w:val="auto"/>
        </w:rPr>
      </w:pPr>
    </w:p>
    <w:p>
      <w:pPr>
        <w:ind w:firstLine="1257"/>
        <w:spacing w:after="0" w:line="264" w:lineRule="auto"/>
        <w:rPr>
          <w:sz w:val="20"/>
          <w:szCs w:val="20"/>
          <w:color w:val="auto"/>
        </w:rPr>
      </w:pPr>
      <w:r>
        <w:rPr>
          <w:rFonts w:ascii="Times New Roman" w:cs="Times New Roman" w:eastAsia="Times New Roman" w:hAnsi="Times New Roman"/>
          <w:sz w:val="20"/>
          <w:szCs w:val="20"/>
          <w:color w:val="auto"/>
        </w:rPr>
        <w:t xml:space="preserve">SECTION 10.02 </w:t>
      </w:r>
      <w:r>
        <w:rPr>
          <w:rFonts w:ascii="Times New Roman" w:cs="Times New Roman" w:eastAsia="Times New Roman" w:hAnsi="Times New Roman"/>
          <w:sz w:val="20"/>
          <w:szCs w:val="20"/>
          <w:u w:val="single" w:color="auto"/>
          <w:color w:val="auto"/>
        </w:rPr>
        <w:t>Reliance by Administrative Agent.</w:t>
      </w:r>
      <w:r>
        <w:rPr>
          <w:rFonts w:ascii="Times New Roman" w:cs="Times New Roman" w:eastAsia="Times New Roman" w:hAnsi="Times New Roman"/>
          <w:sz w:val="20"/>
          <w:szCs w:val="20"/>
          <w:color w:val="auto"/>
        </w:rPr>
        <w:t xml:space="preserve"> Administrative Agent shall be entitled to rely upon any certification, notice or other communication (including any thereof by telephone, telefax or cable) believed by it to be genuine and correct and to have been signed or sent by or on behalf of the proper Person or Persons, and upon advice and statements of legal counsel, independent accountants and other experts selected by Administrative Agent. Administrative Agent may deem and treat each Bank as the holder of the Loan made by it for all purposes hereof and shall not be required to deal with any Person who has acquired a participation in any Loan or participation from a Bank. As to any matters not expressly provided for by this Agreement or any other Loan Document, Administrative Agent shall not be required to exercise any discretion or take any action, but shall be required to act or refrain from acting (and shall in all cases be fully protected in acting, or in refraining from acting) hereunder in accordance with instructions signed by the Required Banks (or such other number or percentage of Banks required hereunder), and such instructions and any action taken or failure to act pursuant thereto shall be binding on all of the Banks and any other holder of all or any portion of any Loan or participation;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Banks prior to the exercise of any such instructed action and may refrain from acting until such clarification or direction has been provided.</w:t>
      </w:r>
    </w:p>
    <w:p>
      <w:pPr>
        <w:spacing w:after="0" w:line="70" w:lineRule="exact"/>
        <w:rPr>
          <w:sz w:val="20"/>
          <w:szCs w:val="20"/>
          <w:color w:val="auto"/>
        </w:rPr>
      </w:pPr>
    </w:p>
    <w:p>
      <w:pPr>
        <w:ind w:right="60" w:firstLine="629"/>
        <w:spacing w:after="0" w:line="268" w:lineRule="auto"/>
        <w:rPr>
          <w:sz w:val="20"/>
          <w:szCs w:val="20"/>
          <w:color w:val="auto"/>
        </w:rPr>
      </w:pPr>
      <w:r>
        <w:rPr>
          <w:rFonts w:ascii="Times New Roman" w:cs="Times New Roman" w:eastAsia="Times New Roman" w:hAnsi="Times New Roman"/>
          <w:sz w:val="20"/>
          <w:szCs w:val="20"/>
          <w:color w:val="auto"/>
        </w:rPr>
        <w:t>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72</w:t>
      </w:r>
    </w:p>
    <w:p>
      <w:pPr>
        <w:sectPr>
          <w:pgSz w:w="11900" w:h="16838" w:orient="portrait"/>
          <w:cols w:equalWidth="0" w:num="1">
            <w:col w:w="11240"/>
          </w:cols>
          <w:pgMar w:left="320" w:top="1108" w:right="339" w:bottom="1440" w:gutter="0" w:footer="0" w:header="0"/>
        </w:sectPr>
      </w:pPr>
    </w:p>
    <w:bookmarkStart w:id="229" w:name="page230"/>
    <w:bookmarkEnd w:id="229"/>
    <w:p>
      <w:pPr>
        <w:ind w:firstLine="629"/>
        <w:spacing w:after="0" w:line="251" w:lineRule="auto"/>
        <w:rPr>
          <w:sz w:val="20"/>
          <w:szCs w:val="20"/>
          <w:color w:val="auto"/>
        </w:rPr>
      </w:pPr>
      <w:r>
        <w:rPr>
          <w:rFonts w:ascii="Times New Roman" w:cs="Times New Roman" w:eastAsia="Times New Roman" w:hAnsi="Times New Roman"/>
          <w:sz w:val="21"/>
          <w:szCs w:val="21"/>
          <w:color w:val="auto"/>
        </w:rPr>
        <w:t>Without limiting the foregoing, the Administrative Agent (i) may treat the payee of any promissory note as its holder until such promissory note has been assigned in accordance with Section 12.05, (ii) may rely on the Register to the extent set forth in Section 12.05(c),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Bank and shall not be responsible to any Bank for any statements, warranties or representations made by or on behalf of the Borrower in connection with this Agreement or any other Loan Document, (v) in determining compliance with any condition hereunder to the making of a Loan that by its terms must be fulfilled to the satisfaction of a Bank, may presume that such condition is satisfactory to such Bank unless the Administrative Agent shall have received notice to the contrary from such Bank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315" w:lineRule="exact"/>
        <w:rPr>
          <w:sz w:val="20"/>
          <w:szCs w:val="20"/>
          <w:color w:val="auto"/>
        </w:rPr>
      </w:pPr>
    </w:p>
    <w:p>
      <w:pPr>
        <w:ind w:right="20" w:firstLine="1257"/>
        <w:spacing w:after="0" w:line="253" w:lineRule="auto"/>
        <w:rPr>
          <w:sz w:val="20"/>
          <w:szCs w:val="20"/>
          <w:color w:val="auto"/>
        </w:rPr>
      </w:pPr>
      <w:r>
        <w:rPr>
          <w:rFonts w:ascii="Times New Roman" w:cs="Times New Roman" w:eastAsia="Times New Roman" w:hAnsi="Times New Roman"/>
          <w:sz w:val="21"/>
          <w:szCs w:val="21"/>
          <w:color w:val="auto"/>
        </w:rPr>
        <w:t xml:space="preserve">SECTION 10.03 </w:t>
      </w:r>
      <w:r>
        <w:rPr>
          <w:rFonts w:ascii="Times New Roman" w:cs="Times New Roman" w:eastAsia="Times New Roman" w:hAnsi="Times New Roman"/>
          <w:sz w:val="21"/>
          <w:szCs w:val="21"/>
          <w:u w:val="single" w:color="auto"/>
          <w:color w:val="auto"/>
        </w:rPr>
        <w:t>Defaults.</w:t>
      </w:r>
      <w:r>
        <w:rPr>
          <w:rFonts w:ascii="Times New Roman" w:cs="Times New Roman" w:eastAsia="Times New Roman" w:hAnsi="Times New Roman"/>
          <w:sz w:val="21"/>
          <w:szCs w:val="21"/>
          <w:color w:val="auto"/>
        </w:rPr>
        <w:t xml:space="preserve"> Administrative Agent shall not be deemed to have knowledge of the occurrence of a Default or Event of Default (other than an Event of Default pursuant to Section 9.01(1)) unless Administrative Agent has received notice from a Bank or Borrower specifying such Default or Event of Default and stating that such notice is a “Notice of Default.” In the event that Administrative Agent receives a “Notice of Default,” Administrative Agent shall give prompt notice thereof to the Banks. Administrative Agent, following consultation with the Banks, shall (subject to Section 10.07 and Section 12.02) take such action with respect to such Default or Event of Default which is continuing as shall be directed by the Required Banks; provided that, unless and until Administrative Agent shall have received such directions, Administrative Agent may take such action, or refrain from taking such action, with respect to such Default or Event of Default as it shall deem advisable in the best interest of the Banks; and provided further that Administrative Agent shall not send a notice of Default, Event of Default or acceleration to Borrower without the approval of the Required Banks. In no event shall Administrative Agent be required to take any such action which it determines to be contrary to law.</w:t>
      </w:r>
    </w:p>
    <w:p>
      <w:pPr>
        <w:spacing w:after="0" w:line="68" w:lineRule="exact"/>
        <w:rPr>
          <w:sz w:val="20"/>
          <w:szCs w:val="20"/>
          <w:color w:val="auto"/>
        </w:rPr>
      </w:pPr>
    </w:p>
    <w:p>
      <w:pPr>
        <w:ind w:right="20" w:firstLine="1257"/>
        <w:spacing w:after="0" w:line="256" w:lineRule="auto"/>
        <w:rPr>
          <w:sz w:val="20"/>
          <w:szCs w:val="20"/>
          <w:color w:val="auto"/>
        </w:rPr>
      </w:pPr>
      <w:r>
        <w:rPr>
          <w:rFonts w:ascii="Times New Roman" w:cs="Times New Roman" w:eastAsia="Times New Roman" w:hAnsi="Times New Roman"/>
          <w:sz w:val="21"/>
          <w:szCs w:val="21"/>
          <w:color w:val="auto"/>
        </w:rPr>
        <w:t xml:space="preserve">SECTION 10.04 </w:t>
      </w:r>
      <w:r>
        <w:rPr>
          <w:rFonts w:ascii="Times New Roman" w:cs="Times New Roman" w:eastAsia="Times New Roman" w:hAnsi="Times New Roman"/>
          <w:sz w:val="21"/>
          <w:szCs w:val="21"/>
          <w:u w:val="single" w:color="auto"/>
          <w:color w:val="auto"/>
        </w:rPr>
        <w:t>Rights of Agent as a Bank.</w:t>
      </w:r>
      <w:r>
        <w:rPr>
          <w:rFonts w:ascii="Times New Roman" w:cs="Times New Roman" w:eastAsia="Times New Roman" w:hAnsi="Times New Roman"/>
          <w:sz w:val="21"/>
          <w:szCs w:val="21"/>
          <w:color w:val="auto"/>
        </w:rPr>
        <w:t xml:space="preserve"> With respect to its Loan Commitment and the Loan provided by it, each Person serving as an Agent in its capacity as a Bank hereunder shall have the same rights and powers hereunder as any other Bank and may exercise the same as though it were not acting as such Agent, and the term any “Bank” or “Banks” shall include each Person serving as an Agent in its capacity as a Bank. Each Person serving as an Agent and its Affiliates may (without having to account therefor to any Bank) accept deposits from, lend money to (on a secured or unsecured basis), and generally engage in any kind of banking, trust or other business with, Borrower (and any Affiliates of Borrower) as if it were not acting as such Agent.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73</w:t>
      </w:r>
    </w:p>
    <w:p>
      <w:pPr>
        <w:sectPr>
          <w:pgSz w:w="11900" w:h="16838" w:orient="portrait"/>
          <w:cols w:equalWidth="0" w:num="1">
            <w:col w:w="11220"/>
          </w:cols>
          <w:pgMar w:left="320" w:top="1370" w:right="359" w:bottom="1440" w:gutter="0" w:footer="0" w:header="0"/>
        </w:sectPr>
      </w:pPr>
    </w:p>
    <w:bookmarkStart w:id="230" w:name="page231"/>
    <w:bookmarkEnd w:id="230"/>
    <w:p>
      <w:pPr>
        <w:ind w:firstLine="1257"/>
        <w:spacing w:after="0" w:line="252" w:lineRule="auto"/>
        <w:rPr>
          <w:sz w:val="20"/>
          <w:szCs w:val="20"/>
          <w:color w:val="auto"/>
        </w:rPr>
      </w:pPr>
      <w:r>
        <w:rPr>
          <w:rFonts w:ascii="Times New Roman" w:cs="Times New Roman" w:eastAsia="Times New Roman" w:hAnsi="Times New Roman"/>
          <w:sz w:val="21"/>
          <w:szCs w:val="21"/>
          <w:color w:val="auto"/>
        </w:rPr>
        <w:t xml:space="preserve">SECTION 10.05 </w:t>
      </w:r>
      <w:r>
        <w:rPr>
          <w:rFonts w:ascii="Times New Roman" w:cs="Times New Roman" w:eastAsia="Times New Roman" w:hAnsi="Times New Roman"/>
          <w:sz w:val="21"/>
          <w:szCs w:val="21"/>
          <w:u w:val="single" w:color="auto"/>
          <w:color w:val="auto"/>
        </w:rPr>
        <w:t>Indemnification of Agents.</w:t>
      </w:r>
      <w:r>
        <w:rPr>
          <w:rFonts w:ascii="Times New Roman" w:cs="Times New Roman" w:eastAsia="Times New Roman" w:hAnsi="Times New Roman"/>
          <w:sz w:val="21"/>
          <w:szCs w:val="21"/>
          <w:color w:val="auto"/>
        </w:rPr>
        <w:t xml:space="preserve"> Each Bank agrees to indemnify each Agent (to the extent not reimbursed under Section 12.04 or under the applicable provisions of any other Loan Document, but without limiting the obligations of Borrower under Section 12.04 or such provisions), for its Pro Rata Share of any and all liabilities, obligations, losses, damages, penalties, actions, judgments, suits, costs, expenses or disbursements of any kind and nature whatsoever which may be imposed on, incurred by or asserted against such Agent in any way relating to or arising out of this Agreement, any other Loan Document or any other documents contemplated by or referred to herein or the transactions contemplated hereby or thereby (including, without limitation, the costs and expenses which Borrower is obligated to pay under Section 12.04) or under the applicable provisions of any other Loan Document or the enforcement of any of the terms hereof or thereof or of any such other documents or instruments; provided that no Bank shall be liable for (1) any of the foregoing to the extent they arise from the gross negligence or willful misconduct (as determined by a court of competent jurisdiction in a final and non-appealable judgment) of the party to be indemnified, (2) any loss of principal or interest with respect to the Loan of any Bank serving as an Agent or (3) any loss suffered by such Agent in connection with a swap or other interest rate hedging arrangement entered into with Borrower.</w:t>
      </w:r>
    </w:p>
    <w:p>
      <w:pPr>
        <w:spacing w:after="0" w:line="75" w:lineRule="exact"/>
        <w:rPr>
          <w:sz w:val="20"/>
          <w:szCs w:val="20"/>
          <w:color w:val="auto"/>
        </w:rPr>
      </w:pPr>
    </w:p>
    <w:p>
      <w:pPr>
        <w:ind w:right="20" w:firstLine="1257"/>
        <w:spacing w:after="0" w:line="251" w:lineRule="auto"/>
        <w:rPr>
          <w:sz w:val="20"/>
          <w:szCs w:val="20"/>
          <w:color w:val="auto"/>
        </w:rPr>
      </w:pPr>
      <w:r>
        <w:rPr>
          <w:rFonts w:ascii="Times New Roman" w:cs="Times New Roman" w:eastAsia="Times New Roman" w:hAnsi="Times New Roman"/>
          <w:sz w:val="21"/>
          <w:szCs w:val="21"/>
          <w:color w:val="auto"/>
        </w:rPr>
        <w:t xml:space="preserve">SECTION 10.06 </w:t>
      </w:r>
      <w:r>
        <w:rPr>
          <w:rFonts w:ascii="Times New Roman" w:cs="Times New Roman" w:eastAsia="Times New Roman" w:hAnsi="Times New Roman"/>
          <w:sz w:val="21"/>
          <w:szCs w:val="21"/>
          <w:u w:val="single" w:color="auto"/>
          <w:color w:val="auto"/>
        </w:rPr>
        <w:t>Non-Reliance on Agents and Other Banks.</w:t>
      </w:r>
      <w:r>
        <w:rPr>
          <w:rFonts w:ascii="Times New Roman" w:cs="Times New Roman" w:eastAsia="Times New Roman" w:hAnsi="Times New Roman"/>
          <w:sz w:val="21"/>
          <w:szCs w:val="21"/>
          <w:color w:val="auto"/>
        </w:rPr>
        <w:t xml:space="preserve"> Each Bank represents and warrants that (i) the Loan Documents set forth the terms of a commercial lending facility, (ii) in participating as a Bank, it is engaged in making, acquiring or holding commercial loans and in providing other facilities set forth herein as may be applicable to such Bank, in each case in the ordinary course of business, and not for the purpose of investing in the general performance or operations of the Borrower, or for the purpose of purchasing, acquiring or holding any other type of financial instrument such as a security (and each Bank agrees not to assert a claim in contravention of the foregoing, such as a claim under the federal or state securities laws) and (iii) it is sophisticated with respect to decisions to make, acquire and/or hold commercial loans and to provide other facilities set forth herein, and either it, or the Person exercising discretion in making its decision to make, acquire and/or hold such commercial loans or to provide such other facilities, is experienced in making, acquiring or holding such commercial loans or providing such other facilities. Each Bank agrees that it has, independently and without reliance on any Agent or any other Bank, and based on such documents and information as it has deemed appropriate, made its own credit analysis of Borrower and the decision to enter into this Agreement as a Bank and to make, acquire or hold Loans hereunder and that it will, independently and without reliance upon any Agent or any other Bank, and based on such documents and information as it shall deem appropriate at the time, continue to make its own analysis and decisions in taking or not taking action under this Agreement or any other Loan Document. Each Agent shall not be required to keep itself informed as to the performance or observance by Borrower of this Agreement or any other Loan Document or any other document referred to or provided for herein or therein or to inspect the properties or books of Borrower. Except for notices, reports and other documents and information expressly required to be furnished to the Banks by any Agent hereunder, each Agent shall not have any duty or responsibility to provide any Bank with any credit or other information concerning the affairs, financial condition or business of Borrower (or any Affiliate of Borrower) which may come into the possession of such Agent or any of its Affiliates. Each Agent shall not be required to file this Agreement, any other Loan Document or any document or instrument referred to herein or therein for record, or give notice of this Agreement, any other Loan Document or any document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74</w:t>
      </w:r>
    </w:p>
    <w:p>
      <w:pPr>
        <w:sectPr>
          <w:pgSz w:w="11900" w:h="16838" w:orient="portrait"/>
          <w:cols w:equalWidth="0" w:num="1">
            <w:col w:w="11220"/>
          </w:cols>
          <w:pgMar w:left="320" w:top="1134" w:right="359" w:bottom="1440" w:gutter="0" w:footer="0" w:header="0"/>
        </w:sectPr>
      </w:pPr>
    </w:p>
    <w:bookmarkStart w:id="231" w:name="page232"/>
    <w:bookmarkEnd w:id="231"/>
    <w:p>
      <w:pPr>
        <w:ind w:right="20"/>
        <w:spacing w:after="0" w:line="258" w:lineRule="auto"/>
        <w:rPr>
          <w:sz w:val="20"/>
          <w:szCs w:val="20"/>
          <w:color w:val="auto"/>
        </w:rPr>
      </w:pPr>
      <w:r>
        <w:rPr>
          <w:rFonts w:ascii="Times New Roman" w:cs="Times New Roman" w:eastAsia="Times New Roman" w:hAnsi="Times New Roman"/>
          <w:sz w:val="21"/>
          <w:szCs w:val="21"/>
          <w:color w:val="auto"/>
        </w:rPr>
        <w:t>or instrument referred to herein or therein, to anyone. Each Bank, by delivering its signature page to this Agreement on the Effective Date, or delivering its signature page to an Assignment and Assumption Agreement or any other Loan Document pursuant to which it shall become a Bank hereunder, shall be deemed to have acknowledged receipt of, and consented to and approved, each Loan Document and each other document required to be delivered to, or be approved by or satisfactory to, the Administrative Agent or the Banks on the Effective Date.</w:t>
      </w:r>
    </w:p>
    <w:p>
      <w:pPr>
        <w:spacing w:after="0" w:line="51"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20"/>
          <w:szCs w:val="20"/>
          <w:color w:val="auto"/>
        </w:rPr>
        <w:t>Each Bank also acknowledges and agrees that (a) none of the Administrative Agent, any Joint Lead Arranger, any Syndication Agent, any Documentation Agent, or any Sustainability Structuring Agent acting in such capacities have made any assurances as to</w:t>
      </w:r>
    </w:p>
    <w:p>
      <w:pPr>
        <w:spacing w:after="0" w:line="1" w:lineRule="exact"/>
        <w:rPr>
          <w:sz w:val="20"/>
          <w:szCs w:val="20"/>
          <w:color w:val="auto"/>
        </w:rPr>
      </w:pPr>
    </w:p>
    <w:p>
      <w:pPr>
        <w:ind w:right="100" w:firstLine="5"/>
        <w:spacing w:after="0" w:line="231" w:lineRule="auto"/>
        <w:tabs>
          <w:tab w:leader="none" w:pos="25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the credit facility evidenced by this Agreement meet such Bank’s criteria or expectations with regard to environmental impact and sustainability performance, (ii) whether any characteristics of the credit facility evidenced by this Agreement, including the characteristics of the relevant key performance indicators to which the Borrower will link a potential margin adjustment, including their environmental and sustainability criteria, meet any industry standards or market expectations for sustainability-linked credit facilities or (iii) whether the relevant KPI or targets with respect thereto will be attainable or able to be maintained by the Borrower, and (b) each Bank has performed its own independent investigation and analysis of the credit facility evidenced by this Agreement and whether such credit facility meet its own criteria or expectations with regard to environmental impact and/or sustainability performance.</w:t>
      </w:r>
    </w:p>
    <w:p>
      <w:pPr>
        <w:spacing w:after="0" w:line="186" w:lineRule="exact"/>
        <w:rPr>
          <w:sz w:val="20"/>
          <w:szCs w:val="20"/>
          <w:color w:val="auto"/>
        </w:rPr>
      </w:pPr>
    </w:p>
    <w:p>
      <w:pPr>
        <w:ind w:firstLine="629"/>
        <w:spacing w:after="0" w:line="251" w:lineRule="auto"/>
        <w:rPr>
          <w:sz w:val="20"/>
          <w:szCs w:val="20"/>
          <w:color w:val="auto"/>
        </w:rPr>
      </w:pPr>
      <w:r>
        <w:rPr>
          <w:rFonts w:ascii="Times New Roman" w:cs="Times New Roman" w:eastAsia="Times New Roman" w:hAnsi="Times New Roman"/>
          <w:sz w:val="21"/>
          <w:szCs w:val="21"/>
          <w:color w:val="auto"/>
        </w:rPr>
        <w:t>The Banks acknowledge that there may be a constant flow of information (including information which may be subject to confidentiality obligations in favor of the Borrower) between the Borrower and its Affiliates, on the one hand, and JPMorgan Chase Bank, N.A. and its Affiliates, on the other hand. Without limiting the foregoing, the Borrower or its Affiliates may provide information, including updates to previously provided information to JPMorgan Chase Bank, N.A. and/or its Affiliates acting in different capacities, including as Bank, lead bank, arranger or potential securities investor, independent of such entity’s role as administrative agent hereunder. The Banks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Banks by the Administrative Agent herein, the Administrative Agent shall not have any duty or responsibility to provide, and shall not be liable for the failure to provide, any Bank with any credit or other information concerning the Loans, the Banks, the business, prospects, operations, property, financial and other condition or creditworthiness of any of the Borrower or any of its Affiliates that is communicated to, obtained by, or in the possession of, the Administrative Agent or any of its Affiliates in any capacity, including any information obtained by the Administrative Agent in the course of communications among the Administrative Agent and Borrower, any Affiliate thereof or any other Person. Notwithstanding the foregoing, any such information may (but shall not be required to) be shared by the Administrative Agent with one or more Banks, or any formal or informal committee or ad hoc group of such Banks, including at the direction of the Borrower; provided that the foregoing shall not be construed to modify any obligation the Administrative Agent has to Borrower or its Affiliates to maintain the confidentiality of information provided to the Administrative Agent or its Affiliates in connection with any other agreement or engagement.</w:t>
      </w:r>
    </w:p>
    <w:p>
      <w:pPr>
        <w:spacing w:after="0" w:line="183" w:lineRule="exact"/>
        <w:rPr>
          <w:sz w:val="20"/>
          <w:szCs w:val="20"/>
          <w:color w:val="auto"/>
        </w:rPr>
      </w:pPr>
    </w:p>
    <w:p>
      <w:pPr>
        <w:jc w:val="both"/>
        <w:ind w:firstLine="1257"/>
        <w:spacing w:after="0" w:line="263" w:lineRule="auto"/>
        <w:rPr>
          <w:sz w:val="20"/>
          <w:szCs w:val="20"/>
          <w:color w:val="auto"/>
        </w:rPr>
      </w:pPr>
      <w:r>
        <w:rPr>
          <w:rFonts w:ascii="Times New Roman" w:cs="Times New Roman" w:eastAsia="Times New Roman" w:hAnsi="Times New Roman"/>
          <w:sz w:val="21"/>
          <w:szCs w:val="21"/>
          <w:color w:val="auto"/>
        </w:rPr>
        <w:t xml:space="preserve">SECTION 10.07 </w:t>
      </w:r>
      <w:r>
        <w:rPr>
          <w:rFonts w:ascii="Times New Roman" w:cs="Times New Roman" w:eastAsia="Times New Roman" w:hAnsi="Times New Roman"/>
          <w:sz w:val="21"/>
          <w:szCs w:val="21"/>
          <w:u w:val="single" w:color="auto"/>
          <w:color w:val="auto"/>
        </w:rPr>
        <w:t>Failure of Administrative Agent to Act.</w:t>
      </w:r>
      <w:r>
        <w:rPr>
          <w:rFonts w:ascii="Times New Roman" w:cs="Times New Roman" w:eastAsia="Times New Roman" w:hAnsi="Times New Roman"/>
          <w:sz w:val="21"/>
          <w:szCs w:val="21"/>
          <w:color w:val="auto"/>
        </w:rPr>
        <w:t xml:space="preserve"> Except for action expressly required of Administrative Agent hereunder, Administrative Agent shall in all cases be fully justified in failing or refusing to act hereunder unless it shall have received further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75</w:t>
      </w:r>
    </w:p>
    <w:p>
      <w:pPr>
        <w:sectPr>
          <w:pgSz w:w="11900" w:h="16838" w:orient="portrait"/>
          <w:cols w:equalWidth="0" w:num="1">
            <w:col w:w="11240"/>
          </w:cols>
          <w:pgMar w:left="320" w:top="1134" w:right="339" w:bottom="1440" w:gutter="0" w:footer="0" w:header="0"/>
        </w:sectPr>
      </w:pPr>
    </w:p>
    <w:bookmarkStart w:id="232" w:name="page233"/>
    <w:bookmarkEnd w:id="232"/>
    <w:p>
      <w:pPr>
        <w:ind w:right="100"/>
        <w:spacing w:after="0" w:line="280" w:lineRule="auto"/>
        <w:rPr>
          <w:sz w:val="20"/>
          <w:szCs w:val="20"/>
          <w:color w:val="auto"/>
        </w:rPr>
      </w:pPr>
      <w:r>
        <w:rPr>
          <w:rFonts w:ascii="Times New Roman" w:cs="Times New Roman" w:eastAsia="Times New Roman" w:hAnsi="Times New Roman"/>
          <w:sz w:val="21"/>
          <w:szCs w:val="21"/>
          <w:color w:val="auto"/>
        </w:rPr>
        <w:t>assurances (which may include cash collateral) of the indemnification obligations of the Banks under Section 10.05 in respect of any and all liability and expense which may be incurred by it by reason of taking or continuing to take any such action.</w:t>
      </w:r>
    </w:p>
    <w:p>
      <w:pPr>
        <w:spacing w:after="0" w:line="39" w:lineRule="exact"/>
        <w:rPr>
          <w:sz w:val="20"/>
          <w:szCs w:val="20"/>
          <w:color w:val="auto"/>
        </w:rPr>
      </w:pPr>
    </w:p>
    <w:p>
      <w:pPr>
        <w:ind w:right="20" w:firstLine="1257"/>
        <w:spacing w:after="0" w:line="252" w:lineRule="auto"/>
        <w:rPr>
          <w:sz w:val="20"/>
          <w:szCs w:val="20"/>
          <w:color w:val="auto"/>
        </w:rPr>
      </w:pPr>
      <w:r>
        <w:rPr>
          <w:rFonts w:ascii="Times New Roman" w:cs="Times New Roman" w:eastAsia="Times New Roman" w:hAnsi="Times New Roman"/>
          <w:sz w:val="21"/>
          <w:szCs w:val="21"/>
          <w:color w:val="auto"/>
        </w:rPr>
        <w:t xml:space="preserve">SECTION 10.08 </w:t>
      </w:r>
      <w:r>
        <w:rPr>
          <w:rFonts w:ascii="Times New Roman" w:cs="Times New Roman" w:eastAsia="Times New Roman" w:hAnsi="Times New Roman"/>
          <w:sz w:val="21"/>
          <w:szCs w:val="21"/>
          <w:u w:val="single" w:color="auto"/>
          <w:color w:val="auto"/>
        </w:rPr>
        <w:t>Resignation or Removal of Administrative Agent.</w:t>
      </w:r>
      <w:r>
        <w:rPr>
          <w:rFonts w:ascii="Times New Roman" w:cs="Times New Roman" w:eastAsia="Times New Roman" w:hAnsi="Times New Roman"/>
          <w:sz w:val="21"/>
          <w:szCs w:val="21"/>
          <w:color w:val="auto"/>
        </w:rPr>
        <w:t xml:space="preserve"> Administrative Agent shall have the right to resign at any time. Administrative Agent may be removed at any time with cause by the Required Banks as a result of its gross negligence or willful misconduct as determined by a court of competent jurisdiction by a final and non-appealable judgment, provided that Borrower and the other Banks shall be promptly notified in writing thereof. Upon any such removal or resignation, the Required Banks shall have the right to appoint a successor Administrative Agent which successor Administrative Agent, so long as it is reasonably acceptable both to the Required Banks and, provided that no Default or Event of Default shall then exist, the Borrower, shall be that Bank then having the greatest Loan Commitment (other than the Bank resigning or being removed as Administrative Agent). If such Bank then having the greatest outstanding Loans (other than the Bank resigning or being removed as Administrative Agent) shall not have accepted such appointment within thirty (30) days after the Required Banks’ removal or resignation of the retiring Administrative Agent, then the retiring Administrative Agent may, on behalf of the Banks, appoint a successor Administrative Agent, which shall be the Bank with the then greatest outstanding Loans willing to serve as such (other than the Bank resigning or being removed as Administrative Agent). The Required Banks or the retiring Administrative Agent, as the case may be, shall upon the appointment of a successor Administrative Agent promptly so notify in writing Borrower and the other Banks.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hereunder. After any retiring Administrative Agent’s removal or resignation hereunder as Administrative Agent, the provisions of this Article X and Section 12.04 shall continue in effect for its benefit in respect of any actions taken or omitted to be taken by it while it was acting as Administrative Agent.</w:t>
      </w:r>
    </w:p>
    <w:p>
      <w:pPr>
        <w:spacing w:after="0" w:line="68" w:lineRule="exact"/>
        <w:rPr>
          <w:sz w:val="20"/>
          <w:szCs w:val="20"/>
          <w:color w:val="auto"/>
        </w:rPr>
      </w:pPr>
    </w:p>
    <w:p>
      <w:pPr>
        <w:ind w:right="220" w:firstLine="1257"/>
        <w:spacing w:after="0" w:line="258" w:lineRule="auto"/>
        <w:rPr>
          <w:sz w:val="20"/>
          <w:szCs w:val="20"/>
          <w:color w:val="auto"/>
        </w:rPr>
      </w:pPr>
      <w:r>
        <w:rPr>
          <w:rFonts w:ascii="Times New Roman" w:cs="Times New Roman" w:eastAsia="Times New Roman" w:hAnsi="Times New Roman"/>
          <w:sz w:val="21"/>
          <w:szCs w:val="21"/>
          <w:color w:val="auto"/>
        </w:rPr>
        <w:t xml:space="preserve">SECTION 10.09 </w:t>
      </w:r>
      <w:r>
        <w:rPr>
          <w:rFonts w:ascii="Times New Roman" w:cs="Times New Roman" w:eastAsia="Times New Roman" w:hAnsi="Times New Roman"/>
          <w:sz w:val="21"/>
          <w:szCs w:val="21"/>
          <w:u w:val="single" w:color="auto"/>
          <w:color w:val="auto"/>
        </w:rPr>
        <w:t>Amendments Concerning Agency Function.</w:t>
      </w:r>
      <w:r>
        <w:rPr>
          <w:rFonts w:ascii="Times New Roman" w:cs="Times New Roman" w:eastAsia="Times New Roman" w:hAnsi="Times New Roman"/>
          <w:sz w:val="21"/>
          <w:szCs w:val="21"/>
          <w:color w:val="auto"/>
        </w:rPr>
        <w:t xml:space="preserve"> Notwithstanding anything to the contrary contained in this Agreement, no Agent shall be bound by any waiver, amendment, supplement or modification of this Agreement or any other Loan Document which affects its duties, rights, and/or function hereunder or thereunder unless it shall have given its prior written consent thereto.</w:t>
      </w:r>
    </w:p>
    <w:p>
      <w:pPr>
        <w:spacing w:after="0" w:line="62" w:lineRule="exact"/>
        <w:rPr>
          <w:sz w:val="20"/>
          <w:szCs w:val="20"/>
          <w:color w:val="auto"/>
        </w:rPr>
      </w:pPr>
    </w:p>
    <w:p>
      <w:pPr>
        <w:ind w:right="160" w:firstLine="1257"/>
        <w:spacing w:after="0" w:line="270" w:lineRule="auto"/>
        <w:rPr>
          <w:sz w:val="20"/>
          <w:szCs w:val="20"/>
          <w:color w:val="auto"/>
        </w:rPr>
      </w:pPr>
      <w:r>
        <w:rPr>
          <w:rFonts w:ascii="Times New Roman" w:cs="Times New Roman" w:eastAsia="Times New Roman" w:hAnsi="Times New Roman"/>
          <w:sz w:val="21"/>
          <w:szCs w:val="21"/>
          <w:color w:val="auto"/>
        </w:rPr>
        <w:t xml:space="preserve">SECTION 10.10 </w:t>
      </w:r>
      <w:r>
        <w:rPr>
          <w:rFonts w:ascii="Times New Roman" w:cs="Times New Roman" w:eastAsia="Times New Roman" w:hAnsi="Times New Roman"/>
          <w:sz w:val="21"/>
          <w:szCs w:val="21"/>
          <w:u w:val="single" w:color="auto"/>
          <w:color w:val="auto"/>
        </w:rPr>
        <w:t>Liability of Administrative Agent.</w:t>
      </w:r>
      <w:r>
        <w:rPr>
          <w:rFonts w:ascii="Times New Roman" w:cs="Times New Roman" w:eastAsia="Times New Roman" w:hAnsi="Times New Roman"/>
          <w:sz w:val="21"/>
          <w:szCs w:val="21"/>
          <w:color w:val="auto"/>
        </w:rPr>
        <w:t xml:space="preserve"> Administrative Agent shall not have any liabilities or responsibilities to Borrower on account of the failure of any Bank to perform its obligations hereunder or to any Bank on account of the failure of Borrower to perform its obligations hereunder or under any other Loan Document.</w:t>
      </w:r>
    </w:p>
    <w:p>
      <w:pPr>
        <w:spacing w:after="0" w:line="49" w:lineRule="exact"/>
        <w:rPr>
          <w:sz w:val="20"/>
          <w:szCs w:val="20"/>
          <w:color w:val="auto"/>
        </w:rPr>
      </w:pPr>
    </w:p>
    <w:p>
      <w:pPr>
        <w:ind w:firstLine="1257"/>
        <w:spacing w:after="0" w:line="263" w:lineRule="auto"/>
        <w:rPr>
          <w:sz w:val="20"/>
          <w:szCs w:val="20"/>
          <w:color w:val="auto"/>
        </w:rPr>
      </w:pPr>
      <w:r>
        <w:rPr>
          <w:rFonts w:ascii="Times New Roman" w:cs="Times New Roman" w:eastAsia="Times New Roman" w:hAnsi="Times New Roman"/>
          <w:sz w:val="21"/>
          <w:szCs w:val="21"/>
          <w:color w:val="auto"/>
        </w:rPr>
        <w:t xml:space="preserve">SECTION 10.11 </w:t>
      </w:r>
      <w:r>
        <w:rPr>
          <w:rFonts w:ascii="Times New Roman" w:cs="Times New Roman" w:eastAsia="Times New Roman" w:hAnsi="Times New Roman"/>
          <w:sz w:val="21"/>
          <w:szCs w:val="21"/>
          <w:u w:val="single" w:color="auto"/>
          <w:color w:val="auto"/>
        </w:rPr>
        <w:t>Transfer of Agency Function.</w:t>
      </w:r>
      <w:r>
        <w:rPr>
          <w:rFonts w:ascii="Times New Roman" w:cs="Times New Roman" w:eastAsia="Times New Roman" w:hAnsi="Times New Roman"/>
          <w:sz w:val="21"/>
          <w:szCs w:val="21"/>
          <w:color w:val="auto"/>
        </w:rPr>
        <w:t xml:space="preserve"> Without the consent of Borrower or any Bank, Administrative Agent may at any time or from time to time transfer its functions as Administrative Agent hereunder to any of its offices wherever located in the United States, provided that Administrative Agent shall promptly notify in writing Borrower and the Banks thereof.</w:t>
      </w:r>
    </w:p>
    <w:p>
      <w:pPr>
        <w:spacing w:after="0" w:line="58" w:lineRule="exact"/>
        <w:rPr>
          <w:sz w:val="20"/>
          <w:szCs w:val="20"/>
          <w:color w:val="auto"/>
        </w:rPr>
      </w:pPr>
    </w:p>
    <w:p>
      <w:pPr>
        <w:ind w:right="1300" w:firstLine="1257"/>
        <w:spacing w:after="0" w:line="254" w:lineRule="auto"/>
        <w:rPr>
          <w:sz w:val="20"/>
          <w:szCs w:val="20"/>
          <w:color w:val="auto"/>
        </w:rPr>
      </w:pPr>
      <w:r>
        <w:rPr>
          <w:rFonts w:ascii="Times New Roman" w:cs="Times New Roman" w:eastAsia="Times New Roman" w:hAnsi="Times New Roman"/>
          <w:sz w:val="21"/>
          <w:szCs w:val="21"/>
          <w:color w:val="auto"/>
        </w:rPr>
        <w:t xml:space="preserve">SECTION 10.12 </w:t>
      </w:r>
      <w:r>
        <w:rPr>
          <w:rFonts w:ascii="Times New Roman" w:cs="Times New Roman" w:eastAsia="Times New Roman" w:hAnsi="Times New Roman"/>
          <w:sz w:val="21"/>
          <w:szCs w:val="21"/>
          <w:u w:val="single" w:color="auto"/>
          <w:color w:val="auto"/>
        </w:rPr>
        <w:t>Non-Receipt of Funds by Administrative Agent; Erroneous Payments</w:t>
      </w:r>
      <w:r>
        <w:rPr>
          <w:rFonts w:ascii="Times New Roman" w:cs="Times New Roman" w:eastAsia="Times New Roman" w:hAnsi="Times New Roman"/>
          <w:sz w:val="21"/>
          <w:szCs w:val="21"/>
          <w:color w:val="auto"/>
        </w:rPr>
        <w:t>. (a) Unless Administrative Agent shall have received notice from a Bank or Borrower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76</w:t>
      </w:r>
    </w:p>
    <w:p>
      <w:pPr>
        <w:sectPr>
          <w:pgSz w:w="11900" w:h="16838" w:orient="portrait"/>
          <w:cols w:equalWidth="0" w:num="1">
            <w:col w:w="11240"/>
          </w:cols>
          <w:pgMar w:left="320" w:top="1134" w:right="339" w:bottom="1440" w:gutter="0" w:footer="0" w:header="0"/>
        </w:sectPr>
      </w:pPr>
    </w:p>
    <w:bookmarkStart w:id="233" w:name="page234"/>
    <w:bookmarkEnd w:id="233"/>
    <w:p>
      <w:pPr>
        <w:spacing w:after="0" w:line="210" w:lineRule="auto"/>
        <w:rPr>
          <w:sz w:val="20"/>
          <w:szCs w:val="20"/>
          <w:color w:val="auto"/>
        </w:rPr>
      </w:pPr>
      <w:r>
        <w:rPr>
          <w:rFonts w:ascii="Times New Roman" w:cs="Times New Roman" w:eastAsia="Times New Roman" w:hAnsi="Times New Roman"/>
          <w:sz w:val="21"/>
          <w:szCs w:val="21"/>
          <w:color w:val="auto"/>
        </w:rPr>
        <w:t>(either one as appropriate being the “Payor”) prior to the date on which such Bank is to make payment hereunder to Administrative Agent of the proceeds of a Loan or Borrower is to make payment to Administrative Agent, as the case may be (either such payment being a “Required Payment”), which notice shall be effective upon receipt, that the Payor will not make the Required Payment in full to Administrative Agent, Administrative Agent may assume that the Required Payment has been made in full to Administrative Agent on such date, and Administrative Agent in its sole discretion may, but shall not be obligated to, in reliance upon such assumption, make the amount thereof available to the intended recipient on such date. If and to the extent the Payor shall not have in fact so made the Required Payment in full to Administrative Agent, the recipient of such payment shall repay to Administrative Agent forthwith on demand such amount made available to it together with interest thereon, for each day from the date such amount was so made available by Administrative Agent until the date Administrative Agent recovers such amount, at the customary rate set by Administrative Agent for the correction of errors among Banks for three (3) Banking Days and thereafter at the Base Rate.</w:t>
      </w:r>
    </w:p>
    <w:p>
      <w:pPr>
        <w:spacing w:after="0" w:line="7" w:lineRule="exact"/>
        <w:rPr>
          <w:sz w:val="20"/>
          <w:szCs w:val="20"/>
          <w:color w:val="auto"/>
        </w:rPr>
      </w:pPr>
    </w:p>
    <w:p>
      <w:pPr>
        <w:ind w:right="20" w:firstLine="1262"/>
        <w:spacing w:after="0" w:line="211" w:lineRule="auto"/>
        <w:tabs>
          <w:tab w:leader="none" w:pos="1882"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Each Bank hereby agrees that (x) if the Administrative Agent notifies such Bank that the Administrative Agent has determined in its sole discretion that any funds received by such Bank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were erroneously transmitted to such Bank (whether or not known to such Bank), and demands the return of such Payment (or a portion thereof), such Bank shall promptly, but in no event later than one Banking Day thereafter (or such later date as the Administrative Agent may, in its sole discretion, specify in writing), return to the Administrative Agent the amount of any such Payment (or portion thereof) as to which such a demand was made in same day funds, together with interest thereon in respect of each day from and including the date such Payment (or portion thereof) was received by such Bank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Bank under this Section 10.12(b) shall be conclusive, absent manifest error.</w:t>
      </w:r>
    </w:p>
    <w:p>
      <w:pPr>
        <w:spacing w:after="0" w:line="174" w:lineRule="exact"/>
        <w:rPr>
          <w:sz w:val="20"/>
          <w:szCs w:val="20"/>
          <w:color w:val="auto"/>
        </w:rPr>
      </w:pPr>
    </w:p>
    <w:p>
      <w:pPr>
        <w:ind w:left="640" w:right="20" w:firstLine="622"/>
        <w:spacing w:after="0" w:line="253" w:lineRule="auto"/>
        <w:tabs>
          <w:tab w:leader="none" w:pos="1734"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1"/>
          <w:szCs w:val="21"/>
          <w:u w:val="single" w:color="auto"/>
          <w:color w:val="auto"/>
        </w:rPr>
        <w:t>Payment Notice</w:t>
      </w:r>
      <w:r>
        <w:rPr>
          <w:rFonts w:ascii="Times New Roman" w:cs="Times New Roman" w:eastAsia="Times New Roman" w:hAnsi="Times New Roman"/>
          <w:sz w:val="21"/>
          <w:szCs w:val="21"/>
          <w:color w:val="auto"/>
        </w:rPr>
        <w:t>”) or (y) that was not preceded or accompanied by a Payment Notice, it shall be on notice, in each such case, that an error has been made with respect to such Payment. Each Bank agrees that, in each such case, or if it otherwise becomes aware a Payment (or portion thereof) may have been sent in error, such Bank shall promptly notify the Administrative Agent of such occurrence and, upon demand from the Administrative Agent, it shall promptly, but in no event later than one Banking Day thereafter (or such later date as the Administrative Agent may, in its sole discretion, specify in writing), return to the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77</w:t>
      </w:r>
    </w:p>
    <w:p>
      <w:pPr>
        <w:sectPr>
          <w:pgSz w:w="11900" w:h="16838" w:orient="portrait"/>
          <w:cols w:equalWidth="0" w:num="1">
            <w:col w:w="11180"/>
          </w:cols>
          <w:pgMar w:left="320" w:top="1108" w:right="399" w:bottom="1440" w:gutter="0" w:footer="0" w:header="0"/>
        </w:sectPr>
      </w:pPr>
    </w:p>
    <w:bookmarkStart w:id="234" w:name="page235"/>
    <w:bookmarkEnd w:id="234"/>
    <w:p>
      <w:pPr>
        <w:jc w:val="both"/>
        <w:ind w:left="600" w:right="40"/>
        <w:spacing w:after="0" w:line="258" w:lineRule="auto"/>
        <w:rPr>
          <w:sz w:val="20"/>
          <w:szCs w:val="20"/>
          <w:color w:val="auto"/>
        </w:rPr>
      </w:pPr>
      <w:r>
        <w:rPr>
          <w:rFonts w:ascii="Times New Roman" w:cs="Times New Roman" w:eastAsia="Times New Roman" w:hAnsi="Times New Roman"/>
          <w:sz w:val="21"/>
          <w:szCs w:val="21"/>
          <w:color w:val="auto"/>
        </w:rPr>
        <w:t>Administrative Agent the amount of any such Payment (or portion thereof) as to which such a demand was made in same day funds, together with interest thereon in respect of each day from and including the date such Payment (or portion thereof) was received by such Bank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69" w:lineRule="exact"/>
        <w:rPr>
          <w:sz w:val="20"/>
          <w:szCs w:val="20"/>
          <w:color w:val="auto"/>
        </w:rPr>
      </w:pPr>
    </w:p>
    <w:p>
      <w:pPr>
        <w:ind w:left="600" w:firstLine="622"/>
        <w:spacing w:after="0" w:line="256" w:lineRule="auto"/>
        <w:tabs>
          <w:tab w:leader="none" w:pos="1749"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hereby agrees that (x) in the event an erroneous Payment (or portion thereof) are not recovered from any Bank that has received such Payment (or portion thereof) for any reason, the Administrative Agent shall be subrogated to all the rights of such Bank with respect to such amount and (y) an erroneous Payment shall not pay, prepay, repay, discharge or otherwise satisfy any Obligations owed by the Borrower, except, in each case, to the extent such erroneous Payment is, and solely with respect to the amount of such erroneous Payment that is, comprised of funds received by the Administrative Agent from the Borrower for the purpose of making such erroneous Payment.</w:t>
      </w:r>
    </w:p>
    <w:p>
      <w:pPr>
        <w:spacing w:after="0" w:line="170" w:lineRule="exact"/>
        <w:rPr>
          <w:rFonts w:ascii="Times New Roman" w:cs="Times New Roman" w:eastAsia="Times New Roman" w:hAnsi="Times New Roman"/>
          <w:sz w:val="21"/>
          <w:szCs w:val="21"/>
          <w:color w:val="auto"/>
        </w:rPr>
      </w:pPr>
    </w:p>
    <w:p>
      <w:pPr>
        <w:jc w:val="both"/>
        <w:ind w:left="600" w:right="780" w:firstLine="622"/>
        <w:spacing w:after="0" w:line="263" w:lineRule="auto"/>
        <w:tabs>
          <w:tab w:leader="none" w:pos="1741"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party’s obligations under this Section 10.12(b) shall survive the resignation or replacement of the Administrative Agent or any transfer of rights or obligations by, or the replacement of, a Bank, the termination of the Commitments or the repayment, satisfaction or discharge of all Obligations under any Loan Document.</w:t>
      </w:r>
    </w:p>
    <w:p>
      <w:pPr>
        <w:spacing w:after="0" w:line="136" w:lineRule="exact"/>
        <w:rPr>
          <w:sz w:val="20"/>
          <w:szCs w:val="20"/>
          <w:color w:val="auto"/>
        </w:rPr>
      </w:pPr>
    </w:p>
    <w:p>
      <w:pPr>
        <w:ind w:left="1220"/>
        <w:spacing w:after="0"/>
        <w:tabs>
          <w:tab w:leader="none" w:pos="3080" w:val="left"/>
        </w:tabs>
        <w:rPr>
          <w:sz w:val="20"/>
          <w:szCs w:val="20"/>
          <w:color w:val="auto"/>
        </w:rPr>
      </w:pPr>
      <w:r>
        <w:rPr>
          <w:rFonts w:ascii="Times New Roman" w:cs="Times New Roman" w:eastAsia="Times New Roman" w:hAnsi="Times New Roman"/>
          <w:sz w:val="21"/>
          <w:szCs w:val="21"/>
          <w:color w:val="auto"/>
        </w:rPr>
        <w:t>SECTION 10.13</w:t>
      </w:r>
      <w:r>
        <w:rPr>
          <w:sz w:val="20"/>
          <w:szCs w:val="20"/>
          <w:color w:val="auto"/>
        </w:rPr>
        <w:tab/>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40" w:right="160" w:firstLine="1262"/>
        <w:spacing w:after="0" w:line="215" w:lineRule="auto"/>
        <w:tabs>
          <w:tab w:leader="none" w:pos="1843"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Free of Taxes</w:t>
      </w:r>
      <w:r>
        <w:rPr>
          <w:rFonts w:ascii="Times New Roman" w:cs="Times New Roman" w:eastAsia="Times New Roman" w:hAnsi="Times New Roman"/>
          <w:sz w:val="21"/>
          <w:szCs w:val="21"/>
          <w:color w:val="auto"/>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10.13) the applicable Recipient receives an amount equal to the sum it would have received had no such deduction or withholding been made.</w:t>
      </w:r>
    </w:p>
    <w:p>
      <w:pPr>
        <w:spacing w:after="0" w:line="148" w:lineRule="exact"/>
        <w:rPr>
          <w:rFonts w:ascii="Times New Roman" w:cs="Times New Roman" w:eastAsia="Times New Roman" w:hAnsi="Times New Roman"/>
          <w:sz w:val="21"/>
          <w:szCs w:val="21"/>
          <w:color w:val="auto"/>
        </w:rPr>
      </w:pPr>
    </w:p>
    <w:p>
      <w:pPr>
        <w:ind w:left="-40" w:right="620" w:firstLine="1262"/>
        <w:spacing w:after="0" w:line="265" w:lineRule="auto"/>
        <w:tabs>
          <w:tab w:leader="none" w:pos="1842"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Borrower</w:t>
      </w:r>
      <w:r>
        <w:rPr>
          <w:rFonts w:ascii="Times New Roman" w:cs="Times New Roman" w:eastAsia="Times New Roman" w:hAnsi="Times New Roman"/>
          <w:sz w:val="20"/>
          <w:szCs w:val="20"/>
          <w:color w:val="auto"/>
        </w:rPr>
        <w:t>. The Borrower shall timely pay to the relevant Governmental Authority in accordance with applicable law, or at the option of the Administrative Agent timely reimburse it for, Other Taxes.</w:t>
      </w:r>
    </w:p>
    <w:p>
      <w:pPr>
        <w:spacing w:after="0" w:line="120" w:lineRule="exact"/>
        <w:rPr>
          <w:rFonts w:ascii="Times New Roman" w:cs="Times New Roman" w:eastAsia="Times New Roman" w:hAnsi="Times New Roman"/>
          <w:sz w:val="20"/>
          <w:szCs w:val="20"/>
          <w:color w:val="auto"/>
        </w:rPr>
      </w:pPr>
    </w:p>
    <w:p>
      <w:pPr>
        <w:ind w:left="-40" w:right="100" w:firstLine="1262"/>
        <w:spacing w:after="0" w:line="224" w:lineRule="auto"/>
        <w:tabs>
          <w:tab w:leader="none" w:pos="1843"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Evidence of Payments</w:t>
      </w:r>
      <w:r>
        <w:rPr>
          <w:rFonts w:ascii="Times New Roman" w:cs="Times New Roman" w:eastAsia="Times New Roman" w:hAnsi="Times New Roman"/>
          <w:sz w:val="21"/>
          <w:szCs w:val="21"/>
          <w:color w:val="auto"/>
        </w:rPr>
        <w:t>. As soon as practicable after any payment of Taxes by the Borrower to a Governmental Authority pursuant to this Section 10.13,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78</w:t>
      </w:r>
    </w:p>
    <w:p>
      <w:pPr>
        <w:sectPr>
          <w:pgSz w:w="11900" w:h="16838" w:orient="portrait"/>
          <w:cols w:equalWidth="0" w:num="1">
            <w:col w:w="11180"/>
          </w:cols>
          <w:pgMar w:left="360" w:top="1134" w:right="359" w:bottom="1440" w:gutter="0" w:footer="0" w:header="0"/>
        </w:sectPr>
      </w:pPr>
    </w:p>
    <w:bookmarkStart w:id="235" w:name="page236"/>
    <w:bookmarkEnd w:id="235"/>
    <w:p>
      <w:pPr>
        <w:ind w:left="-1120" w:right="40" w:firstLine="1262"/>
        <w:spacing w:after="0" w:line="217" w:lineRule="auto"/>
        <w:tabs>
          <w:tab w:leader="none" w:pos="762"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Borrower</w:t>
      </w:r>
      <w:r>
        <w:rPr>
          <w:rFonts w:ascii="Times New Roman" w:cs="Times New Roman" w:eastAsia="Times New Roman" w:hAnsi="Times New Roman"/>
          <w:sz w:val="21"/>
          <w:szCs w:val="21"/>
          <w:color w:val="auto"/>
        </w:rPr>
        <w:t>.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out-of-pocket expenses arising therefrom or with respect thereto, whether or not such Indemnified Taxes were correctly or legally imposed or asserted by the relevant Governmental Authority. A certificate as to the amount of such payment or liability delivered to the Borrower by a Recipient (with a copy to the Administrative Agent), or by the Administrative Agent on its own behalf or on behalf of a Recipient, shall be conclusive absent manifest error.</w:t>
      </w:r>
    </w:p>
    <w:p>
      <w:pPr>
        <w:spacing w:after="0" w:line="148" w:lineRule="exact"/>
        <w:rPr>
          <w:rFonts w:ascii="Times New Roman" w:cs="Times New Roman" w:eastAsia="Times New Roman" w:hAnsi="Times New Roman"/>
          <w:sz w:val="21"/>
          <w:szCs w:val="21"/>
          <w:color w:val="auto"/>
        </w:rPr>
      </w:pPr>
    </w:p>
    <w:p>
      <w:pPr>
        <w:ind w:left="-1120" w:firstLine="1262"/>
        <w:spacing w:after="0" w:line="214" w:lineRule="auto"/>
        <w:tabs>
          <w:tab w:leader="none" w:pos="763"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Banks</w:t>
      </w:r>
      <w:r>
        <w:rPr>
          <w:rFonts w:ascii="Times New Roman" w:cs="Times New Roman" w:eastAsia="Times New Roman" w:hAnsi="Times New Roman"/>
          <w:sz w:val="21"/>
          <w:szCs w:val="21"/>
          <w:color w:val="auto"/>
        </w:rPr>
        <w:t>. Each Bank shall severally indemnify the Administrative Agent, within 10 days after demand therefor, for (i) any Indemnified Taxes attributable to such Bank (but only to the extent that the Borrower has not already indemnified the Administrative Agent for such Indemnified Taxes and without limiting the obligation of the Borrower to do so), (ii) any Taxes attributable to such Bank's failure to comply with the provisions of Section 12.05(b) relating to the maintenance of a Participant Register and (iii) any Excluded Taxes attributable to such Bank,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Bank by the Administrative Agent shall be conclusive absent manifest error. Each Bank hereby authorizes the Administrative Agent to set off and apply any and all amounts at any time owing to such Bank under any Loan Document or otherwise payable by the Administrative Agent to such Bank from any other source against any amount due to the Administrative Agent under this paragraph (e).</w:t>
      </w:r>
    </w:p>
    <w:p>
      <w:pPr>
        <w:spacing w:after="0" w:line="146" w:lineRule="exact"/>
        <w:rPr>
          <w:rFonts w:ascii="Times New Roman" w:cs="Times New Roman" w:eastAsia="Times New Roman" w:hAnsi="Times New Roman"/>
          <w:sz w:val="21"/>
          <w:szCs w:val="21"/>
          <w:color w:val="auto"/>
        </w:rPr>
      </w:pPr>
    </w:p>
    <w:p>
      <w:pPr>
        <w:ind w:left="-1120" w:right="20" w:firstLine="1262"/>
        <w:spacing w:after="0" w:line="213" w:lineRule="auto"/>
        <w:tabs>
          <w:tab w:leader="none" w:pos="766"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Status of Banks</w:t>
      </w:r>
      <w:r>
        <w:rPr>
          <w:rFonts w:ascii="Times New Roman" w:cs="Times New Roman" w:eastAsia="Times New Roman" w:hAnsi="Times New Roman"/>
          <w:sz w:val="21"/>
          <w:szCs w:val="21"/>
          <w:color w:val="auto"/>
        </w:rPr>
        <w:t>. (i) Any Bank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Bank,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Bank is subject to backup withholding or information reporting requirements. Notwithstanding anything to the contrary in the preceding two sentences, the completion, execution and submission of such documentation (other than such documentation set forth in Section 10.13(f)(ii)(A),(B) and (D) below) shall not be required if in the applicable Bank's reasonable judgment such completion, execution or submission would subject such Bank to any material unreimbursed cost or expense or would materially prejudice the legal or commercial position of such Bank.</w:t>
      </w:r>
    </w:p>
    <w:p>
      <w:pPr>
        <w:spacing w:after="0" w:line="179" w:lineRule="exact"/>
        <w:rPr>
          <w:sz w:val="20"/>
          <w:szCs w:val="20"/>
          <w:color w:val="auto"/>
        </w:rPr>
      </w:pPr>
    </w:p>
    <w:p>
      <w:pPr>
        <w:ind w:left="460" w:hanging="318"/>
        <w:spacing w:after="0"/>
        <w:tabs>
          <w:tab w:leader="none" w:pos="460"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in the event that the Borrower is a U.S. Person,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27" w:lineRule="exact"/>
        <w:rPr>
          <w:rFonts w:ascii="Times New Roman" w:cs="Times New Roman" w:eastAsia="Times New Roman" w:hAnsi="Times New Roman"/>
          <w:sz w:val="21"/>
          <w:szCs w:val="21"/>
          <w:color w:val="auto"/>
        </w:rPr>
      </w:pPr>
    </w:p>
    <w:p>
      <w:pPr>
        <w:ind w:left="44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79</w:t>
      </w:r>
    </w:p>
    <w:p>
      <w:pPr>
        <w:sectPr>
          <w:pgSz w:w="11900" w:h="16838" w:orient="portrait"/>
          <w:cols w:equalWidth="0" w:num="1">
            <w:col w:w="10100"/>
          </w:cols>
          <w:pgMar w:left="1440" w:top="1343" w:right="359" w:bottom="1440" w:gutter="0" w:footer="0" w:header="0"/>
        </w:sectPr>
      </w:pPr>
    </w:p>
    <w:bookmarkStart w:id="236" w:name="page237"/>
    <w:bookmarkEnd w:id="236"/>
    <w:p>
      <w:pPr>
        <w:jc w:val="both"/>
        <w:ind w:left="-180" w:firstLine="951"/>
        <w:spacing w:after="0" w:line="249" w:lineRule="auto"/>
        <w:tabs>
          <w:tab w:leader="none" w:pos="1121"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Bank that is a U.S. Person shall deliver to the Borrower and the Administrative Agent on or prior to the date on which such Bank becomes a Bank under this Agreement (and from time to time thereafter upon the reasonable request of the Borrower or the Administrative Agent), an executed copy of IRS Form W-9 certifying that such Bank is exempt from U.S. Federal backup withholding tax;</w:t>
      </w:r>
    </w:p>
    <w:p>
      <w:pPr>
        <w:spacing w:after="0" w:line="189" w:lineRule="exact"/>
        <w:rPr>
          <w:rFonts w:ascii="Times New Roman" w:cs="Times New Roman" w:eastAsia="Times New Roman" w:hAnsi="Times New Roman"/>
          <w:sz w:val="21"/>
          <w:szCs w:val="21"/>
          <w:color w:val="auto"/>
        </w:rPr>
      </w:pPr>
    </w:p>
    <w:p>
      <w:pPr>
        <w:jc w:val="both"/>
        <w:ind w:left="-180" w:firstLine="951"/>
        <w:spacing w:after="0" w:line="254" w:lineRule="auto"/>
        <w:tabs>
          <w:tab w:leader="none" w:pos="1136"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Bank shall, to the extent it is legally entitled to do so, deliver to the Borrower and the Administrative Agent (in such number of copies as shall be requested by the recipient) on or prior to the date on which such Foreign Bank becomes a Bank under this Agreement (and from time to time thereafter upon the reasonable request of the Borrower or the Administrative Agent), whichever of the following is applicable:</w:t>
      </w:r>
    </w:p>
    <w:p>
      <w:pPr>
        <w:spacing w:after="0" w:line="183" w:lineRule="exact"/>
        <w:rPr>
          <w:sz w:val="20"/>
          <w:szCs w:val="20"/>
          <w:color w:val="auto"/>
        </w:rPr>
      </w:pPr>
    </w:p>
    <w:p>
      <w:pPr>
        <w:jc w:val="both"/>
        <w:ind w:left="140" w:firstLine="631"/>
        <w:spacing w:after="0" w:line="246" w:lineRule="auto"/>
        <w:tabs>
          <w:tab w:leader="none" w:pos="1066"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Bank claiming the benefits of an income tax treaty to which the United States is a party (x) with respect to payments of interest under any Loan Document, an executed copy of IRS Form W-8BEN or Form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91" w:lineRule="exact"/>
        <w:rPr>
          <w:rFonts w:ascii="Times New Roman" w:cs="Times New Roman" w:eastAsia="Times New Roman" w:hAnsi="Times New Roman"/>
          <w:sz w:val="21"/>
          <w:szCs w:val="21"/>
          <w:color w:val="auto"/>
        </w:rPr>
      </w:pPr>
    </w:p>
    <w:p>
      <w:pPr>
        <w:ind w:left="140" w:firstLine="631"/>
        <w:spacing w:after="0" w:line="280" w:lineRule="auto"/>
        <w:tabs>
          <w:tab w:leader="none" w:pos="1066"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Bank claiming that its extension of credit will generate U.S. effectively connected income, an executed copy of IRS Form W-8ECI;</w:t>
      </w:r>
    </w:p>
    <w:p>
      <w:pPr>
        <w:spacing w:after="0" w:line="156" w:lineRule="exact"/>
        <w:rPr>
          <w:rFonts w:ascii="Times New Roman" w:cs="Times New Roman" w:eastAsia="Times New Roman" w:hAnsi="Times New Roman"/>
          <w:sz w:val="21"/>
          <w:szCs w:val="21"/>
          <w:color w:val="auto"/>
        </w:rPr>
      </w:pPr>
    </w:p>
    <w:p>
      <w:pPr>
        <w:jc w:val="both"/>
        <w:ind w:left="140" w:firstLine="631"/>
        <w:spacing w:after="0" w:line="246" w:lineRule="auto"/>
        <w:tabs>
          <w:tab w:leader="none" w:pos="1085"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Bank claiming the benefits of the exemption for portfolio interest under Section 881(c) of the Code, (x) a certificate substantially in the form of EXHIBIT K-1 to the effect that such Foreign Bank is not a "bank" within the meaning of Section 881(c)(3)(A) of the Code, a "10 percent shareholder" of the Borrower within the meaning of Section 881(c)(3)(B) of the Code, or a "controlled foreign corporation" within the meaning of Section 881(c)(3)(C) of the Code (a "</w:t>
      </w:r>
      <w:r>
        <w:rPr>
          <w:rFonts w:ascii="Times New Roman" w:cs="Times New Roman" w:eastAsia="Times New Roman" w:hAnsi="Times New Roman"/>
          <w:sz w:val="21"/>
          <w:szCs w:val="21"/>
          <w:u w:val="single" w:color="auto"/>
          <w:color w:val="auto"/>
        </w:rPr>
        <w:t>U.S. Tax Compliance Certificate</w:t>
      </w:r>
      <w:r>
        <w:rPr>
          <w:rFonts w:ascii="Times New Roman" w:cs="Times New Roman" w:eastAsia="Times New Roman" w:hAnsi="Times New Roman"/>
          <w:sz w:val="21"/>
          <w:szCs w:val="21"/>
          <w:color w:val="auto"/>
        </w:rPr>
        <w:t>") and (y) an executed copy of IRS Form W-8BEN or W-8BEN-E; or</w:t>
      </w:r>
    </w:p>
    <w:p>
      <w:pPr>
        <w:spacing w:after="0" w:line="191" w:lineRule="exact"/>
        <w:rPr>
          <w:rFonts w:ascii="Times New Roman" w:cs="Times New Roman" w:eastAsia="Times New Roman" w:hAnsi="Times New Roman"/>
          <w:sz w:val="21"/>
          <w:szCs w:val="21"/>
          <w:color w:val="auto"/>
        </w:rPr>
      </w:pPr>
    </w:p>
    <w:p>
      <w:pPr>
        <w:jc w:val="both"/>
        <w:ind w:left="140" w:firstLine="631"/>
        <w:spacing w:after="0" w:line="246" w:lineRule="auto"/>
        <w:tabs>
          <w:tab w:leader="none" w:pos="1114"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a Foreign Bank is not the beneficial owner, an executed copy of IRS Form W-8IMY, accompanied by IRS Form W-8ECI, IRS Form W-8BEN, or IRS Form W-8BEN-E, a U.S. Tax Compliance Certificate substantially in the form of EXHIBIT K-2 or EXHIBIT K-3, IRS Form W-9, and/or other certification documents from each beneficial owner,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Foreign Bank is a partnership and one or more direct or indirect partners of such Foreign Bank are claiming the portfolio interest exemption, such Foreign Bank may provide a U.S. Tax Compliance Certificate substantially in the form of EXHIBIT K-4 on behalf of each such direct and indirect partner;</w:t>
      </w:r>
    </w:p>
    <w:p>
      <w:pPr>
        <w:spacing w:after="0" w:line="200" w:lineRule="exact"/>
        <w:rPr>
          <w:sz w:val="20"/>
          <w:szCs w:val="20"/>
          <w:color w:val="auto"/>
        </w:rPr>
      </w:pPr>
    </w:p>
    <w:p>
      <w:pPr>
        <w:spacing w:after="0" w:line="3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80</w:t>
      </w:r>
    </w:p>
    <w:p>
      <w:pPr>
        <w:sectPr>
          <w:pgSz w:w="11900" w:h="16838" w:orient="portrait"/>
          <w:cols w:equalWidth="0" w:num="1">
            <w:col w:w="10120"/>
          </w:cols>
          <w:pgMar w:left="1440" w:top="1121" w:right="339" w:bottom="1440" w:gutter="0" w:footer="0" w:header="0"/>
        </w:sectPr>
      </w:pPr>
    </w:p>
    <w:bookmarkStart w:id="237" w:name="page238"/>
    <w:bookmarkEnd w:id="237"/>
    <w:p>
      <w:pPr>
        <w:jc w:val="both"/>
        <w:ind w:left="940" w:firstLine="951"/>
        <w:spacing w:after="0" w:line="244" w:lineRule="auto"/>
        <w:tabs>
          <w:tab w:leader="none" w:pos="2254"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Bank shall, to the extent it is legally entitled to do so, deliver to the Borrower and the Administrative Agent (in such number of copies as shall be requested by the recipient) on or prior to the date on which such Foreign Bank becomes a Bank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06" w:lineRule="exact"/>
        <w:rPr>
          <w:rFonts w:ascii="Times New Roman" w:cs="Times New Roman" w:eastAsia="Times New Roman" w:hAnsi="Times New Roman"/>
          <w:sz w:val="21"/>
          <w:szCs w:val="21"/>
          <w:color w:val="auto"/>
        </w:rPr>
      </w:pPr>
    </w:p>
    <w:p>
      <w:pPr>
        <w:jc w:val="both"/>
        <w:ind w:left="940" w:firstLine="951"/>
        <w:spacing w:after="0" w:line="242" w:lineRule="auto"/>
        <w:tabs>
          <w:tab w:leader="none" w:pos="2231"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Bank under any Loan Document would be subject to U.S. Federal withholding Tax imposed by FATCA if such Bank were to fail to comply with the applicable reporting requirements of FATCA (including those contained in Section 1471(b) or 1472(b) of the Code, as applicable), such Bank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Bank has complied with such Bank's obligations under FATCA or to determine the amount to deduct and withhold from such payment. Solely for purposes of this clause (D), "FATCA" shall include any amendments made to FATCA after the date of this Agreement.</w:t>
      </w:r>
    </w:p>
    <w:p>
      <w:pPr>
        <w:spacing w:after="0" w:line="198"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21"/>
          <w:szCs w:val="21"/>
          <w:color w:val="auto"/>
        </w:rPr>
        <w:t>Each Bank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80" w:lineRule="exact"/>
        <w:rPr>
          <w:sz w:val="20"/>
          <w:szCs w:val="20"/>
          <w:color w:val="auto"/>
        </w:rPr>
      </w:pPr>
    </w:p>
    <w:p>
      <w:pPr>
        <w:ind w:right="40" w:firstLine="1262"/>
        <w:spacing w:after="0" w:line="213" w:lineRule="auto"/>
        <w:tabs>
          <w:tab w:leader="none" w:pos="1882"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Certain Refunds</w:t>
      </w:r>
      <w:r>
        <w:rPr>
          <w:rFonts w:ascii="Times New Roman" w:cs="Times New Roman" w:eastAsia="Times New Roman" w:hAnsi="Times New Roman"/>
          <w:sz w:val="21"/>
          <w:szCs w:val="21"/>
          <w:color w:val="auto"/>
        </w:rPr>
        <w:t>. If any party determines, in its sole discretion exercised in good faith, that it has received a refund of any Taxes as to which it has been indemnified pursuant to this Section 10.13 (including by the payment of additional amounts pursuant to this Section 10.13), it shall pay to the indemnifying party an amount equal to such refund (but only to the extent of indemnity payments made under this Section 10.13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any indemnified party be required to pay any amount to an indemnifying party pursuant to this paragraph (g) the payment of which would place such indemnified party in a less favorable net after-Tax position than such indemnified party would have been in if the Tax subject to indemnification and giving rise to such refund had not been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81</w:t>
      </w:r>
    </w:p>
    <w:p>
      <w:pPr>
        <w:sectPr>
          <w:pgSz w:w="11900" w:h="16838" w:orient="portrait"/>
          <w:cols w:equalWidth="0" w:num="1">
            <w:col w:w="11240"/>
          </w:cols>
          <w:pgMar w:left="320" w:top="1357" w:right="339" w:bottom="1440" w:gutter="0" w:footer="0" w:header="0"/>
        </w:sectPr>
      </w:pPr>
    </w:p>
    <w:bookmarkStart w:id="238" w:name="page239"/>
    <w:bookmarkEnd w:id="238"/>
    <w:p>
      <w:pPr>
        <w:ind w:right="40"/>
        <w:spacing w:after="0" w:line="253" w:lineRule="auto"/>
        <w:rPr>
          <w:sz w:val="20"/>
          <w:szCs w:val="20"/>
          <w:color w:val="auto"/>
        </w:rPr>
      </w:pPr>
      <w:r>
        <w:rPr>
          <w:rFonts w:ascii="Times New Roman" w:cs="Times New Roman" w:eastAsia="Times New Roman" w:hAnsi="Times New Roman"/>
          <w:sz w:val="21"/>
          <w:szCs w:val="21"/>
          <w:color w:val="auto"/>
        </w:rPr>
        <w:t>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or to apply for or seek a refund of any Taxes on behalf of, any indemnifying party or any other Person.</w:t>
      </w:r>
    </w:p>
    <w:p>
      <w:pPr>
        <w:spacing w:after="0" w:line="3" w:lineRule="exact"/>
        <w:rPr>
          <w:sz w:val="20"/>
          <w:szCs w:val="20"/>
          <w:color w:val="auto"/>
        </w:rPr>
      </w:pPr>
    </w:p>
    <w:p>
      <w:pPr>
        <w:jc w:val="both"/>
        <w:ind w:right="200" w:firstLine="1262"/>
        <w:spacing w:after="0" w:line="257" w:lineRule="auto"/>
        <w:tabs>
          <w:tab w:leader="none" w:pos="1882"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Each party's obligations under this Section 10.13 shall survive the resignation or replacement of the Administrative Agent or any assignment of rights by, or the replacement of, a Bank, the termination of the Loan Commitments and the repayment, satisfaction or discharge of all obligations under any Loan Document.</w:t>
      </w:r>
    </w:p>
    <w:p>
      <w:pPr>
        <w:spacing w:after="0" w:line="163"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For purposes of this Section 10.13, the term “</w:t>
      </w:r>
      <w:r>
        <w:rPr>
          <w:rFonts w:ascii="Times New Roman" w:cs="Times New Roman" w:eastAsia="Times New Roman" w:hAnsi="Times New Roman"/>
          <w:sz w:val="21"/>
          <w:szCs w:val="21"/>
          <w:b w:val="1"/>
          <w:bCs w:val="1"/>
          <w:i w:val="1"/>
          <w:iCs w:val="1"/>
          <w:color w:val="auto"/>
        </w:rPr>
        <w:t>applicable law</w:t>
      </w:r>
      <w:r>
        <w:rPr>
          <w:rFonts w:ascii="Times New Roman" w:cs="Times New Roman" w:eastAsia="Times New Roman" w:hAnsi="Times New Roman"/>
          <w:sz w:val="21"/>
          <w:szCs w:val="21"/>
          <w:color w:val="auto"/>
        </w:rPr>
        <w:t>” includes FATCA.</w:t>
      </w:r>
    </w:p>
    <w:p>
      <w:pPr>
        <w:spacing w:after="0" w:line="221" w:lineRule="exact"/>
        <w:rPr>
          <w:sz w:val="20"/>
          <w:szCs w:val="20"/>
          <w:color w:val="auto"/>
        </w:rPr>
      </w:pPr>
    </w:p>
    <w:p>
      <w:pPr>
        <w:ind w:right="140" w:firstLine="1257"/>
        <w:spacing w:after="0" w:line="270" w:lineRule="auto"/>
        <w:rPr>
          <w:sz w:val="20"/>
          <w:szCs w:val="20"/>
          <w:color w:val="auto"/>
        </w:rPr>
      </w:pPr>
      <w:r>
        <w:rPr>
          <w:rFonts w:ascii="Times New Roman" w:cs="Times New Roman" w:eastAsia="Times New Roman" w:hAnsi="Times New Roman"/>
          <w:sz w:val="21"/>
          <w:szCs w:val="21"/>
          <w:color w:val="auto"/>
        </w:rPr>
        <w:t xml:space="preserve">SECTION 10.14 </w:t>
      </w:r>
      <w:r>
        <w:rPr>
          <w:rFonts w:ascii="Times New Roman" w:cs="Times New Roman" w:eastAsia="Times New Roman" w:hAnsi="Times New Roman"/>
          <w:sz w:val="21"/>
          <w:szCs w:val="21"/>
          <w:u w:val="single" w:color="auto"/>
          <w:color w:val="auto"/>
        </w:rPr>
        <w:t>Pro Rata Treatment.</w:t>
      </w:r>
      <w:r>
        <w:rPr>
          <w:rFonts w:ascii="Times New Roman" w:cs="Times New Roman" w:eastAsia="Times New Roman" w:hAnsi="Times New Roman"/>
          <w:sz w:val="21"/>
          <w:szCs w:val="21"/>
          <w:color w:val="auto"/>
        </w:rPr>
        <w:t xml:space="preserve"> Except to the extent otherwise provided, (1) each advance of proceeds of the Loans shall be made by the Banks and (2) each prepayment of Loans under Section 2.10 shall be made for the account of the Banks, ratably according to their respective Pro Rata Shares.</w:t>
      </w:r>
    </w:p>
    <w:p>
      <w:pPr>
        <w:spacing w:after="0" w:line="49" w:lineRule="exact"/>
        <w:rPr>
          <w:sz w:val="20"/>
          <w:szCs w:val="20"/>
          <w:color w:val="auto"/>
        </w:rPr>
      </w:pPr>
    </w:p>
    <w:p>
      <w:pPr>
        <w:ind w:firstLine="1257"/>
        <w:spacing w:after="0" w:line="251" w:lineRule="auto"/>
        <w:rPr>
          <w:sz w:val="20"/>
          <w:szCs w:val="20"/>
          <w:color w:val="auto"/>
        </w:rPr>
      </w:pPr>
      <w:r>
        <w:rPr>
          <w:rFonts w:ascii="Times New Roman" w:cs="Times New Roman" w:eastAsia="Times New Roman" w:hAnsi="Times New Roman"/>
          <w:sz w:val="21"/>
          <w:szCs w:val="21"/>
          <w:color w:val="auto"/>
        </w:rPr>
        <w:t xml:space="preserve">SECTION 10.15 </w:t>
      </w:r>
      <w:r>
        <w:rPr>
          <w:rFonts w:ascii="Times New Roman" w:cs="Times New Roman" w:eastAsia="Times New Roman" w:hAnsi="Times New Roman"/>
          <w:sz w:val="21"/>
          <w:szCs w:val="21"/>
          <w:u w:val="single" w:color="auto"/>
          <w:color w:val="auto"/>
        </w:rPr>
        <w:t>Sharing of Payments Among Banks.</w:t>
      </w:r>
      <w:r>
        <w:rPr>
          <w:rFonts w:ascii="Times New Roman" w:cs="Times New Roman" w:eastAsia="Times New Roman" w:hAnsi="Times New Roman"/>
          <w:sz w:val="21"/>
          <w:szCs w:val="21"/>
          <w:color w:val="auto"/>
        </w:rPr>
        <w:t xml:space="preserve"> If a Bank shall obtain payment of any principal of or interest on any Loan made by it through the exercise of any right of setoff, banker’s lien or counterclaim, or by any other means (including direct payment), and such payment results in such Bank receiving a greater payment than it would have been entitled to had such payment been paid directly to Administrative Agent for disbursement to the Banks, then such Bank shall promptly purchase for cash from the other Banks participations in the Loans made by the other Banks in such amounts, and make such other adjustments from time to time as shall be equitable to the end that all the Banks shall share ratably the benefit of such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w:t>
      </w:r>
    </w:p>
    <w:p>
      <w:pPr>
        <w:spacing w:after="0" w:line="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paragraph shall not be construed to apply to any payment made by the Borrower pursuant to and in accordance with the express terms of this Agreement or any payment obtained by a Bank as consideration for the assignment of or sale of a participation in any of its Loans to any assignee or participant, other than to the Borrower or any Subsidiary or Affiliate thereof (as to which the provisions of this paragraph shall apply). To such end the Banks shall make appropriate adjustments among themselves (by the resale of participations sold or otherwise) if such payment is rescinded or must otherwise be restored. Borrower agrees that any Bank so purchasing a participation in the Loans made by other Banks may exercise all rights of setoff, banker’s lien, counterclaim or similar rights with respect to such participation. Nothing contained herein shall require any Bank to exercise any such right or shall affect the right of any Bank to exercise, and retain the benefits of exercising, any such right with respect to any other indebtedness of Borrower.</w:t>
      </w:r>
    </w:p>
    <w:p>
      <w:pPr>
        <w:spacing w:after="0" w:line="59" w:lineRule="exact"/>
        <w:rPr>
          <w:sz w:val="20"/>
          <w:szCs w:val="20"/>
          <w:color w:val="auto"/>
        </w:rPr>
      </w:pPr>
    </w:p>
    <w:p>
      <w:pPr>
        <w:ind w:right="100" w:firstLine="1257"/>
        <w:spacing w:after="0" w:line="258" w:lineRule="auto"/>
        <w:rPr>
          <w:sz w:val="20"/>
          <w:szCs w:val="20"/>
          <w:color w:val="auto"/>
        </w:rPr>
      </w:pPr>
      <w:r>
        <w:rPr>
          <w:rFonts w:ascii="Times New Roman" w:cs="Times New Roman" w:eastAsia="Times New Roman" w:hAnsi="Times New Roman"/>
          <w:sz w:val="21"/>
          <w:szCs w:val="21"/>
          <w:color w:val="auto"/>
        </w:rPr>
        <w:t xml:space="preserve">SECTION 10.16 </w:t>
      </w:r>
      <w:r>
        <w:rPr>
          <w:rFonts w:ascii="Times New Roman" w:cs="Times New Roman" w:eastAsia="Times New Roman" w:hAnsi="Times New Roman"/>
          <w:sz w:val="21"/>
          <w:szCs w:val="21"/>
          <w:u w:val="single" w:color="auto"/>
          <w:color w:val="auto"/>
        </w:rPr>
        <w:t>Possession of Documents.</w:t>
      </w:r>
      <w:r>
        <w:rPr>
          <w:rFonts w:ascii="Times New Roman" w:cs="Times New Roman" w:eastAsia="Times New Roman" w:hAnsi="Times New Roman"/>
          <w:sz w:val="21"/>
          <w:szCs w:val="21"/>
          <w:color w:val="auto"/>
        </w:rPr>
        <w:t xml:space="preserve"> Each Bank shall keep possession of its own Term Loan Note. Administrative Agent shall hold all the other Loan Documents and related documents in its possession and maintain separate records and accounts with respect thereto, and shall permit the Banks and their representatives access at all reasonable times to inspect such Loan Documents, related documents, records and accounts.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82</w:t>
      </w:r>
    </w:p>
    <w:p>
      <w:pPr>
        <w:sectPr>
          <w:pgSz w:w="11900" w:h="16838" w:orient="portrait"/>
          <w:cols w:equalWidth="0" w:num="1">
            <w:col w:w="11240"/>
          </w:cols>
          <w:pgMar w:left="320" w:top="1134" w:right="339" w:bottom="1440" w:gutter="0" w:footer="0" w:header="0"/>
        </w:sectPr>
      </w:pPr>
    </w:p>
    <w:bookmarkStart w:id="239" w:name="page240"/>
    <w:bookmarkEnd w:id="239"/>
    <w:p>
      <w:pPr>
        <w:ind w:right="80" w:firstLine="1257"/>
        <w:spacing w:after="0" w:line="258" w:lineRule="auto"/>
        <w:rPr>
          <w:sz w:val="20"/>
          <w:szCs w:val="20"/>
          <w:color w:val="auto"/>
        </w:rPr>
      </w:pPr>
      <w:r>
        <w:rPr>
          <w:rFonts w:ascii="Times New Roman" w:cs="Times New Roman" w:eastAsia="Times New Roman" w:hAnsi="Times New Roman"/>
          <w:sz w:val="21"/>
          <w:szCs w:val="21"/>
          <w:color w:val="auto"/>
        </w:rPr>
        <w:t xml:space="preserve">SECTION 10.17 </w:t>
      </w:r>
      <w:r>
        <w:rPr>
          <w:rFonts w:ascii="Times New Roman" w:cs="Times New Roman" w:eastAsia="Times New Roman" w:hAnsi="Times New Roman"/>
          <w:sz w:val="21"/>
          <w:szCs w:val="21"/>
          <w:u w:val="single" w:color="auto"/>
          <w:color w:val="auto"/>
        </w:rPr>
        <w:t>Syndication Agents, Documentation Agents Etc.</w:t>
      </w:r>
      <w:r>
        <w:rPr>
          <w:rFonts w:ascii="Times New Roman" w:cs="Times New Roman" w:eastAsia="Times New Roman" w:hAnsi="Times New Roman"/>
          <w:sz w:val="21"/>
          <w:szCs w:val="21"/>
          <w:color w:val="auto"/>
        </w:rPr>
        <w:t xml:space="preserve"> The Banks and financial institutions serving as Syndication Agents, Documentation Agents, Sustainability Structuring Agents or Joint Lead Arrangers shall have no duties or obligations in such capacities and shall incur no liability hereunder in such capacities, but shall have the benefit of the indemnities provided for hereunder. In addition, in acting as an Agent, no Bank will have any responsibility except as set forth herein and shall in no event be subject to any fiduciary or other implied duties.</w:t>
      </w:r>
    </w:p>
    <w:p>
      <w:pPr>
        <w:spacing w:after="0" w:line="51" w:lineRule="exact"/>
        <w:rPr>
          <w:sz w:val="20"/>
          <w:szCs w:val="20"/>
          <w:color w:val="auto"/>
        </w:rPr>
      </w:pPr>
    </w:p>
    <w:p>
      <w:pPr>
        <w:ind w:left="1260"/>
        <w:spacing w:after="0"/>
        <w:tabs>
          <w:tab w:leader="none" w:pos="3120" w:val="left"/>
        </w:tabs>
        <w:rPr>
          <w:sz w:val="20"/>
          <w:szCs w:val="20"/>
          <w:color w:val="auto"/>
        </w:rPr>
      </w:pPr>
      <w:r>
        <w:rPr>
          <w:rFonts w:ascii="Times New Roman" w:cs="Times New Roman" w:eastAsia="Times New Roman" w:hAnsi="Times New Roman"/>
          <w:sz w:val="21"/>
          <w:szCs w:val="21"/>
          <w:color w:val="auto"/>
        </w:rPr>
        <w:t>SECTION 10.18</w:t>
      </w:r>
      <w:r>
        <w:rPr>
          <w:sz w:val="20"/>
          <w:szCs w:val="20"/>
          <w:color w:val="auto"/>
        </w:rPr>
        <w:tab/>
      </w:r>
      <w:r>
        <w:rPr>
          <w:rFonts w:ascii="Times New Roman" w:cs="Times New Roman" w:eastAsia="Times New Roman" w:hAnsi="Times New Roman"/>
          <w:sz w:val="20"/>
          <w:szCs w:val="20"/>
          <w:u w:val="single" w:color="auto"/>
          <w:color w:val="auto"/>
        </w:rPr>
        <w:t>Certain ERISA Matters</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ind w:right="100" w:firstLine="1262"/>
        <w:spacing w:after="0" w:line="241" w:lineRule="auto"/>
        <w:tabs>
          <w:tab w:leader="none" w:pos="1883"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Bank (x) represents and warrants, as of the date such Person became a Bank party hereto, to, and (y) covenants, from the date such Person became a Bank party hereto to the date such Person ceases being a Bank party hereto, for the benefit of the Administrative Agent and each Lead Arranger and their respective Affiliates, and not, for the avoidance of doubt, to or for the benefit of the General Partner or the Borrower that at least one of the following is and will be true:</w:t>
      </w:r>
    </w:p>
    <w:p>
      <w:pPr>
        <w:spacing w:after="0" w:line="156" w:lineRule="exact"/>
        <w:rPr>
          <w:rFonts w:ascii="Times New Roman" w:cs="Times New Roman" w:eastAsia="Times New Roman" w:hAnsi="Times New Roman"/>
          <w:sz w:val="21"/>
          <w:szCs w:val="21"/>
          <w:color w:val="auto"/>
        </w:rPr>
      </w:pPr>
    </w:p>
    <w:p>
      <w:pPr>
        <w:ind w:left="640" w:right="60" w:firstLine="1251"/>
        <w:spacing w:after="0" w:line="241" w:lineRule="auto"/>
        <w:tabs>
          <w:tab w:leader="none" w:pos="2514"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Bank is not using “plan assets” (within the meaning of the Plan Asset Regulations) of one or more Benefit Plans in connection with the Loans, Commitments or this Agreement,</w:t>
      </w:r>
    </w:p>
    <w:p>
      <w:pPr>
        <w:spacing w:after="0" w:line="143" w:lineRule="exact"/>
        <w:rPr>
          <w:rFonts w:ascii="Times New Roman" w:cs="Times New Roman" w:eastAsia="Times New Roman" w:hAnsi="Times New Roman"/>
          <w:sz w:val="21"/>
          <w:szCs w:val="21"/>
          <w:color w:val="auto"/>
        </w:rPr>
      </w:pPr>
    </w:p>
    <w:p>
      <w:pPr>
        <w:ind w:left="640" w:right="160" w:firstLine="1251"/>
        <w:spacing w:after="0" w:line="217" w:lineRule="auto"/>
        <w:tabs>
          <w:tab w:leader="none" w:pos="2520"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Commitments and this Agreement,</w:t>
      </w:r>
    </w:p>
    <w:p>
      <w:pPr>
        <w:spacing w:after="0" w:line="148" w:lineRule="exact"/>
        <w:rPr>
          <w:rFonts w:ascii="Times New Roman" w:cs="Times New Roman" w:eastAsia="Times New Roman" w:hAnsi="Times New Roman"/>
          <w:sz w:val="21"/>
          <w:szCs w:val="21"/>
          <w:color w:val="auto"/>
        </w:rPr>
      </w:pPr>
    </w:p>
    <w:p>
      <w:pPr>
        <w:ind w:left="640" w:firstLine="1251"/>
        <w:spacing w:after="0" w:line="217" w:lineRule="auto"/>
        <w:tabs>
          <w:tab w:leader="none" w:pos="2526"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Bank, the requirements of subsection (a) of Part I of PTE 84-14 are satisfied with respect to such Bank’s entrance into, participation in, administration of and performance of the Loans, the Commitments and this Agreement, or</w:t>
      </w:r>
    </w:p>
    <w:p>
      <w:pPr>
        <w:spacing w:after="0" w:line="148" w:lineRule="exact"/>
        <w:rPr>
          <w:rFonts w:ascii="Times New Roman" w:cs="Times New Roman" w:eastAsia="Times New Roman" w:hAnsi="Times New Roman"/>
          <w:sz w:val="21"/>
          <w:szCs w:val="21"/>
          <w:color w:val="auto"/>
        </w:rPr>
      </w:pPr>
    </w:p>
    <w:p>
      <w:pPr>
        <w:ind w:left="640" w:right="1180" w:firstLine="1251"/>
        <w:spacing w:after="0" w:line="241" w:lineRule="auto"/>
        <w:tabs>
          <w:tab w:leader="none" w:pos="2514"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representation, warranty and covenant as may be agreed in writing between the Administrative Agent, in its sole discretion, and such Bank.</w:t>
      </w:r>
    </w:p>
    <w:p>
      <w:pPr>
        <w:spacing w:after="0" w:line="143" w:lineRule="exact"/>
        <w:rPr>
          <w:rFonts w:ascii="Times New Roman" w:cs="Times New Roman" w:eastAsia="Times New Roman" w:hAnsi="Times New Roman"/>
          <w:sz w:val="21"/>
          <w:szCs w:val="21"/>
          <w:color w:val="auto"/>
        </w:rPr>
      </w:pPr>
    </w:p>
    <w:p>
      <w:pPr>
        <w:ind w:right="440" w:firstLine="1262"/>
        <w:spacing w:after="0" w:line="241" w:lineRule="auto"/>
        <w:tabs>
          <w:tab w:leader="none" w:pos="1882"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unless either (1) sub-clause (i) in the immediately preceding clause (a) is true with respect to a Bank or (2) such Bank has provided another representation,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83</w:t>
      </w:r>
    </w:p>
    <w:p>
      <w:pPr>
        <w:sectPr>
          <w:pgSz w:w="11900" w:h="16838" w:orient="portrait"/>
          <w:cols w:equalWidth="0" w:num="1">
            <w:col w:w="11240"/>
          </w:cols>
          <w:pgMar w:left="320" w:top="1134" w:right="339" w:bottom="1440" w:gutter="0" w:footer="0" w:header="0"/>
        </w:sectPr>
      </w:pPr>
    </w:p>
    <w:bookmarkStart w:id="240" w:name="page241"/>
    <w:bookmarkEnd w:id="240"/>
    <w:p>
      <w:pPr>
        <w:ind w:right="120"/>
        <w:spacing w:after="0" w:line="211" w:lineRule="auto"/>
        <w:rPr>
          <w:sz w:val="20"/>
          <w:szCs w:val="20"/>
          <w:color w:val="auto"/>
        </w:rPr>
      </w:pPr>
      <w:r>
        <w:rPr>
          <w:rFonts w:ascii="Times New Roman" w:cs="Times New Roman" w:eastAsia="Times New Roman" w:hAnsi="Times New Roman"/>
          <w:sz w:val="21"/>
          <w:szCs w:val="21"/>
          <w:color w:val="auto"/>
        </w:rPr>
        <w:t>warranty and covenant as provided in sub-clause (iv) in the immediately preceding clause (a), such Bank further (x) represents and warrants, as of the date such Person became a Bank party hereto, to, and (y) covenants, from the date such Person became a Bank party hereto to the date such Person ceases being a Bank party hereto, for the benefit of the Administrative Agent and each Lead Arranger and their respective Affiliates, and not, for the avoidance of doubt, to or for the benefit of the General Partner or the Borrower that none of the Administrative Agent or any Lead Arranger or any of their respective Affiliates is a fiduciary with respect to the assets of such Bank (including in connection with the reservation or exercise of any rights by the Administrative Agent under this Agreement, any Loan Document or any documents related to hereto or thereto).</w:t>
      </w:r>
    </w:p>
    <w:p>
      <w:pPr>
        <w:spacing w:after="0" w:line="5" w:lineRule="exact"/>
        <w:rPr>
          <w:sz w:val="20"/>
          <w:szCs w:val="20"/>
          <w:color w:val="auto"/>
        </w:rPr>
      </w:pPr>
    </w:p>
    <w:p>
      <w:pPr>
        <w:ind w:firstLine="1262"/>
        <w:spacing w:after="0" w:line="218" w:lineRule="auto"/>
        <w:tabs>
          <w:tab w:leader="none" w:pos="1883"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each Lead Arranger hereby informs the Banks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w:t>
      </w:r>
    </w:p>
    <w:p>
      <w:pPr>
        <w:spacing w:after="0" w:line="2" w:lineRule="exact"/>
        <w:rPr>
          <w:rFonts w:ascii="Times New Roman" w:cs="Times New Roman" w:eastAsia="Times New Roman" w:hAnsi="Times New Roman"/>
          <w:sz w:val="20"/>
          <w:szCs w:val="20"/>
          <w:color w:val="auto"/>
        </w:rPr>
      </w:pPr>
    </w:p>
    <w:p>
      <w:pPr>
        <w:ind w:right="40" w:firstLine="5"/>
        <w:spacing w:after="0" w:line="213" w:lineRule="auto"/>
        <w:tabs>
          <w:tab w:leader="none" w:pos="25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may receive interest or other payments with respect to the Loans, the Loan Commitments, this Agreement and any other Loan Documents (ii) may recognize a gain if it extended the Loans or the Loan Commitments for an amount less than the amount being paid for an interest in the Loans or the Loan Commitments by such Bank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4" w:lineRule="exact"/>
        <w:rPr>
          <w:sz w:val="20"/>
          <w:szCs w:val="20"/>
          <w:color w:val="auto"/>
        </w:rPr>
      </w:pPr>
    </w:p>
    <w:p>
      <w:pPr>
        <w:ind w:right="120" w:firstLine="1257"/>
        <w:spacing w:after="0" w:line="252" w:lineRule="auto"/>
        <w:rPr>
          <w:sz w:val="20"/>
          <w:szCs w:val="20"/>
          <w:color w:val="auto"/>
        </w:rPr>
      </w:pPr>
      <w:r>
        <w:rPr>
          <w:rFonts w:ascii="Times New Roman" w:cs="Times New Roman" w:eastAsia="Times New Roman" w:hAnsi="Times New Roman"/>
          <w:sz w:val="21"/>
          <w:szCs w:val="21"/>
          <w:color w:val="auto"/>
        </w:rPr>
        <w:t xml:space="preserve">SECTION 10.19 </w:t>
      </w:r>
      <w:r>
        <w:rPr>
          <w:rFonts w:ascii="Times New Roman" w:cs="Times New Roman" w:eastAsia="Times New Roman" w:hAnsi="Times New Roman"/>
          <w:sz w:val="21"/>
          <w:szCs w:val="21"/>
          <w:u w:val="single" w:color="auto"/>
          <w:color w:val="auto"/>
        </w:rPr>
        <w:t>Sustainability Matters.</w:t>
      </w:r>
      <w:r>
        <w:rPr>
          <w:rFonts w:ascii="Times New Roman" w:cs="Times New Roman" w:eastAsia="Times New Roman" w:hAnsi="Times New Roman"/>
          <w:sz w:val="21"/>
          <w:szCs w:val="21"/>
          <w:color w:val="auto"/>
        </w:rPr>
        <w:t xml:space="preserve"> Each party hereto hereby agrees that none of the Administrative Agent, any Joint Lead Arranger or any Sustainability Structuring Agent shall have (x) any duty to ascertain, inquire into or otherwise independently verify any sustainability related information or any other information or materials provided by the Borrower and used in connection with the sustainability provisions of the credit facility evidenced by this Agreement, including with respect to the applicable KPI nor (y) any responsibility for (or liability in respect of) the completeness or accuracy of such information. Each party hereto hereby agrees that none of Administrative Agent, any Sustainability Structuring Agent or any Joint Lead Arranger shall have any responsibility for (or liability in respect of) reviewing, auditing or otherwise evaluating any calculation by the Borrower of any Sustainability Rate Adjustment (or any of the data or computations that are part of or related to any such calculation) set forth in any Pricing Certificate or notice as to a Pricing Certificate Inaccuracy (and the Administrative Agent, the Joint Lead Arrangers and the Sustainability Structuring Agents may rely conclusively on any such certificate or notice, without further inquiry).</w:t>
      </w:r>
    </w:p>
    <w:p>
      <w:pPr>
        <w:spacing w:after="0" w:line="5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XI</w:t>
      </w:r>
    </w:p>
    <w:p>
      <w:pPr>
        <w:spacing w:after="0" w:line="1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NATURE OF OBLIGATIONS</w:t>
      </w:r>
    </w:p>
    <w:p>
      <w:pPr>
        <w:spacing w:after="0" w:line="204" w:lineRule="exact"/>
        <w:rPr>
          <w:sz w:val="20"/>
          <w:szCs w:val="20"/>
          <w:color w:val="auto"/>
        </w:rPr>
      </w:pPr>
    </w:p>
    <w:p>
      <w:pPr>
        <w:ind w:right="80" w:firstLine="1257"/>
        <w:spacing w:after="0" w:line="280" w:lineRule="auto"/>
        <w:rPr>
          <w:sz w:val="20"/>
          <w:szCs w:val="20"/>
          <w:color w:val="auto"/>
        </w:rPr>
      </w:pPr>
      <w:r>
        <w:rPr>
          <w:rFonts w:ascii="Times New Roman" w:cs="Times New Roman" w:eastAsia="Times New Roman" w:hAnsi="Times New Roman"/>
          <w:sz w:val="21"/>
          <w:szCs w:val="21"/>
          <w:color w:val="auto"/>
        </w:rPr>
        <w:t xml:space="preserve">SECTION 11.01 </w:t>
      </w:r>
      <w:r>
        <w:rPr>
          <w:rFonts w:ascii="Times New Roman" w:cs="Times New Roman" w:eastAsia="Times New Roman" w:hAnsi="Times New Roman"/>
          <w:sz w:val="21"/>
          <w:szCs w:val="21"/>
          <w:u w:val="single" w:color="auto"/>
          <w:color w:val="auto"/>
        </w:rPr>
        <w:t>Absolute and Unconditional Obligations.</w:t>
      </w:r>
      <w:r>
        <w:rPr>
          <w:rFonts w:ascii="Times New Roman" w:cs="Times New Roman" w:eastAsia="Times New Roman" w:hAnsi="Times New Roman"/>
          <w:sz w:val="21"/>
          <w:szCs w:val="21"/>
          <w:color w:val="auto"/>
        </w:rPr>
        <w:t xml:space="preserve"> Borrower acknowledges and agrees that its obligations and liabilities under this Agreement and under the other Loan Documents shall be absolute and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84</w:t>
      </w:r>
    </w:p>
    <w:p>
      <w:pPr>
        <w:sectPr>
          <w:pgSz w:w="11900" w:h="16838" w:orient="portrait"/>
          <w:cols w:equalWidth="0" w:num="1">
            <w:col w:w="11240"/>
          </w:cols>
          <w:pgMar w:left="320" w:top="1108" w:right="339" w:bottom="1440" w:gutter="0" w:footer="0" w:header="0"/>
        </w:sectPr>
      </w:pPr>
    </w:p>
    <w:bookmarkStart w:id="241" w:name="page242"/>
    <w:bookmarkEnd w:id="241"/>
    <w:p>
      <w:pPr>
        <w:ind w:right="160"/>
        <w:spacing w:after="0" w:line="219" w:lineRule="auto"/>
        <w:rPr>
          <w:sz w:val="20"/>
          <w:szCs w:val="20"/>
          <w:color w:val="auto"/>
        </w:rPr>
      </w:pPr>
      <w:r>
        <w:rPr>
          <w:rFonts w:ascii="Times New Roman" w:cs="Times New Roman" w:eastAsia="Times New Roman" w:hAnsi="Times New Roman"/>
          <w:sz w:val="21"/>
          <w:szCs w:val="21"/>
          <w:color w:val="auto"/>
        </w:rPr>
        <w:t>unconditional irrespective of (1) any lack of validity or enforceability of any of the Obligations, any Loan Documents, or any agreement or instrument relating thereto; (2) any change in the time, manner or place of payment of, or in any other term in respect of, all or any of the Obligations, or any other amendment or waiver of or consent to any departure from any Loan Documents or any other documents or instruments executed in connection with or related to the Obligations; (3) any exchange or release of any collateral, if any, or of any other Person from all or any of the Obligations; or (4) any other circumstances which might otherwise constitute a defense available to, or a discharge of, Borrower or any other Person in respect of the Obligations.</w:t>
      </w:r>
    </w:p>
    <w:p>
      <w:pPr>
        <w:spacing w:after="0" w:line="66" w:lineRule="exact"/>
        <w:rPr>
          <w:sz w:val="20"/>
          <w:szCs w:val="20"/>
          <w:color w:val="auto"/>
        </w:rPr>
      </w:pPr>
    </w:p>
    <w:p>
      <w:pPr>
        <w:ind w:right="40" w:firstLine="629"/>
        <w:spacing w:after="0" w:line="258" w:lineRule="auto"/>
        <w:rPr>
          <w:sz w:val="20"/>
          <w:szCs w:val="20"/>
          <w:color w:val="auto"/>
        </w:rPr>
      </w:pPr>
      <w:r>
        <w:rPr>
          <w:rFonts w:ascii="Times New Roman" w:cs="Times New Roman" w:eastAsia="Times New Roman" w:hAnsi="Times New Roman"/>
          <w:sz w:val="21"/>
          <w:szCs w:val="21"/>
          <w:color w:val="auto"/>
        </w:rPr>
        <w:t>The obligations and liabilities of Borrower under this Agreement and the other Loan Documents shall not be conditioned or contingent upon the pursuit by any Bank or any other Person at any time of any right or remedy against Borrower, General Partner or any other Person which may be or become liable in respect of all or any part of the Obligations or against any collateral or security or guarantee therefor or right of setoff with respect thereto.</w:t>
      </w:r>
    </w:p>
    <w:p>
      <w:pPr>
        <w:spacing w:after="0" w:line="180" w:lineRule="exact"/>
        <w:rPr>
          <w:sz w:val="20"/>
          <w:szCs w:val="20"/>
          <w:color w:val="auto"/>
        </w:rPr>
      </w:pPr>
    </w:p>
    <w:p>
      <w:pPr>
        <w:ind w:firstLine="1257"/>
        <w:spacing w:after="0" w:line="251" w:lineRule="auto"/>
        <w:rPr>
          <w:sz w:val="20"/>
          <w:szCs w:val="20"/>
          <w:color w:val="auto"/>
        </w:rPr>
      </w:pPr>
      <w:r>
        <w:rPr>
          <w:rFonts w:ascii="Times New Roman" w:cs="Times New Roman" w:eastAsia="Times New Roman" w:hAnsi="Times New Roman"/>
          <w:sz w:val="21"/>
          <w:szCs w:val="21"/>
          <w:color w:val="auto"/>
        </w:rPr>
        <w:t xml:space="preserve">SECTION 11.02 </w:t>
      </w:r>
      <w:r>
        <w:rPr>
          <w:rFonts w:ascii="Times New Roman" w:cs="Times New Roman" w:eastAsia="Times New Roman" w:hAnsi="Times New Roman"/>
          <w:sz w:val="21"/>
          <w:szCs w:val="21"/>
          <w:u w:val="single" w:color="auto"/>
          <w:color w:val="auto"/>
        </w:rPr>
        <w:t>Non-Recourse to VRT Principals and the General Partner.</w:t>
      </w:r>
      <w:r>
        <w:rPr>
          <w:rFonts w:ascii="Times New Roman" w:cs="Times New Roman" w:eastAsia="Times New Roman" w:hAnsi="Times New Roman"/>
          <w:sz w:val="21"/>
          <w:szCs w:val="21"/>
          <w:color w:val="auto"/>
        </w:rPr>
        <w:t xml:space="preserve"> This Agreement and the obligations hereunder and under the other Loan Documents are fully recourse to Borrower. Notwithstanding anything to the contrary contained in this Agreement, in any of the other Loan Documents, or in any other instruments, certificates, documents or agreements executed in connection with the Loans (all of the foregoing, for purposes of this Section, hereinafter referred to, individually and collectively, as the “Relevant Documents”), and notwithstanding any applicable law that would make the General Partner liable for the debts or obligations of the Borrower, including as a general partner, no recourse under or upon any Obligation, representation, warranty, promise or other matter whatsoever shall be had against any of the VRT Principals or the General Partner, and each Bank expressly waives and releases, on behalf of itself and its successors and assigns, all right to assert any liability whatsoever under or with respect to the Relevant Documents against, or to satisfy any claim or obligation arising thereunder against, any of the VRT Principals or the General Partner or out of any assets of the VRT Principals or the General Partner, provided, however, that nothing in this Section shall be deemed to (1) release Borrower from any liability pursuant to, or from any of its obligations under, the Relevant Documents, or from liability for its fraudulent actions or fraudulent omissions; (2) release any VRT Principals or the General Partner from personal liability arising outside of the terms of this Agreement for its, his or her own fraudulent actions, fraudulent omissions, misappropriation of funds, rents or insurance proceeds, gross negligence or willful misconduct; (3) constitute a waiver of any obligation evidenced or secured by, or contained in, the Relevant Documents or affect in any way the validity or enforceability of the Relevant Documents; or (4) limit the right of Administrative Agent and/or the Banks to proceed against or realize upon any collateral hereafter given for the Loans or any and all of the assets of Borrower (notwithstanding the fact that the VRT Principals and the General Partner have an ownership interest in Borrower and, thereby, an interest in the assets of Borrower) or to name Borrower (or, to the extent that the same are required by applicable law or are determined by a court to be necessary parties in connection with an action or suit against Borrower or any collateral hereafter given for the Loans, the General Partner) as a party defendant in, and to enforce against any collateral hereafter given for the Loans and/or assets of Borrower any judgment obtained by Administrative Agent and/or the Banks with respect to, any action or suit under the Relevant Documents so long as no judgment shall be taken (except to the extent taking a judgment is required by applicable law or determined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85</w:t>
      </w:r>
    </w:p>
    <w:p>
      <w:pPr>
        <w:sectPr>
          <w:pgSz w:w="11900" w:h="16838" w:orient="portrait"/>
          <w:cols w:equalWidth="0" w:num="1">
            <w:col w:w="11240"/>
          </w:cols>
          <w:pgMar w:left="320" w:top="1108" w:right="339" w:bottom="1440" w:gutter="0" w:footer="0" w:header="0"/>
        </w:sectPr>
      </w:pPr>
    </w:p>
    <w:bookmarkStart w:id="242" w:name="page243"/>
    <w:bookmarkEnd w:id="242"/>
    <w:p>
      <w:pPr>
        <w:ind w:right="260"/>
        <w:spacing w:after="0" w:line="265" w:lineRule="auto"/>
        <w:rPr>
          <w:sz w:val="20"/>
          <w:szCs w:val="20"/>
          <w:color w:val="auto"/>
        </w:rPr>
      </w:pPr>
      <w:r>
        <w:rPr>
          <w:rFonts w:ascii="Times New Roman" w:cs="Times New Roman" w:eastAsia="Times New Roman" w:hAnsi="Times New Roman"/>
          <w:sz w:val="20"/>
          <w:szCs w:val="20"/>
          <w:color w:val="auto"/>
        </w:rPr>
        <w:t>by a court to be necessary to preserve Administrative Agent’s and/or Banks’ rights against any collateral hereafter given for the Loans or Borrower, but not otherwise) or shall be enforced against any of the VRT Principals or the General Partner or their assets.</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ARTICLE XII</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MISCELLANEOUS</w:t>
      </w:r>
    </w:p>
    <w:p>
      <w:pPr>
        <w:spacing w:after="0" w:line="204" w:lineRule="exact"/>
        <w:rPr>
          <w:sz w:val="20"/>
          <w:szCs w:val="20"/>
          <w:color w:val="auto"/>
        </w:rPr>
      </w:pPr>
    </w:p>
    <w:p>
      <w:pPr>
        <w:ind w:right="280" w:firstLine="1257"/>
        <w:spacing w:after="0" w:line="258" w:lineRule="auto"/>
        <w:rPr>
          <w:sz w:val="20"/>
          <w:szCs w:val="20"/>
          <w:color w:val="auto"/>
        </w:rPr>
      </w:pPr>
      <w:r>
        <w:rPr>
          <w:rFonts w:ascii="Times New Roman" w:cs="Times New Roman" w:eastAsia="Times New Roman" w:hAnsi="Times New Roman"/>
          <w:sz w:val="21"/>
          <w:szCs w:val="21"/>
          <w:color w:val="auto"/>
        </w:rPr>
        <w:t xml:space="preserve">SECTION 12.01 </w:t>
      </w:r>
      <w:r>
        <w:rPr>
          <w:rFonts w:ascii="Times New Roman" w:cs="Times New Roman" w:eastAsia="Times New Roman" w:hAnsi="Times New Roman"/>
          <w:sz w:val="21"/>
          <w:szCs w:val="21"/>
          <w:u w:val="single" w:color="auto"/>
          <w:color w:val="auto"/>
        </w:rPr>
        <w:t>Binding Effect of Request for Advance.</w:t>
      </w:r>
      <w:r>
        <w:rPr>
          <w:rFonts w:ascii="Times New Roman" w:cs="Times New Roman" w:eastAsia="Times New Roman" w:hAnsi="Times New Roman"/>
          <w:sz w:val="21"/>
          <w:szCs w:val="21"/>
          <w:color w:val="auto"/>
        </w:rPr>
        <w:t xml:space="preserve"> Borrower agrees that, by its acceptance of any advance of proceeds of the Loans under this Agreement, it shall be bound in all respects by the request for advance submitted on its behalf in connection therewith with the same force and effect as if Borrower had itself executed and submitted the request for advance and whether or not the request for advance is executed and/or submitted by an authorized person.</w:t>
      </w:r>
    </w:p>
    <w:p>
      <w:pPr>
        <w:spacing w:after="0" w:line="75" w:lineRule="exact"/>
        <w:rPr>
          <w:sz w:val="20"/>
          <w:szCs w:val="20"/>
          <w:color w:val="auto"/>
        </w:rPr>
      </w:pPr>
    </w:p>
    <w:p>
      <w:pPr>
        <w:ind w:firstLine="1257"/>
        <w:spacing w:after="0" w:line="264" w:lineRule="auto"/>
        <w:rPr>
          <w:sz w:val="20"/>
          <w:szCs w:val="20"/>
          <w:color w:val="auto"/>
        </w:rPr>
      </w:pPr>
      <w:r>
        <w:rPr>
          <w:rFonts w:ascii="Times New Roman" w:cs="Times New Roman" w:eastAsia="Times New Roman" w:hAnsi="Times New Roman"/>
          <w:sz w:val="20"/>
          <w:szCs w:val="20"/>
          <w:color w:val="auto"/>
        </w:rPr>
        <w:t xml:space="preserve">SECTION 12.02 </w:t>
      </w: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 xml:space="preserve"> Subject to Section 1.07, Section 2.16(d) (with respect to a Facility Increase) and Sections 3.02(b), (c) and (d), no amendment, forbearance or material waiver of any provision of this Agreement or any other Loan Document nor consent to any material departure by Borrower therefrom, shall in any event be effective unless the same shall be in writing and signed by the Required Banks and, solely for purposes of its acknowledgment thereof, Administrative Agent, and then such waiver or consent shall be effective only in the specific instance and for the specific purpose for which given, provided, however, that no amendment, waiver, consent or forbearance shall, unless in writing and signed by all the Banks (or in the case of (1),</w:t>
      </w:r>
    </w:p>
    <w:p>
      <w:pPr>
        <w:spacing w:after="0" w:line="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color w:val="auto"/>
        </w:rPr>
        <w:t>(2), (4) and (7) below, signed by all the Banks directly and adversely affected thereby) do any of the following: (1) forgive or reduce the principal of, or interest on, the Loans or any fees due hereunder or any other amount due hereunder or under any other Loan Document; (2) postpone or extend any date fixed for any payment of principal of, or interest on, the Loans or any fees or other amounts due hereunder or under any other Loan Document; (3) change the definition of Required Banks, (4) change the definition of Pro Rata Share or change Section 9.03, 10.14 or 10.15 in a manner that would alter the pro rata sharing of payments required thereby;</w:t>
      </w:r>
    </w:p>
    <w:p>
      <w:pPr>
        <w:spacing w:after="0" w:line="2" w:lineRule="exact"/>
        <w:rPr>
          <w:sz w:val="20"/>
          <w:szCs w:val="20"/>
          <w:color w:val="auto"/>
        </w:rPr>
      </w:pPr>
    </w:p>
    <w:p>
      <w:pPr>
        <w:ind w:right="60" w:firstLine="5"/>
        <w:spacing w:after="0" w:line="250" w:lineRule="auto"/>
        <w:tabs>
          <w:tab w:leader="none" w:pos="297"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 this Section 12.02 or any other provision requiring the unanimous consent of the Banks; (6) waive any default in payment under paragraph (1) of Section 9.01 or any default under paragraph (5) of Section 9.01; (7) increase or decrease or extend any Loan Commitment of any Bank (except changes in Loan Commitments pursuant to Section 2.16); (8) release any guaranty (other than a guaranty given pursuant to Section 12.22); or (9) permit the assignment or transfer by the Borrower of any of its rights or obligations hereunder or under any other Loan Document except in a transaction permitted (with or without the Required Banks’ consent) pursuant to Section 7.01. Any advance of proceeds of the Loans made prior to or without the fulfillment by Borrower of all of the conditions precedent thereto, whether or not known to Administrative Agent and the Banks, shall not constitute a waiver of the requirement that all conditions, including the non-performed conditions, shall be required with respect to all future advances. No failure on the part of Administrative Agent or any Bank to exercise, and no delay in exercising, any right hereunder shall operate as a waiver thereof or preclude any other or further exercise thereof or the exercise of any other right. The remedies herein provided are cumulative and not exclusive of any remedies provided by law.</w:t>
      </w:r>
    </w:p>
    <w:p>
      <w:pPr>
        <w:spacing w:after="0" w:line="89" w:lineRule="exact"/>
        <w:rPr>
          <w:sz w:val="20"/>
          <w:szCs w:val="20"/>
          <w:color w:val="auto"/>
        </w:rPr>
      </w:pPr>
    </w:p>
    <w:p>
      <w:pPr>
        <w:ind w:right="800" w:firstLine="629"/>
        <w:spacing w:after="0" w:line="280" w:lineRule="auto"/>
        <w:rPr>
          <w:sz w:val="20"/>
          <w:szCs w:val="20"/>
          <w:color w:val="auto"/>
        </w:rPr>
      </w:pPr>
      <w:r>
        <w:rPr>
          <w:rFonts w:ascii="Times New Roman" w:cs="Times New Roman" w:eastAsia="Times New Roman" w:hAnsi="Times New Roman"/>
          <w:sz w:val="21"/>
          <w:szCs w:val="21"/>
          <w:color w:val="auto"/>
        </w:rPr>
        <w:t>Notwithstanding the foregoing, if the Administrative Agent and the Borrower acting together identify any ambiguity, omission, mistake, typographical error or other defect in 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86</w:t>
      </w:r>
    </w:p>
    <w:p>
      <w:pPr>
        <w:sectPr>
          <w:pgSz w:w="11900" w:h="16838" w:orient="portrait"/>
          <w:cols w:equalWidth="0" w:num="1">
            <w:col w:w="11240"/>
          </w:cols>
          <w:pgMar w:left="320" w:top="1107" w:right="339" w:bottom="1440" w:gutter="0" w:footer="0" w:header="0"/>
        </w:sectPr>
      </w:pPr>
    </w:p>
    <w:bookmarkStart w:id="243" w:name="page244"/>
    <w:bookmarkEnd w:id="243"/>
    <w:p>
      <w:pPr>
        <w:ind w:right="40"/>
        <w:spacing w:after="0" w:line="244" w:lineRule="auto"/>
        <w:rPr>
          <w:sz w:val="20"/>
          <w:szCs w:val="20"/>
          <w:color w:val="auto"/>
        </w:rPr>
      </w:pPr>
      <w:r>
        <w:rPr>
          <w:rFonts w:ascii="Times New Roman" w:cs="Times New Roman" w:eastAsia="Times New Roman" w:hAnsi="Times New Roman"/>
          <w:sz w:val="21"/>
          <w:szCs w:val="21"/>
          <w:color w:val="auto"/>
        </w:rPr>
        <w:t>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0" w:lineRule="exact"/>
        <w:rPr>
          <w:sz w:val="20"/>
          <w:szCs w:val="20"/>
          <w:color w:val="auto"/>
        </w:rPr>
      </w:pPr>
    </w:p>
    <w:p>
      <w:pPr>
        <w:ind w:right="100" w:firstLine="1257"/>
        <w:spacing w:after="0" w:line="256" w:lineRule="auto"/>
        <w:rPr>
          <w:sz w:val="20"/>
          <w:szCs w:val="20"/>
          <w:color w:val="auto"/>
        </w:rPr>
      </w:pPr>
      <w:r>
        <w:rPr>
          <w:rFonts w:ascii="Times New Roman" w:cs="Times New Roman" w:eastAsia="Times New Roman" w:hAnsi="Times New Roman"/>
          <w:sz w:val="21"/>
          <w:szCs w:val="21"/>
          <w:color w:val="auto"/>
        </w:rPr>
        <w:t xml:space="preserve">SECTION 12.03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or any Bank may have had notice or knowledge of any Default or incorrect representation or warranty at the time any credit is extended hereunder, and shall continue in full force and effect as long as any Obligations hereunder are outstanding and unpaid.</w:t>
      </w:r>
    </w:p>
    <w:p>
      <w:pPr>
        <w:spacing w:after="0" w:line="66" w:lineRule="exact"/>
        <w:rPr>
          <w:sz w:val="20"/>
          <w:szCs w:val="20"/>
          <w:color w:val="auto"/>
        </w:rPr>
      </w:pPr>
    </w:p>
    <w:p>
      <w:pPr>
        <w:ind w:right="160" w:firstLine="1257"/>
        <w:spacing w:after="0" w:line="264" w:lineRule="auto"/>
        <w:rPr>
          <w:sz w:val="20"/>
          <w:szCs w:val="20"/>
          <w:color w:val="auto"/>
        </w:rPr>
      </w:pPr>
      <w:r>
        <w:rPr>
          <w:rFonts w:ascii="Times New Roman" w:cs="Times New Roman" w:eastAsia="Times New Roman" w:hAnsi="Times New Roman"/>
          <w:sz w:val="20"/>
          <w:szCs w:val="20"/>
          <w:color w:val="auto"/>
        </w:rPr>
        <w:t xml:space="preserve">SECTION 12.04 </w:t>
      </w:r>
      <w:r>
        <w:rPr>
          <w:rFonts w:ascii="Times New Roman" w:cs="Times New Roman" w:eastAsia="Times New Roman" w:hAnsi="Times New Roman"/>
          <w:sz w:val="20"/>
          <w:szCs w:val="20"/>
          <w:u w:val="single" w:color="auto"/>
          <w:color w:val="auto"/>
        </w:rPr>
        <w:t>Expenses; Indemnification.</w:t>
      </w:r>
      <w:r>
        <w:rPr>
          <w:rFonts w:ascii="Times New Roman" w:cs="Times New Roman" w:eastAsia="Times New Roman" w:hAnsi="Times New Roman"/>
          <w:sz w:val="20"/>
          <w:szCs w:val="20"/>
          <w:color w:val="auto"/>
        </w:rPr>
        <w:t xml:space="preserve"> Borrower agrees to reimburse Administrative Agent on demand for all reasonable out-of-pocket costs, expenses, and charges (including, without limitation, all reasonable fees and charges of engineers, appraisers and external legal counsel) incurred by Administrative Agent in connection with the Loans and the Loan Documents (including any amendments, modifications and waivers thereto) and to reimburse each of the Banks for reasonable out-of-pocket legal costs, expenses and charges incurred by each of the Banks in connection with the performance or enforcement of this Agreement, the Notes, or any other Loan Documents, including during any workout or restructuring;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Borrower is not responsible for costs, expenses and charges incurred by the Bank Parties in connection with the administration or syndication of the Loans (other than any administration fee payable to Administrative Agent). Borrower agrees to indemnify Administrative Agent, each Bank, each Lead Arranger, each Sustainability Structuring Agent, Affiliates of the foregoing, and their respective directors, officers, employees, partners, agents and advisors (each, an “</w:t>
      </w:r>
      <w:r>
        <w:rPr>
          <w:rFonts w:ascii="Times New Roman" w:cs="Times New Roman" w:eastAsia="Times New Roman" w:hAnsi="Times New Roman"/>
          <w:sz w:val="20"/>
          <w:szCs w:val="20"/>
          <w:u w:val="single" w:color="auto"/>
          <w:color w:val="auto"/>
        </w:rPr>
        <w:t>indemnified person</w:t>
      </w:r>
      <w:r>
        <w:rPr>
          <w:rFonts w:ascii="Times New Roman" w:cs="Times New Roman" w:eastAsia="Times New Roman" w:hAnsi="Times New Roman"/>
          <w:sz w:val="20"/>
          <w:szCs w:val="20"/>
          <w:color w:val="auto"/>
        </w:rPr>
        <w:t>”) from, and hold each of them harmless against, any and all losses, liabilities, claims, damages or expenses incurred by any of them arising out of or by reason of</w:t>
      </w:r>
    </w:p>
    <w:p>
      <w:pPr>
        <w:spacing w:after="0" w:line="5" w:lineRule="exact"/>
        <w:rPr>
          <w:sz w:val="20"/>
          <w:szCs w:val="20"/>
          <w:color w:val="auto"/>
        </w:rPr>
      </w:pPr>
    </w:p>
    <w:p>
      <w:pPr>
        <w:ind w:firstLine="5"/>
        <w:spacing w:after="0" w:line="250" w:lineRule="auto"/>
        <w:tabs>
          <w:tab w:leader="none" w:pos="343"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execution, delivery or performance of the Loan Documents or the use of the proceeds of the Loans, directly or indirectly, by Borrower, (x) any claims by brokers due to acts or omissions by Borrower, (y) any investigation or litigation or other proceedings (including any threatened investigation or litigation or other proceedings) relating to any actual or proposed use by Borrower of the proceeds of the Loans, including without limitation, the reasonable fees and disbursements of third-party counsel incurred in connection with any such investigation or litigation or other proceedings or (z) third party claims or actions against any indemnified person relating to or arising from this Agreement and the other Loan Documents and the transactions contemplated pursuant to this Agreement and the other Loan Documents, in all cases whether or not such investigation or litigation or other proceeding is brought by the Borrower or its equity holders, Affiliates, creditors or any other third Person and regardless of whether any indemnified person is a party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indemnification shall exclude any such losses, liabilities, claims, damages or expenses incurred by reason of the gross negligence or willful misconduct of such indemnified person to be indemnified as determined by a final and non-appealable judgment of a court of competent jurisdiction. In third-party litigation, or the preparation therefor, the Borrower shall be entitled to select counsel reasonably acceptable to the Required Banks, and the Agent (as approved by the Required Banks) shall be entitled to select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87</w:t>
      </w:r>
    </w:p>
    <w:p>
      <w:pPr>
        <w:sectPr>
          <w:pgSz w:w="11900" w:h="16838" w:orient="portrait"/>
          <w:cols w:equalWidth="0" w:num="1">
            <w:col w:w="11240"/>
          </w:cols>
          <w:pgMar w:left="320" w:top="1121" w:right="339" w:bottom="1440" w:gutter="0" w:footer="0" w:header="0"/>
        </w:sectPr>
      </w:pPr>
    </w:p>
    <w:bookmarkStart w:id="244" w:name="page245"/>
    <w:bookmarkEnd w:id="244"/>
    <w:p>
      <w:pPr>
        <w:ind w:right="140"/>
        <w:spacing w:after="0" w:line="241" w:lineRule="auto"/>
        <w:rPr>
          <w:sz w:val="20"/>
          <w:szCs w:val="20"/>
          <w:color w:val="auto"/>
        </w:rPr>
      </w:pPr>
      <w:r>
        <w:rPr>
          <w:rFonts w:ascii="Times New Roman" w:cs="Times New Roman" w:eastAsia="Times New Roman" w:hAnsi="Times New Roman"/>
          <w:sz w:val="21"/>
          <w:szCs w:val="21"/>
          <w:color w:val="auto"/>
        </w:rPr>
        <w:t>their own supervisory counsel, and, in addition to the foregoing indemnity, the Borrower agrees to pay promptly the reasonable fees and expenses of each such counsel.</w:t>
      </w:r>
    </w:p>
    <w:p>
      <w:pPr>
        <w:spacing w:after="0" w:line="170" w:lineRule="exact"/>
        <w:rPr>
          <w:sz w:val="20"/>
          <w:szCs w:val="20"/>
          <w:color w:val="auto"/>
        </w:rPr>
      </w:pPr>
    </w:p>
    <w:p>
      <w:pPr>
        <w:ind w:right="260" w:firstLine="629"/>
        <w:spacing w:after="0" w:line="280" w:lineRule="auto"/>
        <w:rPr>
          <w:sz w:val="20"/>
          <w:szCs w:val="20"/>
          <w:color w:val="auto"/>
        </w:rPr>
      </w:pPr>
      <w:r>
        <w:rPr>
          <w:rFonts w:ascii="Times New Roman" w:cs="Times New Roman" w:eastAsia="Times New Roman" w:hAnsi="Times New Roman"/>
          <w:sz w:val="21"/>
          <w:szCs w:val="21"/>
          <w:color w:val="auto"/>
        </w:rPr>
        <w:t>The obligations of Borrower under this Section shall survive the repayment of all amounts due under or in connection with any of the Loan Documents and the termination of the Loan Commitments.</w:t>
      </w:r>
    </w:p>
    <w:p>
      <w:pPr>
        <w:spacing w:after="0" w:line="118" w:lineRule="exact"/>
        <w:rPr>
          <w:sz w:val="20"/>
          <w:szCs w:val="20"/>
          <w:color w:val="auto"/>
        </w:rPr>
      </w:pPr>
    </w:p>
    <w:p>
      <w:pPr>
        <w:ind w:right="120" w:firstLine="1257"/>
        <w:spacing w:after="0" w:line="215" w:lineRule="auto"/>
        <w:rPr>
          <w:sz w:val="20"/>
          <w:szCs w:val="20"/>
          <w:color w:val="auto"/>
        </w:rPr>
      </w:pPr>
      <w:r>
        <w:rPr>
          <w:rFonts w:ascii="Times New Roman" w:cs="Times New Roman" w:eastAsia="Times New Roman" w:hAnsi="Times New Roman"/>
          <w:sz w:val="21"/>
          <w:szCs w:val="21"/>
          <w:color w:val="auto"/>
        </w:rPr>
        <w:t xml:space="preserve">SECTION 12.05 </w:t>
      </w:r>
      <w:r>
        <w:rPr>
          <w:rFonts w:ascii="Times New Roman" w:cs="Times New Roman" w:eastAsia="Times New Roman" w:hAnsi="Times New Roman"/>
          <w:sz w:val="21"/>
          <w:szCs w:val="21"/>
          <w:u w:val="single" w:color="auto"/>
          <w:color w:val="auto"/>
        </w:rPr>
        <w:t>Assignment; Participation</w:t>
      </w:r>
      <w:r>
        <w:rPr>
          <w:rFonts w:ascii="Times New Roman" w:cs="Times New Roman" w:eastAsia="Times New Roman" w:hAnsi="Times New Roman"/>
          <w:sz w:val="21"/>
          <w:szCs w:val="21"/>
          <w:color w:val="auto"/>
        </w:rPr>
        <w:t xml:space="preserve">. (a) This Agreement shall be binding upon, and shall inure to the benefit of, Borrower, Administrative Agent, the Banks and their respective successors and permitted assigns. Except as provided in Section 7.01, the Borrower may not assign or transfer any of its rights or obligations hereunder or under any other Loan Document without the prior written consent of all the Banks (and any attempted such assignment or transfer without such consent shall be null and void). </w:t>
      </w:r>
      <w:r>
        <w:rPr>
          <w:rFonts w:ascii="Times New Roman" w:cs="Times New Roman" w:eastAsia="Times New Roman" w:hAnsi="Times New Roman"/>
          <w:sz w:val="19"/>
          <w:szCs w:val="19"/>
          <w:color w:val="auto"/>
        </w:rPr>
        <w:t>Except as otherwise provided under Section 12.04, n</w:t>
      </w:r>
      <w:r>
        <w:rPr>
          <w:rFonts w:ascii="Times New Roman" w:cs="Times New Roman" w:eastAsia="Times New Roman" w:hAnsi="Times New Roman"/>
          <w:sz w:val="21"/>
          <w:szCs w:val="21"/>
          <w:color w:val="auto"/>
        </w:rPr>
        <w:t>othing in this Agreement, expressed or implied, shall be construed to confer upon any Person (other than the parties hereto, their respective successors and assigns permitted hereby, Participants (to the extent provided in paragraph (b) of this Section) and, to the extent expressly contemplated hereby, the Affiliates and their respective directors, officers, employees, agents and advisors of each of the Administrative Agent and the Banks) any legal or equitable right, remedy or claim under or by reason of this Agreement.</w:t>
      </w:r>
    </w:p>
    <w:p>
      <w:pPr>
        <w:spacing w:after="0" w:line="44" w:lineRule="exact"/>
        <w:rPr>
          <w:sz w:val="20"/>
          <w:szCs w:val="20"/>
          <w:color w:val="auto"/>
        </w:rPr>
      </w:pPr>
    </w:p>
    <w:p>
      <w:pPr>
        <w:ind w:firstLine="1262"/>
        <w:spacing w:after="0" w:line="211" w:lineRule="auto"/>
        <w:tabs>
          <w:tab w:leader="none" w:pos="1882"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12.05(e), prior to the occurrence of an Event of Default, any Bank may at any time, grant to an existing Bank or one or more banks, finance companies, insurance companies or other entities, other than a natural person or the Borrower and its Affiliates or a Defaulting Lender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in minimum amounts for a voting participation of not less than $5,000,000 (or any lesser amount in the case of voting participations to an existing Bank or any lesser amount equal to such Bank’s entire remaining amount of Loans) participating interests in its Loan Commitment or any or all of its Loans. After the occurrence and during the continuance of an Event of Default, any Bank may at any time grant to any Person, other than a natural person or the Borrower and its Affiliates, in any amount (also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participating interests in its Loan Commitment or any or all of its Loans. Any participation made during the continuation of an Event of Default shall not be affected by the subsequent cure of such Event of Default. In the event of any such grant by a Bank of a participating interest to a Participant, whether or not upon notice to Borrower and Administrative Agent, such Bank shall remain responsible for the performance of its obligations hereunder, and Borrower and Administrative Agent shall continue to deal solely and directly with such Bank in connection with such Bank’s rights and obligations under this Agreement. Any agreement pursuant to which any Bank may grant such a participating interest shall provide that such Bank shall retain the sole right and responsibility to enforce the obligations of Borrower hereunder and under any other Loan Document including, without limitation, the right to approve any amendment, modification or waiver of any provision of this Agreement or any other Loan Document; provided that such participation agreement may provide that such Bank will not agree to any modification, amendment or waiver of this Agreement described in clause (1), (2), (3), (4), (5), (6) or (7) of Section 12.02 without the consent of the Participant (subject to the final proviso of the first sentence of Section 12.02). The Borrower agrees that each Participant shall, to the extent provided in its participation agreement, be entitled to the benefits of Article III with respect to its participating interest. The Borrower agrees that each Participant shall be entitled to the benefits of Section 10.13 (subject to the requirements and limitations therein, including the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88</w:t>
      </w:r>
    </w:p>
    <w:p>
      <w:pPr>
        <w:sectPr>
          <w:pgSz w:w="11900" w:h="16838" w:orient="portrait"/>
          <w:cols w:equalWidth="0" w:num="1">
            <w:col w:w="11200"/>
          </w:cols>
          <w:pgMar w:left="320" w:top="1108" w:right="379" w:bottom="1440" w:gutter="0" w:footer="0" w:header="0"/>
        </w:sectPr>
      </w:pPr>
    </w:p>
    <w:bookmarkStart w:id="245" w:name="page246"/>
    <w:bookmarkEnd w:id="245"/>
    <w:p>
      <w:pPr>
        <w:spacing w:after="0" w:line="211" w:lineRule="auto"/>
        <w:rPr>
          <w:sz w:val="20"/>
          <w:szCs w:val="20"/>
          <w:color w:val="auto"/>
        </w:rPr>
      </w:pPr>
      <w:r>
        <w:rPr>
          <w:rFonts w:ascii="Times New Roman" w:cs="Times New Roman" w:eastAsia="Times New Roman" w:hAnsi="Times New Roman"/>
          <w:sz w:val="21"/>
          <w:szCs w:val="21"/>
          <w:color w:val="auto"/>
        </w:rPr>
        <w:t>requirements under Section 10.13(f) (it being understood that the documentation required under Section 10.13(f) shall be delivered to the participating Bank)) to the same extent as if it were a Bank and had acquired its interest by assignment pursuant to paragraph (c) of this Section; provided that such Participant (A) agrees to be subject to the provisions of Sections 3.07 and 3.08 as if it were an assignee under paragraph (c) of this Section; and (B) shall not be entitled to receive any greater payment under Section 10.13, with respect to any participation, than its participating Bank would have been entitled to receive. Each Bank that sells a participation agrees, at the Borrower’s request and expense, to use reasonable efforts to cooperate with the Borrower to effectuate the provisions of Section 3.07 with respect to any Participant. To the extent permitted by law, each Participant also shall be entitled to the benefits of Section 12.08 as though it were a Bank; provided that such Participant agrees to be subject to Section 10.15 as though it were a Bank. Each Bank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Bank shall have any obligation to disclose all or any portion of the Participant Register (including the identity of any Participant or any information relating to a Participant's interest in any Loan Commitments, Loans or its other obligations under any Loan Document) to any Person except to the extent that such disclosure is necessary to establish that such Loan Commitment, Loan or other obligation is in registered form under Section 5f.103-1(c) of the United States Treasury Regulations. The entries in the Participant Register shall be conclusive absent manifest error, and such Bank shall treat each Person whose name is recorded in the Participant Register as the owner of such participation for all purposes of this Agreement notwithstanding any notice to the contrary. For the avoidance of doubt, the Administrative Agent shall have no responsibility for maintaining a Participant Register.</w:t>
      </w:r>
    </w:p>
    <w:p>
      <w:pPr>
        <w:spacing w:after="0" w:line="56" w:lineRule="exact"/>
        <w:rPr>
          <w:sz w:val="20"/>
          <w:szCs w:val="20"/>
          <w:color w:val="auto"/>
        </w:rPr>
      </w:pPr>
    </w:p>
    <w:p>
      <w:pPr>
        <w:ind w:right="60" w:firstLine="1262"/>
        <w:spacing w:after="0" w:line="212" w:lineRule="auto"/>
        <w:tabs>
          <w:tab w:leader="none" w:pos="1883"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12.05(e), any Bank may at any time assign to a Qualified Institution (in each case, an “</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 xml:space="preserve">”) (i) prior to the occurrence of an Event of Default, in minimum amounts of not less than Five Million Dollars ($5,000,000) and integral multiples of One Million Dollars ($1,000,000) thereafter (or any lesser amount in the case of assignments to an existing Bank or an assignment by a Bank to a Bank Affiliate or any lesser amount equal to such Bank’s entire remaining amount of Loans) and (ii) after the occurrence and during the continuance of an Event of Default, in any amount, all or a proportionate part of all, of its rights and obligations under this Agreement, the Notes and the other Loan Documents, and, in either case, such Assignee shall assume such rights and obligations, pursuant to an Assignment and Assumption Agreement (including an agreement incorporating an Assignment and Assumption Agreement by reference to an Approved Electronic Platform) executed by such Assignee and such transferor Bank; provided, that such assignment shall be subject to the consent of the Administrative Agent and if no Event of Default shall have occurred and be continuing, the consent of Borrower, which consents shall not be unreasonably withheld or delayed;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(a) if an Assignee is a Bank Affiliate of such transferor Bank or was a Bank immediately prior to such assignment, no such consents shall be required unless in either case the Assignee is a Defaulting Lender or an Affiliate of a Defaulting Lender (in which case, such consent may be withheld in the sole discretion of the Administrative Agent or the Borrower) and (b) the Borrower shall be deemed to have consented to an assignment of all or a portion of the Loans and Loan Commitments unless it shall have objected thereto by written notice to the Administrative Agent within ten (10) Business Days after having received notice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89</w:t>
      </w:r>
    </w:p>
    <w:p>
      <w:pPr>
        <w:sectPr>
          <w:pgSz w:w="11900" w:h="16838" w:orient="portrait"/>
          <w:cols w:equalWidth="0" w:num="1">
            <w:col w:w="11220"/>
          </w:cols>
          <w:pgMar w:left="320" w:top="1108" w:right="359" w:bottom="1440" w:gutter="0" w:footer="0" w:header="0"/>
        </w:sectPr>
      </w:pPr>
    </w:p>
    <w:bookmarkStart w:id="246" w:name="page247"/>
    <w:bookmarkEnd w:id="246"/>
    <w:p>
      <w:pPr>
        <w:spacing w:after="0" w:line="229" w:lineRule="auto"/>
        <w:rPr>
          <w:sz w:val="20"/>
          <w:szCs w:val="20"/>
          <w:color w:val="auto"/>
        </w:rPr>
      </w:pPr>
      <w:r>
        <w:rPr>
          <w:rFonts w:ascii="Times New Roman" w:cs="Times New Roman" w:eastAsia="Times New Roman" w:hAnsi="Times New Roman"/>
          <w:sz w:val="21"/>
          <w:szCs w:val="21"/>
          <w:color w:val="auto"/>
        </w:rPr>
        <w:t>thereof. Upon execution and delivery of such instrument and an Administrative Questionnaire and payment by such Assignee to such transferor Bank of an amount equal to the purchase price agreed between such transferor Bank and such Assignee, such Assignee shall be a Bank party to this Agreement and shall have all the rights and obligations of a Bank with a Loan Commitment as set forth in such Assignment and Assumption Agreement, and no further consent or action by any party shall be required and the transferor Bank shall be released from its obligations hereunder to a corresponding extent. Upon the consummation of any assignment pursuant to this subsection (c), the transferor Bank, Administrative Agent and Borrower shall make appropriate arrangements so that, if required, a new Note is issued to the Assignee. In connection with any such assignment (other than an assignment by a Bank to a Bank Affiliate), the transferor Bank shall pay to Administrative Agent an administrative fee for processing such assignment in the amount of $3,500. If the Assignee is not incorporated under the laws of the United States of America or a state thereof, it shall, prior to the first date on which interest or fees are payable hereunder for its account, deliver to Borrower and Administrative Agent certification as to exemption from, or reduction of, deduction or withholding of any United States federal income taxes in accordance with Section 10.13. Any assignment made during the continuation of an Event of Default shall not be affected by any subsequent cure of such Event of Default. Any consent required hereunder shall be given or denied within ten (10) Banking Days after receipt by the applicable Person of request therefor; any failure to respond within such ten (10) Banking Day period shall be deemed a denial. The Administrative Agent, acting for this purpose as a non-fiduciary agent of the Borrower, shall maintain at one of its offices a copy of each Assignment and Assumption Agreement delivered to it and a register for the recordation of the names and addresses of the Banks, and the Loan Commitment of, and principal amount (and stated interest) of the Loans owing to, each Bank pursuant to the terms hereof from time to time (the “Register”). The entries in the Register shall be conclusive absent manifest error, and the Borrower, the Administrative Agent and the Banks shall treat each Person whose name is recorded in the Register pursuant to the terms hereof as a Bank hereunder for all purposes of this Agreement, notwithstanding notice to the contrary. The Register shall be available for inspection by the Borrower and any Bank, at any reasonable time and from time to time upon reasonable prior notice.</w:t>
      </w:r>
    </w:p>
    <w:p>
      <w:pPr>
        <w:spacing w:after="0" w:line="19" w:lineRule="exact"/>
        <w:rPr>
          <w:sz w:val="20"/>
          <w:szCs w:val="20"/>
          <w:color w:val="auto"/>
        </w:rPr>
      </w:pPr>
    </w:p>
    <w:p>
      <w:pPr>
        <w:ind w:right="20" w:firstLine="1262"/>
        <w:spacing w:after="0" w:line="234" w:lineRule="auto"/>
        <w:tabs>
          <w:tab w:leader="none" w:pos="1882"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Bank may at any time assign or pledge all or any portion of its rights under this Agreement and its Note to secure the obligations of such Bank, including to a Federal Reserve Bank or other central bank having jurisdiction over such Bank. No such assignment or pledge shall release the transferor Bank from its obligations hereunder.</w:t>
      </w:r>
    </w:p>
    <w:p>
      <w:pPr>
        <w:spacing w:after="0" w:line="173" w:lineRule="exact"/>
        <w:rPr>
          <w:rFonts w:ascii="Times New Roman" w:cs="Times New Roman" w:eastAsia="Times New Roman" w:hAnsi="Times New Roman"/>
          <w:sz w:val="21"/>
          <w:szCs w:val="21"/>
          <w:color w:val="auto"/>
        </w:rPr>
      </w:pPr>
    </w:p>
    <w:p>
      <w:pPr>
        <w:ind w:right="40" w:firstLine="1262"/>
        <w:spacing w:after="0" w:line="246" w:lineRule="auto"/>
        <w:tabs>
          <w:tab w:leader="none" w:pos="1883"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Section 12.05(d), so long as no Event of Default shall have occurred and be continuing, no Bank shall be permitted to enter into an assignment of, or sell a participation interest in, its Loans and Loan Commitment, which would result in such Bank holding Loans and a Loan Commitment, without Participants, of less than Ten Million Dollars ($10,000,000);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Bank shall be prohibited from assigning its entire Loans and Loan Commitment so long as such assignment is otherwise permitted hereby. Any provision herein to the contrary notwithstanding, without the Borrower’s prior written consent which it may grant or withhold in its sole and absolute discretion, in no event shall any Bank assign, sell or grant a participation interest in or otherwise transfer (or permit any participant to assign its participation interest or a sub-participation interest), its Loan, Loan Commitment or any interest therein to SL Green Realty Corp. or any of its Affiliates or any fund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90</w:t>
      </w:r>
    </w:p>
    <w:p>
      <w:pPr>
        <w:sectPr>
          <w:pgSz w:w="11900" w:h="16838" w:orient="portrait"/>
          <w:cols w:equalWidth="0" w:num="1">
            <w:col w:w="11240"/>
          </w:cols>
          <w:pgMar w:left="320" w:top="1121" w:right="339" w:bottom="1440" w:gutter="0" w:footer="0" w:header="0"/>
        </w:sectPr>
      </w:pPr>
    </w:p>
    <w:bookmarkStart w:id="247" w:name="page248"/>
    <w:bookmarkEnd w:id="247"/>
    <w:p>
      <w:pPr>
        <w:ind w:right="40"/>
        <w:spacing w:after="0" w:line="224" w:lineRule="auto"/>
        <w:rPr>
          <w:sz w:val="20"/>
          <w:szCs w:val="20"/>
          <w:color w:val="auto"/>
        </w:rPr>
      </w:pPr>
      <w:r>
        <w:rPr>
          <w:rFonts w:ascii="Times New Roman" w:cs="Times New Roman" w:eastAsia="Times New Roman" w:hAnsi="Times New Roman"/>
          <w:sz w:val="21"/>
          <w:szCs w:val="21"/>
          <w:color w:val="auto"/>
        </w:rPr>
        <w:t>or entity managed or advised by it or any of its Affiliates; provided that (x) the Administrative Agent shall not be responsible or have any liability for, or have any duty to ascertain, inquire into, monitor or enforce, compliance with the foregoing restriction on assignments and participations and (y) each assignee or participant shall be required to represent and warrant in the applicable assignment or participation agreement that it is not an entity that violates the foregoing restriction on assignments and participations.</w:t>
      </w:r>
    </w:p>
    <w:p>
      <w:pPr>
        <w:spacing w:after="0" w:line="42" w:lineRule="exact"/>
        <w:rPr>
          <w:sz w:val="20"/>
          <w:szCs w:val="20"/>
          <w:color w:val="auto"/>
        </w:rPr>
      </w:pPr>
    </w:p>
    <w:p>
      <w:pPr>
        <w:ind w:right="140" w:firstLine="1262"/>
        <w:spacing w:after="0" w:line="217" w:lineRule="auto"/>
        <w:tabs>
          <w:tab w:leader="none" w:pos="1886"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recognizes that in connection with a Bank’s selling of Participations or making of assignments, any or all documentation, financial statements and other data, or copies thereof, relevant to Borrower or the Loans may be exhibited to and retained by any such Participant or assignee or prospective Participant or assignee in accordance with Section 12.23. In connection with a Bank’s delivery of any financial statements and appraisals to any such Participant or assignee or prospective Participant or assignee, such Bank shall also indicate that the same are delivered on a confidential basis. Borrower agrees to provide all assistance reasonably requested by a Bank to enable such Bank to sell Participations or make assignments of its Loan and Loan Commitment as permitted by this Section 12.05.</w:t>
      </w:r>
    </w:p>
    <w:p>
      <w:pPr>
        <w:spacing w:after="0" w:line="174" w:lineRule="exact"/>
        <w:rPr>
          <w:sz w:val="20"/>
          <w:szCs w:val="20"/>
          <w:color w:val="auto"/>
        </w:rPr>
      </w:pPr>
    </w:p>
    <w:p>
      <w:pPr>
        <w:ind w:right="220" w:firstLine="1257"/>
        <w:spacing w:after="0" w:line="258" w:lineRule="auto"/>
        <w:rPr>
          <w:sz w:val="20"/>
          <w:szCs w:val="20"/>
          <w:color w:val="auto"/>
        </w:rPr>
      </w:pPr>
      <w:r>
        <w:rPr>
          <w:rFonts w:ascii="Times New Roman" w:cs="Times New Roman" w:eastAsia="Times New Roman" w:hAnsi="Times New Roman"/>
          <w:sz w:val="21"/>
          <w:szCs w:val="21"/>
          <w:color w:val="auto"/>
        </w:rPr>
        <w:t xml:space="preserve">SECTION 12.06 </w:t>
      </w:r>
      <w:r>
        <w:rPr>
          <w:rFonts w:ascii="Times New Roman" w:cs="Times New Roman" w:eastAsia="Times New Roman" w:hAnsi="Times New Roman"/>
          <w:sz w:val="21"/>
          <w:szCs w:val="21"/>
          <w:u w:val="single" w:color="auto"/>
          <w:color w:val="auto"/>
        </w:rPr>
        <w:t>Documentation Satisfactory.</w:t>
      </w:r>
      <w:r>
        <w:rPr>
          <w:rFonts w:ascii="Times New Roman" w:cs="Times New Roman" w:eastAsia="Times New Roman" w:hAnsi="Times New Roman"/>
          <w:sz w:val="21"/>
          <w:szCs w:val="21"/>
          <w:color w:val="auto"/>
        </w:rPr>
        <w:t xml:space="preserve"> All documentation required from or to be submitted on behalf of Borrower in connection with this Agreement and the documents relating hereto shall be subject to the prior approval of, and be satisfactory in form and substance to, Administrative Agent, its counsel and, where specifically provided herein, the Banks. In addition, the persons or parties responsible for the execution and delivery of, and signatories to, all of such documentation, shall be acceptable to, and subject to the approval of, Administrative Agent and its counsel and the Banks.</w:t>
      </w:r>
    </w:p>
    <w:p>
      <w:pPr>
        <w:spacing w:after="0" w:line="38" w:lineRule="exact"/>
        <w:rPr>
          <w:sz w:val="20"/>
          <w:szCs w:val="20"/>
          <w:color w:val="auto"/>
        </w:rPr>
      </w:pPr>
    </w:p>
    <w:p>
      <w:pPr>
        <w:ind w:firstLine="1257"/>
        <w:spacing w:after="0" w:line="213" w:lineRule="auto"/>
        <w:rPr>
          <w:sz w:val="20"/>
          <w:szCs w:val="20"/>
          <w:color w:val="auto"/>
        </w:rPr>
      </w:pPr>
      <w:r>
        <w:rPr>
          <w:rFonts w:ascii="Times New Roman" w:cs="Times New Roman" w:eastAsia="Times New Roman" w:hAnsi="Times New Roman"/>
          <w:sz w:val="21"/>
          <w:szCs w:val="21"/>
          <w:color w:val="auto"/>
        </w:rPr>
        <w:t xml:space="preserve">SECTION 12.07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 Unless the party to be notified otherwise notifies the other parties in writing as provided in this Section, and except as otherwise provided in this Agreement, notices shall be given to Administrative Agent by telephone, confirmed by writing, and to the Banks and to Borrower by ordinary mail or overnight courier or telecopy, receipt confirmed, addressed to such party at (i) if to the Borrower, its address on the signature page of this Agreement, (ii) if to the Administrative Agent from the Borrower, to JPMorgan Chase Bank, N.A., at the address separately provided to the Borrower, (iii) if to the Administrative Agent from the Banks to JPMorgan Chase Bank, N.A., 8181 Communications Pkwy, Plano, TX 75024, Attention: Cody Canafax, Telephone: 972-324-5152, (iv) if to any Bank, at its address, electronic mail or telecopy number set forth in its Administrative Questionnaire, or (v) if to any party, at such other address, electronic mail or telecopy number as such party may thereafter specify for the purpose by notice to the Administrative Agent, the Banks and the Borrower. Notices shall be effective: (1) if by telephone, at the time of such telephone conversation, (2) if given by mail, three (3) calendar days after mailing; (3) if given by overnight courier, upon receipt; and (4) if given by telecopy, upon receipt if received by the recipient during its normal business hours. Notices delivered through Electronic Systems, to the extent provided in paragraph (b) below, shall be effective as provided in said paragraph (b).</w:t>
      </w:r>
    </w:p>
    <w:p>
      <w:pPr>
        <w:spacing w:after="0" w:line="43" w:lineRule="exact"/>
        <w:rPr>
          <w:sz w:val="20"/>
          <w:szCs w:val="20"/>
          <w:color w:val="auto"/>
        </w:rPr>
      </w:pPr>
    </w:p>
    <w:p>
      <w:pPr>
        <w:jc w:val="both"/>
        <w:ind w:right="20" w:firstLine="1262"/>
        <w:spacing w:after="0" w:line="229" w:lineRule="auto"/>
        <w:tabs>
          <w:tab w:leader="none" w:pos="1882"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Notices and other communications to the Borrower, the Administrative Agent and the Banks hereunder may be delivered or furnished by using Electronic Systems (including the Approved Electronic Platform and the Approved Borrower Portal) pursuant to procedures approved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91</w:t>
      </w:r>
    </w:p>
    <w:p>
      <w:pPr>
        <w:sectPr>
          <w:pgSz w:w="11900" w:h="16838" w:orient="portrait"/>
          <w:cols w:equalWidth="0" w:num="1">
            <w:col w:w="11220"/>
          </w:cols>
          <w:pgMar w:left="320" w:top="1108" w:right="359" w:bottom="1440" w:gutter="0" w:footer="0" w:header="0"/>
        </w:sectPr>
      </w:pPr>
    </w:p>
    <w:bookmarkStart w:id="248" w:name="page249"/>
    <w:bookmarkEnd w:id="248"/>
    <w:p>
      <w:pPr>
        <w:ind w:right="520"/>
        <w:spacing w:after="0" w:line="224" w:lineRule="auto"/>
        <w:rPr>
          <w:sz w:val="20"/>
          <w:szCs w:val="20"/>
          <w:color w:val="auto"/>
        </w:rPr>
      </w:pPr>
      <w:r>
        <w:rPr>
          <w:rFonts w:ascii="Times New Roman" w:cs="Times New Roman" w:eastAsia="Times New Roman" w:hAnsi="Times New Roman"/>
          <w:sz w:val="21"/>
          <w:szCs w:val="21"/>
          <w:color w:val="auto"/>
        </w:rPr>
        <w:t>notices pursuant to Article II unless otherwise agreed by the Administrative Agent and the applicable Bank.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68"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Banking Day for the recipient.</w:t>
      </w:r>
    </w:p>
    <w:p>
      <w:pPr>
        <w:spacing w:after="0" w:line="151" w:lineRule="exact"/>
        <w:rPr>
          <w:sz w:val="20"/>
          <w:szCs w:val="20"/>
          <w:color w:val="auto"/>
        </w:rPr>
      </w:pPr>
    </w:p>
    <w:p>
      <w:pPr>
        <w:ind w:right="160" w:firstLine="1262"/>
        <w:spacing w:after="0" w:line="229" w:lineRule="auto"/>
        <w:tabs>
          <w:tab w:leader="none" w:pos="1883"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party hereto may change its address or telecopy number for notices and other communications hereunder by notice to the other parties hereto in accordance with this Section 12.07, except that each Bank must only give such notice to the Administrative Agent and the Borrower.</w:t>
      </w:r>
    </w:p>
    <w:p>
      <w:pPr>
        <w:spacing w:after="0" w:line="147"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Systems</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ind w:left="640" w:right="520" w:firstLine="1251"/>
        <w:spacing w:after="0" w:line="224" w:lineRule="auto"/>
        <w:tabs>
          <w:tab w:leader="none" w:pos="2514" w:val="left"/>
        </w:tabs>
        <w:numPr>
          <w:ilvl w:val="1"/>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agrees that the Administrative Agent may, but shall not be obligated to, make Communications (as defined below) available to the Banks by posting the Communications on Debt Domain, Intralinks, Syndtrak, ClearPar or a substantially similar Electronic System chosen by the Administrative Agent to be its electronic transmission system (the “</w:t>
      </w:r>
      <w:r>
        <w:rPr>
          <w:rFonts w:ascii="Times New Roman" w:cs="Times New Roman" w:eastAsia="Times New Roman" w:hAnsi="Times New Roman"/>
          <w:sz w:val="21"/>
          <w:szCs w:val="21"/>
          <w:u w:val="single" w:color="auto"/>
          <w:color w:val="auto"/>
        </w:rPr>
        <w:t>Approved Electronic Platform</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ind w:left="640" w:right="140" w:firstLine="1251"/>
        <w:spacing w:after="0" w:line="226" w:lineRule="auto"/>
        <w:tabs>
          <w:tab w:leader="none" w:pos="2520"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Banks and the Borrower acknowledges and agrees that the distribution of material through an electronic medium is not necessarily secure, that the Administrative Agent is not responsible for approving or vetting the representatives or contacts of any Bank that are added to the Approved Electronic Platform, and that there are confidentiality and other risks associated with such distribution. Each of the Banks and the Borrower hereby approves distribution of the Communications through the Approved Electronic Platform and understands and assumes the risks of such distribution.</w:t>
      </w:r>
    </w:p>
    <w:p>
      <w:pPr>
        <w:spacing w:after="0" w:line="146" w:lineRule="exact"/>
        <w:rPr>
          <w:rFonts w:ascii="Times New Roman" w:cs="Times New Roman" w:eastAsia="Times New Roman" w:hAnsi="Times New Roman"/>
          <w:sz w:val="20"/>
          <w:szCs w:val="20"/>
          <w:color w:val="auto"/>
        </w:rPr>
      </w:pPr>
    </w:p>
    <w:p>
      <w:pPr>
        <w:ind w:left="640" w:right="320" w:firstLine="1251"/>
        <w:spacing w:after="0" w:line="241" w:lineRule="auto"/>
        <w:tabs>
          <w:tab w:leader="none" w:pos="2526" w:val="left"/>
        </w:tabs>
        <w:numPr>
          <w:ilvl w:val="1"/>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Approved Electronic Platform and the Communications are provided “as is” and “as available.” None of the Administrative Agent or the Borrower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92</w:t>
      </w:r>
    </w:p>
    <w:p>
      <w:pPr>
        <w:sectPr>
          <w:pgSz w:w="11900" w:h="16838" w:orient="portrait"/>
          <w:cols w:equalWidth="0" w:num="1">
            <w:col w:w="11240"/>
          </w:cols>
          <w:pgMar w:left="320" w:top="1108" w:right="339" w:bottom="1440" w:gutter="0" w:footer="0" w:header="0"/>
        </w:sectPr>
      </w:pPr>
    </w:p>
    <w:bookmarkStart w:id="249" w:name="page250"/>
    <w:bookmarkEnd w:id="249"/>
    <w:p>
      <w:pPr>
        <w:ind w:right="20"/>
        <w:spacing w:after="0" w:line="220" w:lineRule="auto"/>
        <w:rPr>
          <w:sz w:val="20"/>
          <w:szCs w:val="20"/>
          <w:color w:val="auto"/>
        </w:rPr>
      </w:pPr>
      <w:r>
        <w:rPr>
          <w:rFonts w:ascii="Times New Roman" w:cs="Times New Roman" w:eastAsia="Times New Roman" w:hAnsi="Times New Roman"/>
          <w:sz w:val="20"/>
          <w:szCs w:val="20"/>
          <w:color w:val="auto"/>
        </w:rPr>
        <w:t>or any of their respective Affiliates and such Affiliates’ respective directors, officers, employees, agents or advisors (the “Communications Parties”) warrant the adequacy of the Approved Electronic Platform and each expressly disclaims liability for errors or omissions in the Approved Electronic Platform and the Communications. No warranty of any kind, express, implied or statutory, including any warranty of merchantability, fitness for a particular purpose, non-infringement of third-party rights or freedom from viruses or other code defects, is made by any Communications Party in connection with the Communications or any Approved Electronic Platform . In no event shall any Communications Party have any liability to the other parties hereto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an Electronic System. “Communications” means, collectively, any notice, demand, communication, information, document or other material provided by or on behalf of the Borrower pursuant to any Loan Document or the transactions contemplated therein which is distributed by the Administrative Agent or any Bank by means of electronic communications pursuant to this Section, including through an Electronic System.</w:t>
      </w:r>
    </w:p>
    <w:p>
      <w:pPr>
        <w:spacing w:after="0" w:line="9" w:lineRule="exact"/>
        <w:rPr>
          <w:sz w:val="20"/>
          <w:szCs w:val="20"/>
          <w:color w:val="auto"/>
        </w:rPr>
      </w:pPr>
    </w:p>
    <w:p>
      <w:pPr>
        <w:ind w:firstLine="1251"/>
        <w:spacing w:after="0" w:line="215" w:lineRule="auto"/>
        <w:tabs>
          <w:tab w:leader="none" w:pos="1874"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Bank agrees that notice to it (as provided in the next sentence) specifying that Communications have been posted to the Approved Electronic Platform shall constitute effective delivery of the Communications to such Bank for purposes of the Loan Documents to the extent such Communications have been so posted. Each Bank agrees (i) to notify the Administrative Agent in writing (which could be in the form of electronic communication) from time to time of such Bank’s (as applicable) email address to which the foregoing notice may be sent by electronic transmission and (ii) that the foregoing notice may be sent to such email address.</w:t>
      </w:r>
    </w:p>
    <w:p>
      <w:pPr>
        <w:spacing w:after="0" w:line="145" w:lineRule="exact"/>
        <w:rPr>
          <w:rFonts w:ascii="Times New Roman" w:cs="Times New Roman" w:eastAsia="Times New Roman" w:hAnsi="Times New Roman"/>
          <w:sz w:val="21"/>
          <w:szCs w:val="21"/>
          <w:color w:val="auto"/>
        </w:rPr>
      </w:pPr>
    </w:p>
    <w:p>
      <w:pPr>
        <w:ind w:right="160" w:firstLine="1251"/>
        <w:spacing w:after="0" w:line="229" w:lineRule="auto"/>
        <w:tabs>
          <w:tab w:leader="none" w:pos="1882"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47" w:lineRule="exact"/>
        <w:rPr>
          <w:rFonts w:ascii="Times New Roman" w:cs="Times New Roman" w:eastAsia="Times New Roman" w:hAnsi="Times New Roman"/>
          <w:sz w:val="21"/>
          <w:szCs w:val="21"/>
          <w:color w:val="auto"/>
        </w:rPr>
      </w:pPr>
    </w:p>
    <w:p>
      <w:pPr>
        <w:ind w:right="120" w:firstLine="1251"/>
        <w:spacing w:after="0" w:line="241" w:lineRule="auto"/>
        <w:tabs>
          <w:tab w:leader="none" w:pos="1874" w:val="left"/>
        </w:tabs>
        <w:numPr>
          <w:ilvl w:val="1"/>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herein shall prejudice the right of the Administrative Agent or any Bank to give any notice or other communication pursuant to any Loan Document in any other manner specified in such Loan Document.</w:t>
      </w:r>
    </w:p>
    <w:p>
      <w:pPr>
        <w:spacing w:after="0" w:line="143"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Borrower Communications</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ind w:right="320" w:firstLine="1251"/>
        <w:spacing w:after="0" w:line="229" w:lineRule="auto"/>
        <w:tabs>
          <w:tab w:leader="none" w:pos="1874"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the Banks agree that the Borrower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21"/>
          <w:szCs w:val="21"/>
          <w:u w:val="single" w:color="auto"/>
          <w:color w:val="auto"/>
        </w:rPr>
        <w:t>Approved Borrower Portal</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ind w:right="700" w:firstLine="1251"/>
        <w:spacing w:after="0" w:line="229" w:lineRule="auto"/>
        <w:tabs>
          <w:tab w:leader="none" w:pos="1880" w:val="left"/>
        </w:tabs>
        <w:numPr>
          <w:ilvl w:val="1"/>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Although the Approved Borrower Portal and its primary web portal are secured with generally-applicable security procedures and policies implemented or modified by the Administrative Agent from time to time (including, as of</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93</w:t>
      </w:r>
    </w:p>
    <w:p>
      <w:pPr>
        <w:sectPr>
          <w:pgSz w:w="11900" w:h="16838" w:orient="portrait"/>
          <w:cols w:equalWidth="0" w:num="1">
            <w:col w:w="10560"/>
          </w:cols>
          <w:pgMar w:left="960" w:top="1108" w:right="379" w:bottom="1440" w:gutter="0" w:footer="0" w:header="0"/>
        </w:sectPr>
      </w:pPr>
    </w:p>
    <w:bookmarkStart w:id="250" w:name="page251"/>
    <w:bookmarkEnd w:id="250"/>
    <w:p>
      <w:pPr>
        <w:ind w:right="60"/>
        <w:spacing w:after="0" w:line="219" w:lineRule="auto"/>
        <w:rPr>
          <w:sz w:val="20"/>
          <w:szCs w:val="20"/>
          <w:color w:val="auto"/>
        </w:rPr>
      </w:pPr>
      <w:r>
        <w:rPr>
          <w:rFonts w:ascii="Times New Roman" w:cs="Times New Roman" w:eastAsia="Times New Roman" w:hAnsi="Times New Roman"/>
          <w:sz w:val="21"/>
          <w:szCs w:val="21"/>
          <w:color w:val="auto"/>
        </w:rPr>
        <w:t>the Closing Date, a user ID/password authorization system), each of the Banks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Banks and the Borrower hereby approves distribution of Borrower Communications through the Approved Borrower Portal and understands and assumes the risks of such distribution.</w:t>
      </w:r>
    </w:p>
    <w:p>
      <w:pPr>
        <w:spacing w:after="0" w:line="40" w:lineRule="exact"/>
        <w:rPr>
          <w:sz w:val="20"/>
          <w:szCs w:val="20"/>
          <w:color w:val="auto"/>
        </w:rPr>
      </w:pPr>
    </w:p>
    <w:p>
      <w:pPr>
        <w:ind w:right="20" w:firstLine="1251"/>
        <w:spacing w:after="0" w:line="212" w:lineRule="auto"/>
        <w:tabs>
          <w:tab w:leader="none" w:pos="1886"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JOINT LEAD ARRANGER, ANY CO-DOCUMENTATION AGENT, ANY SYNDICATION AGENT OR ANY OF THEIR RESPECTIVE RELATED PARTIES (COLLECTIVELY, “</w:t>
      </w:r>
      <w:r>
        <w:rPr>
          <w:rFonts w:ascii="Times New Roman" w:cs="Times New Roman" w:eastAsia="Times New Roman" w:hAnsi="Times New Roman"/>
          <w:sz w:val="21"/>
          <w:szCs w:val="21"/>
          <w:u w:val="single" w:color="auto"/>
          <w:color w:val="auto"/>
        </w:rPr>
        <w:t>APPLICABLE PARTIES</w:t>
      </w:r>
      <w:r>
        <w:rPr>
          <w:rFonts w:ascii="Times New Roman" w:cs="Times New Roman" w:eastAsia="Times New Roman" w:hAnsi="Times New Roman"/>
          <w:sz w:val="21"/>
          <w:szCs w:val="21"/>
          <w:color w:val="auto"/>
        </w:rPr>
        <w:t>”) HAVE ANY LIABILITY TO THE BORROWER, THE GENERAL PARTNER, ANY LOAN PARTY, ANY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76" w:lineRule="exact"/>
        <w:rPr>
          <w:sz w:val="20"/>
          <w:szCs w:val="20"/>
          <w:color w:val="auto"/>
        </w:rPr>
      </w:pPr>
    </w:p>
    <w:p>
      <w:pPr>
        <w:ind w:right="22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 Communications</w:t>
      </w:r>
      <w:r>
        <w:rPr>
          <w:rFonts w:ascii="Times New Roman" w:cs="Times New Roman" w:eastAsia="Times New Roman" w:hAnsi="Times New Roman"/>
          <w:sz w:val="21"/>
          <w:szCs w:val="21"/>
          <w:color w:val="auto"/>
        </w:rPr>
        <w:t>” means, collectively, any notice of borrowing, notice of Election, Conversion or Continuation, notice of prepayment, or other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w:t>
      </w:r>
    </w:p>
    <w:p>
      <w:pPr>
        <w:spacing w:after="0" w:line="154" w:lineRule="exact"/>
        <w:rPr>
          <w:sz w:val="20"/>
          <w:szCs w:val="20"/>
          <w:color w:val="auto"/>
        </w:rPr>
      </w:pPr>
    </w:p>
    <w:p>
      <w:pPr>
        <w:ind w:firstLine="1251"/>
        <w:spacing w:after="0" w:line="229" w:lineRule="auto"/>
        <w:tabs>
          <w:tab w:leader="none" w:pos="1874"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Banks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94</w:t>
      </w:r>
    </w:p>
    <w:p>
      <w:pPr>
        <w:sectPr>
          <w:pgSz w:w="11900" w:h="16838" w:orient="portrait"/>
          <w:cols w:equalWidth="0" w:num="1">
            <w:col w:w="10600"/>
          </w:cols>
          <w:pgMar w:left="960" w:top="1108" w:right="339" w:bottom="1440" w:gutter="0" w:footer="0" w:header="0"/>
        </w:sectPr>
      </w:pPr>
    </w:p>
    <w:bookmarkStart w:id="251" w:name="page252"/>
    <w:bookmarkEnd w:id="251"/>
    <w:p>
      <w:pPr>
        <w:ind w:left="640" w:right="420" w:firstLine="1251"/>
        <w:spacing w:after="0" w:line="241" w:lineRule="auto"/>
        <w:tabs>
          <w:tab w:leader="none" w:pos="2522"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herein shall prejudice the right of the Borrower to give any notice or other communication pursuant to any Loan Document in any other manner specified in such Loan Document.</w:t>
      </w:r>
    </w:p>
    <w:p>
      <w:pPr>
        <w:spacing w:after="0" w:line="170" w:lineRule="exact"/>
        <w:rPr>
          <w:sz w:val="20"/>
          <w:szCs w:val="20"/>
          <w:color w:val="auto"/>
        </w:rPr>
      </w:pPr>
    </w:p>
    <w:p>
      <w:pPr>
        <w:ind w:firstLine="1257"/>
        <w:spacing w:after="0" w:line="258" w:lineRule="auto"/>
        <w:rPr>
          <w:sz w:val="20"/>
          <w:szCs w:val="20"/>
          <w:color w:val="auto"/>
        </w:rPr>
      </w:pPr>
      <w:r>
        <w:rPr>
          <w:rFonts w:ascii="Times New Roman" w:cs="Times New Roman" w:eastAsia="Times New Roman" w:hAnsi="Times New Roman"/>
          <w:sz w:val="21"/>
          <w:szCs w:val="21"/>
          <w:color w:val="auto"/>
        </w:rPr>
        <w:t xml:space="preserve">SECTION 12.8 </w:t>
      </w:r>
      <w:r>
        <w:rPr>
          <w:rFonts w:ascii="Times New Roman" w:cs="Times New Roman" w:eastAsia="Times New Roman" w:hAnsi="Times New Roman"/>
          <w:sz w:val="21"/>
          <w:szCs w:val="21"/>
          <w:u w:val="single" w:color="auto"/>
          <w:color w:val="auto"/>
        </w:rPr>
        <w:t>Setoff.</w:t>
      </w:r>
      <w:r>
        <w:rPr>
          <w:rFonts w:ascii="Times New Roman" w:cs="Times New Roman" w:eastAsia="Times New Roman" w:hAnsi="Times New Roman"/>
          <w:sz w:val="21"/>
          <w:szCs w:val="21"/>
          <w:color w:val="auto"/>
        </w:rPr>
        <w:t xml:space="preserve"> Each Bank hereby waives any right of setoff, bankers’ lien or counterclaim a Bank may have to offset balances (general or special, time or demand, provisional or final) held by it for the account of Borrower at any of such Bank’s offices, in Dollars or in any other currency, against any amount payable by Borrower to such Bank under this Agreement or such Bank’s Note, or any other Loan Document. Payments by Borrower hereunder or under the other Loan Documents shall be made without setoff or counterclaim.</w:t>
      </w:r>
    </w:p>
    <w:p>
      <w:pPr>
        <w:spacing w:after="0" w:line="64" w:lineRule="exact"/>
        <w:rPr>
          <w:sz w:val="20"/>
          <w:szCs w:val="20"/>
          <w:color w:val="auto"/>
        </w:rPr>
      </w:pPr>
    </w:p>
    <w:p>
      <w:pPr>
        <w:ind w:right="160" w:firstLine="1257"/>
        <w:spacing w:after="0" w:line="280" w:lineRule="auto"/>
        <w:rPr>
          <w:sz w:val="20"/>
          <w:szCs w:val="20"/>
          <w:color w:val="auto"/>
        </w:rPr>
      </w:pPr>
      <w:r>
        <w:rPr>
          <w:rFonts w:ascii="Times New Roman" w:cs="Times New Roman" w:eastAsia="Times New Roman" w:hAnsi="Times New Roman"/>
          <w:sz w:val="21"/>
          <w:szCs w:val="21"/>
          <w:color w:val="auto"/>
        </w:rPr>
        <w:t xml:space="preserve">SECTION 12.09 </w:t>
      </w:r>
      <w:r>
        <w:rPr>
          <w:rFonts w:ascii="Times New Roman" w:cs="Times New Roman" w:eastAsia="Times New Roman" w:hAnsi="Times New Roman"/>
          <w:sz w:val="21"/>
          <w:szCs w:val="21"/>
          <w:u w:val="single" w:color="auto"/>
          <w:color w:val="auto"/>
        </w:rPr>
        <w:t>Table of Contents; Headings.</w:t>
      </w:r>
      <w:r>
        <w:rPr>
          <w:rFonts w:ascii="Times New Roman" w:cs="Times New Roman" w:eastAsia="Times New Roman" w:hAnsi="Times New Roman"/>
          <w:sz w:val="21"/>
          <w:szCs w:val="21"/>
          <w:color w:val="auto"/>
        </w:rPr>
        <w:t xml:space="preserve"> Any table of contents and the headings and captions hereunder are for convenience only and shall not affect the interpretation or construction of this Agreement.</w:t>
      </w:r>
    </w:p>
    <w:p>
      <w:pPr>
        <w:spacing w:after="0" w:line="39" w:lineRule="exact"/>
        <w:rPr>
          <w:sz w:val="20"/>
          <w:szCs w:val="20"/>
          <w:color w:val="auto"/>
        </w:rPr>
      </w:pPr>
    </w:p>
    <w:p>
      <w:pPr>
        <w:ind w:right="220" w:firstLine="1257"/>
        <w:spacing w:after="0" w:line="262" w:lineRule="auto"/>
        <w:rPr>
          <w:sz w:val="20"/>
          <w:szCs w:val="20"/>
          <w:color w:val="auto"/>
        </w:rPr>
      </w:pPr>
      <w:r>
        <w:rPr>
          <w:rFonts w:ascii="Times New Roman" w:cs="Times New Roman" w:eastAsia="Times New Roman" w:hAnsi="Times New Roman"/>
          <w:sz w:val="21"/>
          <w:szCs w:val="21"/>
          <w:color w:val="auto"/>
        </w:rPr>
        <w:t xml:space="preserve">SECTION 12.10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xml:space="preserve"> The provisions of this Agreement are intended to be severable. If for any reason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spacing w:after="0" w:line="33" w:lineRule="exact"/>
        <w:rPr>
          <w:sz w:val="20"/>
          <w:szCs w:val="20"/>
          <w:color w:val="auto"/>
        </w:rPr>
      </w:pPr>
    </w:p>
    <w:p>
      <w:pPr>
        <w:ind w:right="40" w:firstLine="1257"/>
        <w:spacing w:after="0" w:line="211" w:lineRule="auto"/>
        <w:rPr>
          <w:sz w:val="20"/>
          <w:szCs w:val="20"/>
          <w:color w:val="auto"/>
        </w:rPr>
      </w:pPr>
      <w:r>
        <w:rPr>
          <w:rFonts w:ascii="Times New Roman" w:cs="Times New Roman" w:eastAsia="Times New Roman" w:hAnsi="Times New Roman"/>
          <w:sz w:val="21"/>
          <w:szCs w:val="21"/>
          <w:color w:val="auto"/>
        </w:rPr>
        <w:t xml:space="preserve">SECTION 12.11 </w:t>
      </w:r>
      <w:r>
        <w:rPr>
          <w:rFonts w:ascii="Times New Roman" w:cs="Times New Roman" w:eastAsia="Times New Roman" w:hAnsi="Times New Roman"/>
          <w:sz w:val="21"/>
          <w:szCs w:val="21"/>
          <w:u w:val="single" w:color="auto"/>
          <w:color w:val="auto"/>
        </w:rPr>
        <w:t>Counterparts; Electronic Execution</w:t>
      </w:r>
      <w:r>
        <w:rPr>
          <w:rFonts w:ascii="Times New Roman" w:cs="Times New Roman" w:eastAsia="Times New Roman" w:hAnsi="Times New Roman"/>
          <w:sz w:val="21"/>
          <w:szCs w:val="21"/>
          <w:color w:val="auto"/>
        </w:rPr>
        <w:t>. This Agreement may be executed in any number of counterparts, all of which taken together shall constitute one and the same instrument, and any party hereto may execute this Agreement by signing any such counterpart. Delivery of an executed counterpart of a signature page of (x) this Agreement, (y) any other Loan Document and/or (z) any document, amendment, approval, consent, information, notice (including, for the avoidance of doubt, any notice delivered pursuant to Section 12.07 and any Assignment and Assumption Agreement),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1"/>
          <w:szCs w:val="21"/>
          <w:u w:val="single" w:color="auto"/>
          <w:color w:val="auto"/>
        </w:rPr>
        <w:t>Ancillary Document</w:t>
      </w:r>
      <w:r>
        <w:rPr>
          <w:rFonts w:ascii="Times New Roman" w:cs="Times New Roman" w:eastAsia="Times New Roman" w:hAnsi="Times New Roman"/>
          <w:sz w:val="21"/>
          <w:szCs w:val="21"/>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without limiting the foregoing, (i) to the extent the Administrative Agent has agreed to accept any Electronic Signature, the Administrative Agent and each of the Banks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Bank, any Electronic Signature shall be promptly followed by a manually executed counterpart.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95</w:t>
      </w:r>
    </w:p>
    <w:p>
      <w:pPr>
        <w:sectPr>
          <w:pgSz w:w="11900" w:h="16838" w:orient="portrait"/>
          <w:cols w:equalWidth="0" w:num="1">
            <w:col w:w="11240"/>
          </w:cols>
          <w:pgMar w:left="320" w:top="1343" w:right="339" w:bottom="1440" w:gutter="0" w:footer="0" w:header="0"/>
        </w:sectPr>
      </w:pPr>
    </w:p>
    <w:bookmarkStart w:id="252" w:name="page253"/>
    <w:bookmarkEnd w:id="252"/>
    <w:p>
      <w:pPr>
        <w:spacing w:after="0" w:line="212" w:lineRule="auto"/>
        <w:rPr>
          <w:sz w:val="20"/>
          <w:szCs w:val="20"/>
          <w:color w:val="auto"/>
        </w:rPr>
      </w:pPr>
      <w:r>
        <w:rPr>
          <w:rFonts w:ascii="Times New Roman" w:cs="Times New Roman" w:eastAsia="Times New Roman" w:hAnsi="Times New Roman"/>
          <w:sz w:val="21"/>
          <w:szCs w:val="21"/>
          <w:color w:val="auto"/>
        </w:rPr>
        <w:t>Without limiting the generality of the foregoing, the Borrower hereby (i) agrees that, for all purposes, including without limitation, in connection with any workout, restructuring, enforcement of remedies, bankruptcy proceedings or litigation among the Administrative Agent, the Banks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Banks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Bank’s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spacing w:after="0" w:line="71" w:lineRule="exact"/>
        <w:rPr>
          <w:sz w:val="20"/>
          <w:szCs w:val="20"/>
          <w:color w:val="auto"/>
        </w:rPr>
      </w:pPr>
    </w:p>
    <w:p>
      <w:pPr>
        <w:ind w:right="140" w:firstLine="1257"/>
        <w:spacing w:after="0" w:line="258" w:lineRule="auto"/>
        <w:rPr>
          <w:sz w:val="20"/>
          <w:szCs w:val="20"/>
          <w:color w:val="auto"/>
        </w:rPr>
      </w:pPr>
      <w:r>
        <w:rPr>
          <w:rFonts w:ascii="Times New Roman" w:cs="Times New Roman" w:eastAsia="Times New Roman" w:hAnsi="Times New Roman"/>
          <w:sz w:val="21"/>
          <w:szCs w:val="21"/>
          <w:color w:val="auto"/>
        </w:rPr>
        <w:t xml:space="preserve">SECTION 12.12 </w:t>
      </w:r>
      <w:r>
        <w:rPr>
          <w:rFonts w:ascii="Times New Roman" w:cs="Times New Roman" w:eastAsia="Times New Roman" w:hAnsi="Times New Roman"/>
          <w:sz w:val="21"/>
          <w:szCs w:val="21"/>
          <w:u w:val="single" w:color="auto"/>
          <w:color w:val="auto"/>
        </w:rPr>
        <w:t>Integration.</w:t>
      </w:r>
      <w:r>
        <w:rPr>
          <w:rFonts w:ascii="Times New Roman" w:cs="Times New Roman" w:eastAsia="Times New Roman" w:hAnsi="Times New Roman"/>
          <w:sz w:val="21"/>
          <w:szCs w:val="21"/>
          <w:color w:val="auto"/>
        </w:rPr>
        <w:t xml:space="preserve"> The Loan Documents set forth the entire agreement among the parties hereto relating to the transactions contemplated thereby (except with respect to agreements relating solely to compensation, consideration and the coordinated syndication of the Loan) and supersede any prior oral or written statements or agreements with respect to such transactions.</w:t>
      </w:r>
    </w:p>
    <w:p>
      <w:pPr>
        <w:spacing w:after="0" w:line="75" w:lineRule="exact"/>
        <w:rPr>
          <w:sz w:val="20"/>
          <w:szCs w:val="20"/>
          <w:color w:val="auto"/>
        </w:rPr>
      </w:pPr>
    </w:p>
    <w:p>
      <w:pPr>
        <w:ind w:right="920" w:firstLine="1257"/>
        <w:spacing w:after="0" w:line="280" w:lineRule="auto"/>
        <w:rPr>
          <w:sz w:val="20"/>
          <w:szCs w:val="20"/>
          <w:color w:val="auto"/>
        </w:rPr>
      </w:pPr>
      <w:r>
        <w:rPr>
          <w:rFonts w:ascii="Times New Roman" w:cs="Times New Roman" w:eastAsia="Times New Roman" w:hAnsi="Times New Roman"/>
          <w:sz w:val="21"/>
          <w:szCs w:val="21"/>
          <w:color w:val="auto"/>
        </w:rPr>
        <w:t xml:space="preserve">SECTION 12.13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xml:space="preserve"> This Agreement and the other Loan Documents shall be governed by, and interpreted and construed in accordance with, the laws of the State of New York.</w:t>
      </w:r>
    </w:p>
    <w:p>
      <w:pPr>
        <w:spacing w:after="0" w:line="353" w:lineRule="exact"/>
        <w:rPr>
          <w:sz w:val="20"/>
          <w:szCs w:val="20"/>
          <w:color w:val="auto"/>
        </w:rPr>
      </w:pPr>
    </w:p>
    <w:p>
      <w:pPr>
        <w:ind w:right="40" w:firstLine="629"/>
        <w:spacing w:after="0" w:line="224" w:lineRule="auto"/>
        <w:rPr>
          <w:sz w:val="20"/>
          <w:szCs w:val="20"/>
          <w:color w:val="auto"/>
        </w:rPr>
      </w:pPr>
      <w:r>
        <w:rPr>
          <w:rFonts w:ascii="Times New Roman" w:cs="Times New Roman" w:eastAsia="Times New Roman" w:hAnsi="Times New Roman"/>
          <w:sz w:val="21"/>
          <w:szCs w:val="21"/>
          <w:color w:val="auto"/>
        </w:rPr>
        <w:t>Each of the Banks and the Administrative Agent hereby irrevocably and unconditionally agrees that, notwithstanding the governing law provisions of any applicable Loan Document, any claims brought against the Administrative Agent by any Bank relating to this Agreement, any other Loan Document or the consummation or administration of the transactions contemplated hereby or thereby shall be construed in accordance with and governed by the law of the State of New York.</w:t>
      </w:r>
    </w:p>
    <w:p>
      <w:pPr>
        <w:spacing w:after="0" w:line="68" w:lineRule="exact"/>
        <w:rPr>
          <w:sz w:val="20"/>
          <w:szCs w:val="20"/>
          <w:color w:val="auto"/>
        </w:rPr>
      </w:pPr>
    </w:p>
    <w:p>
      <w:pPr>
        <w:ind w:right="20" w:firstLine="1257"/>
        <w:spacing w:after="0" w:line="255" w:lineRule="auto"/>
        <w:rPr>
          <w:sz w:val="20"/>
          <w:szCs w:val="20"/>
          <w:color w:val="auto"/>
        </w:rPr>
      </w:pPr>
      <w:r>
        <w:rPr>
          <w:rFonts w:ascii="Times New Roman" w:cs="Times New Roman" w:eastAsia="Times New Roman" w:hAnsi="Times New Roman"/>
          <w:sz w:val="21"/>
          <w:szCs w:val="21"/>
          <w:color w:val="auto"/>
        </w:rPr>
        <w:t xml:space="preserve">SECTION 12.14 </w:t>
      </w:r>
      <w:r>
        <w:rPr>
          <w:rFonts w:ascii="Times New Roman" w:cs="Times New Roman" w:eastAsia="Times New Roman" w:hAnsi="Times New Roman"/>
          <w:sz w:val="21"/>
          <w:szCs w:val="21"/>
          <w:u w:val="single" w:color="auto"/>
          <w:color w:val="auto"/>
        </w:rPr>
        <w:t>Waivers.</w:t>
      </w:r>
      <w:r>
        <w:rPr>
          <w:rFonts w:ascii="Times New Roman" w:cs="Times New Roman" w:eastAsia="Times New Roman" w:hAnsi="Times New Roman"/>
          <w:sz w:val="21"/>
          <w:szCs w:val="21"/>
          <w:color w:val="auto"/>
        </w:rPr>
        <w:t xml:space="preserve"> To the extent permitted or not expressly prohibited by applicable law, in connection with the obligations and liabilities as aforesaid, Borrower hereby waives (1) notice of any actions taken by any Bank Party under this Agreement, any other Loan Document or any other agreement or instrument relating hereto or thereto except to the extent otherwise provided herein; (2) all other notices, demands and protests, and all other formalities of every kind in connection with the enforcement of the Obligations, the omission of or delay in which, but for the provisions of this Section 12.14, might constitute grounds for relieving Borrower of its obligations hereunder; (3) any requirement that any Bank Party protect, secure, perfect or insure any Lien on any collateral or exhaust any right or take any action against Borrower or any other Person 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96</w:t>
      </w:r>
    </w:p>
    <w:p>
      <w:pPr>
        <w:sectPr>
          <w:pgSz w:w="11900" w:h="16838" w:orient="portrait"/>
          <w:cols w:equalWidth="0" w:num="1">
            <w:col w:w="11240"/>
          </w:cols>
          <w:pgMar w:left="320" w:top="1108" w:right="339" w:bottom="1440" w:gutter="0" w:footer="0" w:header="0"/>
        </w:sectPr>
      </w:pPr>
    </w:p>
    <w:bookmarkStart w:id="253" w:name="page254"/>
    <w:bookmarkEnd w:id="253"/>
    <w:p>
      <w:pPr>
        <w:ind w:right="440"/>
        <w:spacing w:after="0" w:line="229" w:lineRule="auto"/>
        <w:rPr>
          <w:sz w:val="20"/>
          <w:szCs w:val="20"/>
          <w:color w:val="auto"/>
        </w:rPr>
      </w:pPr>
      <w:r>
        <w:rPr>
          <w:rFonts w:ascii="Times New Roman" w:cs="Times New Roman" w:eastAsia="Times New Roman" w:hAnsi="Times New Roman"/>
          <w:sz w:val="21"/>
          <w:szCs w:val="21"/>
          <w:color w:val="auto"/>
        </w:rPr>
        <w:t>any collateral; (4) any right or claim of right to cause a marshalling of the assets of Borrower; and (5) all rights of subrogation or contribution, whether arising by contract or operation of law (including, without limitation, any such right arising under the Bankruptcy Code) or otherwise by reason of payment by Borrower, pursuant to this Agreement or any other Loan Document.</w:t>
      </w:r>
    </w:p>
    <w:p>
      <w:pPr>
        <w:spacing w:after="0" w:line="68" w:lineRule="exact"/>
        <w:rPr>
          <w:sz w:val="20"/>
          <w:szCs w:val="20"/>
          <w:color w:val="auto"/>
        </w:rPr>
      </w:pPr>
    </w:p>
    <w:p>
      <w:pPr>
        <w:ind w:firstLine="1257"/>
        <w:spacing w:after="0" w:line="251" w:lineRule="auto"/>
        <w:rPr>
          <w:sz w:val="20"/>
          <w:szCs w:val="20"/>
          <w:color w:val="auto"/>
        </w:rPr>
      </w:pPr>
      <w:r>
        <w:rPr>
          <w:rFonts w:ascii="Times New Roman" w:cs="Times New Roman" w:eastAsia="Times New Roman" w:hAnsi="Times New Roman"/>
          <w:sz w:val="21"/>
          <w:szCs w:val="21"/>
          <w:color w:val="auto"/>
        </w:rPr>
        <w:t xml:space="preserve">SECTION 12.15 </w:t>
      </w:r>
      <w:r>
        <w:rPr>
          <w:rFonts w:ascii="Times New Roman" w:cs="Times New Roman" w:eastAsia="Times New Roman" w:hAnsi="Times New Roman"/>
          <w:sz w:val="21"/>
          <w:szCs w:val="21"/>
          <w:u w:val="single" w:color="auto"/>
          <w:color w:val="auto"/>
        </w:rPr>
        <w:t>Jurisdiction; Immunities.</w:t>
      </w:r>
      <w:r>
        <w:rPr>
          <w:rFonts w:ascii="Times New Roman" w:cs="Times New Roman" w:eastAsia="Times New Roman" w:hAnsi="Times New Roman"/>
          <w:sz w:val="21"/>
          <w:szCs w:val="21"/>
          <w:color w:val="auto"/>
        </w:rPr>
        <w:t xml:space="preserve"> Borrower, Administrative Agent and each Bank hereby irrevocably submit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over any action or proceeding (whether in tort, contract, law or equity) arising out of or relating to this Agreement, the Notes or any other Loan Document. Borrower, Administrative Agent, and each Bank irrevocably agree that all claims in respect of such action or proceeding may be heard and determined in such New York State or United States Federal court. Borrower, Administrative Agent, and each Bank irrevocably consent to the service of any and all process in any such action or proceeding by the mailing of copies of such process to Borrower, Administrative Agent or each Bank, as the case may be, at the addresses specified herein. Borrower, Administrative Agent and each Bank agree that a final judgment in any such action or proceeding shall be conclusive and may be enforced in other jurisdictions by suit on the judgment or in any other manner provided by law. Borrower, Administrative Agent and each Bank further waive any objection to venue in the State of New York and any objection to an action or proceeding in the State of New York on the basis of forum non conveniens. Borrower, Administrative Agent and each Bank agree that any action or proceeding brought against Borrower, Administrative Agent or any Bank, as the case may be, shall be brought only in the United States District Court for the Southern District of New York sitting in the Borough of Manhattan (or if such court lacks subject matter jurisdiction, the Supreme Court of the State of New York sitting in the Borough of Manhattan), and any appellate court from any thereof, to the extent permitted or not expressly prohibited by applicable law. Nothing in this Agreement or in any other Loan Document shall affect any right that the Administrative Agent or any Bank may otherwise have to bring any action or proceeding relating to this Agreement against the Borrower or its properties in the courts of any jurisdiction.</w:t>
      </w:r>
    </w:p>
    <w:p>
      <w:pPr>
        <w:spacing w:after="0" w:line="74" w:lineRule="exact"/>
        <w:rPr>
          <w:sz w:val="20"/>
          <w:szCs w:val="20"/>
          <w:color w:val="auto"/>
        </w:rPr>
      </w:pPr>
    </w:p>
    <w:p>
      <w:pPr>
        <w:ind w:right="440" w:firstLine="629"/>
        <w:spacing w:after="0" w:line="293" w:lineRule="auto"/>
        <w:rPr>
          <w:sz w:val="20"/>
          <w:szCs w:val="20"/>
          <w:color w:val="auto"/>
        </w:rPr>
      </w:pPr>
      <w:r>
        <w:rPr>
          <w:rFonts w:ascii="Times New Roman" w:cs="Times New Roman" w:eastAsia="Times New Roman" w:hAnsi="Times New Roman"/>
          <w:sz w:val="21"/>
          <w:szCs w:val="21"/>
          <w:color w:val="auto"/>
        </w:rPr>
        <w:t>Nothing in this Section shall affect the right of Borrower, Administrative Agent or any Bank to serve legal process in any other manner permitted by law.</w:t>
      </w:r>
    </w:p>
    <w:p>
      <w:pPr>
        <w:spacing w:after="0" w:line="131" w:lineRule="exact"/>
        <w:rPr>
          <w:sz w:val="20"/>
          <w:szCs w:val="20"/>
          <w:color w:val="auto"/>
        </w:rPr>
      </w:pPr>
    </w:p>
    <w:p>
      <w:pPr>
        <w:ind w:right="60" w:firstLine="629"/>
        <w:spacing w:after="0" w:line="258" w:lineRule="auto"/>
        <w:rPr>
          <w:sz w:val="20"/>
          <w:szCs w:val="20"/>
          <w:color w:val="auto"/>
        </w:rPr>
      </w:pPr>
      <w:r>
        <w:rPr>
          <w:rFonts w:ascii="Times New Roman" w:cs="Times New Roman" w:eastAsia="Times New Roman" w:hAnsi="Times New Roman"/>
          <w:sz w:val="21"/>
          <w:szCs w:val="21"/>
          <w:color w:val="auto"/>
        </w:rPr>
        <w:t>To the extent that Borrower, Administrative Agent or any Bank have or hereafter may acquire any immunity from jurisdiction of any court or from any legal process (whether from service or notice, attachment prior to judgment, attachment in aid of execution, execution or otherwise) with respect to itself or its property, Borrower, Administrative Agent and each Bank hereby irrevocably waive such immunity in respect of its obligations under this Agreement, the Notes and any other Loan Document.</w:t>
      </w:r>
    </w:p>
    <w:p>
      <w:pPr>
        <w:spacing w:after="0" w:line="167" w:lineRule="exact"/>
        <w:rPr>
          <w:sz w:val="20"/>
          <w:szCs w:val="20"/>
          <w:color w:val="auto"/>
        </w:rPr>
      </w:pPr>
    </w:p>
    <w:p>
      <w:pPr>
        <w:ind w:firstLine="629"/>
        <w:spacing w:after="0" w:line="258" w:lineRule="auto"/>
        <w:rPr>
          <w:sz w:val="20"/>
          <w:szCs w:val="20"/>
          <w:color w:val="auto"/>
        </w:rPr>
      </w:pPr>
      <w:r>
        <w:rPr>
          <w:rFonts w:ascii="Times New Roman" w:cs="Times New Roman" w:eastAsia="Times New Roman" w:hAnsi="Times New Roman"/>
          <w:sz w:val="21"/>
          <w:szCs w:val="21"/>
          <w:color w:val="auto"/>
        </w:rPr>
        <w:t>BORROWER, ADMINISTRATIVE AGENT AND EACH BANK WAIVE ANY RIGHT EACH SUCH PARTY MAY HAVE TO JURY TRIAL IN CONNECTION WITH ANY SUIT, ACTION OR PROCEEDING BROUGHT WITH RESPECT TO THIS AGREEMENT, THE NOTES OR THE LOAN. IN ADDITION, BORROWER HEREBY WAIVES, IN CONNECTION WITH ANY SUIT, ACTION OR PROCEEDING BROUGHT BY ADMINISTRATIVE AGENT OR THE BANKS WITH RESPECT TO THE NOTES, ANY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97</w:t>
      </w:r>
    </w:p>
    <w:p>
      <w:pPr>
        <w:sectPr>
          <w:pgSz w:w="11900" w:h="16838" w:orient="portrait"/>
          <w:cols w:equalWidth="0" w:num="1">
            <w:col w:w="11240"/>
          </w:cols>
          <w:pgMar w:left="320" w:top="1108" w:right="339" w:bottom="1440" w:gutter="0" w:footer="0" w:header="0"/>
        </w:sectPr>
      </w:pPr>
    </w:p>
    <w:bookmarkStart w:id="254" w:name="page255"/>
    <w:bookmarkEnd w:id="254"/>
    <w:p>
      <w:pPr>
        <w:ind w:right="20"/>
        <w:spacing w:after="0" w:line="252" w:lineRule="auto"/>
        <w:rPr>
          <w:sz w:val="20"/>
          <w:szCs w:val="20"/>
          <w:color w:val="auto"/>
        </w:rPr>
      </w:pPr>
      <w:r>
        <w:rPr>
          <w:rFonts w:ascii="Times New Roman" w:cs="Times New Roman" w:eastAsia="Times New Roman" w:hAnsi="Times New Roman"/>
          <w:sz w:val="21"/>
          <w:szCs w:val="21"/>
          <w:color w:val="auto"/>
        </w:rPr>
        <w:t>RIGHT BORROWER MAY HAVE (1) TO THE EXTENT PERMITTED OR NOT EXPRESSLY PROHIBITED BY APPLICABLE LAW, TO INTERPOSE ANY COUNTERCLAIM THEREIN (OTHER THAN A COUNTERCLAIM THAT IF NOT BROUGHT IN THE SUIT, ACTION OR PROCEEDING BROUGHT BY ADMINISTRATIVE AGENT OR THE BANKS COULD NOT BE BROUGHT IN A SEPARATE SUIT, ACTION OR PROCEEDING OR WOULD BE SUBJECT TO DISMISSAL OR SIMILAR DISPOSITION FOR FAILURE TO HAVE BEEN ASSERTED IN SUCH SUIT, ACTION OR PROCEEDING BROUGHT BY ADMINISTRATIVE AGENT OR THE BANKS) OR (2) TO THE EXTENT PERMITTED OR NOT EXPRESSLY PROHIBITED BY APPLICABLE LAW, TO HAVE THE SAME CONSOLIDATED WITH ANY OTHER OR SEPARATE SUIT, ACTION OR PROCEEDING. NOTHING HEREIN CONTAINED SHALL PREVENT OR PROHIBIT BORROWER FROM INSTITUTING OR MAINTAINING A SEPARATE ACTION AGAINST ADMINISTRATIVE AGENT OR THE BANKS WITH RESPECT TO ANY ASSERTED CLAIM.</w:t>
      </w:r>
    </w:p>
    <w:p>
      <w:pPr>
        <w:spacing w:after="0" w:line="189" w:lineRule="exact"/>
        <w:rPr>
          <w:sz w:val="20"/>
          <w:szCs w:val="20"/>
          <w:color w:val="auto"/>
        </w:rPr>
      </w:pPr>
    </w:p>
    <w:p>
      <w:pPr>
        <w:ind w:firstLine="629"/>
        <w:spacing w:after="0" w:line="252" w:lineRule="auto"/>
        <w:rPr>
          <w:sz w:val="20"/>
          <w:szCs w:val="20"/>
          <w:color w:val="auto"/>
        </w:rPr>
      </w:pPr>
      <w:r>
        <w:rPr>
          <w:rFonts w:ascii="Times New Roman" w:cs="Times New Roman" w:eastAsia="Times New Roman" w:hAnsi="Times New Roman"/>
          <w:sz w:val="21"/>
          <w:szCs w:val="21"/>
          <w:color w:val="auto"/>
        </w:rPr>
        <w:t xml:space="preserve">To the extent permitted by applicable law (i) the Borrower shall not assert, and the Borrower hereby waives, any claim against a Lender-Related Person for any Liabilities arising from the use by others of information or other materials (including, without limitation, any personal data) obtained through telecommunications, electronic or other information transmission systems (including the Internet, any Approved Electronic Platform and any Approved Borrower Portal),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any Loan or the use of the proceeds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Section shall relieve the Borrower of any obligation it may have to indemnify an indemnified person, as provided in Section 12.04, against any special, indirect, consequential or punitive damages asserted against such indemnified person by a third party.</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auto"/>
              </w:rPr>
              <w:t>SECTION 12.16</w:t>
            </w:r>
          </w:p>
        </w:tc>
        <w:tc>
          <w:tcPr>
            <w:tcW w:w="18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[Reserved].</w:t>
            </w:r>
          </w:p>
        </w:tc>
      </w:tr>
      <w:tr>
        <w:trPr>
          <w:trHeight w:val="20"/>
        </w:trPr>
        <w:tc>
          <w:tcPr>
            <w:tcW w:w="1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auto"/>
              </w:rPr>
              <w:t>SECTION 12.17</w:t>
            </w:r>
          </w:p>
        </w:tc>
        <w:tc>
          <w:tcPr>
            <w:tcW w:w="18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[Reserved].</w:t>
            </w:r>
          </w:p>
        </w:tc>
      </w:tr>
      <w:tr>
        <w:trPr>
          <w:trHeight w:val="20"/>
        </w:trPr>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auto"/>
              </w:rPr>
              <w:t>SECTION 12.18</w:t>
            </w:r>
          </w:p>
        </w:tc>
        <w:tc>
          <w:tcPr>
            <w:tcW w:w="1860" w:type="dxa"/>
            <w:vAlign w:val="bottom"/>
            <w:gridSpan w:val="4"/>
          </w:tcPr>
          <w:p>
            <w:pPr>
              <w:spacing w:after="0"/>
              <w:rPr>
                <w:sz w:val="20"/>
                <w:szCs w:val="20"/>
                <w:color w:val="auto"/>
              </w:rPr>
            </w:pPr>
            <w:r>
              <w:rPr>
                <w:rFonts w:ascii="Times New Roman" w:cs="Times New Roman" w:eastAsia="Times New Roman" w:hAnsi="Times New Roman"/>
                <w:sz w:val="21"/>
                <w:szCs w:val="21"/>
                <w:color w:val="auto"/>
                <w:w w:val="98"/>
              </w:rPr>
              <w:t>Intentionally Omitted.</w:t>
            </w:r>
          </w:p>
        </w:tc>
      </w:tr>
      <w:tr>
        <w:trPr>
          <w:trHeight w:val="20"/>
        </w:trPr>
        <w:tc>
          <w:tcPr>
            <w:tcW w:w="1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1257"/>
        <w:spacing w:after="0" w:line="253" w:lineRule="auto"/>
        <w:rPr>
          <w:sz w:val="20"/>
          <w:szCs w:val="20"/>
          <w:color w:val="auto"/>
        </w:rPr>
      </w:pPr>
      <w:r>
        <w:rPr>
          <w:rFonts w:ascii="Times New Roman" w:cs="Times New Roman" w:eastAsia="Times New Roman" w:hAnsi="Times New Roman"/>
          <w:sz w:val="21"/>
          <w:szCs w:val="21"/>
          <w:color w:val="auto"/>
        </w:rPr>
        <w:t xml:space="preserve">SECTION 12.19 </w:t>
      </w:r>
      <w:r>
        <w:rPr>
          <w:rFonts w:ascii="Times New Roman" w:cs="Times New Roman" w:eastAsia="Times New Roman" w:hAnsi="Times New Roman"/>
          <w:sz w:val="21"/>
          <w:szCs w:val="21"/>
          <w:u w:val="single" w:color="auto"/>
          <w:color w:val="auto"/>
        </w:rPr>
        <w:t>USA Patriot Act.</w:t>
      </w:r>
      <w:r>
        <w:rPr>
          <w:rFonts w:ascii="Times New Roman" w:cs="Times New Roman" w:eastAsia="Times New Roman" w:hAnsi="Times New Roman"/>
          <w:sz w:val="21"/>
          <w:szCs w:val="21"/>
          <w:color w:val="auto"/>
        </w:rPr>
        <w:t xml:space="preserve"> Each Bank hereby notifies the Borrower that pursuant to the requirements of the USA Patriot Act (Title III of Pub. L. 107-56 (signed into law October 26, 2001)) (the “Patriot Act”), it is required to obtain, verify and record information that identifies the Borrower and the General Partner, which information includes the name and address of the Borrower and the General Partner and other information that will allow such Bank to identify the Borrower and the General Partner in accordance with the Patriot Act. The Borrower shall provide such information and take such actions as are reasonably requested by the Administrative Agent or any Bank in order to assist the Administrative Agent and the Banks in maintaining compliance with applicable “know your customer” and anti-money laundering rules and regulations, including, without limitation, the Patriot Act and the Beneficial Ownership Regulation.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98</w:t>
      </w:r>
    </w:p>
    <w:p>
      <w:pPr>
        <w:sectPr>
          <w:pgSz w:w="11900" w:h="16838" w:orient="portrait"/>
          <w:cols w:equalWidth="0" w:num="1">
            <w:col w:w="11220"/>
          </w:cols>
          <w:pgMar w:left="320" w:top="1134" w:right="359" w:bottom="1440" w:gutter="0" w:footer="0" w:header="0"/>
        </w:sectPr>
      </w:pPr>
    </w:p>
    <w:bookmarkStart w:id="255" w:name="page256"/>
    <w:bookmarkEnd w:id="255"/>
    <w:p>
      <w:pPr>
        <w:ind w:right="280" w:firstLine="1257"/>
        <w:spacing w:after="0" w:line="280" w:lineRule="auto"/>
        <w:rPr>
          <w:sz w:val="20"/>
          <w:szCs w:val="20"/>
          <w:color w:val="auto"/>
        </w:rPr>
      </w:pPr>
      <w:r>
        <w:rPr>
          <w:rFonts w:ascii="Times New Roman" w:cs="Times New Roman" w:eastAsia="Times New Roman" w:hAnsi="Times New Roman"/>
          <w:sz w:val="21"/>
          <w:szCs w:val="21"/>
          <w:color w:val="auto"/>
        </w:rPr>
        <w:t xml:space="preserve">SECTION 12.20 </w:t>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 xml:space="preserve"> Notwithstanding any provision of this Agreement to the contrary, if any Bank becomes a Defaulting Lender, then the following provisions shall apply for so long as such Bank is a Defaulting Lender:</w:t>
      </w:r>
    </w:p>
    <w:p>
      <w:pPr>
        <w:spacing w:after="0" w:line="13" w:lineRule="exact"/>
        <w:rPr>
          <w:sz w:val="20"/>
          <w:szCs w:val="20"/>
          <w:color w:val="auto"/>
        </w:rPr>
      </w:pPr>
    </w:p>
    <w:p>
      <w:pPr>
        <w:ind w:left="1880" w:hanging="618"/>
        <w:spacing w:after="0"/>
        <w:tabs>
          <w:tab w:leader="none" w:pos="188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77" w:lineRule="exact"/>
        <w:rPr>
          <w:rFonts w:ascii="Times New Roman" w:cs="Times New Roman" w:eastAsia="Times New Roman" w:hAnsi="Times New Roman"/>
          <w:sz w:val="21"/>
          <w:szCs w:val="21"/>
          <w:color w:val="auto"/>
        </w:rPr>
      </w:pPr>
    </w:p>
    <w:p>
      <w:pPr>
        <w:ind w:right="20" w:firstLine="1262"/>
        <w:spacing w:after="0" w:line="214" w:lineRule="auto"/>
        <w:tabs>
          <w:tab w:leader="none" w:pos="1882"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the Loan Commitment of such Defaulting Lender shall not be included in determining whether the Required Banks have taken or may take any action hereunder (including any consent to any amendment, waiver or other modification pursuant to Section 12.02) and (y)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provided, that (i) such Defaulting Lender’s Loan Commitment may not be increased or extended without its consent, (ii) the principal amount of, or interest or fees payable on, Loans may not be reduced or excused or the scheduled date of payment may not be postponed as to such Defaulting Lender without such Defaulting Lender’s consent and (iii) any waiver, amendment or modification requiring the consent of all Banks or each affected Bank that by its terms affects any Defaulting Lender more adversely than other affected Banks shall require the written consent of such Defaulting Lender;</w:t>
      </w:r>
    </w:p>
    <w:p>
      <w:pPr>
        <w:spacing w:after="0" w:line="152" w:lineRule="exact"/>
        <w:rPr>
          <w:rFonts w:ascii="Times New Roman" w:cs="Times New Roman" w:eastAsia="Times New Roman" w:hAnsi="Times New Roman"/>
          <w:sz w:val="21"/>
          <w:szCs w:val="21"/>
          <w:color w:val="auto"/>
        </w:rPr>
      </w:pPr>
    </w:p>
    <w:p>
      <w:pPr>
        <w:ind w:firstLine="1262"/>
        <w:spacing w:after="0" w:line="224" w:lineRule="auto"/>
        <w:tabs>
          <w:tab w:leader="none" w:pos="1883"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Administrative Agent and the Borrower each agrees that a Defaulting Lender has adequately remedied all matters that caused such Bank to be a Defaulting Lender, then such Bank shall thereupon cease to be a Defaulting Lender and on such date such Bank shall purchase at par such of the Loans of the other Banks as the Administrative Agent shall determine may be necessary in order for such Bank to hold such Loans in accordance with its Pro Rata Share; and</w:t>
      </w:r>
    </w:p>
    <w:p>
      <w:pPr>
        <w:spacing w:after="0" w:line="146" w:lineRule="exact"/>
        <w:rPr>
          <w:rFonts w:ascii="Times New Roman" w:cs="Times New Roman" w:eastAsia="Times New Roman" w:hAnsi="Times New Roman"/>
          <w:sz w:val="21"/>
          <w:szCs w:val="21"/>
          <w:color w:val="auto"/>
        </w:rPr>
      </w:pPr>
    </w:p>
    <w:p>
      <w:pPr>
        <w:ind w:right="180" w:firstLine="1262"/>
        <w:spacing w:after="0" w:line="224" w:lineRule="auto"/>
        <w:tabs>
          <w:tab w:leader="none" w:pos="1882"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 Bank shall become a Defaulting Lender, then, provided that no Event of Default shall have occurred and be outstanding, and subject to the provisions of applicable law, for so long as such Bank shall remain a Defaulting Lender, Borrower shall have the right to replace such Defaulting Lender as though it were an Affected Bank, in accordance with the provisions of Section 3.07.</w:t>
      </w:r>
    </w:p>
    <w:p>
      <w:pPr>
        <w:spacing w:after="0" w:line="146" w:lineRule="exact"/>
        <w:rPr>
          <w:sz w:val="20"/>
          <w:szCs w:val="20"/>
          <w:color w:val="auto"/>
        </w:rPr>
      </w:pPr>
    </w:p>
    <w:p>
      <w:pPr>
        <w:ind w:left="1260"/>
        <w:spacing w:after="0"/>
        <w:tabs>
          <w:tab w:leader="none" w:pos="3120" w:val="left"/>
        </w:tabs>
        <w:rPr>
          <w:sz w:val="20"/>
          <w:szCs w:val="20"/>
          <w:color w:val="auto"/>
        </w:rPr>
      </w:pPr>
      <w:r>
        <w:rPr>
          <w:rFonts w:ascii="Times New Roman" w:cs="Times New Roman" w:eastAsia="Times New Roman" w:hAnsi="Times New Roman"/>
          <w:sz w:val="21"/>
          <w:szCs w:val="21"/>
          <w:color w:val="auto"/>
        </w:rPr>
        <w:t>SECTION 12.21</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ind w:right="120" w:firstLine="1257"/>
        <w:spacing w:after="0" w:line="258" w:lineRule="auto"/>
        <w:rPr>
          <w:sz w:val="20"/>
          <w:szCs w:val="20"/>
          <w:color w:val="auto"/>
        </w:rPr>
      </w:pPr>
      <w:r>
        <w:rPr>
          <w:rFonts w:ascii="Times New Roman" w:cs="Times New Roman" w:eastAsia="Times New Roman" w:hAnsi="Times New Roman"/>
          <w:sz w:val="21"/>
          <w:szCs w:val="21"/>
          <w:color w:val="auto"/>
        </w:rPr>
        <w:t xml:space="preserve">SECTION 12.22 </w:t>
      </w:r>
      <w:r>
        <w:rPr>
          <w:rFonts w:ascii="Times New Roman" w:cs="Times New Roman" w:eastAsia="Times New Roman" w:hAnsi="Times New Roman"/>
          <w:sz w:val="21"/>
          <w:szCs w:val="21"/>
          <w:u w:val="single" w:color="auto"/>
          <w:color w:val="auto"/>
        </w:rPr>
        <w:t>Partner Guaranties.</w:t>
      </w:r>
      <w:r>
        <w:rPr>
          <w:rFonts w:ascii="Times New Roman" w:cs="Times New Roman" w:eastAsia="Times New Roman" w:hAnsi="Times New Roman"/>
          <w:sz w:val="21"/>
          <w:szCs w:val="21"/>
          <w:color w:val="auto"/>
        </w:rPr>
        <w:t xml:space="preserve"> At Borrower’s request from time to time, Administrative Agent shall accept “partner” guaranties of all or a portion of the Loans from limited partners in Borrower or limited partners or members of Borrower’s subsidiaries in such amounts and on such terms as Borrower shall request, provided that Administrative Agent shall have reasonably satisfied itself and the Banks with respect to “know-your-customer” requirements, Anti-Corruption Laws, OFAC, the Beneficial Ownership Regulation and similar restrictions in respect of any such proposed guarantor.</w:t>
      </w:r>
    </w:p>
    <w:p>
      <w:pPr>
        <w:spacing w:after="0" w:line="64" w:lineRule="exact"/>
        <w:rPr>
          <w:sz w:val="20"/>
          <w:szCs w:val="20"/>
          <w:color w:val="auto"/>
        </w:rPr>
      </w:pPr>
    </w:p>
    <w:p>
      <w:pPr>
        <w:ind w:right="180" w:firstLine="1257"/>
        <w:spacing w:after="0" w:line="263" w:lineRule="auto"/>
        <w:rPr>
          <w:sz w:val="20"/>
          <w:szCs w:val="20"/>
          <w:color w:val="auto"/>
        </w:rPr>
      </w:pPr>
      <w:r>
        <w:rPr>
          <w:rFonts w:ascii="Times New Roman" w:cs="Times New Roman" w:eastAsia="Times New Roman" w:hAnsi="Times New Roman"/>
          <w:sz w:val="21"/>
          <w:szCs w:val="21"/>
          <w:color w:val="auto"/>
        </w:rPr>
        <w:t xml:space="preserve">SECTION 12.23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Each of the Administrative Agent and the Banks agrees to maintain the confidentiality of the Information (as defined below), except that Information may be disclosed (a) to its and its Affiliates' directors, officers, employees, and agents, including accountants, legal</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99</w:t>
      </w:r>
    </w:p>
    <w:p>
      <w:pPr>
        <w:sectPr>
          <w:pgSz w:w="11900" w:h="16838" w:orient="portrait"/>
          <w:cols w:equalWidth="0" w:num="1">
            <w:col w:w="11240"/>
          </w:cols>
          <w:pgMar w:left="320" w:top="1370" w:right="339" w:bottom="1440" w:gutter="0" w:footer="0" w:header="0"/>
        </w:sectPr>
      </w:pPr>
    </w:p>
    <w:bookmarkStart w:id="256" w:name="page257"/>
    <w:bookmarkEnd w:id="256"/>
    <w:p>
      <w:pPr>
        <w:spacing w:after="0" w:line="216" w:lineRule="auto"/>
        <w:rPr>
          <w:sz w:val="20"/>
          <w:szCs w:val="20"/>
          <w:color w:val="auto"/>
        </w:rPr>
      </w:pPr>
      <w:r>
        <w:rPr>
          <w:rFonts w:ascii="Times New Roman" w:cs="Times New Roman" w:eastAsia="Times New Roman" w:hAnsi="Times New Roman"/>
          <w:sz w:val="21"/>
          <w:szCs w:val="21"/>
          <w:color w:val="auto"/>
        </w:rPr>
        <w:t>counsel, consultants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w:t>
      </w:r>
    </w:p>
    <w:p>
      <w:pPr>
        <w:spacing w:after="0" w:line="1" w:lineRule="exact"/>
        <w:rPr>
          <w:sz w:val="20"/>
          <w:szCs w:val="20"/>
          <w:color w:val="auto"/>
        </w:rPr>
      </w:pPr>
    </w:p>
    <w:p>
      <w:pPr>
        <w:ind w:firstLine="5"/>
        <w:spacing w:after="0" w:line="208" w:lineRule="auto"/>
        <w:tabs>
          <w:tab w:leader="none" w:pos="285"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required by applicable laws or regulations or by any subpoena or similar legal process, (d) to any other party to this Agreement, (e) in connection with the exercise of any remedies hereunder or any suit, action or proceeding relating to this Agreement or the enforcement of rights hereunder, (f) subject to an agreement containing provisions substantially the same as those of this Section, to (i) any assignee of or Participant in, or any bona fide prospective assignee of or Participant in, any of its rights or obligations under this Agreement, to the extent reasonably requested by such assignee or Participant or prospective assignee or Participant or (ii) any actual or prospective counterparty (or its advisors) to any swap or derivative transaction or insurers, reinsurers or credit risk support providers relating to the Borrower and its obligations, (g) with the consent of the Borrower, (h) [intentionally omitted]; or (i) to the extent such Information (x) becomes publicly available other than as a result of a breach of this Section or</w:t>
      </w:r>
    </w:p>
    <w:p>
      <w:pPr>
        <w:spacing w:after="0" w:line="2" w:lineRule="exact"/>
        <w:rPr>
          <w:rFonts w:ascii="Times New Roman" w:cs="Times New Roman" w:eastAsia="Times New Roman" w:hAnsi="Times New Roman"/>
          <w:sz w:val="21"/>
          <w:szCs w:val="21"/>
          <w:color w:val="auto"/>
        </w:rPr>
      </w:pPr>
    </w:p>
    <w:p>
      <w:pPr>
        <w:ind w:right="60" w:firstLine="5"/>
        <w:spacing w:after="0" w:line="214" w:lineRule="auto"/>
        <w:tabs>
          <w:tab w:leader="none" w:pos="297"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becomes available to the Administrative Agent or any Bank on a non-confidential basis from a source other than the Borrower. For the purposes of this Section,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means all information received from the Borrower relating to the Borrower or its business, other than any such information that was available to the Administrative Agent or any Bank on a non-confidential basis prior to disclosure by the Borrower. In addition, the Administrative Agent and the Banks may disclose the existence of this Agreement and information about this Agreement to market data collectors, similar service providers to the lending industry and service providers to the Administrative Agent and the Banks in connection with the administration of this Agreement, the other Loan Documents, and the Loan Commitments.</w:t>
      </w:r>
    </w:p>
    <w:p>
      <w:pPr>
        <w:spacing w:after="0" w:line="172" w:lineRule="exact"/>
        <w:rPr>
          <w:sz w:val="20"/>
          <w:szCs w:val="20"/>
          <w:color w:val="auto"/>
        </w:rPr>
      </w:pPr>
    </w:p>
    <w:p>
      <w:pPr>
        <w:ind w:right="220" w:firstLine="629"/>
        <w:spacing w:after="0" w:line="258" w:lineRule="auto"/>
        <w:rPr>
          <w:sz w:val="20"/>
          <w:szCs w:val="20"/>
          <w:color w:val="auto"/>
        </w:rPr>
      </w:pPr>
      <w:r>
        <w:rPr>
          <w:rFonts w:ascii="Times New Roman" w:cs="Times New Roman" w:eastAsia="Times New Roman" w:hAnsi="Times New Roman"/>
          <w:sz w:val="21"/>
          <w:szCs w:val="21"/>
          <w:color w:val="auto"/>
        </w:rPr>
        <w:t>For the avoidance of doubt, nothing in this Section 12.23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21"/>
          <w:szCs w:val="21"/>
          <w:u w:val="single" w:color="auto"/>
          <w:color w:val="auto"/>
        </w:rPr>
        <w:t>Regulatory Authority</w:t>
      </w:r>
      <w:r>
        <w:rPr>
          <w:rFonts w:ascii="Times New Roman" w:cs="Times New Roman" w:eastAsia="Times New Roman" w:hAnsi="Times New Roman"/>
          <w:sz w:val="21"/>
          <w:szCs w:val="21"/>
          <w:color w:val="auto"/>
        </w:rPr>
        <w:t>”) to the extent that any such prohibition on disclosure set forth in this Section 12.23 shall be prohibited by the laws or regulations applicable to such Regulatory Authority.</w:t>
      </w:r>
    </w:p>
    <w:p>
      <w:pPr>
        <w:spacing w:after="0" w:line="154" w:lineRule="exact"/>
        <w:rPr>
          <w:sz w:val="20"/>
          <w:szCs w:val="20"/>
          <w:color w:val="auto"/>
        </w:rPr>
      </w:pPr>
    </w:p>
    <w:p>
      <w:pPr>
        <w:ind w:right="60" w:firstLine="1257"/>
        <w:spacing w:after="0" w:line="214" w:lineRule="auto"/>
        <w:rPr>
          <w:sz w:val="20"/>
          <w:szCs w:val="20"/>
          <w:color w:val="auto"/>
        </w:rPr>
      </w:pPr>
      <w:r>
        <w:rPr>
          <w:rFonts w:ascii="Times New Roman" w:cs="Times New Roman" w:eastAsia="Times New Roman" w:hAnsi="Times New Roman"/>
          <w:sz w:val="21"/>
          <w:szCs w:val="21"/>
          <w:color w:val="auto"/>
        </w:rPr>
        <w:t xml:space="preserve">SECTION 12.24 </w:t>
      </w:r>
      <w:r>
        <w:rPr>
          <w:rFonts w:ascii="Times New Roman" w:cs="Times New Roman" w:eastAsia="Times New Roman" w:hAnsi="Times New Roman"/>
          <w:sz w:val="21"/>
          <w:szCs w:val="21"/>
          <w:u w:val="single" w:color="auto"/>
          <w:color w:val="auto"/>
        </w:rPr>
        <w:t>No Advisory or Fiduciary Responsibility</w:t>
      </w:r>
      <w:r>
        <w:rPr>
          <w:rFonts w:ascii="Times New Roman" w:cs="Times New Roman" w:eastAsia="Times New Roman" w:hAnsi="Times New Roman"/>
          <w:sz w:val="21"/>
          <w:szCs w:val="21"/>
          <w:color w:val="auto"/>
        </w:rPr>
        <w:t>. (a) 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the Lead Arrangers, the Sustainability Structuring Agents, and the Banks are arm’s-length commercial transactions between the Borrower and its Affiliates, on the one hand, and the Administrative Agent, the Lead Arrangers, the Sustainability Structuring Agents, and the Banks, on the other hand, (B) the Borrower has consulted its own legal, accounting, regulatory and tax advisors to the extent it has deemed appropriate and none of the Administrative Agent, the Lead Arrangers, the Sustainability Structuring Agents or the Banks is advising the Borrower as to any legal, tax, accounting or regulatory matters, and (C) the Borrower is capable of evaluating, and understands and accepts, the terms, risks and conditions of the transactions contemplated hereby and by the other Loan Documents; (ii) (A) the Administrative Agent, each Lead Arranger, each</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100</w:t>
      </w:r>
    </w:p>
    <w:p>
      <w:pPr>
        <w:sectPr>
          <w:pgSz w:w="11900" w:h="16838" w:orient="portrait"/>
          <w:cols w:equalWidth="0" w:num="1">
            <w:col w:w="11220"/>
          </w:cols>
          <w:pgMar w:left="320" w:top="1108" w:right="359" w:bottom="1440" w:gutter="0" w:footer="0" w:header="0"/>
        </w:sectPr>
      </w:pPr>
    </w:p>
    <w:bookmarkStart w:id="257" w:name="page258"/>
    <w:bookmarkEnd w:id="257"/>
    <w:p>
      <w:pPr>
        <w:spacing w:after="0" w:line="210" w:lineRule="auto"/>
        <w:rPr>
          <w:sz w:val="20"/>
          <w:szCs w:val="20"/>
          <w:color w:val="auto"/>
        </w:rPr>
      </w:pPr>
      <w:r>
        <w:rPr>
          <w:rFonts w:ascii="Times New Roman" w:cs="Times New Roman" w:eastAsia="Times New Roman" w:hAnsi="Times New Roman"/>
          <w:sz w:val="21"/>
          <w:szCs w:val="21"/>
          <w:color w:val="auto"/>
        </w:rPr>
        <w:t>Sustainability Structuring Agent and each Bank is and has been acting solely as a principal and, except as expressly agreed in writing by the relevant parties, has not been, is not, and will not be acting as an advisor, agent or fiduciary for the Borrower or any of its Affiliates, or any other Person and (B) none of the Administrative Agent, any Lead Arranger, any Sustainability Structuring Agent or any Bank has any obligation to the Borrower or any of its Affiliates with respect to the transactions contemplated hereby except those obligations expressly set forth herein and in the other Loan Documents; and (iii) the Administrative Agent, the Lead Arrangers, the Sustainability Structuring Agents and the Banks and their respective Affiliates may be engaged in a broad range of transactions that involve interests that differ from those of the Borrower and its Affiliates, and none of the Administrative Agent, any Lead Arranger, any Sustainability Structuring Agent, or any Bank has any obligation to disclose any of such interests to the Borrower or its Affiliates. The Borrower agrees that it will not assert any claim against the Administrative Agent, any Lead Arranger, any Sustainability Structuring Agent or any Bank based on an alleged breach of fiduciary duty by such Person in connection with this Agreement and the transactions contemplated hereby.</w:t>
      </w:r>
    </w:p>
    <w:p>
      <w:pPr>
        <w:spacing w:after="0" w:line="5" w:lineRule="exact"/>
        <w:rPr>
          <w:sz w:val="20"/>
          <w:szCs w:val="20"/>
          <w:color w:val="auto"/>
        </w:rPr>
      </w:pPr>
    </w:p>
    <w:p>
      <w:pPr>
        <w:ind w:right="140" w:firstLine="1262"/>
        <w:spacing w:after="0" w:line="212" w:lineRule="auto"/>
        <w:tabs>
          <w:tab w:leader="none" w:pos="1882"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further acknowledges and agrees, and acknowledges its Subsidiaries’ understanding, that each Credit Party, together with its Affiliates, in addition to providing or participating in commercial lending facilities such as that provided hereunder, may be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51" w:lineRule="exact"/>
        <w:rPr>
          <w:rFonts w:ascii="Times New Roman" w:cs="Times New Roman" w:eastAsia="Times New Roman" w:hAnsi="Times New Roman"/>
          <w:sz w:val="21"/>
          <w:szCs w:val="21"/>
          <w:color w:val="auto"/>
        </w:rPr>
      </w:pPr>
    </w:p>
    <w:p>
      <w:pPr>
        <w:ind w:right="40" w:firstLine="1262"/>
        <w:spacing w:after="0" w:line="216" w:lineRule="auto"/>
        <w:tabs>
          <w:tab w:leader="none" w:pos="1883"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174" w:lineRule="exact"/>
        <w:rPr>
          <w:sz w:val="20"/>
          <w:szCs w:val="20"/>
          <w:color w:val="auto"/>
        </w:rPr>
      </w:pPr>
    </w:p>
    <w:p>
      <w:pPr>
        <w:ind w:right="320" w:firstLine="1257"/>
        <w:spacing w:after="0" w:line="258" w:lineRule="auto"/>
        <w:rPr>
          <w:sz w:val="20"/>
          <w:szCs w:val="20"/>
          <w:color w:val="auto"/>
        </w:rPr>
      </w:pPr>
      <w:r>
        <w:rPr>
          <w:rFonts w:ascii="Times New Roman" w:cs="Times New Roman" w:eastAsia="Times New Roman" w:hAnsi="Times New Roman"/>
          <w:sz w:val="21"/>
          <w:szCs w:val="21"/>
          <w:color w:val="auto"/>
        </w:rPr>
        <w:t xml:space="preserve">SECTION 12.25 </w:t>
      </w:r>
      <w:r>
        <w:rPr>
          <w:rFonts w:ascii="Times New Roman" w:cs="Times New Roman" w:eastAsia="Times New Roman" w:hAnsi="Times New Roman"/>
          <w:sz w:val="21"/>
          <w:szCs w:val="21"/>
          <w:u w:val="single" w:color="auto"/>
          <w:color w:val="auto"/>
        </w:rPr>
        <w:t>Acknowledgement and Consent to Bail-In of Affected Financial Institutions.</w:t>
      </w:r>
      <w:r>
        <w:rPr>
          <w:rFonts w:ascii="Times New Roman" w:cs="Times New Roman" w:eastAsia="Times New Roman" w:hAnsi="Times New Roman"/>
          <w:sz w:val="21"/>
          <w:szCs w:val="21"/>
          <w:color w:val="auto"/>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101</w:t>
      </w:r>
    </w:p>
    <w:p>
      <w:pPr>
        <w:sectPr>
          <w:pgSz w:w="11900" w:h="16838" w:orient="portrait"/>
          <w:cols w:equalWidth="0" w:num="1">
            <w:col w:w="11220"/>
          </w:cols>
          <w:pgMar w:left="320" w:top="1108" w:right="359" w:bottom="1440" w:gutter="0" w:footer="0" w:header="0"/>
        </w:sectPr>
      </w:pPr>
    </w:p>
    <w:bookmarkStart w:id="258" w:name="page259"/>
    <w:bookmarkEnd w:id="258"/>
    <w:p>
      <w:pPr>
        <w:ind w:left="-20" w:right="60" w:firstLine="1262"/>
        <w:spacing w:after="0" w:line="241" w:lineRule="auto"/>
        <w:tabs>
          <w:tab w:leader="none" w:pos="1863"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3" w:lineRule="exact"/>
        <w:rPr>
          <w:rFonts w:ascii="Times New Roman" w:cs="Times New Roman" w:eastAsia="Times New Roman" w:hAnsi="Times New Roman"/>
          <w:sz w:val="21"/>
          <w:szCs w:val="21"/>
          <w:color w:val="auto"/>
        </w:rPr>
      </w:pPr>
    </w:p>
    <w:p>
      <w:pPr>
        <w:ind w:left="1860" w:hanging="618"/>
        <w:spacing w:after="0"/>
        <w:tabs>
          <w:tab w:leader="none" w:pos="1860"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effects of any Bail-In Action on any such liability, including, if applicable:</w:t>
      </w:r>
    </w:p>
    <w:p>
      <w:pPr>
        <w:spacing w:after="0" w:line="177" w:lineRule="exact"/>
        <w:rPr>
          <w:rFonts w:ascii="Times New Roman" w:cs="Times New Roman" w:eastAsia="Times New Roman" w:hAnsi="Times New Roman"/>
          <w:sz w:val="21"/>
          <w:szCs w:val="21"/>
          <w:color w:val="auto"/>
        </w:rPr>
      </w:pPr>
    </w:p>
    <w:p>
      <w:pPr>
        <w:ind w:left="2480" w:hanging="609"/>
        <w:spacing w:after="0"/>
        <w:tabs>
          <w:tab w:leader="none" w:pos="2480"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full or in part or cancellation of any such liability;</w:t>
      </w:r>
    </w:p>
    <w:p>
      <w:pPr>
        <w:spacing w:after="0" w:line="177" w:lineRule="exact"/>
        <w:rPr>
          <w:rFonts w:ascii="Times New Roman" w:cs="Times New Roman" w:eastAsia="Times New Roman" w:hAnsi="Times New Roman"/>
          <w:sz w:val="21"/>
          <w:szCs w:val="21"/>
          <w:color w:val="auto"/>
        </w:rPr>
      </w:pPr>
    </w:p>
    <w:p>
      <w:pPr>
        <w:ind w:left="620" w:right="40" w:firstLine="1251"/>
        <w:spacing w:after="0" w:line="224" w:lineRule="auto"/>
        <w:tabs>
          <w:tab w:leader="none" w:pos="2500"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6" w:lineRule="exact"/>
        <w:rPr>
          <w:rFonts w:ascii="Times New Roman" w:cs="Times New Roman" w:eastAsia="Times New Roman" w:hAnsi="Times New Roman"/>
          <w:sz w:val="21"/>
          <w:szCs w:val="21"/>
          <w:color w:val="auto"/>
        </w:rPr>
      </w:pPr>
    </w:p>
    <w:p>
      <w:pPr>
        <w:ind w:left="620" w:right="600" w:firstLine="1251"/>
        <w:spacing w:after="0" w:line="241" w:lineRule="auto"/>
        <w:tabs>
          <w:tab w:leader="none" w:pos="2506"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 xml:space="preserve">SECTION 12.26 </w:t>
      </w:r>
      <w:r>
        <w:rPr>
          <w:rFonts w:ascii="Times New Roman" w:cs="Times New Roman" w:eastAsia="Times New Roman" w:hAnsi="Times New Roman"/>
          <w:sz w:val="21"/>
          <w:szCs w:val="21"/>
          <w:u w:val="single" w:color="auto"/>
          <w:color w:val="auto"/>
        </w:rPr>
        <w:t>Transitional Arrangements.</w:t>
      </w:r>
    </w:p>
    <w:p>
      <w:pPr>
        <w:spacing w:after="0" w:line="86" w:lineRule="exact"/>
        <w:rPr>
          <w:sz w:val="20"/>
          <w:szCs w:val="20"/>
          <w:color w:val="auto"/>
        </w:rPr>
      </w:pPr>
    </w:p>
    <w:p>
      <w:pPr>
        <w:ind w:left="-20" w:firstLine="1262"/>
        <w:spacing w:after="0" w:line="211" w:lineRule="auto"/>
        <w:tabs>
          <w:tab w:leader="none" w:pos="1863"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Existing Term Loan Agreement Superseded</w:t>
      </w:r>
      <w:r>
        <w:rPr>
          <w:rFonts w:ascii="Times New Roman" w:cs="Times New Roman" w:eastAsia="Times New Roman" w:hAnsi="Times New Roman"/>
          <w:sz w:val="21"/>
          <w:szCs w:val="21"/>
          <w:color w:val="auto"/>
        </w:rPr>
        <w:t>. This Agreement shall supersede the Existing Term Loan Agreement in its entirety, except as provided in this Section 12.26. On the Effective Date, (i) the loans outstanding under the Existing Term Loan Agreement shall become Loans hereunder, (ii) the rights and obligations of the parties under the Existing Term Loan Agreement and the “Notes” defined therein shall be subsumed within and be governed by this Agreement and the Notes; provided, however, that for purposes of this clause (ii) any of the “Obligations” (as defined in the Existing Term Loan Agreement) outstanding under the Existing Term Loan Agreement shall, for purposes of this Agreement, be Obligations hereunder, (iii) this Agreement shall not in any way release or impair the rights, duties or obligations created pursuant to the Existing Term Loan Agreement or any other Loan Document or affect the relative priorities thereof, in each case to the extent in force and effect thereunder as of the Effective Date, except as modified hereby or by documents, instruments and agreements executed and delivered in connection herewith, and all of such rights, duties and obligations are assumed, ratified and affirmed by the Borrower; (iv) the obligations incurred under the Existing Term Loan Agreement shall, to the extent outstanding on the Effective Date, continue outstanding under this Agreement and shall not be deemed to be paid, released, discharged or otherwise satisfied by the execution of this Agreement, and this Agreement shall not constitute a refinancing, substitution or novation of such obligations or any of the other rights, duties and obligations of the parties hereunder; and (v) the execution, delivery and effectiveness of this Agreement shall not operate as a waiver of any right, power or remedy of the Banks or the Administrative Agent under the Existing Term Loan Agreement, or constitute a waiver of any covenant, agreement or obligation under the Existing Term Loan Agreement, except to the extent that any such covenant, agreement or obligation is no longer set forth herein or is modified hereby. The Banks’ interests in such obligations under the Existing Term Loan Agreement shall be reallocated and continued in a cashless roll transaction on the Effective Date in accordance with each Bank's Pro Rata Share. On the Effective Date, (A) the loans and other outstanding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102</w:t>
      </w:r>
    </w:p>
    <w:p>
      <w:pPr>
        <w:sectPr>
          <w:pgSz w:w="11900" w:h="16838" w:orient="portrait"/>
          <w:cols w:equalWidth="0" w:num="1">
            <w:col w:w="11220"/>
          </w:cols>
          <w:pgMar w:left="340" w:top="1343" w:right="339" w:bottom="1440" w:gutter="0" w:footer="0" w:header="0"/>
        </w:sectPr>
      </w:pPr>
    </w:p>
    <w:bookmarkStart w:id="259" w:name="page260"/>
    <w:bookmarkEnd w:id="259"/>
    <w:p>
      <w:pPr>
        <w:ind w:right="20"/>
        <w:spacing w:after="0" w:line="215" w:lineRule="auto"/>
        <w:rPr>
          <w:sz w:val="20"/>
          <w:szCs w:val="20"/>
          <w:color w:val="auto"/>
        </w:rPr>
      </w:pPr>
      <w:r>
        <w:rPr>
          <w:rFonts w:ascii="Times New Roman" w:cs="Times New Roman" w:eastAsia="Times New Roman" w:hAnsi="Times New Roman"/>
          <w:sz w:val="21"/>
          <w:szCs w:val="21"/>
          <w:color w:val="auto"/>
        </w:rPr>
        <w:t>obligations under the Existing Term Loan Agreement owing to each Bank that is a party to the Existing Term Loan Agreement but is not a party to this Agreement (an “Exiting Bank”) shall be paid in full, and each Exiting Bank shall cease to be a Bank under this Agreement; provided, however, that, notwithstanding anything else provided herein or otherwise, any rights of an Exiting Bank under the Loan Documents (as defined in the Existing Term Loan Agreement) that are intended by their express terms to survive termination of the Loan Commitments thereunder and/or the repayment, satisfaction or discharge of obligations under any such Loan Document shall survive for such Exiting Bank hereunder, and (B) each Person listed on Schedule 1 attached to this Agreement shall be a Bank under this Agreement with the Loan Commitment set forth opposite its name on such Schedule 1. Each Bank agrees to waive any amounts that would have otherwise been payable pursuant to Section 3.05 of the Existing Term Loan Agreement as a result of the conversion of any Term Benchmark Loans (as defined in the Existing Term Loan Agreement) on the Effective Date.</w:t>
      </w:r>
    </w:p>
    <w:p>
      <w:pPr>
        <w:spacing w:after="0" w:line="44" w:lineRule="exact"/>
        <w:rPr>
          <w:sz w:val="20"/>
          <w:szCs w:val="20"/>
          <w:color w:val="auto"/>
        </w:rPr>
      </w:pPr>
    </w:p>
    <w:p>
      <w:pPr>
        <w:ind w:right="40" w:firstLine="1262"/>
        <w:spacing w:after="0" w:line="224" w:lineRule="auto"/>
        <w:tabs>
          <w:tab w:leader="none" w:pos="1882"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Interest and Fees under Existing Term Loan Agreement</w:t>
      </w:r>
      <w:r>
        <w:rPr>
          <w:rFonts w:ascii="Times New Roman" w:cs="Times New Roman" w:eastAsia="Times New Roman" w:hAnsi="Times New Roman"/>
          <w:sz w:val="21"/>
          <w:szCs w:val="21"/>
          <w:color w:val="auto"/>
        </w:rPr>
        <w:t>. All interest and all fees and expenses owing or accruing under or in respect of the Existing Term Loan Agreement shall be calculated as of the Effective Date (prorated in the case of any fractional periods), and shall be paid on the Effective Date in accordance with the method specified in the Existing Term Loan Agreement as if such agreement were still in effect.</w:t>
      </w:r>
    </w:p>
    <w:p>
      <w:pPr>
        <w:spacing w:after="0" w:line="173" w:lineRule="exact"/>
        <w:rPr>
          <w:sz w:val="20"/>
          <w:szCs w:val="20"/>
          <w:color w:val="auto"/>
        </w:rPr>
      </w:pPr>
    </w:p>
    <w:p>
      <w:pPr>
        <w:ind w:right="20" w:firstLine="1257"/>
        <w:spacing w:after="0" w:line="253" w:lineRule="auto"/>
        <w:rPr>
          <w:sz w:val="20"/>
          <w:szCs w:val="20"/>
          <w:color w:val="auto"/>
        </w:rPr>
      </w:pPr>
      <w:r>
        <w:rPr>
          <w:rFonts w:ascii="Times New Roman" w:cs="Times New Roman" w:eastAsia="Times New Roman" w:hAnsi="Times New Roman"/>
          <w:sz w:val="21"/>
          <w:szCs w:val="21"/>
          <w:color w:val="auto"/>
        </w:rPr>
        <w:t xml:space="preserve">SECTION 12.27 </w:t>
      </w:r>
      <w:r>
        <w:rPr>
          <w:rFonts w:ascii="Times New Roman" w:cs="Times New Roman" w:eastAsia="Times New Roman" w:hAnsi="Times New Roman"/>
          <w:sz w:val="21"/>
          <w:szCs w:val="21"/>
          <w:u w:val="single" w:color="auto"/>
          <w:color w:val="auto"/>
        </w:rPr>
        <w:t>Acknowledgement Regarding Any Supported QFCs.</w:t>
      </w:r>
      <w:r>
        <w:rPr>
          <w:rFonts w:ascii="Times New Roman" w:cs="Times New Roman" w:eastAsia="Times New Roman" w:hAnsi="Times New Roman"/>
          <w:sz w:val="21"/>
          <w:szCs w:val="21"/>
          <w:color w:val="auto"/>
        </w:rPr>
        <w:t xml:space="preserve"> To the extent that the Loan Documents provide support, through a guarantee or otherwise, for interest rate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72" w:lineRule="exact"/>
        <w:rPr>
          <w:sz w:val="20"/>
          <w:szCs w:val="20"/>
          <w:color w:val="auto"/>
        </w:rPr>
      </w:pPr>
    </w:p>
    <w:p>
      <w:pPr>
        <w:ind w:firstLine="629"/>
        <w:spacing w:after="0" w:line="253" w:lineRule="auto"/>
        <w:rPr>
          <w:sz w:val="20"/>
          <w:szCs w:val="20"/>
          <w:color w:val="auto"/>
        </w:rPr>
      </w:pPr>
      <w:r>
        <w:rPr>
          <w:rFonts w:ascii="Times New Roman" w:cs="Times New Roman" w:eastAsia="Times New Roman" w:hAnsi="Times New Roman"/>
          <w:sz w:val="21"/>
          <w:szCs w:val="21"/>
          <w:color w:val="auto"/>
        </w:rPr>
        <w:t>In the event a Covered Entity that is party to a Supported QFC (each, a “</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103</w:t>
      </w:r>
    </w:p>
    <w:p>
      <w:pPr>
        <w:sectPr>
          <w:pgSz w:w="11900" w:h="16838" w:orient="portrait"/>
          <w:cols w:equalWidth="0" w:num="1">
            <w:col w:w="11240"/>
          </w:cols>
          <w:pgMar w:left="320" w:top="1108" w:right="339" w:bottom="1440" w:gutter="0" w:footer="0" w:header="0"/>
        </w:sectPr>
      </w:pPr>
    </w:p>
    <w:bookmarkStart w:id="260" w:name="page261"/>
    <w:bookmarkEnd w:id="260"/>
    <w:p>
      <w:pPr>
        <w:spacing w:after="0" w:line="280" w:lineRule="auto"/>
        <w:rPr>
          <w:sz w:val="20"/>
          <w:szCs w:val="20"/>
          <w:color w:val="auto"/>
        </w:rPr>
      </w:pPr>
      <w:r>
        <w:rPr>
          <w:rFonts w:ascii="Times New Roman" w:cs="Times New Roman" w:eastAsia="Times New Roman" w:hAnsi="Times New Roman"/>
          <w:sz w:val="21"/>
          <w:szCs w:val="21"/>
          <w:color w:val="auto"/>
        </w:rPr>
        <w:t>remedies of the parties with respect to a Defaulting Lender shall in no event affect the rights of any Covered Party with respect to a Supported QFC or any QFC Credit Support.</w:t>
      </w:r>
    </w:p>
    <w:p>
      <w:pPr>
        <w:spacing w:after="0" w:line="3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color w:val="auto"/>
        </w:rPr>
        <w:t>104</w:t>
      </w:r>
    </w:p>
    <w:p>
      <w:pPr>
        <w:sectPr>
          <w:pgSz w:w="11900" w:h="16838" w:orient="portrait"/>
          <w:cols w:equalWidth="0" w:num="1">
            <w:col w:w="11000"/>
          </w:cols>
          <w:pgMar w:left="320" w:top="1134" w:right="579" w:bottom="1440" w:gutter="0" w:footer="0" w:header="0"/>
        </w:sectPr>
      </w:pPr>
    </w:p>
    <w:bookmarkStart w:id="261" w:name="page262"/>
    <w:bookmarkEnd w:id="261"/>
    <w:p>
      <w:pPr>
        <w:ind w:left="2660"/>
        <w:spacing w:after="0"/>
        <w:rPr>
          <w:sz w:val="20"/>
          <w:szCs w:val="20"/>
          <w:color w:val="auto"/>
        </w:rPr>
      </w:pPr>
      <w:r>
        <w:rPr>
          <w:rFonts w:ascii="Times New Roman" w:cs="Times New Roman" w:eastAsia="Times New Roman" w:hAnsi="Times New Roman"/>
          <w:sz w:val="21"/>
          <w:szCs w:val="21"/>
          <w:color w:val="auto"/>
        </w:rPr>
        <w:t>VORNADO REALTY L.P.,</w:t>
      </w:r>
    </w:p>
    <w:p>
      <w:pPr>
        <w:spacing w:after="0" w:line="3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a Delaware limited partnership</w:t>
      </w:r>
    </w:p>
    <w:p>
      <w:pPr>
        <w:spacing w:after="0" w:line="219"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Vornado Realty Trust,</w:t>
      </w:r>
    </w:p>
    <w:p>
      <w:pPr>
        <w:spacing w:after="0" w:line="3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a Maryland real estate investment trust,</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80"/>
        <w:spacing w:after="0"/>
        <w:tabs>
          <w:tab w:leader="none" w:pos="37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Steve Borenstein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-10795</wp:posOffset>
            </wp:positionV>
            <wp:extent cx="14636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78">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1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Name: Steve Borenstein</w:t>
      </w:r>
    </w:p>
    <w:p>
      <w:pPr>
        <w:spacing w:after="0" w:line="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Title: Secretary</w:t>
      </w:r>
    </w:p>
    <w:p>
      <w:pPr>
        <w:spacing w:after="0" w:line="21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Address for Notices:</w:t>
      </w:r>
    </w:p>
    <w:p>
      <w:pPr>
        <w:spacing w:after="0" w:line="16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210 Route 4 East</w:t>
      </w:r>
    </w:p>
    <w:p>
      <w:pPr>
        <w:ind w:left="3280"/>
        <w:spacing w:after="0" w:line="226" w:lineRule="auto"/>
        <w:rPr>
          <w:sz w:val="20"/>
          <w:szCs w:val="20"/>
          <w:color w:val="auto"/>
        </w:rPr>
      </w:pPr>
      <w:r>
        <w:rPr>
          <w:rFonts w:ascii="Times New Roman" w:cs="Times New Roman" w:eastAsia="Times New Roman" w:hAnsi="Times New Roman"/>
          <w:sz w:val="21"/>
          <w:szCs w:val="21"/>
          <w:color w:val="auto"/>
        </w:rPr>
        <w:t>Paramus, New Jersey 07652-0910</w:t>
      </w:r>
    </w:p>
    <w:p>
      <w:pPr>
        <w:ind w:left="3280"/>
        <w:spacing w:after="0" w:line="208" w:lineRule="auto"/>
        <w:rPr>
          <w:sz w:val="20"/>
          <w:szCs w:val="20"/>
          <w:color w:val="auto"/>
        </w:rPr>
      </w:pPr>
      <w:r>
        <w:rPr>
          <w:rFonts w:ascii="Times New Roman" w:cs="Times New Roman" w:eastAsia="Times New Roman" w:hAnsi="Times New Roman"/>
          <w:sz w:val="21"/>
          <w:szCs w:val="21"/>
          <w:color w:val="auto"/>
        </w:rPr>
        <w:t>Attention: Chief Financial Officer</w:t>
      </w:r>
    </w:p>
    <w:p>
      <w:pPr>
        <w:ind w:left="3280"/>
        <w:spacing w:after="0" w:line="209" w:lineRule="auto"/>
        <w:rPr>
          <w:sz w:val="20"/>
          <w:szCs w:val="20"/>
          <w:color w:val="auto"/>
        </w:rPr>
      </w:pPr>
      <w:r>
        <w:rPr>
          <w:rFonts w:ascii="Times New Roman" w:cs="Times New Roman" w:eastAsia="Times New Roman" w:hAnsi="Times New Roman"/>
          <w:sz w:val="21"/>
          <w:szCs w:val="21"/>
          <w:color w:val="auto"/>
        </w:rPr>
        <w:t>Telephone: (201) 587-1000</w:t>
      </w:r>
    </w:p>
    <w:p>
      <w:pPr>
        <w:ind w:left="3280"/>
        <w:spacing w:after="0"/>
        <w:rPr>
          <w:sz w:val="20"/>
          <w:szCs w:val="20"/>
          <w:color w:val="auto"/>
        </w:rPr>
      </w:pPr>
      <w:r>
        <w:rPr>
          <w:rFonts w:ascii="Times New Roman" w:cs="Times New Roman" w:eastAsia="Times New Roman" w:hAnsi="Times New Roman"/>
          <w:sz w:val="21"/>
          <w:szCs w:val="21"/>
          <w:color w:val="auto"/>
        </w:rPr>
        <w:t>Telecopy: (201) 587-0600</w:t>
      </w:r>
    </w:p>
    <w:p>
      <w:pPr>
        <w:spacing w:after="0" w:line="10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with copies to:</w:t>
      </w:r>
    </w:p>
    <w:p>
      <w:pPr>
        <w:spacing w:after="0" w:line="11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Vornado Realty Trust</w:t>
      </w:r>
    </w:p>
    <w:p>
      <w:pPr>
        <w:ind w:left="3280"/>
        <w:spacing w:after="0" w:line="208" w:lineRule="auto"/>
        <w:rPr>
          <w:sz w:val="20"/>
          <w:szCs w:val="20"/>
          <w:color w:val="auto"/>
        </w:rPr>
      </w:pPr>
      <w:r>
        <w:rPr>
          <w:rFonts w:ascii="Times New Roman" w:cs="Times New Roman" w:eastAsia="Times New Roman" w:hAnsi="Times New Roman"/>
          <w:sz w:val="21"/>
          <w:szCs w:val="21"/>
          <w:color w:val="auto"/>
        </w:rPr>
        <w:t>888 Seventh Avenue</w:t>
      </w:r>
    </w:p>
    <w:p>
      <w:pPr>
        <w:ind w:left="3280"/>
        <w:spacing w:after="0" w:line="208" w:lineRule="auto"/>
        <w:rPr>
          <w:sz w:val="20"/>
          <w:szCs w:val="20"/>
          <w:color w:val="auto"/>
        </w:rPr>
      </w:pPr>
      <w:r>
        <w:rPr>
          <w:rFonts w:ascii="Times New Roman" w:cs="Times New Roman" w:eastAsia="Times New Roman" w:hAnsi="Times New Roman"/>
          <w:sz w:val="21"/>
          <w:szCs w:val="21"/>
          <w:color w:val="auto"/>
        </w:rPr>
        <w:t>New York, New York 10106</w:t>
      </w:r>
    </w:p>
    <w:p>
      <w:pPr>
        <w:ind w:left="3280"/>
        <w:spacing w:after="0" w:line="219" w:lineRule="auto"/>
        <w:rPr>
          <w:sz w:val="20"/>
          <w:szCs w:val="20"/>
          <w:color w:val="auto"/>
        </w:rPr>
      </w:pPr>
      <w:r>
        <w:rPr>
          <w:rFonts w:ascii="Times New Roman" w:cs="Times New Roman" w:eastAsia="Times New Roman" w:hAnsi="Times New Roman"/>
          <w:sz w:val="20"/>
          <w:szCs w:val="20"/>
          <w:color w:val="auto"/>
        </w:rPr>
        <w:t>Attention: Executive Vice President -</w:t>
      </w:r>
    </w:p>
    <w:p>
      <w:pPr>
        <w:ind w:left="3280"/>
        <w:spacing w:after="0" w:line="208" w:lineRule="auto"/>
        <w:rPr>
          <w:sz w:val="20"/>
          <w:szCs w:val="20"/>
          <w:color w:val="auto"/>
        </w:rPr>
      </w:pPr>
      <w:r>
        <w:rPr>
          <w:rFonts w:ascii="Times New Roman" w:cs="Times New Roman" w:eastAsia="Times New Roman" w:hAnsi="Times New Roman"/>
          <w:sz w:val="21"/>
          <w:szCs w:val="21"/>
          <w:color w:val="auto"/>
        </w:rPr>
        <w:t>Capital Markets</w:t>
      </w:r>
    </w:p>
    <w:p>
      <w:pPr>
        <w:ind w:left="3280"/>
        <w:spacing w:after="0" w:line="208" w:lineRule="auto"/>
        <w:rPr>
          <w:sz w:val="20"/>
          <w:szCs w:val="20"/>
          <w:color w:val="auto"/>
        </w:rPr>
      </w:pPr>
      <w:r>
        <w:rPr>
          <w:rFonts w:ascii="Times New Roman" w:cs="Times New Roman" w:eastAsia="Times New Roman" w:hAnsi="Times New Roman"/>
          <w:sz w:val="21"/>
          <w:szCs w:val="21"/>
          <w:color w:val="auto"/>
        </w:rPr>
        <w:t>Telephone: (212) 894-7000</w:t>
      </w:r>
    </w:p>
    <w:p>
      <w:pPr>
        <w:spacing w:after="0" w:line="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Telecopy: (212) 894-7073</w:t>
      </w:r>
    </w:p>
    <w:p>
      <w:pPr>
        <w:spacing w:after="0" w:line="10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and</w:t>
      </w:r>
    </w:p>
    <w:p>
      <w:pPr>
        <w:spacing w:after="0" w:line="11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Vornado Realty Trust</w:t>
      </w:r>
    </w:p>
    <w:p>
      <w:pPr>
        <w:ind w:left="3280"/>
        <w:spacing w:after="0" w:line="208" w:lineRule="auto"/>
        <w:rPr>
          <w:sz w:val="20"/>
          <w:szCs w:val="20"/>
          <w:color w:val="auto"/>
        </w:rPr>
      </w:pPr>
      <w:r>
        <w:rPr>
          <w:rFonts w:ascii="Times New Roman" w:cs="Times New Roman" w:eastAsia="Times New Roman" w:hAnsi="Times New Roman"/>
          <w:sz w:val="21"/>
          <w:szCs w:val="21"/>
          <w:color w:val="auto"/>
        </w:rPr>
        <w:t>888 Seventh Avenue</w:t>
      </w:r>
    </w:p>
    <w:p>
      <w:pPr>
        <w:ind w:left="3280"/>
        <w:spacing w:after="0" w:line="208" w:lineRule="auto"/>
        <w:rPr>
          <w:sz w:val="20"/>
          <w:szCs w:val="20"/>
          <w:color w:val="auto"/>
        </w:rPr>
      </w:pPr>
      <w:r>
        <w:rPr>
          <w:rFonts w:ascii="Times New Roman" w:cs="Times New Roman" w:eastAsia="Times New Roman" w:hAnsi="Times New Roman"/>
          <w:sz w:val="21"/>
          <w:szCs w:val="21"/>
          <w:color w:val="auto"/>
        </w:rPr>
        <w:t>New York, New York 10106</w:t>
      </w:r>
    </w:p>
    <w:p>
      <w:pPr>
        <w:ind w:left="3280"/>
        <w:spacing w:after="0" w:line="208" w:lineRule="auto"/>
        <w:rPr>
          <w:sz w:val="20"/>
          <w:szCs w:val="20"/>
          <w:color w:val="auto"/>
        </w:rPr>
      </w:pPr>
      <w:r>
        <w:rPr>
          <w:rFonts w:ascii="Times New Roman" w:cs="Times New Roman" w:eastAsia="Times New Roman" w:hAnsi="Times New Roman"/>
          <w:sz w:val="21"/>
          <w:szCs w:val="21"/>
          <w:color w:val="auto"/>
        </w:rPr>
        <w:t>Attention: Senior Vice President -</w:t>
      </w:r>
    </w:p>
    <w:p>
      <w:pPr>
        <w:ind w:left="3280"/>
        <w:spacing w:after="0" w:line="209" w:lineRule="auto"/>
        <w:rPr>
          <w:sz w:val="20"/>
          <w:szCs w:val="20"/>
          <w:color w:val="auto"/>
        </w:rPr>
      </w:pPr>
      <w:r>
        <w:rPr>
          <w:rFonts w:ascii="Times New Roman" w:cs="Times New Roman" w:eastAsia="Times New Roman" w:hAnsi="Times New Roman"/>
          <w:sz w:val="21"/>
          <w:szCs w:val="21"/>
          <w:color w:val="auto"/>
        </w:rPr>
        <w:t>Corporation Counsel</w:t>
      </w:r>
    </w:p>
    <w:p>
      <w:pPr>
        <w:ind w:left="3280"/>
        <w:spacing w:after="0" w:line="208" w:lineRule="auto"/>
        <w:rPr>
          <w:sz w:val="20"/>
          <w:szCs w:val="20"/>
          <w:color w:val="auto"/>
        </w:rPr>
      </w:pPr>
      <w:r>
        <w:rPr>
          <w:rFonts w:ascii="Times New Roman" w:cs="Times New Roman" w:eastAsia="Times New Roman" w:hAnsi="Times New Roman"/>
          <w:sz w:val="21"/>
          <w:szCs w:val="21"/>
          <w:color w:val="auto"/>
        </w:rPr>
        <w:t>Telephone: (212) 894-7000</w:t>
      </w:r>
    </w:p>
    <w:p>
      <w:pPr>
        <w:ind w:left="3280"/>
        <w:spacing w:after="0"/>
        <w:rPr>
          <w:sz w:val="20"/>
          <w:szCs w:val="20"/>
          <w:color w:val="auto"/>
        </w:rPr>
      </w:pPr>
      <w:r>
        <w:rPr>
          <w:rFonts w:ascii="Times New Roman" w:cs="Times New Roman" w:eastAsia="Times New Roman" w:hAnsi="Times New Roman"/>
          <w:sz w:val="21"/>
          <w:szCs w:val="21"/>
          <w:color w:val="auto"/>
        </w:rPr>
        <w:t>Telecopy: (212) 894-7996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105</w:t>
      </w:r>
    </w:p>
    <w:p>
      <w:pPr>
        <w:sectPr>
          <w:pgSz w:w="11900" w:h="16838" w:orient="portrait"/>
          <w:cols w:equalWidth="0" w:num="1">
            <w:col w:w="9019"/>
          </w:cols>
          <w:pgMar w:left="1440" w:top="1134" w:right="1440" w:bottom="1440" w:gutter="0" w:footer="0" w:header="0"/>
        </w:sectPr>
      </w:pPr>
    </w:p>
    <w:bookmarkStart w:id="262" w:name="page263"/>
    <w:bookmarkEnd w:id="262"/>
    <w:p>
      <w:pPr>
        <w:ind w:left="2660"/>
        <w:spacing w:after="0"/>
        <w:rPr>
          <w:sz w:val="20"/>
          <w:szCs w:val="20"/>
          <w:color w:val="auto"/>
        </w:rPr>
      </w:pPr>
      <w:r>
        <w:rPr>
          <w:rFonts w:ascii="Times New Roman" w:cs="Times New Roman" w:eastAsia="Times New Roman" w:hAnsi="Times New Roman"/>
          <w:sz w:val="20"/>
          <w:szCs w:val="20"/>
          <w:color w:val="auto"/>
        </w:rPr>
        <w:t>JPMORGAN CHASE BANK, N.A., as Administrative Agent and as a Fronting Bank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Cody A. Canafax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6186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79">
                      <a:extLst>
                        <a:ext uri="{28A0092B-C50C-407E-A947-70E740481C1C}"/>
                      </a:extLst>
                    </a:blip>
                    <a:srcRect/>
                    <a:stretch>
                      <a:fillRect/>
                    </a:stretch>
                  </pic:blipFill>
                  <pic:spPr bwMode="auto">
                    <a:xfrm>
                      <a:off x="0" y="0"/>
                      <a:ext cx="1618615"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Cody A. Canafax</w:t>
      </w:r>
    </w:p>
    <w:p>
      <w:pPr>
        <w:spacing w:after="0" w:line="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106</w:t>
      </w:r>
    </w:p>
    <w:p>
      <w:pPr>
        <w:sectPr>
          <w:pgSz w:w="11900" w:h="16838" w:orient="portrait"/>
          <w:cols w:equalWidth="0" w:num="1">
            <w:col w:w="9840"/>
          </w:cols>
          <w:pgMar w:left="1440" w:top="1369" w:right="619" w:bottom="1440" w:gutter="0" w:footer="0" w:header="0"/>
        </w:sectPr>
      </w:pPr>
    </w:p>
    <w:bookmarkStart w:id="263" w:name="page264"/>
    <w:bookmarkEnd w:id="263"/>
    <w:p>
      <w:pPr>
        <w:spacing w:after="0" w:line="16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BANK OF AMERICA, N.A. as a Bank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Cheryl Sneor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3970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80">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Cheryl Sneor</w:t>
      </w:r>
    </w:p>
    <w:p>
      <w:pPr>
        <w:spacing w:after="0" w:line="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107</w:t>
      </w:r>
    </w:p>
    <w:p>
      <w:pPr>
        <w:sectPr>
          <w:pgSz w:w="11900" w:h="16838" w:orient="portrait"/>
          <w:cols w:equalWidth="0" w:num="1">
            <w:col w:w="9019"/>
          </w:cols>
          <w:pgMar w:left="1440" w:top="1440" w:right="1440" w:bottom="1440" w:gutter="0" w:footer="0" w:header="0"/>
        </w:sectPr>
      </w:pPr>
    </w:p>
    <w:bookmarkStart w:id="264" w:name="page265"/>
    <w:bookmarkEnd w:id="264"/>
    <w:p>
      <w:pPr>
        <w:ind w:left="2660"/>
        <w:spacing w:after="0"/>
        <w:rPr>
          <w:sz w:val="20"/>
          <w:szCs w:val="20"/>
          <w:color w:val="auto"/>
        </w:rPr>
      </w:pPr>
      <w:r>
        <w:rPr>
          <w:rFonts w:ascii="Times New Roman" w:cs="Times New Roman" w:eastAsia="Times New Roman" w:hAnsi="Times New Roman"/>
          <w:sz w:val="21"/>
          <w:szCs w:val="21"/>
          <w:color w:val="auto"/>
        </w:rPr>
        <w:t>BMO BANK, N.A., as Bank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Rebecca Liu Chabanon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9329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81">
                      <a:extLst>
                        <a:ext uri="{28A0092B-C50C-407E-A947-70E740481C1C}"/>
                      </a:extLst>
                    </a:blip>
                    <a:srcRect/>
                    <a:stretch>
                      <a:fillRect/>
                    </a:stretch>
                  </pic:blipFill>
                  <pic:spPr bwMode="auto">
                    <a:xfrm>
                      <a:off x="0" y="0"/>
                      <a:ext cx="193294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Rebecca Liu Chabanon</w:t>
      </w:r>
    </w:p>
    <w:p>
      <w:pPr>
        <w:spacing w:after="0" w:line="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108</w:t>
      </w:r>
    </w:p>
    <w:p>
      <w:pPr>
        <w:sectPr>
          <w:pgSz w:w="11900" w:h="16838" w:orient="portrait"/>
          <w:cols w:equalWidth="0" w:num="1">
            <w:col w:w="9019"/>
          </w:cols>
          <w:pgMar w:left="1440" w:top="1370" w:right="1440" w:bottom="1440" w:gutter="0" w:footer="0" w:header="0"/>
        </w:sectPr>
      </w:pPr>
    </w:p>
    <w:bookmarkStart w:id="265" w:name="page266"/>
    <w:bookmarkEnd w:id="265"/>
    <w:p>
      <w:pPr>
        <w:jc w:val="center"/>
        <w:ind w:right="19"/>
        <w:spacing w:after="0"/>
        <w:rPr>
          <w:sz w:val="20"/>
          <w:szCs w:val="20"/>
          <w:color w:val="auto"/>
        </w:rPr>
      </w:pPr>
      <w:r>
        <w:rPr>
          <w:rFonts w:ascii="Times New Roman" w:cs="Times New Roman" w:eastAsia="Times New Roman" w:hAnsi="Times New Roman"/>
          <w:sz w:val="20"/>
          <w:szCs w:val="20"/>
          <w:color w:val="auto"/>
        </w:rPr>
        <w:t>PNC Bank, National Association, as a Bank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Brian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1830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82">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Brian Kelly</w:t>
      </w:r>
    </w:p>
    <w:p>
      <w:pPr>
        <w:spacing w:after="0" w:line="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109</w:t>
      </w:r>
    </w:p>
    <w:p>
      <w:pPr>
        <w:sectPr>
          <w:pgSz w:w="11900" w:h="16838" w:orient="portrait"/>
          <w:cols w:equalWidth="0" w:num="1">
            <w:col w:w="9019"/>
          </w:cols>
          <w:pgMar w:left="1440" w:top="1370" w:right="1440" w:bottom="1440" w:gutter="0" w:footer="0" w:header="0"/>
        </w:sectPr>
      </w:pPr>
    </w:p>
    <w:bookmarkStart w:id="266" w:name="page267"/>
    <w:bookmarkEnd w:id="266"/>
    <w:p>
      <w:pPr>
        <w:ind w:left="2660"/>
        <w:spacing w:after="0"/>
        <w:rPr>
          <w:sz w:val="20"/>
          <w:szCs w:val="20"/>
          <w:color w:val="auto"/>
        </w:rPr>
      </w:pPr>
      <w:r>
        <w:rPr>
          <w:rFonts w:ascii="Times New Roman" w:cs="Times New Roman" w:eastAsia="Times New Roman" w:hAnsi="Times New Roman"/>
          <w:sz w:val="20"/>
          <w:szCs w:val="20"/>
          <w:color w:val="auto"/>
        </w:rPr>
        <w:t>U.S. BANK NATIONAL ASSOCIATION, as a Bank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Patrick T.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4909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83">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Patrick T. Brooks</w:t>
      </w:r>
    </w:p>
    <w:p>
      <w:pPr>
        <w:spacing w:after="0" w:line="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110</w:t>
      </w:r>
    </w:p>
    <w:p>
      <w:pPr>
        <w:sectPr>
          <w:pgSz w:w="11900" w:h="16838" w:orient="portrait"/>
          <w:cols w:equalWidth="0" w:num="1">
            <w:col w:w="9019"/>
          </w:cols>
          <w:pgMar w:left="1440" w:top="1370" w:right="1440" w:bottom="1440" w:gutter="0" w:footer="0" w:header="0"/>
        </w:sectPr>
      </w:pPr>
    </w:p>
    <w:bookmarkStart w:id="267" w:name="page268"/>
    <w:bookmarkEnd w:id="267"/>
    <w:p>
      <w:pPr>
        <w:jc w:val="center"/>
        <w:ind w:right="239"/>
        <w:spacing w:after="0"/>
        <w:rPr>
          <w:sz w:val="20"/>
          <w:szCs w:val="20"/>
          <w:color w:val="auto"/>
        </w:rPr>
      </w:pPr>
      <w:r>
        <w:rPr>
          <w:rFonts w:ascii="Times New Roman" w:cs="Times New Roman" w:eastAsia="Times New Roman" w:hAnsi="Times New Roman"/>
          <w:sz w:val="20"/>
          <w:szCs w:val="20"/>
          <w:color w:val="auto"/>
        </w:rPr>
        <w:t>WELLS FARGO BANK, N.A. as a Bank</w:t>
      </w:r>
    </w:p>
    <w:p>
      <w:pPr>
        <w:spacing w:after="0" w:line="200" w:lineRule="exact"/>
        <w:rPr>
          <w:sz w:val="20"/>
          <w:szCs w:val="20"/>
          <w:color w:val="auto"/>
        </w:rPr>
      </w:pPr>
    </w:p>
    <w:p>
      <w:pPr>
        <w:spacing w:after="0" w:line="290"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Jackson Helms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4935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84">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Jackson Helms</w:t>
      </w:r>
    </w:p>
    <w:p>
      <w:pPr>
        <w:spacing w:after="0" w:line="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111</w:t>
      </w:r>
    </w:p>
    <w:p>
      <w:pPr>
        <w:sectPr>
          <w:pgSz w:w="11900" w:h="16838" w:orient="portrait"/>
          <w:cols w:equalWidth="0" w:num="1">
            <w:col w:w="9019"/>
          </w:cols>
          <w:pgMar w:left="1440" w:top="1134" w:right="1440" w:bottom="1440" w:gutter="0" w:footer="0" w:header="0"/>
        </w:sectPr>
      </w:pPr>
    </w:p>
    <w:bookmarkStart w:id="268" w:name="page269"/>
    <w:bookmarkEnd w:id="268"/>
    <w:p>
      <w:pPr>
        <w:ind w:left="2660"/>
        <w:spacing w:after="0"/>
        <w:rPr>
          <w:sz w:val="20"/>
          <w:szCs w:val="20"/>
          <w:color w:val="auto"/>
        </w:rPr>
      </w:pPr>
      <w:r>
        <w:rPr>
          <w:rFonts w:ascii="Times New Roman" w:cs="Times New Roman" w:eastAsia="Times New Roman" w:hAnsi="Times New Roman"/>
          <w:sz w:val="20"/>
          <w:szCs w:val="20"/>
          <w:color w:val="auto"/>
        </w:rPr>
        <w:t>Manufacturers and Traders Trust Company, as a Bank</w:t>
      </w:r>
    </w:p>
    <w:p>
      <w:pPr>
        <w:spacing w:after="0" w:line="200" w:lineRule="exact"/>
        <w:rPr>
          <w:sz w:val="20"/>
          <w:szCs w:val="20"/>
          <w:color w:val="auto"/>
        </w:rPr>
      </w:pPr>
    </w:p>
    <w:p>
      <w:pPr>
        <w:spacing w:after="0" w:line="290"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Jeffrey Prather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4757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85">
                      <a:extLst>
                        <a:ext uri="{28A0092B-C50C-407E-A947-70E740481C1C}"/>
                      </a:extLst>
                    </a:blip>
                    <a:srcRect/>
                    <a:stretch>
                      <a:fillRect/>
                    </a:stretch>
                  </pic:blipFill>
                  <pic:spPr bwMode="auto">
                    <a:xfrm>
                      <a:off x="0" y="0"/>
                      <a:ext cx="147574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Jeffrey Prather</w:t>
      </w:r>
    </w:p>
    <w:p>
      <w:pPr>
        <w:spacing w:after="0" w:line="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112</w:t>
      </w:r>
    </w:p>
    <w:p>
      <w:pPr>
        <w:sectPr>
          <w:pgSz w:w="11900" w:h="16838" w:orient="portrait"/>
          <w:cols w:equalWidth="0" w:num="1">
            <w:col w:w="9019"/>
          </w:cols>
          <w:pgMar w:left="1440" w:top="1370" w:right="1440" w:bottom="1440" w:gutter="0" w:footer="0" w:header="0"/>
        </w:sectPr>
      </w:pPr>
    </w:p>
    <w:bookmarkStart w:id="269" w:name="page270"/>
    <w:bookmarkEnd w:id="269"/>
    <w:p>
      <w:pPr>
        <w:ind w:left="2660"/>
        <w:spacing w:after="0"/>
        <w:rPr>
          <w:sz w:val="20"/>
          <w:szCs w:val="20"/>
          <w:color w:val="auto"/>
        </w:rPr>
      </w:pPr>
      <w:r>
        <w:rPr>
          <w:rFonts w:ascii="Times New Roman" w:cs="Times New Roman" w:eastAsia="Times New Roman" w:hAnsi="Times New Roman"/>
          <w:sz w:val="20"/>
          <w:szCs w:val="20"/>
          <w:color w:val="auto"/>
        </w:rPr>
        <w:t>MIZUHO BANK, LTD., as a Bank</w:t>
      </w:r>
    </w:p>
    <w:p>
      <w:pPr>
        <w:spacing w:after="0" w:line="200" w:lineRule="exact"/>
        <w:rPr>
          <w:sz w:val="20"/>
          <w:szCs w:val="20"/>
          <w:color w:val="auto"/>
        </w:rPr>
      </w:pPr>
    </w:p>
    <w:p>
      <w:pPr>
        <w:spacing w:after="0" w:line="290"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7373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86">
                      <a:extLst>
                        <a:ext uri="{28A0092B-C50C-407E-A947-70E740481C1C}"/>
                      </a:extLst>
                    </a:blip>
                    <a:srcRect/>
                    <a:stretch>
                      <a:fillRect/>
                    </a:stretch>
                  </pic:blipFill>
                  <pic:spPr bwMode="auto">
                    <a:xfrm>
                      <a:off x="0" y="0"/>
                      <a:ext cx="173736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Donna DeMagistris</w:t>
      </w:r>
    </w:p>
    <w:p>
      <w:pPr>
        <w:spacing w:after="0" w:line="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113</w:t>
      </w:r>
    </w:p>
    <w:p>
      <w:pPr>
        <w:sectPr>
          <w:pgSz w:w="11900" w:h="16838" w:orient="portrait"/>
          <w:cols w:equalWidth="0" w:num="1">
            <w:col w:w="9019"/>
          </w:cols>
          <w:pgMar w:left="1440" w:top="1134" w:right="1440" w:bottom="1440" w:gutter="0" w:footer="0" w:header="0"/>
        </w:sectPr>
      </w:pPr>
    </w:p>
    <w:bookmarkStart w:id="270" w:name="page271"/>
    <w:bookmarkEnd w:id="270"/>
    <w:p>
      <w:pPr>
        <w:ind w:left="2660"/>
        <w:spacing w:after="0"/>
        <w:rPr>
          <w:sz w:val="20"/>
          <w:szCs w:val="20"/>
          <w:color w:val="auto"/>
        </w:rPr>
      </w:pPr>
      <w:r>
        <w:rPr>
          <w:rFonts w:ascii="Times New Roman" w:cs="Times New Roman" w:eastAsia="Times New Roman" w:hAnsi="Times New Roman"/>
          <w:sz w:val="21"/>
          <w:szCs w:val="21"/>
          <w:color w:val="auto"/>
        </w:rPr>
        <w:t>Citizens Bank, N.A., as a Bank</w:t>
      </w:r>
    </w:p>
    <w:p>
      <w:pPr>
        <w:spacing w:after="0" w:line="200" w:lineRule="exact"/>
        <w:rPr>
          <w:sz w:val="20"/>
          <w:szCs w:val="20"/>
          <w:color w:val="auto"/>
        </w:rPr>
      </w:pPr>
    </w:p>
    <w:p>
      <w:pPr>
        <w:spacing w:after="0" w:line="279"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Brian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2090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87">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Brian Waldron</w:t>
      </w:r>
    </w:p>
    <w:p>
      <w:pPr>
        <w:spacing w:after="0" w:line="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114</w:t>
      </w:r>
    </w:p>
    <w:p>
      <w:pPr>
        <w:sectPr>
          <w:pgSz w:w="11900" w:h="16838" w:orient="portrait"/>
          <w:cols w:equalWidth="0" w:num="1">
            <w:col w:w="9019"/>
          </w:cols>
          <w:pgMar w:left="1440" w:top="1134" w:right="1440" w:bottom="1440" w:gutter="0" w:footer="0" w:header="0"/>
        </w:sectPr>
      </w:pPr>
    </w:p>
    <w:bookmarkStart w:id="271" w:name="page272"/>
    <w:bookmarkEnd w:id="271"/>
    <w:p>
      <w:pPr>
        <w:jc w:val="center"/>
        <w:ind w:right="159"/>
        <w:spacing w:after="0"/>
        <w:rPr>
          <w:sz w:val="20"/>
          <w:szCs w:val="20"/>
          <w:color w:val="auto"/>
        </w:rPr>
      </w:pPr>
      <w:r>
        <w:rPr>
          <w:rFonts w:ascii="Times New Roman" w:cs="Times New Roman" w:eastAsia="Times New Roman" w:hAnsi="Times New Roman"/>
          <w:sz w:val="20"/>
          <w:szCs w:val="20"/>
          <w:color w:val="auto"/>
        </w:rPr>
        <w:t>The Bank of New York Mellon, as a Bank</w:t>
      </w:r>
    </w:p>
    <w:p>
      <w:pPr>
        <w:spacing w:after="0" w:line="200" w:lineRule="exact"/>
        <w:rPr>
          <w:sz w:val="20"/>
          <w:szCs w:val="20"/>
          <w:color w:val="auto"/>
        </w:rPr>
      </w:pPr>
    </w:p>
    <w:p>
      <w:pPr>
        <w:spacing w:after="0" w:line="290"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Carol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153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88">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Carol Murray</w:t>
      </w:r>
    </w:p>
    <w:p>
      <w:pPr>
        <w:spacing w:after="0" w:line="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115</w:t>
      </w:r>
    </w:p>
    <w:p>
      <w:pPr>
        <w:sectPr>
          <w:pgSz w:w="11900" w:h="16838" w:orient="portrait"/>
          <w:cols w:equalWidth="0" w:num="1">
            <w:col w:w="9019"/>
          </w:cols>
          <w:pgMar w:left="1440" w:top="1134" w:right="1440" w:bottom="1440" w:gutter="0" w:footer="0" w:header="0"/>
        </w:sectPr>
      </w:pPr>
    </w:p>
    <w:bookmarkStart w:id="272" w:name="page273"/>
    <w:bookmarkEnd w:id="272"/>
    <w:p>
      <w:pPr>
        <w:ind w:left="2660"/>
        <w:spacing w:after="0"/>
        <w:rPr>
          <w:sz w:val="20"/>
          <w:szCs w:val="20"/>
          <w:color w:val="auto"/>
        </w:rPr>
      </w:pPr>
      <w:r>
        <w:rPr>
          <w:rFonts w:ascii="Times New Roman" w:cs="Times New Roman" w:eastAsia="Times New Roman" w:hAnsi="Times New Roman"/>
          <w:sz w:val="20"/>
          <w:szCs w:val="20"/>
          <w:color w:val="auto"/>
        </w:rPr>
        <w:t>ING Capital LLC, as a Bank</w:t>
      </w:r>
    </w:p>
    <w:p>
      <w:pPr>
        <w:spacing w:after="0" w:line="200" w:lineRule="exact"/>
        <w:rPr>
          <w:sz w:val="20"/>
          <w:szCs w:val="20"/>
          <w:color w:val="auto"/>
        </w:rPr>
      </w:pPr>
    </w:p>
    <w:p>
      <w:pPr>
        <w:spacing w:after="0" w:line="290"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Jeffrey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3208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89">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Jeffrey Schwartz</w:t>
      </w:r>
    </w:p>
    <w:p>
      <w:pPr>
        <w:spacing w:after="0" w:line="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68"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Craig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1385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90">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Craig Bender</w:t>
      </w:r>
    </w:p>
    <w:p>
      <w:pPr>
        <w:spacing w:after="0" w:line="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116</w:t>
      </w:r>
    </w:p>
    <w:p>
      <w:pPr>
        <w:sectPr>
          <w:pgSz w:w="11900" w:h="16838" w:orient="portrait"/>
          <w:cols w:equalWidth="0" w:num="1">
            <w:col w:w="9019"/>
          </w:cols>
          <w:pgMar w:left="1440" w:top="1134" w:right="1440" w:bottom="1440" w:gutter="0" w:footer="0" w:header="0"/>
        </w:sectPr>
      </w:pPr>
    </w:p>
    <w:bookmarkStart w:id="273" w:name="page274"/>
    <w:bookmarkEnd w:id="273"/>
    <w:p>
      <w:pPr>
        <w:jc w:val="center"/>
        <w:ind w:right="-20"/>
        <w:spacing w:after="0"/>
        <w:rPr>
          <w:sz w:val="20"/>
          <w:szCs w:val="20"/>
          <w:color w:val="auto"/>
        </w:rPr>
      </w:pPr>
      <w:r>
        <w:rPr>
          <w:rFonts w:ascii="Times New Roman" w:cs="Times New Roman" w:eastAsia="Times New Roman" w:hAnsi="Times New Roman"/>
          <w:sz w:val="20"/>
          <w:szCs w:val="20"/>
          <w:color w:val="auto"/>
        </w:rPr>
        <w:t>BANK OF CHINA NEW YORK BRANCH</w:t>
      </w:r>
    </w:p>
    <w:p>
      <w:pPr>
        <w:spacing w:after="0" w:line="200" w:lineRule="exact"/>
        <w:rPr>
          <w:sz w:val="20"/>
          <w:szCs w:val="20"/>
          <w:color w:val="auto"/>
        </w:rPr>
      </w:pPr>
    </w:p>
    <w:p>
      <w:pPr>
        <w:spacing w:after="0" w:line="290"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2344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9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Raymond Qiao</w:t>
      </w:r>
    </w:p>
    <w:p>
      <w:pPr>
        <w:spacing w:after="0" w:line="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117</w:t>
      </w:r>
    </w:p>
    <w:p>
      <w:pPr>
        <w:sectPr>
          <w:pgSz w:w="11900" w:h="16838" w:orient="portrait"/>
          <w:cols w:equalWidth="0" w:num="1">
            <w:col w:w="9019"/>
          </w:cols>
          <w:pgMar w:left="1440" w:top="1134" w:right="1440" w:bottom="1440" w:gutter="0" w:footer="0" w:header="0"/>
        </w:sectPr>
      </w:pPr>
    </w:p>
    <w:bookmarkStart w:id="274" w:name="page275"/>
    <w:bookmarkEnd w:id="274"/>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SCHEDULE 4</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SUSTAINABILITY TABLE</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KPI</w:t>
            </w:r>
          </w:p>
        </w:tc>
        <w:tc>
          <w:tcPr>
            <w:tcW w:w="16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7"/>
                <w:szCs w:val="17"/>
                <w:b w:val="1"/>
                <w:bCs w:val="1"/>
                <w:color w:val="auto"/>
              </w:rPr>
              <w:t>Baseline</w:t>
            </w: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220" w:type="dxa"/>
            <w:vAlign w:val="bottom"/>
            <w:tcBorders>
              <w:top w:val="single" w:sz="8" w:color="auto"/>
            </w:tcBorders>
            <w:gridSpan w:val="9"/>
            <w:vMerge w:val="restart"/>
          </w:tcPr>
          <w:p>
            <w:pPr>
              <w:spacing w:after="0"/>
              <w:rPr>
                <w:sz w:val="20"/>
                <w:szCs w:val="20"/>
                <w:color w:val="auto"/>
              </w:rPr>
            </w:pPr>
            <w:r>
              <w:rPr>
                <w:rFonts w:ascii="Times New Roman" w:cs="Times New Roman" w:eastAsia="Times New Roman" w:hAnsi="Times New Roman"/>
                <w:sz w:val="21"/>
                <w:szCs w:val="21"/>
                <w:b w:val="1"/>
                <w:bCs w:val="1"/>
                <w:color w:val="auto"/>
              </w:rPr>
              <w:t>Annual Sustainability Targets and Thresholds</w:t>
            </w: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16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Metrics</w:t>
            </w:r>
          </w:p>
        </w:tc>
        <w:tc>
          <w:tcPr>
            <w:tcW w:w="1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20" w:type="dxa"/>
            <w:vAlign w:val="bottom"/>
            <w:gridSpan w:val="9"/>
            <w:vMerge w:val="continue"/>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900" w:type="dxa"/>
            <w:vAlign w:val="bottom"/>
            <w:tcBorders>
              <w:left w:val="single" w:sz="8" w:color="auto"/>
              <w:bottom w:val="single" w:sz="8" w:color="auto"/>
              <w:right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900" w:type="dxa"/>
            <w:vAlign w:val="bottom"/>
            <w:tcBorders>
              <w:left w:val="single" w:sz="8" w:color="auto"/>
              <w:right w:val="single" w:sz="8" w:color="auto"/>
            </w:tcBorders>
          </w:tcPr>
          <w:p>
            <w:pPr>
              <w:spacing w:after="0"/>
              <w:rPr>
                <w:sz w:val="23"/>
                <w:szCs w:val="23"/>
                <w:color w:val="auto"/>
              </w:rPr>
            </w:pPr>
          </w:p>
        </w:tc>
        <w:tc>
          <w:tcPr>
            <w:tcW w:w="1620" w:type="dxa"/>
            <w:vAlign w:val="bottom"/>
            <w:tcBorders>
              <w:right w:val="single" w:sz="8" w:color="auto"/>
            </w:tcBorders>
          </w:tcPr>
          <w:p>
            <w:pPr>
              <w:jc w:val="right"/>
              <w:ind w:right="521"/>
              <w:spacing w:after="0"/>
              <w:rPr>
                <w:sz w:val="20"/>
                <w:szCs w:val="20"/>
                <w:color w:val="auto"/>
              </w:rPr>
            </w:pPr>
            <w:r>
              <w:rPr>
                <w:rFonts w:ascii="Times New Roman" w:cs="Times New Roman" w:eastAsia="Times New Roman" w:hAnsi="Times New Roman"/>
                <w:sz w:val="21"/>
                <w:szCs w:val="21"/>
                <w:color w:val="auto"/>
              </w:rPr>
              <w:t>2019</w:t>
            </w:r>
          </w:p>
        </w:tc>
        <w:tc>
          <w:tcPr>
            <w:tcW w:w="14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CY2025</w:t>
            </w:r>
          </w:p>
        </w:tc>
        <w:tc>
          <w:tcPr>
            <w:tcW w:w="14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CY2026</w:t>
            </w:r>
          </w:p>
        </w:tc>
        <w:tc>
          <w:tcPr>
            <w:tcW w:w="138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CY2027</w:t>
            </w:r>
          </w:p>
        </w:tc>
        <w:tc>
          <w:tcPr>
            <w:tcW w:w="14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CY2028</w:t>
            </w:r>
          </w:p>
        </w:tc>
        <w:tc>
          <w:tcPr>
            <w:tcW w:w="14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CY2029</w:t>
            </w:r>
          </w:p>
        </w:tc>
        <w:tc>
          <w:tcPr>
            <w:tcW w:w="16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900" w:type="dxa"/>
            <w:vAlign w:val="bottom"/>
            <w:tcBorders>
              <w:left w:val="single" w:sz="8" w:color="auto"/>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0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rPr>
              <w:t>&lt;</w:t>
            </w:r>
          </w:p>
        </w:tc>
        <w:tc>
          <w:tcPr>
            <w:tcW w:w="72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Borders>
              <w:right w:val="single" w:sz="8" w:color="auto"/>
            </w:tcBorders>
            <w:gridSpan w:val="2"/>
          </w:tcPr>
          <w:p>
            <w:pPr>
              <w:jc w:val="center"/>
              <w:ind w:right="700"/>
              <w:spacing w:after="0" w:line="176" w:lineRule="exact"/>
              <w:rPr>
                <w:sz w:val="20"/>
                <w:szCs w:val="20"/>
                <w:color w:val="auto"/>
              </w:rPr>
            </w:pPr>
            <w:r>
              <w:rPr>
                <w:rFonts w:ascii="Times New Roman" w:cs="Times New Roman" w:eastAsia="Times New Roman" w:hAnsi="Times New Roman"/>
                <w:sz w:val="17"/>
                <w:szCs w:val="17"/>
                <w:color w:val="auto"/>
              </w:rPr>
              <w:t>&lt;</w:t>
            </w:r>
          </w:p>
        </w:tc>
        <w:tc>
          <w:tcPr>
            <w:tcW w:w="1380" w:type="dxa"/>
            <w:vAlign w:val="bottom"/>
            <w:tcBorders>
              <w:right w:val="single" w:sz="8" w:color="auto"/>
            </w:tcBorders>
            <w:gridSpan w:val="3"/>
          </w:tcPr>
          <w:p>
            <w:pPr>
              <w:jc w:val="center"/>
              <w:ind w:right="40"/>
              <w:spacing w:after="0" w:line="176" w:lineRule="exact"/>
              <w:rPr>
                <w:sz w:val="20"/>
                <w:szCs w:val="20"/>
                <w:color w:val="auto"/>
              </w:rPr>
            </w:pPr>
            <w:r>
              <w:rPr>
                <w:rFonts w:ascii="Times New Roman" w:cs="Times New Roman" w:eastAsia="Times New Roman" w:hAnsi="Times New Roman"/>
                <w:sz w:val="17"/>
                <w:szCs w:val="17"/>
                <w:color w:val="auto"/>
              </w:rPr>
              <w:t>&lt;</w:t>
            </w:r>
          </w:p>
        </w:tc>
        <w:tc>
          <w:tcPr>
            <w:tcW w:w="1420" w:type="dxa"/>
            <w:vAlign w:val="bottom"/>
            <w:tcBorders>
              <w:right w:val="single" w:sz="8" w:color="auto"/>
            </w:tcBorders>
            <w:gridSpan w:val="3"/>
          </w:tcPr>
          <w:p>
            <w:pPr>
              <w:jc w:val="center"/>
              <w:spacing w:after="0" w:line="176" w:lineRule="exact"/>
              <w:rPr>
                <w:sz w:val="20"/>
                <w:szCs w:val="20"/>
                <w:color w:val="auto"/>
              </w:rPr>
            </w:pPr>
            <w:r>
              <w:rPr>
                <w:rFonts w:ascii="Times New Roman" w:cs="Times New Roman" w:eastAsia="Times New Roman" w:hAnsi="Times New Roman"/>
                <w:sz w:val="17"/>
                <w:szCs w:val="17"/>
                <w:color w:val="auto"/>
              </w:rPr>
              <w:t>&lt;</w:t>
            </w:r>
          </w:p>
        </w:tc>
        <w:tc>
          <w:tcPr>
            <w:tcW w:w="1420" w:type="dxa"/>
            <w:vAlign w:val="bottom"/>
            <w:tcBorders>
              <w:right w:val="single" w:sz="8" w:color="auto"/>
            </w:tcBorders>
            <w:gridSpan w:val="3"/>
          </w:tcPr>
          <w:p>
            <w:pPr>
              <w:jc w:val="center"/>
              <w:ind w:right="40"/>
              <w:spacing w:after="0" w:line="176" w:lineRule="exact"/>
              <w:rPr>
                <w:sz w:val="20"/>
                <w:szCs w:val="20"/>
                <w:color w:val="auto"/>
              </w:rPr>
            </w:pPr>
            <w:r>
              <w:rPr>
                <w:rFonts w:ascii="Times New Roman" w:cs="Times New Roman" w:eastAsia="Times New Roman" w:hAnsi="Times New Roman"/>
                <w:sz w:val="17"/>
                <w:szCs w:val="17"/>
                <w:color w:val="auto"/>
              </w:rPr>
              <w:t>&lt;</w:t>
            </w:r>
          </w:p>
        </w:tc>
        <w:tc>
          <w:tcPr>
            <w:tcW w:w="16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6"/>
              </w:rPr>
              <w:t>KPI Target</w:t>
            </w:r>
          </w:p>
        </w:tc>
        <w:tc>
          <w:tcPr>
            <w:tcW w:w="0" w:type="dxa"/>
            <w:vAlign w:val="bottom"/>
          </w:tcPr>
          <w:p>
            <w:pPr>
              <w:spacing w:after="0"/>
              <w:rPr>
                <w:sz w:val="1"/>
                <w:szCs w:val="1"/>
                <w:color w:val="auto"/>
              </w:rPr>
            </w:pPr>
          </w:p>
        </w:tc>
      </w:tr>
      <w:tr>
        <w:trPr>
          <w:trHeight w:val="20"/>
        </w:trPr>
        <w:tc>
          <w:tcPr>
            <w:tcW w:w="900" w:type="dxa"/>
            <w:vAlign w:val="bottom"/>
            <w:tcBorders>
              <w:left w:val="single" w:sz="8" w:color="auto"/>
              <w:right w:val="single" w:sz="8" w:color="auto"/>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82,374</w:t>
            </w:r>
          </w:p>
        </w:tc>
        <w:tc>
          <w:tcPr>
            <w:tcW w:w="14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80,314</w:t>
            </w:r>
          </w:p>
        </w:tc>
        <w:tc>
          <w:tcPr>
            <w:tcW w:w="138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78,306</w:t>
            </w:r>
          </w:p>
        </w:tc>
        <w:tc>
          <w:tcPr>
            <w:tcW w:w="14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76,349</w:t>
            </w:r>
          </w:p>
        </w:tc>
        <w:tc>
          <w:tcPr>
            <w:tcW w:w="14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74,440</w:t>
            </w: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KPI</w:t>
            </w:r>
          </w:p>
        </w:tc>
        <w:tc>
          <w:tcPr>
            <w:tcW w:w="1620" w:type="dxa"/>
            <w:vAlign w:val="bottom"/>
            <w:tcBorders>
              <w:right w:val="single" w:sz="8" w:color="auto"/>
            </w:tcBorders>
            <w:vMerge w:val="restart"/>
          </w:tcPr>
          <w:p>
            <w:pPr>
              <w:jc w:val="right"/>
              <w:ind w:right="381"/>
              <w:spacing w:after="0"/>
              <w:rPr>
                <w:sz w:val="20"/>
                <w:szCs w:val="20"/>
                <w:color w:val="auto"/>
              </w:rPr>
            </w:pPr>
            <w:r>
              <w:rPr>
                <w:rFonts w:ascii="Times New Roman" w:cs="Times New Roman" w:eastAsia="Times New Roman" w:hAnsi="Times New Roman"/>
                <w:sz w:val="21"/>
                <w:szCs w:val="21"/>
                <w:color w:val="auto"/>
              </w:rPr>
              <w:t>206,554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900" w:type="dxa"/>
            <w:vAlign w:val="bottom"/>
            <w:tcBorders>
              <w:left w:val="single" w:sz="8" w:color="auto"/>
              <w:right w:val="single" w:sz="8" w:color="auto"/>
            </w:tcBorders>
            <w:vMerge w:val="continue"/>
          </w:tcPr>
          <w:p>
            <w:pPr>
              <w:spacing w:after="0"/>
              <w:rPr>
                <w:sz w:val="22"/>
                <w:szCs w:val="22"/>
                <w:color w:val="auto"/>
              </w:rPr>
            </w:pPr>
          </w:p>
        </w:tc>
        <w:tc>
          <w:tcPr>
            <w:tcW w:w="1620" w:type="dxa"/>
            <w:vAlign w:val="bottom"/>
            <w:tcBorders>
              <w:right w:val="single" w:sz="8" w:color="auto"/>
            </w:tcBorders>
            <w:vMerge w:val="continue"/>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90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0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900" w:type="dxa"/>
            <w:vAlign w:val="bottom"/>
            <w:tcBorders>
              <w:left w:val="single" w:sz="8" w:color="auto"/>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760" w:type="dxa"/>
            <w:vAlign w:val="bottom"/>
            <w:gridSpan w:val="2"/>
          </w:tcPr>
          <w:p>
            <w:pPr>
              <w:jc w:val="center"/>
              <w:ind w:left="573"/>
              <w:spacing w:after="0" w:line="185" w:lineRule="exact"/>
              <w:rPr>
                <w:sz w:val="20"/>
                <w:szCs w:val="20"/>
                <w:color w:val="auto"/>
              </w:rPr>
            </w:pPr>
            <w:r>
              <w:rPr>
                <w:rFonts w:ascii="Times New Roman" w:cs="Times New Roman" w:eastAsia="Times New Roman" w:hAnsi="Times New Roman"/>
                <w:sz w:val="17"/>
                <w:szCs w:val="17"/>
                <w:color w:val="auto"/>
              </w:rPr>
              <w:t>&gt;</w:t>
            </w:r>
          </w:p>
        </w:tc>
        <w:tc>
          <w:tcPr>
            <w:tcW w:w="7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gridSpan w:val="3"/>
          </w:tcPr>
          <w:p>
            <w:pPr>
              <w:jc w:val="center"/>
              <w:ind w:right="80"/>
              <w:spacing w:after="0" w:line="185" w:lineRule="exact"/>
              <w:rPr>
                <w:sz w:val="20"/>
                <w:szCs w:val="20"/>
                <w:color w:val="auto"/>
              </w:rPr>
            </w:pPr>
            <w:r>
              <w:rPr>
                <w:rFonts w:ascii="Times New Roman" w:cs="Times New Roman" w:eastAsia="Times New Roman" w:hAnsi="Times New Roman"/>
                <w:sz w:val="17"/>
                <w:szCs w:val="17"/>
                <w:color w:val="auto"/>
              </w:rPr>
              <w:t>&gt;</w:t>
            </w:r>
          </w:p>
        </w:tc>
        <w:tc>
          <w:tcPr>
            <w:tcW w:w="1380" w:type="dxa"/>
            <w:vAlign w:val="bottom"/>
            <w:tcBorders>
              <w:right w:val="single" w:sz="8" w:color="auto"/>
            </w:tcBorders>
            <w:gridSpan w:val="3"/>
          </w:tcPr>
          <w:p>
            <w:pPr>
              <w:jc w:val="center"/>
              <w:ind w:right="40"/>
              <w:spacing w:after="0" w:line="185" w:lineRule="exact"/>
              <w:rPr>
                <w:sz w:val="20"/>
                <w:szCs w:val="20"/>
                <w:color w:val="auto"/>
              </w:rPr>
            </w:pPr>
            <w:r>
              <w:rPr>
                <w:rFonts w:ascii="Times New Roman" w:cs="Times New Roman" w:eastAsia="Times New Roman" w:hAnsi="Times New Roman"/>
                <w:sz w:val="17"/>
                <w:szCs w:val="17"/>
                <w:color w:val="auto"/>
              </w:rPr>
              <w:t>&gt;</w:t>
            </w:r>
          </w:p>
        </w:tc>
        <w:tc>
          <w:tcPr>
            <w:tcW w:w="1420" w:type="dxa"/>
            <w:vAlign w:val="bottom"/>
            <w:tcBorders>
              <w:right w:val="single" w:sz="8" w:color="auto"/>
            </w:tcBorders>
            <w:gridSpan w:val="3"/>
          </w:tcPr>
          <w:p>
            <w:pPr>
              <w:jc w:val="center"/>
              <w:spacing w:after="0" w:line="185" w:lineRule="exact"/>
              <w:rPr>
                <w:sz w:val="20"/>
                <w:szCs w:val="20"/>
                <w:color w:val="auto"/>
              </w:rPr>
            </w:pPr>
            <w:r>
              <w:rPr>
                <w:rFonts w:ascii="Times New Roman" w:cs="Times New Roman" w:eastAsia="Times New Roman" w:hAnsi="Times New Roman"/>
                <w:sz w:val="17"/>
                <w:szCs w:val="17"/>
                <w:color w:val="auto"/>
              </w:rPr>
              <w:t>&gt;</w:t>
            </w:r>
          </w:p>
        </w:tc>
        <w:tc>
          <w:tcPr>
            <w:tcW w:w="1420" w:type="dxa"/>
            <w:vAlign w:val="bottom"/>
            <w:tcBorders>
              <w:right w:val="single" w:sz="8" w:color="auto"/>
            </w:tcBorders>
            <w:gridSpan w:val="3"/>
          </w:tcPr>
          <w:p>
            <w:pPr>
              <w:jc w:val="center"/>
              <w:ind w:right="40"/>
              <w:spacing w:after="0" w:line="185" w:lineRule="exact"/>
              <w:rPr>
                <w:sz w:val="20"/>
                <w:szCs w:val="20"/>
                <w:color w:val="auto"/>
              </w:rPr>
            </w:pPr>
            <w:r>
              <w:rPr>
                <w:rFonts w:ascii="Times New Roman" w:cs="Times New Roman" w:eastAsia="Times New Roman" w:hAnsi="Times New Roman"/>
                <w:sz w:val="17"/>
                <w:szCs w:val="17"/>
                <w:color w:val="auto"/>
              </w:rPr>
              <w:t>&gt;</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KPI Threshold</w:t>
            </w:r>
          </w:p>
        </w:tc>
        <w:tc>
          <w:tcPr>
            <w:tcW w:w="0" w:type="dxa"/>
            <w:vAlign w:val="bottom"/>
          </w:tcPr>
          <w:p>
            <w:pPr>
              <w:spacing w:after="0"/>
              <w:rPr>
                <w:sz w:val="1"/>
                <w:szCs w:val="1"/>
                <w:color w:val="auto"/>
              </w:rPr>
            </w:pPr>
          </w:p>
        </w:tc>
      </w:tr>
      <w:tr>
        <w:trPr>
          <w:trHeight w:val="228"/>
        </w:trPr>
        <w:tc>
          <w:tcPr>
            <w:tcW w:w="90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85,473</w:t>
            </w:r>
          </w:p>
        </w:tc>
        <w:tc>
          <w:tcPr>
            <w:tcW w:w="14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84,618</w:t>
            </w:r>
          </w:p>
        </w:tc>
        <w:tc>
          <w:tcPr>
            <w:tcW w:w="138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83,772</w:t>
            </w:r>
          </w:p>
        </w:tc>
        <w:tc>
          <w:tcPr>
            <w:tcW w:w="14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82,934</w:t>
            </w:r>
          </w:p>
        </w:tc>
        <w:tc>
          <w:tcPr>
            <w:tcW w:w="14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82,105</w:t>
            </w: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900" w:type="dxa"/>
            <w:vAlign w:val="bottom"/>
            <w:tcBorders>
              <w:left w:val="single" w:sz="8" w:color="auto"/>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118</w:t>
      </w:r>
    </w:p>
    <w:p>
      <w:pPr>
        <w:sectPr>
          <w:pgSz w:w="11900" w:h="16838" w:orient="portrait"/>
          <w:cols w:equalWidth="0" w:num="1">
            <w:col w:w="11260"/>
          </w:cols>
          <w:pgMar w:left="320" w:top="1130" w:right="31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21"/>
          <w:szCs w:val="2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NO. 1 TO THIRD AMENDED AND RESTATED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REVOLVING CREDIT AGREEMENT</w:t>
      </w:r>
    </w:p>
    <w:p>
      <w:pPr>
        <w:spacing w:after="0" w:line="202"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AMENDMENT NO. 1 TO THIRD AMENDED AND RESTATED REVOLVING CREDIT AGREEMENT</w:t>
      </w:r>
      <w:r>
        <w:rPr>
          <w:rFonts w:ascii="Times New Roman" w:cs="Times New Roman" w:eastAsia="Times New Roman" w:hAnsi="Times New Roman"/>
          <w:sz w:val="21"/>
          <w:szCs w:val="21"/>
          <w:color w:val="auto"/>
        </w:rPr>
        <w:t>, dated as of January 7, 2026 (this “</w:t>
      </w:r>
      <w:r>
        <w:rPr>
          <w:rFonts w:ascii="Times New Roman" w:cs="Times New Roman" w:eastAsia="Times New Roman" w:hAnsi="Times New Roman"/>
          <w:sz w:val="21"/>
          <w:szCs w:val="21"/>
          <w:u w:val="single" w:color="auto"/>
          <w:color w:val="auto"/>
        </w:rPr>
        <w:t>Amendment No</w:t>
      </w:r>
      <w:r>
        <w:rPr>
          <w:rFonts w:ascii="Times New Roman" w:cs="Times New Roman" w:eastAsia="Times New Roman" w:hAnsi="Times New Roman"/>
          <w:sz w:val="21"/>
          <w:szCs w:val="21"/>
          <w:color w:val="auto"/>
        </w:rPr>
        <w:t>. 1”), is by and among VORNADO REALTY L.P., a limited partnership organized and existing under the laws of the State of Delaware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JPMORGAN CHASE BANK, N.A., as agent for the Banks defined below (in such capacity, together with its successors in such capacity,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JPMORGAN CHASE BANK, N.A., in its individual capacity and not as Administrative Agent, CITIBANK, N.A. (the “</w:t>
      </w:r>
      <w:r>
        <w:rPr>
          <w:rFonts w:ascii="Times New Roman" w:cs="Times New Roman" w:eastAsia="Times New Roman" w:hAnsi="Times New Roman"/>
          <w:sz w:val="21"/>
          <w:szCs w:val="21"/>
          <w:u w:val="single" w:color="auto"/>
          <w:color w:val="auto"/>
        </w:rPr>
        <w:t>New Lender</w:t>
      </w:r>
      <w:r>
        <w:rPr>
          <w:rFonts w:ascii="Times New Roman" w:cs="Times New Roman" w:eastAsia="Times New Roman" w:hAnsi="Times New Roman"/>
          <w:sz w:val="21"/>
          <w:szCs w:val="21"/>
          <w:color w:val="auto"/>
        </w:rPr>
        <w:t>”), and the other lenders signatory hereto (said lenders signatory hereto, each a “</w:t>
      </w:r>
      <w:r>
        <w:rPr>
          <w:rFonts w:ascii="Times New Roman" w:cs="Times New Roman" w:eastAsia="Times New Roman" w:hAnsi="Times New Roman"/>
          <w:sz w:val="21"/>
          <w:szCs w:val="21"/>
          <w:u w:val="single" w:color="auto"/>
          <w:color w:val="auto"/>
        </w:rPr>
        <w:t>Bank</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Banks</w:t>
      </w:r>
      <w:r>
        <w:rPr>
          <w:rFonts w:ascii="Times New Roman" w:cs="Times New Roman" w:eastAsia="Times New Roman" w:hAnsi="Times New Roman"/>
          <w:sz w:val="21"/>
          <w:szCs w:val="21"/>
          <w:color w:val="auto"/>
        </w:rPr>
        <w:t>”). Reference is made to that certain Third Amended and Restated Revolving Credit Agreement, dated as of May 3, 2024, by and among the Borrower, the Banks referenced therein and the Administrative Agent (such agreement,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Capitalized terms used herein without definition shall have the same meanings as set forth in the Credit Agreement, as amended hereby.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60" w:lineRule="exact"/>
        <w:rPr>
          <w:sz w:val="20"/>
          <w:szCs w:val="20"/>
          <w:color w:val="auto"/>
        </w:rPr>
      </w:pPr>
    </w:p>
    <w:p>
      <w:pPr>
        <w:jc w:val="both"/>
        <w:ind w:firstLine="629"/>
        <w:spacing w:after="0" w:line="27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Borrower has requested that the Banks make certain amendments to the Credit Agreement, and the Banks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willing to make such changes as set forth herein;</w:t>
      </w:r>
    </w:p>
    <w:p>
      <w:pPr>
        <w:spacing w:after="0" w:line="2" w:lineRule="exact"/>
        <w:rPr>
          <w:sz w:val="20"/>
          <w:szCs w:val="20"/>
          <w:color w:val="auto"/>
        </w:rPr>
      </w:pPr>
    </w:p>
    <w:p>
      <w:pPr>
        <w:jc w:val="both"/>
        <w:ind w:firstLine="629"/>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 pursuant to Section 2.16(c) of the Credit Agreement, the Borrower has requested, and the New Lender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agreed to provide, a New Ratable Commitment under the Credit Agreement; and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New Lender wishes to be added as a “Bank” under the Credit Agreement;</w:t>
      </w:r>
    </w:p>
    <w:p>
      <w:pPr>
        <w:spacing w:after="0" w:line="60" w:lineRule="exact"/>
        <w:rPr>
          <w:sz w:val="20"/>
          <w:szCs w:val="20"/>
          <w:color w:val="auto"/>
        </w:rPr>
      </w:pPr>
    </w:p>
    <w:p>
      <w:pPr>
        <w:jc w:val="both"/>
        <w:ind w:firstLine="629"/>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in consideration of the premises and the agreements, provisions and covenants herein contained,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hereto agree as follows:</w:t>
      </w:r>
    </w:p>
    <w:p>
      <w:pPr>
        <w:spacing w:after="0" w:line="1" w:lineRule="exact"/>
        <w:rPr>
          <w:sz w:val="20"/>
          <w:szCs w:val="20"/>
          <w:color w:val="auto"/>
        </w:rPr>
      </w:pPr>
    </w:p>
    <w:p>
      <w:pPr>
        <w:jc w:val="both"/>
        <w:ind w:firstLine="314"/>
        <w:spacing w:after="0" w:line="217" w:lineRule="auto"/>
        <w:rPr>
          <w:sz w:val="20"/>
          <w:szCs w:val="20"/>
          <w:color w:val="auto"/>
        </w:rPr>
      </w:pPr>
      <w:r>
        <w:rPr>
          <w:rFonts w:ascii="Times New Roman" w:cs="Times New Roman" w:eastAsia="Times New Roman" w:hAnsi="Times New Roman"/>
          <w:sz w:val="21"/>
          <w:szCs w:val="21"/>
          <w:b w:val="1"/>
          <w:bCs w:val="1"/>
          <w:color w:val="auto"/>
        </w:rPr>
        <w:t xml:space="preserve">SECTION 1. AMENDMENTS TO CREDIT AGREEMENT. </w:t>
      </w:r>
      <w:r>
        <w:rPr>
          <w:rFonts w:ascii="Times New Roman" w:cs="Times New Roman" w:eastAsia="Times New Roman" w:hAnsi="Times New Roman"/>
          <w:sz w:val="21"/>
          <w:szCs w:val="21"/>
          <w:color w:val="auto"/>
        </w:rPr>
        <w:t>As of the Amendment Effective Date (as defined in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4 hereof), the Credit Agreement (including Schedule 1 and Schedule 4, but excluding the other Exhibits and Schedules) is hereby amended as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 such that all of the newly inserted bold, double-underlined text (indicated textually in the same manner as the following examples: </w:t>
      </w:r>
      <w:r>
        <w:rPr>
          <w:rFonts w:ascii="Times New Roman" w:cs="Times New Roman" w:eastAsia="Times New Roman" w:hAnsi="Times New Roman"/>
          <w:sz w:val="21"/>
          <w:szCs w:val="21"/>
          <w:u w:val="single" w:color="auto"/>
          <w:color w:val="0000FF"/>
        </w:rPr>
        <w:t>double-underlined text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00AF50"/>
        </w:rPr>
        <w:t>double-underlined text</w:t>
      </w:r>
      <w:r>
        <w:rPr>
          <w:rFonts w:ascii="Times New Roman" w:cs="Times New Roman" w:eastAsia="Times New Roman" w:hAnsi="Times New Roman"/>
          <w:sz w:val="21"/>
          <w:szCs w:val="21"/>
          <w:color w:val="auto"/>
        </w:rPr>
        <w:t xml:space="preserve">) and any formatting changes reflected therein shall be deemed to be inserted and reflected in the text of the Credit Agreement and all of the deleted stricken text (indicated textually in the same manner as the following examples: </w:t>
      </w:r>
      <w:r>
        <w:rPr>
          <w:rFonts w:ascii="Times New Roman" w:cs="Times New Roman" w:eastAsia="Times New Roman" w:hAnsi="Times New Roman"/>
          <w:sz w:val="21"/>
          <w:szCs w:val="21"/>
          <w:color w:val="FF0000"/>
          <w:strike w:val="1"/>
        </w:rPr>
        <w:t>stricken text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color w:val="00B050"/>
          <w:strike w:val="1"/>
        </w:rPr>
        <w:t>stricken text</w:t>
      </w:r>
      <w:r>
        <w:rPr>
          <w:rFonts w:ascii="Times New Roman" w:cs="Times New Roman" w:eastAsia="Times New Roman" w:hAnsi="Times New Roman"/>
          <w:sz w:val="21"/>
          <w:szCs w:val="21"/>
          <w:color w:val="auto"/>
        </w:rPr>
        <w:t>) shall be deemed to be deleted from the text of the Credit Agreement.</w:t>
      </w:r>
    </w:p>
    <w:p>
      <w:pPr>
        <w:spacing w:after="0" w:line="4" w:lineRule="exact"/>
        <w:rPr>
          <w:sz w:val="20"/>
          <w:szCs w:val="20"/>
          <w:color w:val="auto"/>
        </w:rPr>
      </w:pPr>
    </w:p>
    <w:p>
      <w:pPr>
        <w:ind w:left="320"/>
        <w:spacing w:after="0"/>
        <w:tabs>
          <w:tab w:leader="none" w:pos="1920" w:val="left"/>
        </w:tabs>
        <w:rPr>
          <w:sz w:val="20"/>
          <w:szCs w:val="20"/>
          <w:color w:val="auto"/>
        </w:rPr>
      </w:pPr>
      <w:r>
        <w:rPr>
          <w:rFonts w:ascii="Times New Roman" w:cs="Times New Roman" w:eastAsia="Times New Roman" w:hAnsi="Times New Roman"/>
          <w:sz w:val="21"/>
          <w:szCs w:val="21"/>
          <w:b w:val="1"/>
          <w:bCs w:val="1"/>
          <w:color w:val="auto"/>
        </w:rPr>
        <w:t>SECTION 2.</w:t>
      </w:r>
      <w:r>
        <w:rPr>
          <w:sz w:val="20"/>
          <w:szCs w:val="20"/>
          <w:color w:val="auto"/>
        </w:rPr>
        <w:tab/>
      </w:r>
      <w:r>
        <w:rPr>
          <w:rFonts w:ascii="Times New Roman" w:cs="Times New Roman" w:eastAsia="Times New Roman" w:hAnsi="Times New Roman"/>
          <w:sz w:val="20"/>
          <w:szCs w:val="20"/>
          <w:b w:val="1"/>
          <w:bCs w:val="1"/>
          <w:color w:val="auto"/>
        </w:rPr>
        <w:t>NEW RATABLE COMMITMENT</w:t>
      </w:r>
      <w:r>
        <w:rPr>
          <w:rFonts w:ascii="Times New Roman" w:cs="Times New Roman" w:eastAsia="Times New Roman" w:hAnsi="Times New Roman"/>
          <w:sz w:val="20"/>
          <w:szCs w:val="20"/>
          <w:color w:val="auto"/>
        </w:rPr>
        <w:t>. As of the Amendment Effective Date:</w:t>
      </w:r>
    </w:p>
    <w:p>
      <w:pPr>
        <w:spacing w:after="0" w:line="20" w:lineRule="exact"/>
        <w:rPr>
          <w:sz w:val="20"/>
          <w:szCs w:val="20"/>
          <w:color w:val="auto"/>
        </w:rPr>
      </w:pPr>
    </w:p>
    <w:p>
      <w:pPr>
        <w:jc w:val="both"/>
        <w:ind w:firstLine="629"/>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2.1 </w:t>
      </w:r>
      <w:r>
        <w:rPr>
          <w:rFonts w:ascii="Times New Roman" w:cs="Times New Roman" w:eastAsia="Times New Roman" w:hAnsi="Times New Roman"/>
          <w:sz w:val="21"/>
          <w:szCs w:val="21"/>
          <w:b w:val="1"/>
          <w:bCs w:val="1"/>
          <w:u w:val="single" w:color="auto"/>
          <w:color w:val="auto"/>
        </w:rPr>
        <w:t>New Commitment</w:t>
      </w:r>
      <w:r>
        <w:rPr>
          <w:rFonts w:ascii="Times New Roman" w:cs="Times New Roman" w:eastAsia="Times New Roman" w:hAnsi="Times New Roman"/>
          <w:sz w:val="21"/>
          <w:szCs w:val="21"/>
          <w:color w:val="auto"/>
        </w:rPr>
        <w:t>. The New Lender shall have a New Ratable Commitment in the amount of $85,000,000.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Effective Date, and so long as the conditions set forth in Section 4 are satisfied, (a) the New Lender shall purchase from each of the Banks, at the principal amount thereof, such interests in the Ratable Loans outstanding on such date as shall be necessary in order that, after giving effect to all such assignments and purchases, such Ratable</w:t>
      </w:r>
    </w:p>
    <w:p>
      <w:pPr>
        <w:sectPr>
          <w:pgSz w:w="11900" w:h="16838" w:orient="portrait"/>
          <w:cols w:equalWidth="0" w:num="1">
            <w:col w:w="11240"/>
          </w:cols>
          <w:pgMar w:left="320" w:top="1383" w:right="339" w:bottom="1440" w:gutter="0" w:footer="0" w:header="0"/>
        </w:sectPr>
      </w:pPr>
    </w:p>
    <w:bookmarkStart w:id="276" w:name="page277"/>
    <w:bookmarkEnd w:id="276"/>
    <w:p>
      <w:pPr>
        <w:jc w:val="both"/>
        <w:spacing w:after="0" w:line="221" w:lineRule="auto"/>
        <w:rPr>
          <w:sz w:val="20"/>
          <w:szCs w:val="20"/>
          <w:color w:val="auto"/>
        </w:rPr>
      </w:pPr>
      <w:r>
        <w:rPr>
          <w:rFonts w:ascii="Times New Roman" w:cs="Times New Roman" w:eastAsia="Times New Roman" w:hAnsi="Times New Roman"/>
          <w:sz w:val="21"/>
          <w:szCs w:val="21"/>
          <w:color w:val="auto"/>
        </w:rPr>
        <w:t>Loans will be held by existing Banks and the New Lender ratably in accordance with their Loan Commitments after giving effect to the addition of such New Ratable Commitment to the Loan Commitments, (b) the New Ratable Commitment of the New Lender shall be deemed for all purposes a Loan Commitment and each Ratable Loan made under such New Ratable Commitment shall be deemed, for all purposes, a Ratable Loan, and (c) the New Lender shall become a Bank with respect to its New Ratable Commitment and all matters relating thereto.</w:t>
      </w:r>
    </w:p>
    <w:p>
      <w:pPr>
        <w:spacing w:after="0" w:line="1" w:lineRule="exact"/>
        <w:rPr>
          <w:sz w:val="20"/>
          <w:szCs w:val="20"/>
          <w:color w:val="auto"/>
        </w:rPr>
      </w:pPr>
    </w:p>
    <w:p>
      <w:pPr>
        <w:jc w:val="both"/>
        <w:ind w:firstLine="629"/>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2.2 </w:t>
      </w:r>
      <w:r>
        <w:rPr>
          <w:rFonts w:ascii="Times New Roman" w:cs="Times New Roman" w:eastAsia="Times New Roman" w:hAnsi="Times New Roman"/>
          <w:sz w:val="21"/>
          <w:szCs w:val="21"/>
          <w:b w:val="1"/>
          <w:bCs w:val="1"/>
          <w:u w:val="single" w:color="auto"/>
          <w:color w:val="auto"/>
        </w:rPr>
        <w:t>New Lender</w:t>
      </w:r>
      <w:r>
        <w:rPr>
          <w:rFonts w:ascii="Times New Roman" w:cs="Times New Roman" w:eastAsia="Times New Roman" w:hAnsi="Times New Roman"/>
          <w:sz w:val="21"/>
          <w:szCs w:val="21"/>
          <w:color w:val="auto"/>
        </w:rPr>
        <w:t>. From and after the Amendment Effective Date, the New Lender shall be deemed to be a Bank for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purposes of the Credit Agreement, and each reference to the Banks in the Credit Agreement shall be deemed to include the New Lender. The New Lender hereby covenants and agrees to become a party to the Credit Agreement and any of the other Loan Documents as the Administrative Agent may reasonably request. The New Lender appoints JPMorgan Chase Bank, N.A. as the Administrative Agent and authorizes the Administrative Agent to take such action on its behalf and to exercise such powers under the Credit Agreement and the other Loan Documents as are delegated to the Administrative Agent by the terms thereof, together with such powers as are reasonably incidental thereto.</w:t>
      </w:r>
    </w:p>
    <w:p>
      <w:pPr>
        <w:spacing w:after="0" w:line="146" w:lineRule="exact"/>
        <w:rPr>
          <w:sz w:val="20"/>
          <w:szCs w:val="20"/>
          <w:color w:val="auto"/>
        </w:rPr>
      </w:pPr>
    </w:p>
    <w:p>
      <w:pPr>
        <w:jc w:val="both"/>
        <w:ind w:firstLine="629"/>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2.3 </w:t>
      </w:r>
      <w:r>
        <w:rPr>
          <w:rFonts w:ascii="Times New Roman" w:cs="Times New Roman" w:eastAsia="Times New Roman" w:hAnsi="Times New Roman"/>
          <w:sz w:val="21"/>
          <w:szCs w:val="21"/>
          <w:b w:val="1"/>
          <w:bCs w:val="1"/>
          <w:u w:val="single" w:color="auto"/>
          <w:color w:val="auto"/>
        </w:rPr>
        <w:t>Request under Section 2.16(c) of Credit Agreement</w:t>
      </w:r>
      <w:r>
        <w:rPr>
          <w:rFonts w:ascii="Times New Roman" w:cs="Times New Roman" w:eastAsia="Times New Roman" w:hAnsi="Times New Roman"/>
          <w:sz w:val="21"/>
          <w:szCs w:val="21"/>
          <w:color w:val="auto"/>
        </w:rPr>
        <w:t>. This Amendment No. 1 is and shall be deemed to be for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purposes of the Credit Agreement the first exercise by the Borrower of its rights under Section 2.16(c) of the Credit Agreement to request Incremental Commitments.</w:t>
      </w:r>
    </w:p>
    <w:p>
      <w:pPr>
        <w:spacing w:after="0" w:line="141" w:lineRule="exact"/>
        <w:rPr>
          <w:sz w:val="20"/>
          <w:szCs w:val="20"/>
          <w:color w:val="auto"/>
        </w:rPr>
      </w:pPr>
    </w:p>
    <w:p>
      <w:pPr>
        <w:jc w:val="both"/>
        <w:ind w:firstLine="629"/>
        <w:spacing w:after="0" w:line="212" w:lineRule="auto"/>
        <w:rPr>
          <w:sz w:val="20"/>
          <w:szCs w:val="20"/>
          <w:color w:val="auto"/>
        </w:rPr>
      </w:pPr>
      <w:r>
        <w:rPr>
          <w:rFonts w:ascii="Times New Roman" w:cs="Times New Roman" w:eastAsia="Times New Roman" w:hAnsi="Times New Roman"/>
          <w:sz w:val="21"/>
          <w:szCs w:val="21"/>
          <w:b w:val="1"/>
          <w:bCs w:val="1"/>
          <w:color w:val="auto"/>
        </w:rPr>
        <w:t xml:space="preserve">2.4 </w:t>
      </w:r>
      <w:r>
        <w:rPr>
          <w:rFonts w:ascii="Times New Roman" w:cs="Times New Roman" w:eastAsia="Times New Roman" w:hAnsi="Times New Roman"/>
          <w:sz w:val="21"/>
          <w:szCs w:val="21"/>
          <w:b w:val="1"/>
          <w:bCs w:val="1"/>
          <w:u w:val="single" w:color="auto"/>
          <w:color w:val="auto"/>
        </w:rPr>
        <w:t>Representations, Warranties and Agreements of New Lender</w:t>
      </w:r>
      <w:r>
        <w:rPr>
          <w:rFonts w:ascii="Times New Roman" w:cs="Times New Roman" w:eastAsia="Times New Roman" w:hAnsi="Times New Roman"/>
          <w:sz w:val="21"/>
          <w:szCs w:val="21"/>
          <w:color w:val="auto"/>
        </w:rPr>
        <w:t>. The New Lender (a) represents and warrants that (i)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 has full power and authority, and has taken all action necessary, to execute and deliver this Amendment No. 1 and to consummate the transactions contemplated hereby and to become a Bank under the Credit Agreement, (ii) it satisfies the requirements, if any, specified in the Credit Agreement that are required to be satisfied by it in order to become a Bank, (iii) from and after the Amendment Effective Date, it shall be bound by the provisions of the Credit Agreement as a Bank thereunder and, to the extent of its Loan Commitments, shall have the obligations of a Bank thereunder, (iv) it is sophisticated with respect to decisions to acquire assets of the type represented by the Loan Commitment and either it, or the Person exercising discretion in making its decision to acquire the Loan Commitment, is experienced in acquiring assets of such type, (v) it has received a copy of the Credit Agreement, together with copies of the most recent financial statements referred to in Section 5.15 thereof or delivered pursuant to Section 6.09(1) and Section 6.09(2) thereof, as applicable, and such other documents and information as it has deemed appropriate to make its own credit analysis and decision to enter into this Amendment No. 1 and to acquire the Loan Commitment on the basis of which it has made such analysis and decision independently and without reliance on the Administrative Agent or any other Bank, and (vi) it has delivered any documentation required to be delivered by it pursuant to the terms of the Credit Agreement, duly completed and executed by it; and (b) agrees that (i) it will, independently and without reliance upon the Administrative Agent or any other Bank,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Bank. Without limiting the foregoing, the New Lender represents and warrants, and agrees to, each of the matters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56"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21"/>
          <w:szCs w:val="21"/>
          <w:color w:val="auto"/>
        </w:rPr>
        <w:t>in Section 10.06 of the Credit Agreement, including that the Loan Documents set out the terms of a commercial lending facility.</w:t>
      </w:r>
    </w:p>
    <w:p>
      <w:pPr>
        <w:spacing w:after="0" w:line="200" w:lineRule="exact"/>
        <w:rPr>
          <w:sz w:val="20"/>
          <w:szCs w:val="20"/>
          <w:color w:val="auto"/>
        </w:rPr>
      </w:pPr>
    </w:p>
    <w:p>
      <w:pPr>
        <w:ind w:left="320"/>
        <w:spacing w:after="0"/>
        <w:tabs>
          <w:tab w:leader="none" w:pos="1920" w:val="left"/>
        </w:tabs>
        <w:rPr>
          <w:sz w:val="20"/>
          <w:szCs w:val="20"/>
          <w:color w:val="auto"/>
        </w:rPr>
      </w:pPr>
      <w:r>
        <w:rPr>
          <w:rFonts w:ascii="Times New Roman" w:cs="Times New Roman" w:eastAsia="Times New Roman" w:hAnsi="Times New Roman"/>
          <w:sz w:val="21"/>
          <w:szCs w:val="21"/>
          <w:b w:val="1"/>
          <w:bCs w:val="1"/>
          <w:color w:val="auto"/>
        </w:rPr>
        <w:t>SECTION 3.</w:t>
      </w:r>
      <w:r>
        <w:rPr>
          <w:sz w:val="20"/>
          <w:szCs w:val="20"/>
          <w:color w:val="auto"/>
        </w:rPr>
        <w:tab/>
      </w:r>
      <w:r>
        <w:rPr>
          <w:rFonts w:ascii="Times New Roman" w:cs="Times New Roman" w:eastAsia="Times New Roman" w:hAnsi="Times New Roman"/>
          <w:sz w:val="20"/>
          <w:szCs w:val="20"/>
          <w:b w:val="1"/>
          <w:bCs w:val="1"/>
          <w:color w:val="auto"/>
        </w:rPr>
        <w:t>REPRESENTATIONS AND WARRANTIES OF THE BORROWER</w:t>
      </w:r>
    </w:p>
    <w:p>
      <w:pPr>
        <w:spacing w:after="0" w:line="208" w:lineRule="exact"/>
        <w:rPr>
          <w:sz w:val="20"/>
          <w:szCs w:val="20"/>
          <w:color w:val="auto"/>
        </w:rPr>
      </w:pPr>
    </w:p>
    <w:p>
      <w:pPr>
        <w:jc w:val="both"/>
        <w:ind w:firstLine="1257"/>
        <w:spacing w:after="0" w:line="263" w:lineRule="auto"/>
        <w:rPr>
          <w:sz w:val="20"/>
          <w:szCs w:val="20"/>
          <w:color w:val="auto"/>
        </w:rPr>
      </w:pPr>
      <w:r>
        <w:rPr>
          <w:rFonts w:ascii="Times New Roman" w:cs="Times New Roman" w:eastAsia="Times New Roman" w:hAnsi="Times New Roman"/>
          <w:sz w:val="21"/>
          <w:szCs w:val="21"/>
          <w:color w:val="auto"/>
        </w:rPr>
        <w:t>In order to induce the New Lender, the Banks and Administrative Agent to enter into this Amendment No. 1, the Borrower represents and warrants to the New Lender, each Bank and Administrative Agent that the following statements are true, correct and complete:</w:t>
      </w:r>
    </w:p>
    <w:p>
      <w:pPr>
        <w:spacing w:after="0" w:line="175" w:lineRule="exact"/>
        <w:rPr>
          <w:sz w:val="20"/>
          <w:szCs w:val="20"/>
          <w:color w:val="auto"/>
        </w:rPr>
      </w:pPr>
    </w:p>
    <w:p>
      <w:pPr>
        <w:jc w:val="both"/>
        <w:ind w:firstLine="1262"/>
        <w:spacing w:after="0" w:line="255" w:lineRule="auto"/>
        <w:tabs>
          <w:tab w:leader="none" w:pos="1671"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by the Borrower of this Amendment No. 1 and the Credit Agreement as amended by this Amendment No. 1 (the “</w:t>
      </w:r>
      <w:r>
        <w:rPr>
          <w:rFonts w:ascii="Times New Roman" w:cs="Times New Roman" w:eastAsia="Times New Roman" w:hAnsi="Times New Roman"/>
          <w:sz w:val="21"/>
          <w:szCs w:val="21"/>
          <w:u w:val="single" w:color="auto"/>
          <w:color w:val="auto"/>
        </w:rPr>
        <w:t>Amended Credit Agreement</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Amendment Documents</w:t>
      </w:r>
      <w:r>
        <w:rPr>
          <w:rFonts w:ascii="Times New Roman" w:cs="Times New Roman" w:eastAsia="Times New Roman" w:hAnsi="Times New Roman"/>
          <w:sz w:val="21"/>
          <w:szCs w:val="21"/>
          <w:color w:val="auto"/>
        </w:rPr>
        <w:t>”) are within its partnership authority, have been duly authorized by all requisite action, and are not in conflict with the terms of any organizational instruments of such entity, or any instrument or agreement to which Borrower or General Partner is a party or by which Borrower, General Partner or any of their respective assets may be bound or affected;</w:t>
      </w:r>
    </w:p>
    <w:p>
      <w:pPr>
        <w:spacing w:after="0" w:line="184" w:lineRule="exact"/>
        <w:rPr>
          <w:rFonts w:ascii="Times New Roman" w:cs="Times New Roman" w:eastAsia="Times New Roman" w:hAnsi="Times New Roman"/>
          <w:sz w:val="21"/>
          <w:szCs w:val="21"/>
          <w:color w:val="auto"/>
        </w:rPr>
      </w:pPr>
    </w:p>
    <w:p>
      <w:pPr>
        <w:jc w:val="both"/>
        <w:ind w:firstLine="1262"/>
        <w:spacing w:after="0" w:line="263" w:lineRule="auto"/>
        <w:tabs>
          <w:tab w:leader="none" w:pos="1725"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officers of General Partner executing this Amendment No. 1 and any other Amendment Documents required to be delivered by it on behalf of Borrower hereunder have been duly elected or appointed and were fully authorized to execute the same at the time each such Amendment Document was executed;</w:t>
      </w:r>
    </w:p>
    <w:p>
      <w:pPr>
        <w:spacing w:after="0" w:line="162" w:lineRule="exact"/>
        <w:rPr>
          <w:rFonts w:ascii="Times New Roman" w:cs="Times New Roman" w:eastAsia="Times New Roman" w:hAnsi="Times New Roman"/>
          <w:sz w:val="21"/>
          <w:szCs w:val="21"/>
          <w:color w:val="auto"/>
        </w:rPr>
      </w:pPr>
    </w:p>
    <w:p>
      <w:pPr>
        <w:jc w:val="both"/>
        <w:ind w:firstLine="1262"/>
        <w:spacing w:after="0" w:line="252" w:lineRule="auto"/>
        <w:tabs>
          <w:tab w:leader="none" w:pos="1846"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and delivery of, and the performance of the obligations required to be performed by Borrower under, this Amendment No. 1 and any other Amendment Documents do not and will not (a) violate any provision of, or, except for those which have been made or obtained, require any filing (other than SEC disclosure filings), registration, consent or approval under, any Law (including, without limitation, Regulation U), order, writ, judgment, injunction, decree, determination or award presently in effect having applicability to it, except for such violations, or filings, registrations, consents and approvals which if not done or obtained would not likely cause a Material Adverse Change to occur, (b) result in a breach of or constitute a default under or require any consent under any indenture or loan or credit agreement or any other agreement, lease or instrument to which it may be a party or by which it or its properties may be bound or affected except for consents which have been obtained or which if not obtained are not likely to cause a Material Adverse Change to occur, (c) result in, or require, the creation or imposition of any Lien, upon or with respect to any of its properties now owned or hereafter acquired which would likely cause a Material Adverse Change to occur, or (d) cause it to be in default under any such Law, order, writ, judgment, injunction, decree, determination or award or any such indenture, agreement, lease or instrument which would likely cause a Material Adverse Change to occur; to the best of its knowledge, Borrower is in compliance with all Laws applicable to it and its properties where the failure to be in compliance would cause a Material Adverse Change to occur;</w:t>
      </w:r>
    </w:p>
    <w:p>
      <w:pPr>
        <w:spacing w:after="0" w:line="183" w:lineRule="exact"/>
        <w:rPr>
          <w:rFonts w:ascii="Times New Roman" w:cs="Times New Roman" w:eastAsia="Times New Roman" w:hAnsi="Times New Roman"/>
          <w:sz w:val="21"/>
          <w:szCs w:val="21"/>
          <w:color w:val="auto"/>
        </w:rPr>
      </w:pPr>
    </w:p>
    <w:p>
      <w:pPr>
        <w:ind w:firstLine="1262"/>
        <w:spacing w:after="0" w:line="280" w:lineRule="auto"/>
        <w:tabs>
          <w:tab w:leader="none" w:pos="1791"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this Amendment No. 1 and the other Amendment Documents is a legal, valid and binding obligation of Borrower, enforceable in accordance with its terms, except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56" w:right="339" w:bottom="1440" w:gutter="0" w:footer="0" w:header="0"/>
        </w:sectPr>
      </w:pPr>
    </w:p>
    <w:bookmarkStart w:id="278" w:name="page279"/>
    <w:bookmarkEnd w:id="278"/>
    <w:p>
      <w:pPr>
        <w:spacing w:after="0" w:line="280" w:lineRule="auto"/>
        <w:rPr>
          <w:sz w:val="20"/>
          <w:szCs w:val="20"/>
          <w:color w:val="auto"/>
        </w:rPr>
      </w:pPr>
      <w:r>
        <w:rPr>
          <w:rFonts w:ascii="Times New Roman" w:cs="Times New Roman" w:eastAsia="Times New Roman" w:hAnsi="Times New Roman"/>
          <w:sz w:val="21"/>
          <w:szCs w:val="21"/>
          <w:color w:val="auto"/>
        </w:rPr>
        <w:t>to the extent that such enforcement may be limited by applicable bankruptcy, insolvency and other similar laws affecting creditors’ rights generally, as well as general principles of equity;</w:t>
      </w:r>
    </w:p>
    <w:p>
      <w:pPr>
        <w:spacing w:after="0" w:line="144" w:lineRule="exact"/>
        <w:rPr>
          <w:sz w:val="20"/>
          <w:szCs w:val="20"/>
          <w:color w:val="auto"/>
        </w:rPr>
      </w:pPr>
    </w:p>
    <w:p>
      <w:pPr>
        <w:ind w:left="1800" w:hanging="538"/>
        <w:spacing w:after="0"/>
        <w:tabs>
          <w:tab w:leader="none" w:pos="1800"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No. 1 and the other Amendment Documents have been duly executed and delivered by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Borrower;</w:t>
      </w:r>
    </w:p>
    <w:p>
      <w:pPr>
        <w:spacing w:after="0" w:line="204" w:lineRule="exact"/>
        <w:rPr>
          <w:sz w:val="20"/>
          <w:szCs w:val="20"/>
          <w:color w:val="auto"/>
        </w:rPr>
      </w:pPr>
    </w:p>
    <w:p>
      <w:pPr>
        <w:jc w:val="both"/>
        <w:ind w:firstLine="1262"/>
        <w:spacing w:after="0" w:line="253" w:lineRule="auto"/>
        <w:tabs>
          <w:tab w:leader="none" w:pos="1783"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of the Borrower contained in Article V of the Credit Agreement are and will be true and correct in all material respects (or in the case of any representation or warranty that is qualified as to “materiality”, “Material Adverse Change” or similar language, in all respects) on and as of the Amendment Effective Date to the same extent as though made on and as of such dates (except in those cases where such representation or warranty expressly relates to an earlier date, in which case such representations and warranties were true and correct in all material respects (or in the case of any representation or warranty that is qualified as to “materiality”, “Material Adverse Change” or similar language, in all respects) as of such date, and except for changes in factual circumstances permitted hereunder), provided that Section 5.20 of the Credit Agreement is qualified insofar as the Borrower will be required to file this Amendment No. 1 in connection with its compliance with its periodic reporting obligations; and</w:t>
      </w:r>
    </w:p>
    <w:p>
      <w:pPr>
        <w:spacing w:after="0" w:line="171" w:lineRule="exact"/>
        <w:rPr>
          <w:rFonts w:ascii="Times New Roman" w:cs="Times New Roman" w:eastAsia="Times New Roman" w:hAnsi="Times New Roman"/>
          <w:sz w:val="21"/>
          <w:szCs w:val="21"/>
          <w:color w:val="auto"/>
        </w:rPr>
      </w:pPr>
    </w:p>
    <w:p>
      <w:pPr>
        <w:ind w:left="1940" w:hanging="678"/>
        <w:spacing w:after="0"/>
        <w:tabs>
          <w:tab w:leader="none" w:pos="1940"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has occurred and is continuing, both before and after giving effect to this</w:t>
      </w:r>
    </w:p>
    <w:p>
      <w:pPr>
        <w:spacing w:after="0" w:line="3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Amendment No. 1.</w:t>
      </w:r>
    </w:p>
    <w:p>
      <w:pPr>
        <w:spacing w:after="0" w:line="174" w:lineRule="exact"/>
        <w:rPr>
          <w:sz w:val="20"/>
          <w:szCs w:val="20"/>
          <w:color w:val="auto"/>
        </w:rPr>
      </w:pPr>
    </w:p>
    <w:p>
      <w:pPr>
        <w:ind w:left="320"/>
        <w:spacing w:after="0"/>
        <w:tabs>
          <w:tab w:leader="none" w:pos="1920" w:val="left"/>
        </w:tabs>
        <w:rPr>
          <w:sz w:val="20"/>
          <w:szCs w:val="20"/>
          <w:color w:val="auto"/>
        </w:rPr>
      </w:pPr>
      <w:r>
        <w:rPr>
          <w:rFonts w:ascii="Times New Roman" w:cs="Times New Roman" w:eastAsia="Times New Roman" w:hAnsi="Times New Roman"/>
          <w:sz w:val="21"/>
          <w:szCs w:val="21"/>
          <w:b w:val="1"/>
          <w:bCs w:val="1"/>
          <w:color w:val="auto"/>
        </w:rPr>
        <w:t>SECTION 4.</w:t>
      </w:r>
      <w:r>
        <w:rPr>
          <w:sz w:val="20"/>
          <w:szCs w:val="20"/>
          <w:color w:val="auto"/>
        </w:rPr>
        <w:tab/>
      </w:r>
      <w:r>
        <w:rPr>
          <w:rFonts w:ascii="Times New Roman" w:cs="Times New Roman" w:eastAsia="Times New Roman" w:hAnsi="Times New Roman"/>
          <w:sz w:val="20"/>
          <w:szCs w:val="20"/>
          <w:b w:val="1"/>
          <w:bCs w:val="1"/>
          <w:color w:val="auto"/>
        </w:rPr>
        <w:t>CONDITIONS TO EFFECTIVENESS</w:t>
      </w:r>
    </w:p>
    <w:p>
      <w:pPr>
        <w:spacing w:after="0" w:line="208" w:lineRule="exact"/>
        <w:rPr>
          <w:sz w:val="20"/>
          <w:szCs w:val="20"/>
          <w:color w:val="auto"/>
        </w:rPr>
      </w:pPr>
    </w:p>
    <w:p>
      <w:pPr>
        <w:ind w:firstLine="629"/>
        <w:spacing w:after="0" w:line="280" w:lineRule="auto"/>
        <w:rPr>
          <w:sz w:val="20"/>
          <w:szCs w:val="20"/>
          <w:color w:val="auto"/>
        </w:rPr>
      </w:pPr>
      <w:r>
        <w:rPr>
          <w:rFonts w:ascii="Times New Roman" w:cs="Times New Roman" w:eastAsia="Times New Roman" w:hAnsi="Times New Roman"/>
          <w:sz w:val="21"/>
          <w:szCs w:val="21"/>
          <w:color w:val="auto"/>
        </w:rPr>
        <w:t>Except as set forth below, Section 1 of this Amendment No. 1 shall become effective only upon the satisfaction of the following conditions precedent (the “</w:t>
      </w:r>
      <w:r>
        <w:rPr>
          <w:rFonts w:ascii="Times New Roman" w:cs="Times New Roman" w:eastAsia="Times New Roman" w:hAnsi="Times New Roman"/>
          <w:sz w:val="21"/>
          <w:szCs w:val="21"/>
          <w:u w:val="single" w:color="auto"/>
          <w:color w:val="auto"/>
        </w:rPr>
        <w:t>Amendment Effective Date</w:t>
      </w:r>
      <w:r>
        <w:rPr>
          <w:rFonts w:ascii="Times New Roman" w:cs="Times New Roman" w:eastAsia="Times New Roman" w:hAnsi="Times New Roman"/>
          <w:sz w:val="21"/>
          <w:szCs w:val="21"/>
          <w:color w:val="auto"/>
        </w:rPr>
        <w:t>”):</w:t>
      </w:r>
    </w:p>
    <w:p>
      <w:pPr>
        <w:spacing w:after="0" w:line="118" w:lineRule="exact"/>
        <w:rPr>
          <w:sz w:val="20"/>
          <w:szCs w:val="20"/>
          <w:color w:val="auto"/>
        </w:rPr>
      </w:pPr>
    </w:p>
    <w:p>
      <w:pPr>
        <w:ind w:firstLine="1262"/>
        <w:spacing w:after="0" w:line="241" w:lineRule="auto"/>
        <w:tabs>
          <w:tab w:leader="none" w:pos="1933" w:val="left"/>
        </w:tabs>
        <w:numPr>
          <w:ilvl w:val="0"/>
          <w:numId w:val="2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Borrower, the Administrative Agent, the New Lender, and each of the Banks under the Credit Agreement shall have indicated their consent hereto by the execution and delivery of the signature pages hereof to the Administrative Agent.</w:t>
      </w:r>
    </w:p>
    <w:p>
      <w:pPr>
        <w:spacing w:after="0" w:line="143" w:lineRule="exact"/>
        <w:rPr>
          <w:rFonts w:ascii="Times New Roman" w:cs="Times New Roman" w:eastAsia="Times New Roman" w:hAnsi="Times New Roman"/>
          <w:sz w:val="21"/>
          <w:szCs w:val="21"/>
          <w:b w:val="1"/>
          <w:bCs w:val="1"/>
          <w:color w:val="auto"/>
        </w:rPr>
      </w:pPr>
    </w:p>
    <w:p>
      <w:pPr>
        <w:jc w:val="both"/>
        <w:ind w:firstLine="1262"/>
        <w:spacing w:after="0" w:line="224" w:lineRule="auto"/>
        <w:tabs>
          <w:tab w:leader="none" w:pos="1947" w:val="left"/>
        </w:tabs>
        <w:numPr>
          <w:ilvl w:val="0"/>
          <w:numId w:val="2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Administrative Agent shall have received a secretary’s certificate of the Borrower (i) either confirming that there have been no changes to its organizational documents since May 3, 2024, or if there have been changes to the Borrower’s organizational documents since such date, certifying as to such changes, and (ii) certifying as to resolutions and incumbency of officers with respect to this Amendment No. 1 and the transactions contemplated hereby.</w:t>
      </w:r>
    </w:p>
    <w:p>
      <w:pPr>
        <w:spacing w:after="0" w:line="146" w:lineRule="exact"/>
        <w:rPr>
          <w:rFonts w:ascii="Times New Roman" w:cs="Times New Roman" w:eastAsia="Times New Roman" w:hAnsi="Times New Roman"/>
          <w:sz w:val="21"/>
          <w:szCs w:val="21"/>
          <w:b w:val="1"/>
          <w:bCs w:val="1"/>
          <w:color w:val="auto"/>
        </w:rPr>
      </w:pPr>
    </w:p>
    <w:p>
      <w:pPr>
        <w:jc w:val="both"/>
        <w:ind w:firstLine="1262"/>
        <w:spacing w:after="0" w:line="229" w:lineRule="auto"/>
        <w:tabs>
          <w:tab w:leader="none" w:pos="1959" w:val="left"/>
        </w:tabs>
        <w:numPr>
          <w:ilvl w:val="0"/>
          <w:numId w:val="2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Administrative Agent shall have received all reasonable out-of-pocket costs and expenses for which invoices have been presented (including the reasonable fees and expenses of legal counsel for which the Borrower agrees it is responsible pursuant to Section 12.04 of the Credit Agreement), incurred in connection with this Amendment No. 1.</w:t>
      </w:r>
    </w:p>
    <w:p>
      <w:pPr>
        <w:spacing w:after="0" w:line="147" w:lineRule="exact"/>
        <w:rPr>
          <w:rFonts w:ascii="Times New Roman" w:cs="Times New Roman" w:eastAsia="Times New Roman" w:hAnsi="Times New Roman"/>
          <w:sz w:val="21"/>
          <w:szCs w:val="21"/>
          <w:b w:val="1"/>
          <w:bCs w:val="1"/>
          <w:color w:val="auto"/>
        </w:rPr>
      </w:pPr>
    </w:p>
    <w:p>
      <w:pPr>
        <w:ind w:firstLine="1262"/>
        <w:spacing w:after="0" w:line="241" w:lineRule="auto"/>
        <w:tabs>
          <w:tab w:leader="none" w:pos="1933" w:val="left"/>
        </w:tabs>
        <w:numPr>
          <w:ilvl w:val="0"/>
          <w:numId w:val="2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Execution and delivery to the Administrative Agent by the Borrower of a Note in favor of the New Lender, in each case in the amounts of its Commitments set forth on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3" w:right="339" w:bottom="1440" w:gutter="0" w:footer="0" w:header="0"/>
        </w:sectPr>
      </w:pPr>
    </w:p>
    <w:bookmarkStart w:id="279" w:name="page280"/>
    <w:bookmarkEnd w:id="279"/>
    <w:p>
      <w:pPr>
        <w:jc w:val="both"/>
        <w:ind w:firstLine="1262"/>
        <w:spacing w:after="0" w:line="229" w:lineRule="auto"/>
        <w:tabs>
          <w:tab w:leader="none" w:pos="1960" w:val="left"/>
        </w:tabs>
        <w:numPr>
          <w:ilvl w:val="0"/>
          <w:numId w:val="2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Delivery to the Administrative Agent by Sullivan &amp; Cromwell LLP and Venable LLP, as counsel to the Borrower, of opinions addressed to the New Lender, the Banks and the Administrative Agent in form and substance reasonably satisfactory to the Administrative Agent.</w:t>
      </w:r>
    </w:p>
    <w:p>
      <w:pPr>
        <w:spacing w:after="0" w:line="147" w:lineRule="exact"/>
        <w:rPr>
          <w:rFonts w:ascii="Times New Roman" w:cs="Times New Roman" w:eastAsia="Times New Roman" w:hAnsi="Times New Roman"/>
          <w:sz w:val="21"/>
          <w:szCs w:val="21"/>
          <w:b w:val="1"/>
          <w:bCs w:val="1"/>
          <w:color w:val="auto"/>
        </w:rPr>
      </w:pPr>
    </w:p>
    <w:p>
      <w:pPr>
        <w:jc w:val="both"/>
        <w:ind w:firstLine="1262"/>
        <w:spacing w:after="0" w:line="229" w:lineRule="auto"/>
        <w:tabs>
          <w:tab w:leader="none" w:pos="1916" w:val="left"/>
        </w:tabs>
        <w:numPr>
          <w:ilvl w:val="0"/>
          <w:numId w:val="2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Payment by the Borrower of any agreed upon compensation to the New Lender and the Administrative Agent as provided in Section 2.16(c)(vi)(e) of the Credit Agreement arising out of the addition of the New Lender as a “Bank” under the Credit Agreement.</w:t>
      </w:r>
    </w:p>
    <w:p>
      <w:pPr>
        <w:spacing w:after="0" w:line="147" w:lineRule="exact"/>
        <w:rPr>
          <w:rFonts w:ascii="Times New Roman" w:cs="Times New Roman" w:eastAsia="Times New Roman" w:hAnsi="Times New Roman"/>
          <w:sz w:val="21"/>
          <w:szCs w:val="21"/>
          <w:b w:val="1"/>
          <w:bCs w:val="1"/>
          <w:color w:val="auto"/>
        </w:rPr>
      </w:pPr>
    </w:p>
    <w:p>
      <w:pPr>
        <w:jc w:val="both"/>
        <w:ind w:firstLine="1262"/>
        <w:spacing w:after="0" w:line="221" w:lineRule="auto"/>
        <w:tabs>
          <w:tab w:leader="none" w:pos="1997" w:val="left"/>
        </w:tabs>
        <w:numPr>
          <w:ilvl w:val="0"/>
          <w:numId w:val="2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conditions set forth in Section 4.02 of the Credit Agreement shall have been satisfied and the Administrative Agent shall have received a certificate dated the Amendment Effective Date and executed by authorized signatory of the Borrower that such conditions have been satisfied and that the Borrower shall be in pro forma compliance with the covenants set forth in Article VII of the Credit Agreement after giving effect to the New Ratable Commitments and the Ratable Loans to be made thereunder on the Amendment Effective Date.</w:t>
      </w:r>
    </w:p>
    <w:p>
      <w:pPr>
        <w:spacing w:after="0" w:line="145" w:lineRule="exact"/>
        <w:rPr>
          <w:rFonts w:ascii="Times New Roman" w:cs="Times New Roman" w:eastAsia="Times New Roman" w:hAnsi="Times New Roman"/>
          <w:sz w:val="21"/>
          <w:szCs w:val="21"/>
          <w:b w:val="1"/>
          <w:bCs w:val="1"/>
          <w:color w:val="auto"/>
        </w:rPr>
      </w:pPr>
    </w:p>
    <w:p>
      <w:pPr>
        <w:ind w:firstLine="1262"/>
        <w:spacing w:after="0" w:line="241" w:lineRule="auto"/>
        <w:tabs>
          <w:tab w:leader="none" w:pos="1957" w:val="left"/>
        </w:tabs>
        <w:numPr>
          <w:ilvl w:val="0"/>
          <w:numId w:val="2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Upon satisfaction of the foregoing conditions, the Administrative Agent shall deliver written notice to the Borrower and the Banks of the Amendment Effective Date.</w:t>
      </w:r>
    </w:p>
    <w:p>
      <w:pPr>
        <w:spacing w:after="0" w:line="140" w:lineRule="exact"/>
        <w:rPr>
          <w:sz w:val="20"/>
          <w:szCs w:val="20"/>
          <w:color w:val="auto"/>
        </w:rPr>
      </w:pPr>
    </w:p>
    <w:p>
      <w:pPr>
        <w:ind w:left="320"/>
        <w:spacing w:after="0"/>
        <w:tabs>
          <w:tab w:leader="none" w:pos="1920" w:val="left"/>
        </w:tabs>
        <w:rPr>
          <w:sz w:val="20"/>
          <w:szCs w:val="20"/>
          <w:color w:val="auto"/>
        </w:rPr>
      </w:pPr>
      <w:r>
        <w:rPr>
          <w:rFonts w:ascii="Times New Roman" w:cs="Times New Roman" w:eastAsia="Times New Roman" w:hAnsi="Times New Roman"/>
          <w:sz w:val="21"/>
          <w:szCs w:val="21"/>
          <w:b w:val="1"/>
          <w:bCs w:val="1"/>
          <w:color w:val="auto"/>
        </w:rPr>
        <w:t>SECTION 5.</w:t>
      </w:r>
      <w:r>
        <w:rPr>
          <w:sz w:val="20"/>
          <w:szCs w:val="20"/>
          <w:color w:val="auto"/>
        </w:rPr>
        <w:tab/>
      </w:r>
      <w:r>
        <w:rPr>
          <w:rFonts w:ascii="Times New Roman" w:cs="Times New Roman" w:eastAsia="Times New Roman" w:hAnsi="Times New Roman"/>
          <w:sz w:val="20"/>
          <w:szCs w:val="20"/>
          <w:b w:val="1"/>
          <w:bCs w:val="1"/>
          <w:color w:val="auto"/>
        </w:rPr>
        <w:t>MISCELLANEOUS</w:t>
      </w:r>
    </w:p>
    <w:p>
      <w:pPr>
        <w:spacing w:after="0" w:line="178" w:lineRule="exact"/>
        <w:rPr>
          <w:sz w:val="20"/>
          <w:szCs w:val="20"/>
          <w:color w:val="auto"/>
        </w:rPr>
      </w:pPr>
    </w:p>
    <w:p>
      <w:pPr>
        <w:ind w:left="1940" w:hanging="678"/>
        <w:spacing w:after="0"/>
        <w:tabs>
          <w:tab w:leader="none" w:pos="1940" w:val="left"/>
        </w:tabs>
        <w:numPr>
          <w:ilvl w:val="0"/>
          <w:numId w:val="2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Reference to and Effect on the Credit Agreement and the Other Loan Documents</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jc w:val="both"/>
        <w:ind w:firstLine="1262"/>
        <w:spacing w:after="0" w:line="258" w:lineRule="auto"/>
        <w:tabs>
          <w:tab w:leader="none" w:pos="1805"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and after the effective date of this Amendment No. 1,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Amended Credit Agreement. This Amendment No. 1 shall be deemed to be a “Loan Document” under the Credit Agreement.</w:t>
      </w:r>
    </w:p>
    <w:p>
      <w:pPr>
        <w:spacing w:after="0" w:line="169" w:lineRule="exact"/>
        <w:rPr>
          <w:rFonts w:ascii="Times New Roman" w:cs="Times New Roman" w:eastAsia="Times New Roman" w:hAnsi="Times New Roman"/>
          <w:sz w:val="21"/>
          <w:szCs w:val="21"/>
          <w:color w:val="auto"/>
        </w:rPr>
      </w:pPr>
    </w:p>
    <w:p>
      <w:pPr>
        <w:jc w:val="both"/>
        <w:ind w:firstLine="1262"/>
        <w:spacing w:after="0" w:line="258" w:lineRule="auto"/>
        <w:tabs>
          <w:tab w:leader="none" w:pos="1741"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specifically amended by this Amendment No. 1, the Credit Agreement and the other Loan Documents shall remain in full force and effect and are hereby ratified and confirmed. The parties hereto do not intend this Amendment No. 1 or the transactions contemplated hereby to be, and this Amendment No. 1 and the transactions contemplated hereby shall not be construed to be, a novation of any of the obligations owing by the Borrower under or in connection with the Credit Agreement or any of the other Loan Documents.</w:t>
      </w:r>
    </w:p>
    <w:p>
      <w:pPr>
        <w:spacing w:after="0" w:line="169" w:lineRule="exact"/>
        <w:rPr>
          <w:rFonts w:ascii="Times New Roman" w:cs="Times New Roman" w:eastAsia="Times New Roman" w:hAnsi="Times New Roman"/>
          <w:sz w:val="21"/>
          <w:szCs w:val="21"/>
          <w:color w:val="auto"/>
        </w:rPr>
      </w:pPr>
    </w:p>
    <w:p>
      <w:pPr>
        <w:jc w:val="both"/>
        <w:ind w:firstLine="1262"/>
        <w:spacing w:after="0" w:line="263" w:lineRule="auto"/>
        <w:tabs>
          <w:tab w:leader="none" w:pos="1888" w:val="left"/>
        </w:tabs>
        <w:numPr>
          <w:ilvl w:val="0"/>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of this Amendment No. 1 shall not, except as expressly provided herein, constitute a waiver of any provision of, or operate as a waiver of any right, power or remedy of the Administrative Agent or any Bank under the Credit Agreement or any of the other Loan Documents.</w:t>
      </w:r>
    </w:p>
    <w:p>
      <w:pPr>
        <w:spacing w:after="0" w:line="132" w:lineRule="exact"/>
        <w:rPr>
          <w:sz w:val="20"/>
          <w:szCs w:val="20"/>
          <w:color w:val="auto"/>
        </w:rPr>
      </w:pPr>
    </w:p>
    <w:p>
      <w:pPr>
        <w:ind w:firstLine="1262"/>
        <w:spacing w:after="0" w:line="245" w:lineRule="auto"/>
        <w:tabs>
          <w:tab w:leader="none" w:pos="1934" w:val="left"/>
        </w:tabs>
        <w:numPr>
          <w:ilvl w:val="0"/>
          <w:numId w:val="2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Headings</w:t>
      </w:r>
      <w:r>
        <w:rPr>
          <w:rFonts w:ascii="Times New Roman" w:cs="Times New Roman" w:eastAsia="Times New Roman" w:hAnsi="Times New Roman"/>
          <w:sz w:val="21"/>
          <w:szCs w:val="21"/>
          <w:color w:val="auto"/>
        </w:rPr>
        <w:t>. Section and subsection headings in this Amendment No. 1 are included herein for convenience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reference only and shall not constitute a part of this Amendment No. 1 for any other purpose or be given any substantive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56" w:right="339" w:bottom="1440" w:gutter="0" w:footer="0" w:header="0"/>
        </w:sectPr>
      </w:pPr>
    </w:p>
    <w:bookmarkStart w:id="280" w:name="page281"/>
    <w:bookmarkEnd w:id="280"/>
    <w:p>
      <w:pPr>
        <w:jc w:val="both"/>
        <w:ind w:firstLine="1262"/>
        <w:spacing w:after="0" w:line="231" w:lineRule="auto"/>
        <w:tabs>
          <w:tab w:leader="none" w:pos="1985" w:val="left"/>
        </w:tabs>
        <w:numPr>
          <w:ilvl w:val="0"/>
          <w:numId w:val="2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Applicable Law</w:t>
      </w:r>
      <w:r>
        <w:rPr>
          <w:rFonts w:ascii="Times New Roman" w:cs="Times New Roman" w:eastAsia="Times New Roman" w:hAnsi="Times New Roman"/>
          <w:sz w:val="21"/>
          <w:szCs w:val="21"/>
          <w:color w:val="auto"/>
        </w:rPr>
        <w:t>. THIS AMENDMENT NO. 1 AND THE RIGHTS AND OBLIGATIONS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HEREUNDER SHALL BE GOVERNED BY, AND CONSTRUED AND INTERPRETED IN ACCORDANCE WITH, THE LAW OF THE STATE OF NEW YORK.</w:t>
      </w:r>
    </w:p>
    <w:p>
      <w:pPr>
        <w:spacing w:after="0" w:line="141" w:lineRule="exact"/>
        <w:rPr>
          <w:rFonts w:ascii="Times New Roman" w:cs="Times New Roman" w:eastAsia="Times New Roman" w:hAnsi="Times New Roman"/>
          <w:sz w:val="21"/>
          <w:szCs w:val="21"/>
          <w:b w:val="1"/>
          <w:bCs w:val="1"/>
          <w:color w:val="auto"/>
        </w:rPr>
      </w:pPr>
    </w:p>
    <w:p>
      <w:pPr>
        <w:jc w:val="both"/>
        <w:ind w:firstLine="1262"/>
        <w:spacing w:after="0" w:line="212" w:lineRule="auto"/>
        <w:tabs>
          <w:tab w:leader="none" w:pos="1933" w:val="left"/>
        </w:tabs>
        <w:numPr>
          <w:ilvl w:val="0"/>
          <w:numId w:val="2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Counterparts; Effectiveness</w:t>
      </w:r>
      <w:r>
        <w:rPr>
          <w:rFonts w:ascii="Times New Roman" w:cs="Times New Roman" w:eastAsia="Times New Roman" w:hAnsi="Times New Roman"/>
          <w:sz w:val="21"/>
          <w:szCs w:val="21"/>
          <w:color w:val="auto"/>
        </w:rPr>
        <w:t>. This Amendment No. 1 may be executed in any number of counterparts and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This Amendment No. 1 (other than the provisions of Section 1 hereof, the effectiveness of which is governed by Section 3 hereof) shall become effective upon the execution of a counterpart hereof by the Borrower and the Banks. Delivery of an executed counterpart of a signature page of this Amendment No. 1 by telecopy, emailed pdf. or any other electronic means that reproduces an image of the actual executed signature page shall be effective as delivery of a manually executed counterpart of this Amendment No. 1. The words “execution,” “signed,” “signature,” “delivery,” and words of like import in or relating to this Amendment No. 1 and/or any document to be signed in connection with this Amendment No. 1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 w:cs="Times New Roman" w:eastAsia="Times New Roman" w:hAnsi="Times New Roman"/>
          <w:sz w:val="21"/>
          <w:szCs w:val="21"/>
          <w:b w:val="1"/>
          <w:bCs w:val="1"/>
          <w:i w:val="1"/>
          <w:iCs w:val="1"/>
          <w:color w:val="auto"/>
        </w:rPr>
        <w:t>Electronic Signatures</w:t>
      </w:r>
      <w:r>
        <w:rPr>
          <w:rFonts w:ascii="Times New Roman" w:cs="Times New Roman" w:eastAsia="Times New Roman" w:hAnsi="Times New Roman"/>
          <w:sz w:val="21"/>
          <w:szCs w:val="21"/>
          <w:color w:val="auto"/>
        </w:rPr>
        <w:t>” means any electronic symbol or process attached to, or associated with, any contract or other record and adopted by a person with the intent to sign, authenticate or accept such contract or record.</w:t>
      </w:r>
    </w:p>
    <w:p>
      <w:pPr>
        <w:spacing w:after="0" w:line="153" w:lineRule="exact"/>
        <w:rPr>
          <w:rFonts w:ascii="Times New Roman" w:cs="Times New Roman" w:eastAsia="Times New Roman" w:hAnsi="Times New Roman"/>
          <w:sz w:val="21"/>
          <w:szCs w:val="21"/>
          <w:b w:val="1"/>
          <w:bCs w:val="1"/>
          <w:color w:val="auto"/>
        </w:rPr>
      </w:pPr>
    </w:p>
    <w:p>
      <w:pPr>
        <w:ind w:firstLine="1262"/>
        <w:spacing w:after="0" w:line="245" w:lineRule="auto"/>
        <w:tabs>
          <w:tab w:leader="none" w:pos="1960" w:val="left"/>
        </w:tabs>
        <w:numPr>
          <w:ilvl w:val="0"/>
          <w:numId w:val="2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Jurisdictions; Immunities</w:t>
      </w:r>
      <w:r>
        <w:rPr>
          <w:rFonts w:ascii="Times New Roman" w:cs="Times New Roman" w:eastAsia="Times New Roman" w:hAnsi="Times New Roman"/>
          <w:sz w:val="21"/>
          <w:szCs w:val="21"/>
          <w:color w:val="auto"/>
        </w:rPr>
        <w:t>. The provisions of Section 12.15 of the Credit Agreement shall apply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No. 1 and are hereby incorporated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52" w:right="339" w:bottom="1440" w:gutter="0" w:footer="0" w:header="0"/>
        </w:sectPr>
      </w:pPr>
    </w:p>
    <w:bookmarkStart w:id="281" w:name="page282"/>
    <w:bookmarkEnd w:id="281"/>
    <w:p>
      <w:pPr>
        <w:ind w:firstLine="629"/>
        <w:spacing w:after="0" w:line="284"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caused this Amendment No. 1 to be duly executed and delivered by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respective officers thereunto duly authorized as of the date first written above.</w:t>
      </w:r>
    </w:p>
    <w:p>
      <w:pPr>
        <w:spacing w:after="0" w:line="14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VORNADO REALTY L.P.,</w:t>
      </w:r>
    </w:p>
    <w:p>
      <w:pPr>
        <w:spacing w:after="0" w:line="3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a Delaware limited partnership</w:t>
      </w:r>
    </w:p>
    <w:p>
      <w:pPr>
        <w:spacing w:after="0" w:line="230" w:lineRule="exact"/>
        <w:rPr>
          <w:sz w:val="20"/>
          <w:szCs w:val="20"/>
          <w:color w:val="auto"/>
        </w:rPr>
      </w:pPr>
    </w:p>
    <w:p>
      <w:pPr>
        <w:ind w:left="3780"/>
        <w:spacing w:after="0"/>
        <w:tabs>
          <w:tab w:leader="none" w:pos="42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Vornado Realty Trust,</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color w:val="auto"/>
        </w:rPr>
        <w:t>a Maryland real estate investment trust,</w:t>
      </w:r>
    </w:p>
    <w:p>
      <w:pPr>
        <w:spacing w:after="0" w:line="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0"/>
        <w:spacing w:after="0"/>
        <w:tabs>
          <w:tab w:leader="none" w:pos="4960" w:val="left"/>
        </w:tabs>
        <w:rPr>
          <w:sz w:val="20"/>
          <w:szCs w:val="20"/>
          <w:color w:val="auto"/>
        </w:rPr>
      </w:pPr>
      <w:r>
        <w:rPr>
          <w:rFonts w:ascii="Times New Roman" w:cs="Times New Roman" w:eastAsia="Times New Roman" w:hAnsi="Times New Roman"/>
          <w:sz w:val="21"/>
          <w:szCs w:val="21"/>
          <w:color w:val="auto"/>
        </w:rPr>
        <w:t>By:</w:t>
        <w:tab/>
        <w:t>/s/ Steven Borenstein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-10795</wp:posOffset>
            </wp:positionV>
            <wp:extent cx="15303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92">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 Steven Borenstein</w:t>
      </w:r>
    </w:p>
    <w:p>
      <w:pPr>
        <w:spacing w:after="0" w:line="1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Amendment No. 1 to Third A&amp;R Revolving Credit Agreement]</w:t>
      </w:r>
    </w:p>
    <w:p>
      <w:pPr>
        <w:sectPr>
          <w:pgSz w:w="11900" w:h="16838" w:orient="portrait"/>
          <w:cols w:equalWidth="0" w:num="1">
            <w:col w:w="11240"/>
          </w:cols>
          <w:pgMar w:left="320" w:top="1379" w:right="339" w:bottom="1440" w:gutter="0" w:footer="0" w:header="0"/>
        </w:sectPr>
      </w:pPr>
    </w:p>
    <w:bookmarkStart w:id="282" w:name="page283"/>
    <w:bookmarkEnd w:id="282"/>
    <w:p>
      <w:pPr>
        <w:spacing w:after="0" w:line="179" w:lineRule="exact"/>
        <w:rPr>
          <w:sz w:val="20"/>
          <w:szCs w:val="20"/>
          <w:color w:val="auto"/>
        </w:rPr>
      </w:pPr>
    </w:p>
    <w:p>
      <w:pPr>
        <w:ind w:left="2660"/>
        <w:spacing w:after="0" w:line="280" w:lineRule="auto"/>
        <w:rPr>
          <w:sz w:val="20"/>
          <w:szCs w:val="20"/>
          <w:color w:val="auto"/>
        </w:rPr>
      </w:pPr>
      <w:r>
        <w:rPr>
          <w:rFonts w:ascii="Times New Roman" w:cs="Times New Roman" w:eastAsia="Times New Roman" w:hAnsi="Times New Roman"/>
          <w:sz w:val="21"/>
          <w:szCs w:val="21"/>
          <w:color w:val="auto"/>
        </w:rPr>
        <w:t>JPMORGAN CHASE BANK, N.A., as Administrative Agent and as a Bank and Fronting Bank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Cody A. Canafax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6186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93">
                      <a:extLst>
                        <a:ext uri="{28A0092B-C50C-407E-A947-70E740481C1C}"/>
                      </a:extLst>
                    </a:blip>
                    <a:srcRect/>
                    <a:stretch>
                      <a:fillRect/>
                    </a:stretch>
                  </pic:blipFill>
                  <pic:spPr bwMode="auto">
                    <a:xfrm>
                      <a:off x="0" y="0"/>
                      <a:ext cx="1618615" cy="8255"/>
                    </a:xfrm>
                    <a:prstGeom prst="rect">
                      <a:avLst/>
                    </a:prstGeom>
                    <a:noFill/>
                  </pic:spPr>
                </pic:pic>
              </a:graphicData>
            </a:graphic>
          </wp:anchor>
        </w:drawing>
      </w:r>
    </w:p>
    <w:p>
      <w:pPr>
        <w:spacing w:after="0" w:line="1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Cody A. Canafax</w:t>
      </w:r>
    </w:p>
    <w:p>
      <w:pPr>
        <w:spacing w:after="0" w:line="1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[Signature Page to Amendment No. 1 to Third A&amp;R Revolving Credit Agreement]</w:t>
      </w:r>
    </w:p>
    <w:p>
      <w:pPr>
        <w:sectPr>
          <w:pgSz w:w="11900" w:h="16838" w:orient="portrait"/>
          <w:cols w:equalWidth="0" w:num="1">
            <w:col w:w="9420"/>
          </w:cols>
          <w:pgMar w:left="1440" w:top="1440" w:right="1039" w:bottom="1440" w:gutter="0" w:footer="0" w:header="0"/>
        </w:sectPr>
      </w:pPr>
    </w:p>
    <w:bookmarkStart w:id="283" w:name="page284"/>
    <w:bookmarkEnd w:id="283"/>
    <w:p>
      <w:pPr>
        <w:spacing w:after="0" w:line="17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CITIBANK, N.A., as New Lender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Saad Zaman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219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94">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Saad Zaman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to Amendment No. 1 to Third A&amp;R Revolving Credit Agreement]</w:t>
      </w:r>
    </w:p>
    <w:p>
      <w:pPr>
        <w:sectPr>
          <w:pgSz w:w="11900" w:h="16838" w:orient="portrait"/>
          <w:cols w:equalWidth="0" w:num="1">
            <w:col w:w="9019"/>
          </w:cols>
          <w:pgMar w:left="1440" w:top="1440" w:right="1440" w:bottom="1440" w:gutter="0" w:footer="0" w:header="0"/>
        </w:sectPr>
      </w:pPr>
    </w:p>
    <w:bookmarkStart w:id="284" w:name="page285"/>
    <w:bookmarkEnd w:id="284"/>
    <w:p>
      <w:pPr>
        <w:spacing w:after="0" w:line="179"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21"/>
          <w:szCs w:val="21"/>
          <w:color w:val="auto"/>
        </w:rPr>
        <w:t>BANK OF AMERICA, N.A. as a Bank and Fronting Bank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Cheryl Sneor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3970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95">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Cheryl Sneor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to Amendment No. 1 to Third A&amp;R Revolving Credit Agreement]</w:t>
      </w:r>
    </w:p>
    <w:p>
      <w:pPr>
        <w:sectPr>
          <w:pgSz w:w="11900" w:h="16838" w:orient="portrait"/>
          <w:cols w:equalWidth="0" w:num="1">
            <w:col w:w="9019"/>
          </w:cols>
          <w:pgMar w:left="1440" w:top="1440" w:right="1440" w:bottom="1440" w:gutter="0" w:footer="0" w:header="0"/>
        </w:sectPr>
      </w:pPr>
    </w:p>
    <w:bookmarkStart w:id="285" w:name="page286"/>
    <w:bookmarkEnd w:id="285"/>
    <w:p>
      <w:pPr>
        <w:spacing w:after="0" w:line="17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WELLS FARGO BANK, N.A., as Bank</w:t>
      </w:r>
    </w:p>
    <w:p>
      <w:pPr>
        <w:spacing w:after="0" w:line="3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and Fronting Bank</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Jackson Helms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6262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96">
                      <a:extLst>
                        <a:ext uri="{28A0092B-C50C-407E-A947-70E740481C1C}"/>
                      </a:extLst>
                    </a:blip>
                    <a:srcRect/>
                    <a:stretch>
                      <a:fillRect/>
                    </a:stretch>
                  </pic:blipFill>
                  <pic:spPr bwMode="auto">
                    <a:xfrm>
                      <a:off x="0" y="0"/>
                      <a:ext cx="1626235" cy="8255"/>
                    </a:xfrm>
                    <a:prstGeom prst="rect">
                      <a:avLst/>
                    </a:prstGeom>
                    <a:noFill/>
                  </pic:spPr>
                </pic:pic>
              </a:graphicData>
            </a:graphic>
          </wp:anchor>
        </w:drawing>
      </w:r>
    </w:p>
    <w:p>
      <w:pPr>
        <w:spacing w:after="0" w:line="1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Jackson Helms</w:t>
      </w:r>
    </w:p>
    <w:p>
      <w:pPr>
        <w:spacing w:after="0" w:line="1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to Amendment No. 1 to Third A&amp;R Revolving Credit Agreement]</w:t>
      </w:r>
    </w:p>
    <w:p>
      <w:pPr>
        <w:sectPr>
          <w:pgSz w:w="11900" w:h="16838" w:orient="portrait"/>
          <w:cols w:equalWidth="0" w:num="1">
            <w:col w:w="9019"/>
          </w:cols>
          <w:pgMar w:left="1440" w:top="1440" w:right="1440" w:bottom="1440" w:gutter="0" w:footer="0" w:header="0"/>
        </w:sectPr>
      </w:pPr>
    </w:p>
    <w:bookmarkStart w:id="286" w:name="page287"/>
    <w:bookmarkEnd w:id="286"/>
    <w:p>
      <w:pPr>
        <w:spacing w:after="0" w:line="17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U.S. BANK NATIONAL ASSOCIATION, as</w:t>
      </w:r>
    </w:p>
    <w:p>
      <w:pPr>
        <w:spacing w:after="0" w:line="3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Bank and Fronting Bank</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Patrick T.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7570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97">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Patrick T. Brooks</w:t>
      </w:r>
    </w:p>
    <w:p>
      <w:pPr>
        <w:spacing w:after="0" w:line="1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to Amendment No. 1 to Third A&amp;R Revolving Credit Agreement]</w:t>
      </w:r>
    </w:p>
    <w:p>
      <w:pPr>
        <w:sectPr>
          <w:pgSz w:w="11900" w:h="16838" w:orient="portrait"/>
          <w:cols w:equalWidth="0" w:num="1">
            <w:col w:w="9019"/>
          </w:cols>
          <w:pgMar w:left="1440" w:top="1440" w:right="1440" w:bottom="1440" w:gutter="0" w:footer="0" w:header="0"/>
        </w:sectPr>
      </w:pPr>
    </w:p>
    <w:bookmarkStart w:id="287" w:name="page288"/>
    <w:bookmarkEnd w:id="287"/>
    <w:p>
      <w:pPr>
        <w:spacing w:after="0" w:line="179"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21"/>
          <w:szCs w:val="21"/>
          <w:color w:val="auto"/>
        </w:rPr>
        <w:t>PNC BANK, NATIONAL ASSOCIATION, as Bank and Fronting Bank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Brian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3157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98">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Brian Kelly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to Amendment No. 1 to Third A&amp;R Revolving Credit Agreement]</w:t>
      </w:r>
    </w:p>
    <w:p>
      <w:pPr>
        <w:sectPr>
          <w:pgSz w:w="11900" w:h="16838" w:orient="portrait"/>
          <w:cols w:equalWidth="0" w:num="1">
            <w:col w:w="9019"/>
          </w:cols>
          <w:pgMar w:left="1440" w:top="1440" w:right="1440" w:bottom="1440" w:gutter="0" w:footer="0" w:header="0"/>
        </w:sectPr>
      </w:pPr>
    </w:p>
    <w:bookmarkStart w:id="288" w:name="page289"/>
    <w:bookmarkEnd w:id="288"/>
    <w:p>
      <w:pPr>
        <w:spacing w:after="0" w:line="17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BMO BANK, N.A.</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Rebecca Liu Chabanon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6668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9">
                      <a:extLst>
                        <a:ext uri="{28A0092B-C50C-407E-A947-70E740481C1C}"/>
                      </a:extLst>
                    </a:blip>
                    <a:srcRect/>
                    <a:stretch>
                      <a:fillRect/>
                    </a:stretch>
                  </pic:blipFill>
                  <pic:spPr bwMode="auto">
                    <a:xfrm>
                      <a:off x="0" y="0"/>
                      <a:ext cx="1666875"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Rebecca Liu Chabanon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to Amendment No. 1 to Third A&amp;R Revolving Credit Agreement]</w:t>
      </w:r>
    </w:p>
    <w:p>
      <w:pPr>
        <w:sectPr>
          <w:pgSz w:w="11900" w:h="16838" w:orient="portrait"/>
          <w:cols w:equalWidth="0" w:num="1">
            <w:col w:w="9019"/>
          </w:cols>
          <w:pgMar w:left="1440" w:top="1440" w:right="1440" w:bottom="1440" w:gutter="0" w:footer="0" w:header="0"/>
        </w:sectPr>
      </w:pPr>
    </w:p>
    <w:bookmarkStart w:id="289" w:name="page290"/>
    <w:bookmarkEnd w:id="289"/>
    <w:p>
      <w:pPr>
        <w:spacing w:after="0" w:line="17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GOLDMAN SACHS BANK USA</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Roopa Chandra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6560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00">
                      <a:extLst>
                        <a:ext uri="{28A0092B-C50C-407E-A947-70E740481C1C}"/>
                      </a:extLst>
                    </a:blip>
                    <a:srcRect/>
                    <a:stretch>
                      <a:fillRect/>
                    </a:stretch>
                  </pic:blipFill>
                  <pic:spPr bwMode="auto">
                    <a:xfrm>
                      <a:off x="0" y="0"/>
                      <a:ext cx="165608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Roopa Chandra</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to Amendment No. 1 to Third A&amp;R Revolving Credit Agreement]</w:t>
      </w:r>
    </w:p>
    <w:p>
      <w:pPr>
        <w:sectPr>
          <w:pgSz w:w="11900" w:h="16838" w:orient="portrait"/>
          <w:cols w:equalWidth="0" w:num="1">
            <w:col w:w="9019"/>
          </w:cols>
          <w:pgMar w:left="1440" w:top="1440" w:right="1440" w:bottom="1440" w:gutter="0" w:footer="0" w:header="0"/>
        </w:sectPr>
      </w:pPr>
    </w:p>
    <w:bookmarkStart w:id="290" w:name="page291"/>
    <w:bookmarkEnd w:id="290"/>
    <w:p>
      <w:pPr>
        <w:spacing w:after="0" w:line="17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MIZUHO BANK, LTD.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4712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01">
                      <a:extLst>
                        <a:ext uri="{28A0092B-C50C-407E-A947-70E740481C1C}"/>
                      </a:extLst>
                    </a:blip>
                    <a:srcRect/>
                    <a:stretch>
                      <a:fillRect/>
                    </a:stretch>
                  </pic:blipFill>
                  <pic:spPr bwMode="auto">
                    <a:xfrm>
                      <a:off x="0" y="0"/>
                      <a:ext cx="1471295"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Donna DeMagistris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to Amendment No. 1 to Third A&amp;R Revolving Credit Agreement]</w:t>
      </w:r>
    </w:p>
    <w:p>
      <w:pPr>
        <w:sectPr>
          <w:pgSz w:w="11900" w:h="16838" w:orient="portrait"/>
          <w:cols w:equalWidth="0" w:num="1">
            <w:col w:w="9019"/>
          </w:cols>
          <w:pgMar w:left="1440" w:top="1440" w:right="1440" w:bottom="1440" w:gutter="0" w:footer="0" w:header="0"/>
        </w:sectPr>
      </w:pPr>
    </w:p>
    <w:bookmarkStart w:id="291" w:name="page292"/>
    <w:bookmarkEnd w:id="291"/>
    <w:p>
      <w:pPr>
        <w:spacing w:after="0" w:line="17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TD BANK, N.A.</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Gianna Gioia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2712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02">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Gianna Gioia</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to Amendment No. 1 to Third A&amp;R Revolving Credit Agreement]</w:t>
      </w:r>
    </w:p>
    <w:p>
      <w:pPr>
        <w:sectPr>
          <w:pgSz w:w="11900" w:h="16838" w:orient="portrait"/>
          <w:cols w:equalWidth="0" w:num="1">
            <w:col w:w="9019"/>
          </w:cols>
          <w:pgMar w:left="1440" w:top="1440" w:right="1440" w:bottom="1440" w:gutter="0" w:footer="0" w:header="0"/>
        </w:sectPr>
      </w:pPr>
    </w:p>
    <w:bookmarkStart w:id="292" w:name="page293"/>
    <w:bookmarkEnd w:id="292"/>
    <w:p>
      <w:pPr>
        <w:spacing w:after="0" w:line="17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MORGAN STANLEY BANK, N.A., as a Bank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2934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03">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Michael King</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to Amendment No. 1 to Third A&amp;R Revolving Credit Agreement]</w:t>
      </w:r>
    </w:p>
    <w:p>
      <w:pPr>
        <w:sectPr>
          <w:pgSz w:w="11900" w:h="16838" w:orient="portrait"/>
          <w:cols w:equalWidth="0" w:num="1">
            <w:col w:w="9019"/>
          </w:cols>
          <w:pgMar w:left="1440" w:top="1440" w:right="1440" w:bottom="1440" w:gutter="0" w:footer="0" w:header="0"/>
        </w:sectPr>
      </w:pPr>
    </w:p>
    <w:bookmarkStart w:id="293" w:name="page294"/>
    <w:bookmarkEnd w:id="293"/>
    <w:p>
      <w:pPr>
        <w:spacing w:after="0" w:line="17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DEUTSCHE BANK AG NEW YORK BRANCH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26428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04">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Ming K. Chu</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2274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05">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Alison Lugo</w:t>
      </w:r>
    </w:p>
    <w:p>
      <w:pPr>
        <w:spacing w:after="0" w:line="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to Amendment No. 1 to Third A&amp;R Revolving Credit Agreement]</w:t>
      </w:r>
    </w:p>
    <w:p>
      <w:pPr>
        <w:sectPr>
          <w:pgSz w:w="11900" w:h="16838" w:orient="portrait"/>
          <w:cols w:equalWidth="0" w:num="1">
            <w:col w:w="9019"/>
          </w:cols>
          <w:pgMar w:left="1440" w:top="1440" w:right="1440" w:bottom="1440" w:gutter="0" w:footer="0" w:header="0"/>
        </w:sectPr>
      </w:pPr>
    </w:p>
    <w:bookmarkStart w:id="294" w:name="page295"/>
    <w:bookmarkEnd w:id="294"/>
    <w:p>
      <w:pPr>
        <w:spacing w:after="0" w:line="1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color w:val="auto"/>
        </w:rPr>
        <w:t>THE BANK OF NEW YORK MELLON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Carol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2865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06">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Carol Murray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to Amendment No. 1 to Third A&amp;R Revolving Credit Agreement]</w:t>
      </w:r>
    </w:p>
    <w:p>
      <w:pPr>
        <w:sectPr>
          <w:pgSz w:w="11900" w:h="16838" w:orient="portrait"/>
          <w:cols w:equalWidth="0" w:num="1">
            <w:col w:w="9019"/>
          </w:cols>
          <w:pgMar w:left="1440" w:top="1440" w:right="1440" w:bottom="1440" w:gutter="0" w:footer="0" w:header="0"/>
        </w:sectPr>
      </w:pPr>
    </w:p>
    <w:bookmarkStart w:id="295" w:name="page296"/>
    <w:bookmarkEnd w:id="295"/>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BANK OF CHINA NEW YORK BRANCH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6338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07">
                      <a:extLst>
                        <a:ext uri="{28A0092B-C50C-407E-A947-70E740481C1C}"/>
                      </a:extLst>
                    </a:blip>
                    <a:srcRect/>
                    <a:stretch>
                      <a:fillRect/>
                    </a:stretch>
                  </pic:blipFill>
                  <pic:spPr bwMode="auto">
                    <a:xfrm>
                      <a:off x="0" y="0"/>
                      <a:ext cx="1633855"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Raymond Qiao</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to Amendment No. 1 to Third A&amp;R Revolving Credit Agreement]</w:t>
      </w:r>
    </w:p>
    <w:p>
      <w:pPr>
        <w:sectPr>
          <w:pgSz w:w="11900" w:h="16838" w:orient="portrait"/>
          <w:cols w:equalWidth="0" w:num="1">
            <w:col w:w="9019"/>
          </w:cols>
          <w:pgMar w:left="1440" w:top="1440" w:right="1440" w:bottom="1440" w:gutter="0" w:footer="0" w:header="0"/>
        </w:sectPr>
      </w:pPr>
    </w:p>
    <w:bookmarkStart w:id="296" w:name="page297"/>
    <w:bookmarkEnd w:id="296"/>
    <w:p>
      <w:pPr>
        <w:spacing w:after="0" w:line="179"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21"/>
          <w:szCs w:val="21"/>
          <w:color w:val="auto"/>
        </w:rPr>
        <w:t>LANDESBANK BADEN-WÜRTTEMBERG, NEW YORK BRANCH</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4599"/>
        <w:spacing w:after="0"/>
        <w:tabs>
          <w:tab w:leader="none" w:pos="5500" w:val="left"/>
        </w:tabs>
        <w:rPr>
          <w:sz w:val="20"/>
          <w:szCs w:val="20"/>
          <w:color w:val="auto"/>
        </w:rPr>
      </w:pPr>
      <w:r>
        <w:rPr>
          <w:rFonts w:ascii="Times New Roman" w:cs="Times New Roman" w:eastAsia="Times New Roman" w:hAnsi="Times New Roman"/>
          <w:sz w:val="21"/>
          <w:szCs w:val="21"/>
          <w:color w:val="auto"/>
        </w:rPr>
        <w:t>By:</w:t>
        <w:tab/>
        <w:t>/s/ Lisa Komm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456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08">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1" w:lineRule="exact"/>
        <w:rPr>
          <w:sz w:val="20"/>
          <w:szCs w:val="20"/>
          <w:color w:val="auto"/>
        </w:rPr>
      </w:pPr>
    </w:p>
    <w:p>
      <w:pPr>
        <w:jc w:val="right"/>
        <w:ind w:right="4539"/>
        <w:spacing w:after="0"/>
        <w:rPr>
          <w:sz w:val="20"/>
          <w:szCs w:val="20"/>
          <w:color w:val="auto"/>
        </w:rPr>
      </w:pPr>
      <w:r>
        <w:rPr>
          <w:rFonts w:ascii="Times New Roman" w:cs="Times New Roman" w:eastAsia="Times New Roman" w:hAnsi="Times New Roman"/>
          <w:sz w:val="21"/>
          <w:szCs w:val="21"/>
          <w:color w:val="auto"/>
        </w:rPr>
        <w:t>Name: Lisa Komm</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66"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David McGannon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6484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09">
                      <a:extLst>
                        <a:ext uri="{28A0092B-C50C-407E-A947-70E740481C1C}"/>
                      </a:extLst>
                    </a:blip>
                    <a:srcRect/>
                    <a:stretch>
                      <a:fillRect/>
                    </a:stretch>
                  </pic:blipFill>
                  <pic:spPr bwMode="auto">
                    <a:xfrm>
                      <a:off x="0" y="0"/>
                      <a:ext cx="1648460" cy="8255"/>
                    </a:xfrm>
                    <a:prstGeom prst="rect">
                      <a:avLst/>
                    </a:prstGeom>
                    <a:noFill/>
                  </pic:spPr>
                </pic:pic>
              </a:graphicData>
            </a:graphic>
          </wp:anchor>
        </w:drawing>
      </w:r>
    </w:p>
    <w:p>
      <w:pPr>
        <w:spacing w:after="0" w:line="1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Name: David McGannon</w:t>
      </w:r>
    </w:p>
    <w:p>
      <w:pPr>
        <w:spacing w:after="0" w:line="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to Amendment No. 1 to Third A&amp;R Revolving Credit Agreement]</w:t>
      </w:r>
    </w:p>
    <w:p>
      <w:pPr>
        <w:sectPr>
          <w:pgSz w:w="11900" w:h="16838" w:orient="portrait"/>
          <w:cols w:equalWidth="0" w:num="1">
            <w:col w:w="9019"/>
          </w:cols>
          <w:pgMar w:left="1440" w:top="1440" w:right="1440"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21"/>
          <w:szCs w:val="21"/>
          <w:u w:val="single" w:color="auto"/>
          <w:color w:val="0E32E1"/>
        </w:rPr>
        <w:t>Exhibit A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844550</wp:posOffset>
            </wp:positionV>
            <wp:extent cx="71361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1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THIRD AMENDED AND RESTATED</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1"/>
          <w:szCs w:val="21"/>
          <w:color w:val="auto"/>
        </w:rPr>
        <w:t>REVOLVING CREDIT AGREEMENT</w:t>
      </w:r>
    </w:p>
    <w:p>
      <w:pPr>
        <w:spacing w:after="0" w:line="19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color w:val="auto"/>
        </w:rPr>
        <w:t>dated as of May 3, 2024,</w:t>
      </w:r>
    </w:p>
    <w:p>
      <w:pPr>
        <w:spacing w:after="0" w:line="25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among</w:t>
      </w:r>
    </w:p>
    <w:p>
      <w:pPr>
        <w:spacing w:after="0" w:line="21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VORNADO REALTY L.P.,</w:t>
      </w:r>
    </w:p>
    <w:p>
      <w:pPr>
        <w:spacing w:after="0" w:line="3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as Borrower,</w:t>
      </w:r>
    </w:p>
    <w:p>
      <w:pPr>
        <w:spacing w:after="0" w:line="30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color w:val="auto"/>
        </w:rPr>
        <w:t>THE BANKS SIGNATORY HERETO,</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color w:val="auto"/>
        </w:rPr>
        <w:t>each as a Bank,</w:t>
      </w:r>
    </w:p>
    <w:p>
      <w:pPr>
        <w:spacing w:after="0" w:line="298"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color w:val="auto"/>
        </w:rPr>
        <w:t>as Administrative Agent,</w:t>
      </w:r>
    </w:p>
    <w:p>
      <w:pPr>
        <w:spacing w:after="0" w:line="200" w:lineRule="exact"/>
        <w:rPr>
          <w:sz w:val="20"/>
          <w:szCs w:val="20"/>
          <w:color w:val="auto"/>
        </w:rPr>
      </w:pPr>
    </w:p>
    <w:p>
      <w:pPr>
        <w:spacing w:after="0" w:line="21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0"/>
          <w:szCs w:val="20"/>
          <w:color w:val="auto"/>
        </w:rPr>
        <w:t>BANK OF AMERICA, N.A., PNC BANK, NATIONAL ASSOCIATION, U.S. BANK NATIONAL ASSOCIATION,</w:t>
      </w:r>
    </w:p>
    <w:p>
      <w:pPr>
        <w:spacing w:after="0" w:line="4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color w:val="auto"/>
        </w:rPr>
        <w:t>and WELLS FARGO BANK, N.A.,</w:t>
      </w:r>
    </w:p>
    <w:p>
      <w:pPr>
        <w:spacing w:after="0" w:line="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color w:val="auto"/>
        </w:rPr>
        <w:t>as Co-Syndication Agents,</w:t>
      </w:r>
    </w:p>
    <w:p>
      <w:pPr>
        <w:spacing w:after="0" w:line="19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color w:val="auto"/>
        </w:rPr>
        <w:t>BMO BANK</w:t>
      </w:r>
      <w:r>
        <w:rPr>
          <w:rFonts w:ascii="Times New Roman" w:cs="Times New Roman" w:eastAsia="Times New Roman" w:hAnsi="Times New Roman"/>
          <w:sz w:val="21"/>
          <w:szCs w:val="21"/>
          <w:u w:val="single" w:color="auto"/>
          <w:color w:val="0E32E1"/>
        </w:rPr>
        <w:t>, N.A., CITIBANK,</w:t>
      </w:r>
      <w:r>
        <w:rPr>
          <w:rFonts w:ascii="Times New Roman" w:cs="Times New Roman" w:eastAsia="Times New Roman" w:hAnsi="Times New Roman"/>
          <w:sz w:val="21"/>
          <w:szCs w:val="21"/>
          <w:color w:val="auto"/>
        </w:rPr>
        <w:t xml:space="preserve"> N.A., DEUTSCHE BANK SECURITIES</w:t>
      </w:r>
      <w:r>
        <w:rPr>
          <w:rFonts w:ascii="Times New Roman" w:cs="Times New Roman" w:eastAsia="Times New Roman" w:hAnsi="Times New Roman"/>
          <w:sz w:val="21"/>
          <w:szCs w:val="21"/>
          <w:color w:val="EE2724"/>
          <w:strike w:val="1"/>
        </w:rPr>
        <w:t>,</w:t>
      </w:r>
      <w:r>
        <w:rPr>
          <w:rFonts w:ascii="Times New Roman" w:cs="Times New Roman" w:eastAsia="Times New Roman" w:hAnsi="Times New Roman"/>
          <w:sz w:val="21"/>
          <w:szCs w:val="21"/>
          <w:color w:val="auto"/>
        </w:rPr>
        <w:t xml:space="preserve"> INC.,</w:t>
      </w:r>
    </w:p>
    <w:p>
      <w:pPr>
        <w:spacing w:after="0" w:line="3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1"/>
          <w:szCs w:val="21"/>
          <w:color w:val="auto"/>
        </w:rPr>
        <w:t>GOLDMAN SACHS BANK USA,</w:t>
      </w:r>
    </w:p>
    <w:p>
      <w:pPr>
        <w:spacing w:after="0" w:line="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color w:val="auto"/>
        </w:rPr>
        <w:t>MORGAN STANLEY SENIOR FUNDING, INC., and</w:t>
      </w:r>
    </w:p>
    <w:p>
      <w:pPr>
        <w:spacing w:after="0" w:line="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color w:val="auto"/>
        </w:rPr>
        <w:t>TD BANK, N.A.,</w:t>
      </w:r>
    </w:p>
    <w:p>
      <w:pPr>
        <w:spacing w:after="0" w:line="1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color w:val="auto"/>
        </w:rPr>
        <w:t>as Documentation Agents</w:t>
      </w:r>
    </w:p>
    <w:p>
      <w:pPr>
        <w:spacing w:after="0" w:line="19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and</w:t>
      </w:r>
    </w:p>
    <w:p>
      <w:pPr>
        <w:spacing w:after="0" w:line="2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1"/>
          <w:szCs w:val="21"/>
          <w:color w:val="auto"/>
        </w:rPr>
        <w:t>J.P. MORGAN SECURITIES LLC, as Sustainability Structuring Agent</w:t>
      </w:r>
    </w:p>
    <w:p>
      <w:pPr>
        <w:spacing w:after="0" w:line="21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33" w:lineRule="exact"/>
        <w:rPr>
          <w:sz w:val="20"/>
          <w:szCs w:val="20"/>
          <w:color w:val="auto"/>
        </w:rPr>
      </w:pPr>
    </w:p>
    <w:p>
      <w:pPr>
        <w:jc w:val="center"/>
        <w:ind w:right="680"/>
        <w:spacing w:after="0" w:line="257" w:lineRule="auto"/>
        <w:rPr>
          <w:sz w:val="20"/>
          <w:szCs w:val="20"/>
          <w:color w:val="auto"/>
        </w:rPr>
      </w:pPr>
      <w:r>
        <w:rPr>
          <w:rFonts w:ascii="Times New Roman" w:cs="Times New Roman" w:eastAsia="Times New Roman" w:hAnsi="Times New Roman"/>
          <w:sz w:val="21"/>
          <w:szCs w:val="21"/>
          <w:color w:val="auto"/>
        </w:rPr>
        <w:t>BOFA SECURITIES, INC., PNC CAPITAL MARKETS LLC, U.S. BANK NATIONAL ASSOCIATION, and WELLS FARGO SECURITIES LLC, as Joint Lead Arrangers and Joint Bookrunners</w:t>
      </w:r>
    </w:p>
    <w:p>
      <w:pPr>
        <w:spacing w:after="0" w:line="168" w:lineRule="exact"/>
        <w:rPr>
          <w:sz w:val="20"/>
          <w:szCs w:val="20"/>
          <w:color w:val="auto"/>
        </w:rPr>
      </w:pPr>
    </w:p>
    <w:p>
      <w:pPr>
        <w:jc w:val="center"/>
        <w:ind w:right="620"/>
        <w:spacing w:after="0" w:line="259" w:lineRule="auto"/>
        <w:rPr>
          <w:sz w:val="20"/>
          <w:szCs w:val="20"/>
          <w:color w:val="auto"/>
        </w:rPr>
      </w:pPr>
      <w:r>
        <w:rPr>
          <w:rFonts w:ascii="Times New Roman" w:cs="Times New Roman" w:eastAsia="Times New Roman" w:hAnsi="Times New Roman"/>
          <w:sz w:val="21"/>
          <w:szCs w:val="21"/>
          <w:color w:val="auto"/>
        </w:rPr>
        <w:t xml:space="preserve">BMO CAPITAL MARKETS CORP., </w:t>
      </w:r>
      <w:r>
        <w:rPr>
          <w:rFonts w:ascii="Times New Roman" w:cs="Times New Roman" w:eastAsia="Times New Roman" w:hAnsi="Times New Roman"/>
          <w:sz w:val="21"/>
          <w:szCs w:val="21"/>
          <w:u w:val="single" w:color="auto"/>
          <w:color w:val="0E32E1"/>
        </w:rPr>
        <w:t>CITIGROUP GLOBAL MARKETS INC.,</w:t>
      </w:r>
      <w:r>
        <w:rPr>
          <w:rFonts w:ascii="Times New Roman" w:cs="Times New Roman" w:eastAsia="Times New Roman" w:hAnsi="Times New Roman"/>
          <w:sz w:val="21"/>
          <w:szCs w:val="21"/>
          <w:color w:val="auto"/>
        </w:rPr>
        <w:t xml:space="preserve"> DEUTSCHE BANK SECURITIES</w:t>
      </w:r>
      <w:r>
        <w:rPr>
          <w:rFonts w:ascii="Times New Roman" w:cs="Times New Roman" w:eastAsia="Times New Roman" w:hAnsi="Times New Roman"/>
          <w:sz w:val="21"/>
          <w:szCs w:val="21"/>
          <w:color w:val="EE2724"/>
          <w:strike w:val="1"/>
        </w:rPr>
        <w:t>,</w:t>
      </w:r>
      <w:r>
        <w:rPr>
          <w:rFonts w:ascii="Times New Roman" w:cs="Times New Roman" w:eastAsia="Times New Roman" w:hAnsi="Times New Roman"/>
          <w:sz w:val="21"/>
          <w:szCs w:val="21"/>
          <w:color w:val="auto"/>
        </w:rPr>
        <w:t xml:space="preserve"> INC., GOLDMAN SACHS BANK USA, and MORGAN STANLEY SENIOR FUNDING, INC.,</w:t>
      </w:r>
    </w:p>
    <w:p>
      <w:pPr>
        <w:spacing w:after="0" w:line="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color w:val="auto"/>
        </w:rPr>
        <w:t>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281305</wp:posOffset>
            </wp:positionV>
            <wp:extent cx="71361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1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600"/>
          </w:cols>
          <w:pgMar w:left="960" w:top="114" w:right="339" w:bottom="1440" w:gutter="0" w:footer="0" w:header="0"/>
        </w:sectPr>
      </w:pPr>
    </w:p>
    <w:bookmarkStart w:id="298" w:name="page299"/>
    <w:bookmarkEnd w:id="298"/>
    <w:p>
      <w:pPr>
        <w:jc w:val="center"/>
        <w:ind w:right="20"/>
        <w:spacing w:after="0"/>
        <w:rPr>
          <w:sz w:val="20"/>
          <w:szCs w:val="20"/>
          <w:color w:val="auto"/>
        </w:rPr>
      </w:pPr>
      <w:r>
        <w:rPr>
          <w:rFonts w:ascii="Times New Roman" w:cs="Times New Roman" w:eastAsia="Times New Roman" w:hAnsi="Times New Roman"/>
          <w:sz w:val="21"/>
          <w:szCs w:val="21"/>
          <w:color w:val="auto"/>
        </w:rPr>
        <w:t>TABLE OF CONTENTS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8200" w:type="dxa"/>
            <w:vAlign w:val="bottom"/>
          </w:tcPr>
          <w:p>
            <w:pPr>
              <w:spacing w:after="0"/>
              <w:rPr>
                <w:sz w:val="20"/>
                <w:szCs w:val="20"/>
                <w:color w:val="auto"/>
              </w:rPr>
            </w:pPr>
            <w:r>
              <w:rPr>
                <w:rFonts w:ascii="Times New Roman" w:cs="Times New Roman" w:eastAsia="Times New Roman" w:hAnsi="Times New Roman"/>
                <w:sz w:val="21"/>
                <w:szCs w:val="21"/>
                <w:color w:val="auto"/>
              </w:rPr>
              <w:t>ARTICLE I  DEFINITIONS; ETC.</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301"/>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1.01. Definitions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32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1.02. Accounting Terms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32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1.03. Computation of Time Periods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32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1.04. Rules of Construction</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27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1.05. Interest Rates; Benchmark Notification</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37</w:t>
            </w: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r>
      <w:tr>
        <w:trPr>
          <w:trHeight w:val="358"/>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1.06. Letter of Credit Amounts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32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1.07. Divisions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7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1.08. Sustainability Adjustments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38</w:t>
            </w:r>
          </w:p>
        </w:tc>
      </w:tr>
      <w:tr>
        <w:trPr>
          <w:trHeight w:val="307"/>
        </w:trPr>
        <w:tc>
          <w:tcPr>
            <w:tcW w:w="8200" w:type="dxa"/>
            <w:vAlign w:val="bottom"/>
          </w:tcPr>
          <w:p>
            <w:pPr>
              <w:spacing w:after="0"/>
              <w:rPr>
                <w:sz w:val="20"/>
                <w:szCs w:val="20"/>
                <w:color w:val="auto"/>
              </w:rPr>
            </w:pPr>
            <w:r>
              <w:rPr>
                <w:rFonts w:ascii="Times New Roman" w:cs="Times New Roman" w:eastAsia="Times New Roman" w:hAnsi="Times New Roman"/>
                <w:sz w:val="21"/>
                <w:szCs w:val="21"/>
                <w:color w:val="auto"/>
              </w:rPr>
              <w:t>ARTICLE II THE LOANS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40</w:t>
            </w:r>
          </w:p>
        </w:tc>
        <w:tc>
          <w:tcPr>
            <w:tcW w:w="40" w:type="dxa"/>
            <w:vAlign w:val="bottom"/>
          </w:tcPr>
          <w:p>
            <w:pPr>
              <w:spacing w:after="0"/>
              <w:rPr>
                <w:sz w:val="24"/>
                <w:szCs w:val="24"/>
                <w:color w:val="auto"/>
              </w:rPr>
            </w:pPr>
          </w:p>
        </w:tc>
        <w:tc>
          <w:tcPr>
            <w:tcW w:w="200" w:type="dxa"/>
            <w:vAlign w:val="bottom"/>
            <w:tcBorders>
              <w:top w:val="single" w:sz="8" w:color="0E32E1"/>
              <w:bottom w:val="single" w:sz="8" w:color="0E32E1"/>
            </w:tcBorders>
          </w:tcPr>
          <w:p>
            <w:pPr>
              <w:jc w:val="right"/>
              <w:spacing w:after="0"/>
              <w:rPr>
                <w:sz w:val="20"/>
                <w:szCs w:val="20"/>
                <w:color w:val="auto"/>
              </w:rPr>
            </w:pPr>
            <w:r>
              <w:rPr>
                <w:rFonts w:ascii="Times New Roman" w:cs="Times New Roman" w:eastAsia="Times New Roman" w:hAnsi="Times New Roman"/>
                <w:sz w:val="21"/>
                <w:szCs w:val="21"/>
                <w:color w:val="0E32E1"/>
                <w:w w:val="85"/>
              </w:rPr>
              <w:t>41</w:t>
            </w:r>
          </w:p>
        </w:tc>
      </w:tr>
      <w:tr>
        <w:trPr>
          <w:trHeight w:val="30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2.01. Ratable Loans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41</w:t>
            </w: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r>
      <w:tr>
        <w:trPr>
          <w:trHeight w:val="358"/>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2.02. [Reserved]</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32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2.03. [Reserved.]</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27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2.04. Advances, Generally</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42</w:t>
            </w: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r>
      <w:tr>
        <w:trPr>
          <w:trHeight w:val="358"/>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2.05. Procedures for Advances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42</w:t>
            </w:r>
          </w:p>
        </w:tc>
      </w:tr>
      <w:tr>
        <w:trPr>
          <w:trHeight w:val="27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2.06. Interest Periods; Renewals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43</w:t>
            </w: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r>
      <w:tr>
        <w:trPr>
          <w:trHeight w:val="358"/>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2.07. Interest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43</w:t>
            </w:r>
          </w:p>
        </w:tc>
      </w:tr>
      <w:tr>
        <w:trPr>
          <w:trHeight w:val="32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2.08. Fees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44</w:t>
            </w:r>
          </w:p>
        </w:tc>
      </w:tr>
      <w:tr>
        <w:trPr>
          <w:trHeight w:val="32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2.09. Notes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44</w:t>
            </w:r>
          </w:p>
        </w:tc>
      </w:tr>
      <w:tr>
        <w:trPr>
          <w:trHeight w:val="27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2.10. Prepayments.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45</w:t>
            </w: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r>
      <w:tr>
        <w:trPr>
          <w:trHeight w:val="358"/>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2.11. Method of Payment.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45</w:t>
            </w:r>
          </w:p>
        </w:tc>
      </w:tr>
      <w:tr>
        <w:trPr>
          <w:trHeight w:val="27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2.12. Elections, Conversions or Continuation of Loans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46</w:t>
            </w: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r>
      <w:tr>
        <w:trPr>
          <w:trHeight w:val="358"/>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2.13. Minimum Amounts.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32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2.14. Certain Notices Regarding Elections, Conversions and Continuations of</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275"/>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Loans.</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90"/>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2.15. Payments Generally</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47</w:t>
            </w: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r>
      <w:tr>
        <w:trPr>
          <w:trHeight w:val="358"/>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2.16. Changes of Loan Commitments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47</w:t>
            </w:r>
          </w:p>
        </w:tc>
      </w:tr>
      <w:tr>
        <w:trPr>
          <w:trHeight w:val="27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2.17. Letters of Credit.</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50</w:t>
            </w: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r>
      <w:tr>
        <w:trPr>
          <w:trHeight w:val="358"/>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2.18. Extension Option</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55</w:t>
            </w:r>
          </w:p>
        </w:tc>
      </w:tr>
      <w:tr>
        <w:trPr>
          <w:trHeight w:val="277"/>
        </w:trPr>
        <w:tc>
          <w:tcPr>
            <w:tcW w:w="8200" w:type="dxa"/>
            <w:vAlign w:val="bottom"/>
          </w:tcPr>
          <w:p>
            <w:pPr>
              <w:spacing w:after="0"/>
              <w:rPr>
                <w:sz w:val="20"/>
                <w:szCs w:val="20"/>
                <w:color w:val="auto"/>
              </w:rPr>
            </w:pPr>
            <w:r>
              <w:rPr>
                <w:rFonts w:ascii="Times New Roman" w:cs="Times New Roman" w:eastAsia="Times New Roman" w:hAnsi="Times New Roman"/>
                <w:sz w:val="21"/>
                <w:szCs w:val="21"/>
                <w:color w:val="auto"/>
              </w:rPr>
              <w:t>ARTICLE III YIELD PROTECTION; ILLEGALITY; ETC.</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55</w:t>
            </w:r>
          </w:p>
        </w:tc>
        <w:tc>
          <w:tcPr>
            <w:tcW w:w="40" w:type="dxa"/>
            <w:vAlign w:val="bottom"/>
          </w:tcPr>
          <w:p>
            <w:pPr>
              <w:spacing w:after="0"/>
              <w:rPr>
                <w:sz w:val="24"/>
                <w:szCs w:val="24"/>
                <w:color w:val="auto"/>
              </w:rPr>
            </w:pPr>
          </w:p>
        </w:tc>
        <w:tc>
          <w:tcPr>
            <w:tcW w:w="20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21"/>
                <w:szCs w:val="21"/>
                <w:color w:val="0E32E1"/>
                <w:w w:val="85"/>
              </w:rPr>
              <w:t>56</w:t>
            </w:r>
          </w:p>
        </w:tc>
      </w:tr>
      <w:tr>
        <w:trPr>
          <w:trHeight w:val="30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3.01. Additional Costs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56</w:t>
            </w: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r>
      <w:tr>
        <w:trPr>
          <w:trHeight w:val="30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3.02. Alternate Rate of Interest</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57</w:t>
            </w: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r>
      <w:tr>
        <w:trPr>
          <w:trHeight w:val="358"/>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3.03. Illegality</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59</w:t>
            </w:r>
          </w:p>
        </w:tc>
      </w:tr>
    </w:tbl>
    <w:p>
      <w:pPr>
        <w:spacing w:after="0" w:line="200" w:lineRule="exact"/>
        <w:rPr>
          <w:sz w:val="20"/>
          <w:szCs w:val="20"/>
          <w:color w:val="auto"/>
        </w:rPr>
      </w:pPr>
    </w:p>
    <w:p>
      <w:pPr>
        <w:spacing w:after="0" w:line="20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20"/>
          </w:cols>
          <w:pgMar w:left="340" w:top="125" w:right="339" w:bottom="1440" w:gutter="0" w:footer="0" w:header="0"/>
        </w:sectPr>
      </w:pPr>
    </w:p>
    <w:bookmarkStart w:id="299" w:name="page300"/>
    <w:bookmarkEnd w:id="299"/>
    <w:p>
      <w:pPr>
        <w:jc w:val="center"/>
        <w:ind w:right="20"/>
        <w:spacing w:after="0"/>
        <w:rPr>
          <w:sz w:val="20"/>
          <w:szCs w:val="20"/>
          <w:color w:val="auto"/>
        </w:rPr>
      </w:pPr>
      <w:r>
        <w:rPr>
          <w:rFonts w:ascii="Times New Roman" w:cs="Times New Roman" w:eastAsia="Times New Roman" w:hAnsi="Times New Roman"/>
          <w:sz w:val="21"/>
          <w:szCs w:val="21"/>
          <w:color w:val="auto"/>
        </w:rPr>
        <w:t>TABLE OF CONTENTS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42"/>
        </w:trPr>
        <w:tc>
          <w:tcPr>
            <w:tcW w:w="8200" w:type="dxa"/>
            <w:vAlign w:val="bottom"/>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3.04. Treatment of Affected Loans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EE2724"/>
                <w:strike w:val="1"/>
                <w:w w:val="95"/>
              </w:rPr>
              <w:t>59</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color w:val="0E32E1"/>
              </w:rPr>
              <w:t>60</w:t>
            </w:r>
          </w:p>
        </w:tc>
        <w:tc>
          <w:tcPr>
            <w:tcW w:w="0" w:type="dxa"/>
            <w:vAlign w:val="bottom"/>
          </w:tcPr>
          <w:p>
            <w:pPr>
              <w:spacing w:after="0"/>
              <w:rPr>
                <w:sz w:val="1"/>
                <w:szCs w:val="1"/>
                <w:color w:val="auto"/>
              </w:rPr>
            </w:pPr>
          </w:p>
        </w:tc>
      </w:tr>
      <w:tr>
        <w:trPr>
          <w:trHeight w:val="200"/>
        </w:trPr>
        <w:tc>
          <w:tcPr>
            <w:tcW w:w="82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3.05. Certain Compensation</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60</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3.06. Capital Adequacy</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60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61</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3.07. Substitution of Banks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61</w:t>
            </w:r>
          </w:p>
        </w:tc>
        <w:tc>
          <w:tcPr>
            <w:tcW w:w="0" w:type="dxa"/>
            <w:vAlign w:val="bottom"/>
          </w:tcPr>
          <w:p>
            <w:pPr>
              <w:spacing w:after="0"/>
              <w:rPr>
                <w:sz w:val="1"/>
                <w:szCs w:val="1"/>
                <w:color w:val="auto"/>
              </w:rPr>
            </w:pPr>
          </w:p>
        </w:tc>
      </w:tr>
      <w:tr>
        <w:trPr>
          <w:trHeight w:val="27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3.08. Obligation of Banks to Mitigate</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63</w:t>
            </w:r>
          </w:p>
        </w:tc>
        <w:tc>
          <w:tcPr>
            <w:tcW w:w="0" w:type="dxa"/>
            <w:vAlign w:val="bottom"/>
          </w:tcPr>
          <w:p>
            <w:pPr>
              <w:spacing w:after="0"/>
              <w:rPr>
                <w:sz w:val="1"/>
                <w:szCs w:val="1"/>
                <w:color w:val="auto"/>
              </w:rPr>
            </w:pPr>
          </w:p>
        </w:tc>
      </w:tr>
      <w:tr>
        <w:trPr>
          <w:trHeight w:val="307"/>
        </w:trPr>
        <w:tc>
          <w:tcPr>
            <w:tcW w:w="8200" w:type="dxa"/>
            <w:vAlign w:val="bottom"/>
          </w:tcPr>
          <w:p>
            <w:pPr>
              <w:spacing w:after="0"/>
              <w:rPr>
                <w:sz w:val="20"/>
                <w:szCs w:val="20"/>
                <w:color w:val="auto"/>
              </w:rPr>
            </w:pPr>
            <w:r>
              <w:rPr>
                <w:rFonts w:ascii="Times New Roman" w:cs="Times New Roman" w:eastAsia="Times New Roman" w:hAnsi="Times New Roman"/>
                <w:sz w:val="21"/>
                <w:szCs w:val="21"/>
                <w:color w:val="auto"/>
              </w:rPr>
              <w:t>ARTICLE IV CONDITIONS PRECEDENT</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62</w:t>
            </w:r>
          </w:p>
        </w:tc>
        <w:tc>
          <w:tcPr>
            <w:tcW w:w="40" w:type="dxa"/>
            <w:vAlign w:val="bottom"/>
          </w:tcPr>
          <w:p>
            <w:pPr>
              <w:spacing w:after="0"/>
              <w:rPr>
                <w:sz w:val="24"/>
                <w:szCs w:val="24"/>
                <w:color w:val="auto"/>
              </w:rPr>
            </w:pPr>
          </w:p>
        </w:tc>
        <w:tc>
          <w:tcPr>
            <w:tcW w:w="200" w:type="dxa"/>
            <w:vAlign w:val="bottom"/>
            <w:tcBorders>
              <w:top w:val="single" w:sz="8" w:color="0E32E1"/>
              <w:bottom w:val="single" w:sz="8" w:color="0E32E1"/>
            </w:tcBorders>
          </w:tcPr>
          <w:p>
            <w:pPr>
              <w:jc w:val="right"/>
              <w:spacing w:after="0"/>
              <w:rPr>
                <w:sz w:val="20"/>
                <w:szCs w:val="20"/>
                <w:color w:val="auto"/>
              </w:rPr>
            </w:pPr>
            <w:r>
              <w:rPr>
                <w:rFonts w:ascii="Times New Roman" w:cs="Times New Roman" w:eastAsia="Times New Roman" w:hAnsi="Times New Roman"/>
                <w:sz w:val="21"/>
                <w:szCs w:val="21"/>
                <w:color w:val="0E32E1"/>
                <w:w w:val="85"/>
              </w:rPr>
              <w:t>63</w:t>
            </w:r>
          </w:p>
        </w:tc>
        <w:tc>
          <w:tcPr>
            <w:tcW w:w="0" w:type="dxa"/>
            <w:vAlign w:val="bottom"/>
          </w:tcPr>
          <w:p>
            <w:pPr>
              <w:spacing w:after="0"/>
              <w:rPr>
                <w:sz w:val="1"/>
                <w:szCs w:val="1"/>
                <w:color w:val="auto"/>
              </w:rPr>
            </w:pPr>
          </w:p>
        </w:tc>
      </w:tr>
      <w:tr>
        <w:trPr>
          <w:trHeight w:val="30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4.01. Conditions Precedent to the Loans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63</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4.02. Conditions Precedent to Advances After the Initial Advance</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65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4.03. Deemed Representations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65</w:t>
            </w:r>
          </w:p>
        </w:tc>
        <w:tc>
          <w:tcPr>
            <w:tcW w:w="0" w:type="dxa"/>
            <w:vAlign w:val="bottom"/>
          </w:tcPr>
          <w:p>
            <w:pPr>
              <w:spacing w:after="0"/>
              <w:rPr>
                <w:sz w:val="1"/>
                <w:szCs w:val="1"/>
                <w:color w:val="auto"/>
              </w:rPr>
            </w:pPr>
          </w:p>
        </w:tc>
      </w:tr>
      <w:tr>
        <w:trPr>
          <w:trHeight w:val="277"/>
        </w:trPr>
        <w:tc>
          <w:tcPr>
            <w:tcW w:w="8200" w:type="dxa"/>
            <w:vAlign w:val="bottom"/>
          </w:tcPr>
          <w:p>
            <w:pPr>
              <w:spacing w:after="0"/>
              <w:rPr>
                <w:sz w:val="20"/>
                <w:szCs w:val="20"/>
                <w:color w:val="auto"/>
              </w:rPr>
            </w:pPr>
            <w:r>
              <w:rPr>
                <w:rFonts w:ascii="Times New Roman" w:cs="Times New Roman" w:eastAsia="Times New Roman" w:hAnsi="Times New Roman"/>
                <w:sz w:val="21"/>
                <w:szCs w:val="21"/>
                <w:color w:val="auto"/>
              </w:rPr>
              <w:t>ARTICLE V REPRESENTATIONS AND WARRANTIES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65</w:t>
            </w:r>
          </w:p>
        </w:tc>
        <w:tc>
          <w:tcPr>
            <w:tcW w:w="40" w:type="dxa"/>
            <w:vAlign w:val="bottom"/>
          </w:tcPr>
          <w:p>
            <w:pPr>
              <w:spacing w:after="0"/>
              <w:rPr>
                <w:sz w:val="24"/>
                <w:szCs w:val="24"/>
                <w:color w:val="auto"/>
              </w:rPr>
            </w:pPr>
          </w:p>
        </w:tc>
        <w:tc>
          <w:tcPr>
            <w:tcW w:w="20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21"/>
                <w:szCs w:val="21"/>
                <w:color w:val="0E32E1"/>
                <w:w w:val="85"/>
              </w:rPr>
              <w:t>66</w:t>
            </w:r>
          </w:p>
        </w:tc>
        <w:tc>
          <w:tcPr>
            <w:tcW w:w="0" w:type="dxa"/>
            <w:vAlign w:val="bottom"/>
          </w:tcPr>
          <w:p>
            <w:pPr>
              <w:spacing w:after="0"/>
              <w:rPr>
                <w:sz w:val="1"/>
                <w:szCs w:val="1"/>
                <w:color w:val="auto"/>
              </w:rPr>
            </w:pPr>
          </w:p>
        </w:tc>
      </w:tr>
      <w:tr>
        <w:trPr>
          <w:trHeight w:val="30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5.01. Existence</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66</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5.02. Corporate/Partnership Powers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66</w:t>
            </w:r>
          </w:p>
        </w:tc>
        <w:tc>
          <w:tcPr>
            <w:tcW w:w="0" w:type="dxa"/>
            <w:vAlign w:val="bottom"/>
          </w:tcPr>
          <w:p>
            <w:pPr>
              <w:spacing w:after="0"/>
              <w:rPr>
                <w:sz w:val="1"/>
                <w:szCs w:val="1"/>
                <w:color w:val="auto"/>
              </w:rPr>
            </w:pPr>
          </w:p>
        </w:tc>
      </w:tr>
      <w:tr>
        <w:trPr>
          <w:trHeight w:val="32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5.03. Power of Officers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66</w:t>
            </w:r>
          </w:p>
        </w:tc>
        <w:tc>
          <w:tcPr>
            <w:tcW w:w="0" w:type="dxa"/>
            <w:vAlign w:val="bottom"/>
          </w:tcPr>
          <w:p>
            <w:pPr>
              <w:spacing w:after="0"/>
              <w:rPr>
                <w:sz w:val="1"/>
                <w:szCs w:val="1"/>
                <w:color w:val="auto"/>
              </w:rPr>
            </w:pPr>
          </w:p>
        </w:tc>
      </w:tr>
      <w:tr>
        <w:trPr>
          <w:trHeight w:val="27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5.04. Power and Authority; No Conflicts: Compliance With Laws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67</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5.05. Legally Enforceable Agreements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67</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5.06. Litigation</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67</w:t>
            </w:r>
          </w:p>
        </w:tc>
        <w:tc>
          <w:tcPr>
            <w:tcW w:w="0" w:type="dxa"/>
            <w:vAlign w:val="bottom"/>
          </w:tcPr>
          <w:p>
            <w:pPr>
              <w:spacing w:after="0"/>
              <w:rPr>
                <w:sz w:val="1"/>
                <w:szCs w:val="1"/>
                <w:color w:val="auto"/>
              </w:rPr>
            </w:pPr>
          </w:p>
        </w:tc>
      </w:tr>
      <w:tr>
        <w:trPr>
          <w:trHeight w:val="32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5.07. Good Title to Properties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67</w:t>
            </w:r>
          </w:p>
        </w:tc>
        <w:tc>
          <w:tcPr>
            <w:tcW w:w="0" w:type="dxa"/>
            <w:vAlign w:val="bottom"/>
          </w:tcPr>
          <w:p>
            <w:pPr>
              <w:spacing w:after="0"/>
              <w:rPr>
                <w:sz w:val="1"/>
                <w:szCs w:val="1"/>
                <w:color w:val="auto"/>
              </w:rPr>
            </w:pPr>
          </w:p>
        </w:tc>
      </w:tr>
      <w:tr>
        <w:trPr>
          <w:trHeight w:val="27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5.08. Taxes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68</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5.09. ERISA</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68</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5.10. No Default on Outstanding Judgments or Orders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68</w:t>
            </w:r>
          </w:p>
        </w:tc>
        <w:tc>
          <w:tcPr>
            <w:tcW w:w="0" w:type="dxa"/>
            <w:vAlign w:val="bottom"/>
          </w:tcPr>
          <w:p>
            <w:pPr>
              <w:spacing w:after="0"/>
              <w:rPr>
                <w:sz w:val="1"/>
                <w:szCs w:val="1"/>
                <w:color w:val="auto"/>
              </w:rPr>
            </w:pPr>
          </w:p>
        </w:tc>
      </w:tr>
      <w:tr>
        <w:trPr>
          <w:trHeight w:val="32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5.11. No Defaults on Other Agreements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68</w:t>
            </w:r>
          </w:p>
        </w:tc>
        <w:tc>
          <w:tcPr>
            <w:tcW w:w="0" w:type="dxa"/>
            <w:vAlign w:val="bottom"/>
          </w:tcPr>
          <w:p>
            <w:pPr>
              <w:spacing w:after="0"/>
              <w:rPr>
                <w:sz w:val="1"/>
                <w:szCs w:val="1"/>
                <w:color w:val="auto"/>
              </w:rPr>
            </w:pPr>
          </w:p>
        </w:tc>
      </w:tr>
      <w:tr>
        <w:trPr>
          <w:trHeight w:val="27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5.12. Government Regulation</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69</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5.13. Environmental Protection</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69</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5.14. Solvency</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69</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5.15. Financial Statements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69</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5.16. Valid Existence of Affiliates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69</w:t>
            </w:r>
          </w:p>
        </w:tc>
        <w:tc>
          <w:tcPr>
            <w:tcW w:w="0" w:type="dxa"/>
            <w:vAlign w:val="bottom"/>
          </w:tcPr>
          <w:p>
            <w:pPr>
              <w:spacing w:after="0"/>
              <w:rPr>
                <w:sz w:val="1"/>
                <w:szCs w:val="1"/>
                <w:color w:val="auto"/>
              </w:rPr>
            </w:pPr>
          </w:p>
        </w:tc>
      </w:tr>
      <w:tr>
        <w:trPr>
          <w:trHeight w:val="32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5.17. Insurance</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69</w:t>
            </w:r>
          </w:p>
        </w:tc>
        <w:tc>
          <w:tcPr>
            <w:tcW w:w="0" w:type="dxa"/>
            <w:vAlign w:val="bottom"/>
          </w:tcPr>
          <w:p>
            <w:pPr>
              <w:spacing w:after="0"/>
              <w:rPr>
                <w:sz w:val="1"/>
                <w:szCs w:val="1"/>
                <w:color w:val="auto"/>
              </w:rPr>
            </w:pPr>
          </w:p>
        </w:tc>
      </w:tr>
      <w:tr>
        <w:trPr>
          <w:trHeight w:val="32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5.18. Accuracy of Information; Full Disclosure</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69</w:t>
            </w:r>
          </w:p>
        </w:tc>
        <w:tc>
          <w:tcPr>
            <w:tcW w:w="0" w:type="dxa"/>
            <w:vAlign w:val="bottom"/>
          </w:tcPr>
          <w:p>
            <w:pPr>
              <w:spacing w:after="0"/>
              <w:rPr>
                <w:sz w:val="1"/>
                <w:szCs w:val="1"/>
                <w:color w:val="auto"/>
              </w:rPr>
            </w:pPr>
          </w:p>
        </w:tc>
      </w:tr>
      <w:tr>
        <w:trPr>
          <w:trHeight w:val="27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5.19. Use of Proceeds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70</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5.20. Governmental Approvals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70</w:t>
            </w:r>
          </w:p>
        </w:tc>
        <w:tc>
          <w:tcPr>
            <w:tcW w:w="0" w:type="dxa"/>
            <w:vAlign w:val="bottom"/>
          </w:tcPr>
          <w:p>
            <w:pPr>
              <w:spacing w:after="0"/>
              <w:rPr>
                <w:sz w:val="1"/>
                <w:szCs w:val="1"/>
                <w:color w:val="auto"/>
              </w:rPr>
            </w:pPr>
          </w:p>
        </w:tc>
      </w:tr>
      <w:tr>
        <w:trPr>
          <w:trHeight w:val="32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5.21. Principal Offices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70</w:t>
            </w:r>
          </w:p>
        </w:tc>
        <w:tc>
          <w:tcPr>
            <w:tcW w:w="0" w:type="dxa"/>
            <w:vAlign w:val="bottom"/>
          </w:tcPr>
          <w:p>
            <w:pPr>
              <w:spacing w:after="0"/>
              <w:rPr>
                <w:sz w:val="1"/>
                <w:szCs w:val="1"/>
                <w:color w:val="auto"/>
              </w:rPr>
            </w:pPr>
          </w:p>
        </w:tc>
      </w:tr>
      <w:tr>
        <w:trPr>
          <w:trHeight w:val="327"/>
        </w:trPr>
        <w:tc>
          <w:tcPr>
            <w:tcW w:w="820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5.22. General Partner Status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20"/>
          </w:cols>
          <w:pgMar w:left="340" w:top="125" w:right="339" w:bottom="1440" w:gutter="0" w:footer="0" w:header="0"/>
        </w:sectPr>
      </w:pPr>
    </w:p>
    <w:bookmarkStart w:id="300" w:name="page301"/>
    <w:bookmarkEnd w:id="300"/>
    <w:p>
      <w:pPr>
        <w:jc w:val="center"/>
        <w:ind w:right="20"/>
        <w:spacing w:after="0"/>
        <w:rPr>
          <w:sz w:val="20"/>
          <w:szCs w:val="20"/>
          <w:color w:val="auto"/>
        </w:rPr>
      </w:pPr>
      <w:r>
        <w:rPr>
          <w:rFonts w:ascii="Times New Roman" w:cs="Times New Roman" w:eastAsia="Times New Roman" w:hAnsi="Times New Roman"/>
          <w:sz w:val="21"/>
          <w:szCs w:val="21"/>
          <w:color w:val="auto"/>
        </w:rPr>
        <w:t>TABLE OF CONTENTS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42"/>
        </w:trPr>
        <w:tc>
          <w:tcPr>
            <w:tcW w:w="640" w:type="dxa"/>
            <w:vAlign w:val="bottom"/>
            <w:vMerge w:val="restart"/>
          </w:tcPr>
          <w:p>
            <w:pPr>
              <w:spacing w:after="0"/>
              <w:rPr>
                <w:sz w:val="3"/>
                <w:szCs w:val="3"/>
                <w:color w:val="auto"/>
              </w:rPr>
            </w:pPr>
          </w:p>
        </w:tc>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Section 5.23. Labor Matters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EE2724"/>
                <w:strike w:val="1"/>
                <w:w w:val="95"/>
              </w:rPr>
              <w:t>70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color w:val="0E32E1"/>
              </w:rPr>
              <w:t>71</w:t>
            </w: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756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5.24. Organizational Documents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5.25. Anti-Corruption Laws and Sanctions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5.26. Affected Financial Institutions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71</w:t>
            </w:r>
          </w:p>
        </w:tc>
        <w:tc>
          <w:tcPr>
            <w:tcW w:w="0" w:type="dxa"/>
            <w:vAlign w:val="bottom"/>
          </w:tcPr>
          <w:p>
            <w:pPr>
              <w:spacing w:after="0"/>
              <w:rPr>
                <w:sz w:val="1"/>
                <w:szCs w:val="1"/>
                <w:color w:val="auto"/>
              </w:rPr>
            </w:pPr>
          </w:p>
        </w:tc>
      </w:tr>
      <w:tr>
        <w:trPr>
          <w:trHeight w:val="277"/>
        </w:trPr>
        <w:tc>
          <w:tcPr>
            <w:tcW w:w="64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21"/>
                <w:szCs w:val="21"/>
                <w:color w:val="0E32E1"/>
                <w:w w:val="99"/>
              </w:rPr>
              <w:t>Section 5.27. Outbound Investment Rules</w:t>
            </w:r>
          </w:p>
        </w:tc>
        <w:tc>
          <w:tcPr>
            <w:tcW w:w="406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0E32E1"/>
              </w:rPr>
              <w:t>71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500" w:type="dxa"/>
            <w:vAlign w:val="bottom"/>
            <w:shd w:val="clear" w:color="auto" w:fill="0E32E1"/>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2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ARTICLE VI AFFIRMATIVE COVENANTS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71</w:t>
            </w:r>
          </w:p>
        </w:tc>
        <w:tc>
          <w:tcPr>
            <w:tcW w:w="40" w:type="dxa"/>
            <w:vAlign w:val="bottom"/>
          </w:tcPr>
          <w:p>
            <w:pPr>
              <w:spacing w:after="0"/>
              <w:rPr>
                <w:sz w:val="24"/>
                <w:szCs w:val="24"/>
                <w:color w:val="auto"/>
              </w:rPr>
            </w:pPr>
          </w:p>
        </w:tc>
        <w:tc>
          <w:tcPr>
            <w:tcW w:w="20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21"/>
                <w:szCs w:val="21"/>
                <w:color w:val="0E32E1"/>
                <w:w w:val="85"/>
              </w:rPr>
              <w:t>72</w:t>
            </w:r>
          </w:p>
        </w:tc>
        <w:tc>
          <w:tcPr>
            <w:tcW w:w="0" w:type="dxa"/>
            <w:vAlign w:val="bottom"/>
          </w:tcPr>
          <w:p>
            <w:pPr>
              <w:spacing w:after="0"/>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6.01. Maintenance of Existence</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6.02. Maintenance of Records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6.03. Maintenance of Insurance</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6.04. Compliance with Laws: Payment of Taxes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6.05. Right of Inspection</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6.06. Compliance With Environmental Laws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6.07. Payment of Costs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6.08. Maintenance of Properties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6.09. Reporting and Miscellaneous Document Requirements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73</w:t>
            </w:r>
          </w:p>
        </w:tc>
        <w:tc>
          <w:tcPr>
            <w:tcW w:w="0" w:type="dxa"/>
            <w:vAlign w:val="bottom"/>
          </w:tcPr>
          <w:p>
            <w:pPr>
              <w:spacing w:after="0"/>
              <w:rPr>
                <w:sz w:val="1"/>
                <w:szCs w:val="1"/>
                <w:color w:val="auto"/>
              </w:rPr>
            </w:pPr>
          </w:p>
        </w:tc>
      </w:tr>
      <w:tr>
        <w:trPr>
          <w:trHeight w:val="307"/>
        </w:trPr>
        <w:tc>
          <w:tcPr>
            <w:tcW w:w="82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ARTICLE VII NEGATIVE COVENANTS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75</w:t>
            </w:r>
          </w:p>
        </w:tc>
        <w:tc>
          <w:tcPr>
            <w:tcW w:w="40" w:type="dxa"/>
            <w:vAlign w:val="bottom"/>
          </w:tcPr>
          <w:p>
            <w:pPr>
              <w:spacing w:after="0"/>
              <w:rPr>
                <w:sz w:val="24"/>
                <w:szCs w:val="24"/>
                <w:color w:val="auto"/>
              </w:rPr>
            </w:pPr>
          </w:p>
        </w:tc>
        <w:tc>
          <w:tcPr>
            <w:tcW w:w="200" w:type="dxa"/>
            <w:vAlign w:val="bottom"/>
            <w:tcBorders>
              <w:top w:val="single" w:sz="8" w:color="0E32E1"/>
              <w:bottom w:val="single" w:sz="8" w:color="0E32E1"/>
            </w:tcBorders>
          </w:tcPr>
          <w:p>
            <w:pPr>
              <w:jc w:val="right"/>
              <w:spacing w:after="0"/>
              <w:rPr>
                <w:sz w:val="20"/>
                <w:szCs w:val="20"/>
                <w:color w:val="auto"/>
              </w:rPr>
            </w:pPr>
            <w:r>
              <w:rPr>
                <w:rFonts w:ascii="Times New Roman" w:cs="Times New Roman" w:eastAsia="Times New Roman" w:hAnsi="Times New Roman"/>
                <w:sz w:val="21"/>
                <w:szCs w:val="21"/>
                <w:color w:val="0E32E1"/>
                <w:w w:val="85"/>
              </w:rPr>
              <w:t>76</w:t>
            </w:r>
          </w:p>
        </w:tc>
        <w:tc>
          <w:tcPr>
            <w:tcW w:w="0" w:type="dxa"/>
            <w:vAlign w:val="bottom"/>
          </w:tcPr>
          <w:p>
            <w:pPr>
              <w:spacing w:after="0"/>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7.01. Mergers, Etc</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7.02. Distributions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7.03. Amendments to Organizational Documents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7.04. Use of Proceeds and Letters of Credit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76</w:t>
            </w:r>
          </w:p>
        </w:tc>
        <w:tc>
          <w:tcPr>
            <w:tcW w:w="0" w:type="dxa"/>
            <w:vAlign w:val="bottom"/>
          </w:tcPr>
          <w:p>
            <w:pPr>
              <w:spacing w:after="0"/>
              <w:rPr>
                <w:sz w:val="1"/>
                <w:szCs w:val="1"/>
                <w:color w:val="auto"/>
              </w:rPr>
            </w:pPr>
          </w:p>
        </w:tc>
      </w:tr>
      <w:tr>
        <w:trPr>
          <w:trHeight w:val="277"/>
        </w:trPr>
        <w:tc>
          <w:tcPr>
            <w:tcW w:w="64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21"/>
                <w:szCs w:val="21"/>
                <w:color w:val="0E32E1"/>
                <w:w w:val="99"/>
              </w:rPr>
              <w:t>Section 7.05. Outbound Investment Rules</w:t>
            </w:r>
          </w:p>
        </w:tc>
        <w:tc>
          <w:tcPr>
            <w:tcW w:w="406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0E32E1"/>
              </w:rPr>
              <w:t>77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500" w:type="dxa"/>
            <w:vAlign w:val="bottom"/>
            <w:shd w:val="clear" w:color="auto" w:fill="0E32E1"/>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2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ARTICLE VIII FINANCIAL COVENANTS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76</w:t>
            </w:r>
          </w:p>
        </w:tc>
        <w:tc>
          <w:tcPr>
            <w:tcW w:w="40" w:type="dxa"/>
            <w:vAlign w:val="bottom"/>
          </w:tcPr>
          <w:p>
            <w:pPr>
              <w:spacing w:after="0"/>
              <w:rPr>
                <w:sz w:val="24"/>
                <w:szCs w:val="24"/>
                <w:color w:val="auto"/>
              </w:rPr>
            </w:pPr>
          </w:p>
        </w:tc>
        <w:tc>
          <w:tcPr>
            <w:tcW w:w="20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21"/>
                <w:szCs w:val="21"/>
                <w:color w:val="0E32E1"/>
                <w:w w:val="85"/>
              </w:rPr>
              <w:t>77</w:t>
            </w:r>
          </w:p>
        </w:tc>
        <w:tc>
          <w:tcPr>
            <w:tcW w:w="0" w:type="dxa"/>
            <w:vAlign w:val="bottom"/>
          </w:tcPr>
          <w:p>
            <w:pPr>
              <w:spacing w:after="0"/>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8.01. [Intentionally Omitted]</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8.02. Ratio of Total Outstanding Indebtedness to Capitalization Value</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8.03. Intentionally Omitted</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8.04. Ratio of Combined EBITDA to Fixed Charges</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8.05. Ratio of Unencumbered Combined EBITDA to Unsecured Interest</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78</w:t>
            </w:r>
          </w:p>
        </w:tc>
        <w:tc>
          <w:tcPr>
            <w:tcW w:w="0" w:type="dxa"/>
            <w:vAlign w:val="bottom"/>
          </w:tcPr>
          <w:p>
            <w:pPr>
              <w:spacing w:after="0"/>
              <w:rPr>
                <w:sz w:val="1"/>
                <w:szCs w:val="1"/>
                <w:color w:val="auto"/>
              </w:rPr>
            </w:pPr>
          </w:p>
        </w:tc>
      </w:tr>
      <w:tr>
        <w:trPr>
          <w:trHeight w:val="306"/>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Expense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0E32E1"/>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8.06. Ratio of Unsecured Indebtedness to Capitalization Value of</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78</w:t>
            </w:r>
          </w:p>
        </w:tc>
        <w:tc>
          <w:tcPr>
            <w:tcW w:w="0" w:type="dxa"/>
            <w:vAlign w:val="bottom"/>
          </w:tcPr>
          <w:p>
            <w:pPr>
              <w:spacing w:after="0"/>
              <w:rPr>
                <w:sz w:val="1"/>
                <w:szCs w:val="1"/>
                <w:color w:val="auto"/>
              </w:rPr>
            </w:pPr>
          </w:p>
        </w:tc>
      </w:tr>
      <w:tr>
        <w:trPr>
          <w:trHeight w:val="306"/>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Unencumbered Assets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0E32E1"/>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8.08. Debt of the General Partner</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79</w:t>
            </w:r>
          </w:p>
        </w:tc>
        <w:tc>
          <w:tcPr>
            <w:tcW w:w="0" w:type="dxa"/>
            <w:vAlign w:val="bottom"/>
          </w:tcPr>
          <w:p>
            <w:pPr>
              <w:spacing w:after="0"/>
              <w:rPr>
                <w:sz w:val="1"/>
                <w:szCs w:val="1"/>
                <w:color w:val="auto"/>
              </w:rPr>
            </w:pPr>
          </w:p>
        </w:tc>
      </w:tr>
      <w:tr>
        <w:trPr>
          <w:trHeight w:val="20"/>
        </w:trPr>
        <w:tc>
          <w:tcPr>
            <w:tcW w:w="8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2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ARTICLE IX EVENTS OF DEFAULT</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4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Section 9.01. Events of Default</w:t>
            </w:r>
          </w:p>
        </w:tc>
        <w:tc>
          <w:tcPr>
            <w:tcW w:w="2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0E32E1"/>
              </w:rPr>
              <w:t>79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20"/>
          </w:cols>
          <w:pgMar w:left="340" w:top="125" w:right="339" w:bottom="1440" w:gutter="0" w:footer="0" w:header="0"/>
        </w:sectPr>
      </w:pPr>
    </w:p>
    <w:bookmarkStart w:id="301" w:name="page302"/>
    <w:bookmarkEnd w:id="301"/>
    <w:p>
      <w:pPr>
        <w:jc w:val="center"/>
        <w:ind w:right="20"/>
        <w:spacing w:after="0"/>
        <w:rPr>
          <w:sz w:val="20"/>
          <w:szCs w:val="20"/>
          <w:color w:val="auto"/>
        </w:rPr>
      </w:pPr>
      <w:r>
        <w:rPr>
          <w:rFonts w:ascii="Times New Roman" w:cs="Times New Roman" w:eastAsia="Times New Roman" w:hAnsi="Times New Roman"/>
          <w:sz w:val="21"/>
          <w:szCs w:val="21"/>
          <w:color w:val="auto"/>
        </w:rPr>
        <w:t>TABLE OF CONTENTS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42"/>
        </w:trPr>
        <w:tc>
          <w:tcPr>
            <w:tcW w:w="8100" w:type="dxa"/>
            <w:vAlign w:val="bottom"/>
            <w:gridSpan w:val="3"/>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9.02. Remedies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EE2724"/>
                <w:strike w:val="1"/>
              </w:rPr>
              <w:t>80</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21"/>
                <w:szCs w:val="21"/>
                <w:color w:val="0E32E1"/>
                <w:w w:val="85"/>
              </w:rPr>
              <w:t>81</w:t>
            </w:r>
          </w:p>
        </w:tc>
        <w:tc>
          <w:tcPr>
            <w:tcW w:w="10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100" w:type="dxa"/>
            <w:vAlign w:val="bottom"/>
            <w:gridSpan w:val="3"/>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9.03. Application of Payments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81</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ARTICLE X ADMINISTRATIVE AGENT; RELATIONS AMONG BANKS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82</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10.01. Appointment, Powers and Immunities of Administrative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82</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10.02. Reliance by Administrative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83</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10.03. Defaults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84</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10.04. Rights of Agent as a Bank</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84</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10.05. Indemnification of Agents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85</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10.06. Non-Reliance on Agents and Other Banks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85</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10.07. Failure of Administrative Agent to Act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86</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10.08. Resignation or Removal of Administrative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86</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10.09. Amendments Concerning Agency Function</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87</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10.10. Liability of Administrative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87</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10.11. Transfer of Agency Function</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87</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10.12. Non-Receipt of Funds by Administrative Agent; Erroneous Payments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87</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1780" w:type="dxa"/>
            <w:vAlign w:val="bottom"/>
          </w:tcPr>
          <w:p>
            <w:pPr>
              <w:ind w:left="640"/>
              <w:spacing w:after="0"/>
              <w:rPr>
                <w:sz w:val="20"/>
                <w:szCs w:val="20"/>
                <w:color w:val="auto"/>
              </w:rPr>
            </w:pPr>
            <w:r>
              <w:rPr>
                <w:rFonts w:ascii="Times New Roman" w:cs="Times New Roman" w:eastAsia="Times New Roman" w:hAnsi="Times New Roman"/>
                <w:sz w:val="21"/>
                <w:szCs w:val="21"/>
                <w:color w:val="auto"/>
                <w:w w:val="96"/>
              </w:rPr>
              <w:t>Section 10.13</w:t>
            </w:r>
          </w:p>
        </w:tc>
        <w:tc>
          <w:tcPr>
            <w:tcW w:w="340" w:type="dxa"/>
            <w:vAlign w:val="bottom"/>
          </w:tcPr>
          <w:p>
            <w:pPr>
              <w:spacing w:after="0"/>
              <w:rPr>
                <w:sz w:val="20"/>
                <w:szCs w:val="20"/>
                <w:color w:val="auto"/>
              </w:rPr>
            </w:pPr>
            <w:r>
              <w:rPr>
                <w:rFonts w:ascii="Times New Roman" w:cs="Times New Roman" w:eastAsia="Times New Roman" w:hAnsi="Times New Roman"/>
                <w:sz w:val="21"/>
                <w:szCs w:val="21"/>
                <w:color w:val="EE2724"/>
                <w:strike w:val="1"/>
              </w:rPr>
              <w:t>.(a)</w:t>
            </w:r>
          </w:p>
        </w:tc>
        <w:tc>
          <w:tcPr>
            <w:tcW w:w="5980" w:type="dxa"/>
            <w:vAlign w:val="bottom"/>
          </w:tcPr>
          <w:p>
            <w:pPr>
              <w:spacing w:after="0"/>
              <w:rPr>
                <w:sz w:val="20"/>
                <w:szCs w:val="20"/>
                <w:color w:val="auto"/>
              </w:rPr>
            </w:pPr>
            <w:r>
              <w:rPr>
                <w:rFonts w:ascii="Times New Roman" w:cs="Times New Roman" w:eastAsia="Times New Roman" w:hAnsi="Times New Roman"/>
                <w:sz w:val="21"/>
                <w:szCs w:val="21"/>
                <w:color w:val="auto"/>
              </w:rPr>
              <w:t>Payments Free of Taxes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88</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10.14. Pro Rata Treatment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92</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10.15. Sharing of Payments Among Banks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92</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10.16. Possession of Documents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93</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10.17. Syndication Agents, Documentation Agents, Etc.</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93</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10.18. Certain ERISA Matters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93</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10.19. Sustainability Matters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95</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ARTICLE XI NATURE OF OBLIGATIONS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95</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11.01. Absolute and Unconditional Obligations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95</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ind w:left="640"/>
              <w:spacing w:after="0"/>
              <w:rPr>
                <w:sz w:val="20"/>
                <w:szCs w:val="20"/>
                <w:color w:val="auto"/>
              </w:rPr>
            </w:pPr>
            <w:r>
              <w:rPr>
                <w:rFonts w:ascii="Times New Roman" w:cs="Times New Roman" w:eastAsia="Times New Roman" w:hAnsi="Times New Roman"/>
                <w:sz w:val="21"/>
                <w:szCs w:val="21"/>
                <w:color w:val="auto"/>
              </w:rPr>
              <w:t>Section 11.02. Non-Recourse to VRT Principals and the General Partner</w:t>
            </w: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vMerge w:val="continue"/>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95</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ARTICLE XII MISCELLANEOUS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96</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12.01. Binding Effect of Request for Advance</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96</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12.02. Amendments and Waivers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96</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12.03. Survival</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97</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12.04. Expenses; Indemnification</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98</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5"/>
              </w:rPr>
              <w:t>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12.05. Assignment; Participation</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rPr>
              <w:t>98</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100</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8100" w:type="dxa"/>
            <w:vAlign w:val="bottom"/>
            <w:gridSpan w:val="3"/>
          </w:tcPr>
          <w:p>
            <w:pPr>
              <w:ind w:left="640"/>
              <w:spacing w:after="0"/>
              <w:rPr>
                <w:sz w:val="20"/>
                <w:szCs w:val="20"/>
                <w:color w:val="auto"/>
              </w:rPr>
            </w:pPr>
            <w:r>
              <w:rPr>
                <w:rFonts w:ascii="Times New Roman" w:cs="Times New Roman" w:eastAsia="Times New Roman" w:hAnsi="Times New Roman"/>
                <w:sz w:val="21"/>
                <w:szCs w:val="21"/>
                <w:color w:val="auto"/>
              </w:rPr>
              <w:t>Section 12.06. Documentation Satisfactory</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101</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104</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1"/>
          <w:szCs w:val="21"/>
          <w:color w:val="auto"/>
        </w:rPr>
        <w:t>-iv-</w:t>
      </w:r>
    </w:p>
    <w:p>
      <w:pPr>
        <w:sectPr>
          <w:pgSz w:w="11900" w:h="16838" w:orient="portrait"/>
          <w:cols w:equalWidth="0" w:num="1">
            <w:col w:w="11220"/>
          </w:cols>
          <w:pgMar w:left="340" w:top="125" w:right="339" w:bottom="1440" w:gutter="0" w:footer="0" w:header="0"/>
        </w:sectPr>
      </w:pPr>
    </w:p>
    <w:bookmarkStart w:id="302" w:name="page303"/>
    <w:bookmarkEnd w:id="302"/>
    <w:p>
      <w:pPr>
        <w:ind w:left="3900"/>
        <w:spacing w:after="0"/>
        <w:rPr>
          <w:sz w:val="20"/>
          <w:szCs w:val="20"/>
          <w:color w:val="auto"/>
        </w:rPr>
      </w:pPr>
      <w:r>
        <w:rPr>
          <w:rFonts w:ascii="Times New Roman" w:cs="Times New Roman" w:eastAsia="Times New Roman" w:hAnsi="Times New Roman"/>
          <w:sz w:val="21"/>
          <w:szCs w:val="21"/>
          <w:color w:val="auto"/>
        </w:rPr>
        <w:t>TABLE OF CONTENTS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42"/>
        </w:trPr>
        <w:tc>
          <w:tcPr>
            <w:tcW w:w="74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Section 12.07. Notices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EE2724"/>
                <w:strike w:val="1"/>
                <w:w w:val="95"/>
              </w:rPr>
              <w:t>102</w:t>
            </w:r>
          </w:p>
        </w:tc>
        <w:tc>
          <w:tcPr>
            <w:tcW w:w="340" w:type="dxa"/>
            <w:vAlign w:val="bottom"/>
            <w:gridSpan w:val="3"/>
            <w:vMerge w:val="restart"/>
          </w:tcPr>
          <w:p>
            <w:pPr>
              <w:ind w:left="40"/>
              <w:spacing w:after="0"/>
              <w:rPr>
                <w:sz w:val="20"/>
                <w:szCs w:val="20"/>
                <w:color w:val="auto"/>
              </w:rPr>
            </w:pPr>
            <w:r>
              <w:rPr>
                <w:rFonts w:ascii="Times New Roman" w:cs="Times New Roman" w:eastAsia="Times New Roman" w:hAnsi="Times New Roman"/>
                <w:sz w:val="21"/>
                <w:szCs w:val="21"/>
                <w:color w:val="0E32E1"/>
                <w:w w:val="88"/>
              </w:rPr>
              <w:t>104</w:t>
            </w:r>
          </w:p>
        </w:tc>
        <w:tc>
          <w:tcPr>
            <w:tcW w:w="0" w:type="dxa"/>
            <w:vAlign w:val="bottom"/>
          </w:tcPr>
          <w:p>
            <w:pPr>
              <w:spacing w:after="0"/>
              <w:rPr>
                <w:sz w:val="1"/>
                <w:szCs w:val="1"/>
                <w:color w:val="auto"/>
              </w:rPr>
            </w:pPr>
          </w:p>
        </w:tc>
      </w:tr>
      <w:tr>
        <w:trPr>
          <w:trHeight w:val="200"/>
        </w:trPr>
        <w:tc>
          <w:tcPr>
            <w:tcW w:w="74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12.08. Setoff</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105</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107</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12.09. Table of Contents; Headings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105</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107</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12.10. Severability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105</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107</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12.11. Counterparts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106</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108</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12.12. Integration</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107</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109</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12.13. Governing Law</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107</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109</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12.14. Waivers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107</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109</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12.15. Jurisdiction; Immunities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107</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109</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12.16. [Reserved]</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109</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2"/>
              </w:rPr>
              <w:t>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12.17. [Reserved]</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109</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2"/>
              </w:rPr>
              <w:t>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12.18. Intentionally Omitted</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109</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2"/>
              </w:rPr>
              <w:t>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12.19. USA Patriot Act</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109</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2"/>
              </w:rPr>
              <w:t>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12.20. Defaulting Lenders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109</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0E32E1"/>
                <w:w w:val="82"/>
              </w:rPr>
              <w:t>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12.21. Use for Mortgages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112</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114</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12.22. [Reserved]</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113</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115</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12.23. Confidentiality</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113</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115</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12.24. Transitional Arrangements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114</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116</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12.25. No Advisory or Fiduciary Responsibility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115</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117</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12.26. Acknowledgement and Consent to Bail-In of Affected Financial</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115</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118</w:t>
            </w:r>
          </w:p>
        </w:tc>
        <w:tc>
          <w:tcPr>
            <w:tcW w:w="0" w:type="dxa"/>
            <w:vAlign w:val="bottom"/>
          </w:tcPr>
          <w:p>
            <w:pPr>
              <w:spacing w:after="0"/>
              <w:rPr>
                <w:sz w:val="1"/>
                <w:szCs w:val="1"/>
                <w:color w:val="auto"/>
              </w:rPr>
            </w:pPr>
          </w:p>
        </w:tc>
      </w:tr>
      <w:tr>
        <w:trPr>
          <w:trHeight w:val="306"/>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Institutions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top w:val="single" w:sz="8" w:color="0E32E1"/>
            </w:tcBorders>
          </w:tcPr>
          <w:p>
            <w:pPr>
              <w:spacing w:after="0"/>
              <w:rPr>
                <w:sz w:val="24"/>
                <w:szCs w:val="24"/>
                <w:color w:val="auto"/>
              </w:rPr>
            </w:pPr>
          </w:p>
        </w:tc>
        <w:tc>
          <w:tcPr>
            <w:tcW w:w="20" w:type="dxa"/>
            <w:vAlign w:val="bottom"/>
            <w:tcBorders>
              <w:top w:val="single" w:sz="8" w:color="0E32E1"/>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460" w:type="dxa"/>
            <w:vAlign w:val="bottom"/>
          </w:tcPr>
          <w:p>
            <w:pPr>
              <w:spacing w:after="0"/>
              <w:rPr>
                <w:sz w:val="20"/>
                <w:szCs w:val="20"/>
                <w:color w:val="auto"/>
              </w:rPr>
            </w:pPr>
            <w:r>
              <w:rPr>
                <w:rFonts w:ascii="Times New Roman" w:cs="Times New Roman" w:eastAsia="Times New Roman" w:hAnsi="Times New Roman"/>
                <w:sz w:val="21"/>
                <w:szCs w:val="21"/>
                <w:color w:val="auto"/>
              </w:rPr>
              <w:t>Section 12.27. Acknowledgement Regarding Any Supported QFCs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EE2724"/>
                <w:strike w:val="1"/>
                <w:w w:val="95"/>
              </w:rPr>
              <w:t>116</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0E32E1"/>
                <w:w w:val="88"/>
              </w:rPr>
              <w:t>119</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1"/>
          <w:szCs w:val="21"/>
          <w:color w:val="auto"/>
        </w:rPr>
        <w:t>-v-</w:t>
      </w:r>
    </w:p>
    <w:p>
      <w:pPr>
        <w:sectPr>
          <w:pgSz w:w="11900" w:h="16838" w:orient="portrait"/>
          <w:cols w:equalWidth="0" w:num="1">
            <w:col w:w="10580"/>
          </w:cols>
          <w:pgMar w:left="980" w:top="125" w:right="339" w:bottom="1440" w:gutter="0" w:footer="0" w:header="0"/>
        </w:sectPr>
      </w:pPr>
    </w:p>
    <w:bookmarkStart w:id="303" w:name="page304"/>
    <w:bookmarkEnd w:id="303"/>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SCHEDULES AND EXHIBITS</w:t>
            </w:r>
          </w:p>
        </w:tc>
        <w:tc>
          <w:tcPr>
            <w:tcW w:w="3640" w:type="dxa"/>
            <w:vAlign w:val="bottom"/>
          </w:tcPr>
          <w:p>
            <w:pPr>
              <w:spacing w:after="0"/>
              <w:rPr>
                <w:sz w:val="21"/>
                <w:szCs w:val="21"/>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502"/>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SCHEDULE 1</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Loan Commitments</w:t>
            </w:r>
          </w:p>
        </w:tc>
      </w:tr>
      <w:tr>
        <w:trPr>
          <w:trHeight w:val="327"/>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SCHEDULE 1A</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Letter of Credit Commitments</w:t>
            </w:r>
          </w:p>
        </w:tc>
      </w:tr>
      <w:tr>
        <w:trPr>
          <w:trHeight w:val="327"/>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SCHEDULE 2</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Other Investments</w:t>
            </w:r>
          </w:p>
        </w:tc>
      </w:tr>
      <w:tr>
        <w:trPr>
          <w:trHeight w:val="327"/>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SCHEDULE 2.17(j)</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Existing Letters of Credit</w:t>
            </w:r>
          </w:p>
        </w:tc>
      </w:tr>
      <w:tr>
        <w:trPr>
          <w:trHeight w:val="327"/>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SCHEDULE 2A</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General Partner Investments</w:t>
            </w:r>
          </w:p>
        </w:tc>
      </w:tr>
      <w:tr>
        <w:trPr>
          <w:trHeight w:val="327"/>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SCHEDULE 3</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General Partner – Debt</w:t>
            </w:r>
          </w:p>
        </w:tc>
      </w:tr>
      <w:tr>
        <w:trPr>
          <w:trHeight w:val="327"/>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SCHEDULE 4</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Sustainability Table</w:t>
            </w:r>
          </w:p>
        </w:tc>
      </w:tr>
      <w:tr>
        <w:trPr>
          <w:trHeight w:val="327"/>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SCHEDULE 5</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Covered Land</w:t>
            </w:r>
          </w:p>
        </w:tc>
      </w:tr>
      <w:tr>
        <w:trPr>
          <w:trHeight w:val="589"/>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A</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Authorization Letter</w:t>
            </w:r>
          </w:p>
        </w:tc>
      </w:tr>
      <w:tr>
        <w:trPr>
          <w:trHeight w:val="327"/>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B</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Ratable Loan Note</w:t>
            </w:r>
          </w:p>
        </w:tc>
      </w:tr>
      <w:tr>
        <w:trPr>
          <w:trHeight w:val="327"/>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C</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[Reserved]</w:t>
            </w:r>
          </w:p>
        </w:tc>
      </w:tr>
      <w:tr>
        <w:trPr>
          <w:trHeight w:val="327"/>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D</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Solvency Certificate</w:t>
            </w:r>
          </w:p>
        </w:tc>
      </w:tr>
      <w:tr>
        <w:trPr>
          <w:trHeight w:val="327"/>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E</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w w:val="99"/>
              </w:rPr>
              <w:t>Assignment and Assumption Agreement</w:t>
            </w:r>
          </w:p>
        </w:tc>
      </w:tr>
      <w:tr>
        <w:trPr>
          <w:trHeight w:val="327"/>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F</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List of Material Affiliates</w:t>
            </w:r>
          </w:p>
        </w:tc>
      </w:tr>
      <w:tr>
        <w:trPr>
          <w:trHeight w:val="327"/>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G</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Labor Matters</w:t>
            </w:r>
          </w:p>
        </w:tc>
      </w:tr>
      <w:tr>
        <w:trPr>
          <w:trHeight w:val="327"/>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H</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Tax Compliance Certificates</w:t>
            </w:r>
          </w:p>
        </w:tc>
      </w:tr>
      <w:tr>
        <w:trPr>
          <w:trHeight w:val="327"/>
        </w:trPr>
        <w:tc>
          <w:tcPr>
            <w:tcW w:w="22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EXHIBIT I</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Pricing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139"/>
          </w:cols>
          <w:pgMar w:left="320" w:top="1440" w:right="1440" w:bottom="1440" w:gutter="0" w:footer="0" w:header="0"/>
        </w:sectPr>
      </w:pPr>
    </w:p>
    <w:bookmarkStart w:id="304" w:name="page305"/>
    <w:bookmarkEnd w:id="304"/>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THIRD AMENDED AND RESTATED REVOLVING CREDIT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May 3, 2024 among VORNADO REALTY L.P., a limited partnership organized and existing under the laws of the State of Delaware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JPMORGAN CHASE BANK, N.A., as agent for the Banks (in such capacity, together with its successors in such capacity,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BANK OF AMERICA, N.A., PNC BANK, NATIONAL ASSOCIATION, WELLS FARGO BANK, N.A. and U.S. BANK NATIONAL ASSOCIATION, as Co-Syndication Agents, the Persons listed on the cover sheet hereto as “Documentation Agents” and “Sustainability Structuring Agent”, and JPMORGAN CHASE BANK, N.A., in its individual capacity and not as Administrative Agent, and the other lenders signatory hereto (said lenders signatory hereto and the lenders who from time to time become Banks pursuant to Section 3.07 or 12.05, each a “</w:t>
      </w:r>
      <w:r>
        <w:rPr>
          <w:rFonts w:ascii="Times New Roman" w:cs="Times New Roman" w:eastAsia="Times New Roman" w:hAnsi="Times New Roman"/>
          <w:sz w:val="21"/>
          <w:szCs w:val="21"/>
          <w:u w:val="single" w:color="auto"/>
          <w:color w:val="auto"/>
        </w:rPr>
        <w:t>Bank</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Banks</w:t>
      </w:r>
      <w:r>
        <w:rPr>
          <w:rFonts w:ascii="Times New Roman" w:cs="Times New Roman" w:eastAsia="Times New Roman" w:hAnsi="Times New Roman"/>
          <w:sz w:val="21"/>
          <w:szCs w:val="21"/>
          <w:color w:val="auto"/>
        </w:rPr>
        <w:t>”).</w:t>
      </w:r>
    </w:p>
    <w:p>
      <w:pPr>
        <w:spacing w:after="0" w:line="190"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WHEREAS, the Borrower, the Administrative Agent and certain of the Banks are parties to a Second Amended and Restated Revolving Credit Agreement dated as of April 15, 2021, as amended by Amendment No. 1 to Second Amended and Restated Revolving Credit Agreement dated as of June 30, 2022 (as so amended, the “</w:t>
      </w:r>
      <w:r>
        <w:rPr>
          <w:rFonts w:ascii="Times New Roman" w:cs="Times New Roman" w:eastAsia="Times New Roman" w:hAnsi="Times New Roman"/>
          <w:sz w:val="21"/>
          <w:szCs w:val="21"/>
          <w:u w:val="single" w:color="auto"/>
          <w:color w:val="auto"/>
        </w:rPr>
        <w:t>Existing 2021 Credit Agreement</w:t>
      </w:r>
      <w:r>
        <w:rPr>
          <w:rFonts w:ascii="Times New Roman" w:cs="Times New Roman" w:eastAsia="Times New Roman" w:hAnsi="Times New Roman"/>
          <w:sz w:val="21"/>
          <w:szCs w:val="21"/>
          <w:color w:val="auto"/>
        </w:rPr>
        <w:t>”), pursuant to which such Banks made available to the Borrower a revolving line of credit in the amount of One Billion Two Hundred Fifty Million Dollars ($1,250,000,000), which may be increased to One Billion Seven Hundred Fifty Million Dollars ($1,750,000,000);</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the Borrower has requested that the Administrative Agent and the Banks amend and restate the Existing 2021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Credit Agreement in its entirety, and the Administrative Agent and the Banks are willing to so amend and restate the Existing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Credit Agreement in its entirety as set forth herein;</w:t>
      </w:r>
    </w:p>
    <w:p>
      <w:pPr>
        <w:spacing w:after="0" w:line="193"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NOW, THEREFORE, in consideration of the premises and the mutual agreements, covenants and conditions hereinafter set forth, Borrower, the Administrative Agent and each of the Banks agree to amend and restate the Existing 2021 Credit Agreement in its entirety as follows: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DEFINITIONS; ETC.</w:t>
      </w:r>
    </w:p>
    <w:p>
      <w:pPr>
        <w:spacing w:after="0" w:line="204" w:lineRule="exact"/>
        <w:rPr>
          <w:sz w:val="20"/>
          <w:szCs w:val="20"/>
          <w:color w:val="auto"/>
        </w:rPr>
      </w:pPr>
    </w:p>
    <w:p>
      <w:pPr>
        <w:jc w:val="both"/>
        <w:ind w:firstLine="314"/>
        <w:spacing w:after="0" w:line="280" w:lineRule="auto"/>
        <w:rPr>
          <w:sz w:val="20"/>
          <w:szCs w:val="20"/>
          <w:color w:val="auto"/>
        </w:rPr>
      </w:pPr>
      <w:r>
        <w:rPr>
          <w:rFonts w:ascii="Times New Roman" w:cs="Times New Roman" w:eastAsia="Times New Roman" w:hAnsi="Times New Roman"/>
          <w:sz w:val="21"/>
          <w:szCs w:val="21"/>
          <w:color w:val="auto"/>
        </w:rPr>
        <w:t>SECTION 1.01 Definitions. As used in this Agreement the following terms have the following meanings (except as otherwise provided, terms defined in the singular have a correlative meaning when used in the plural, and vice versa):</w:t>
      </w:r>
    </w:p>
    <w:p>
      <w:pPr>
        <w:spacing w:after="0" w:line="39"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Acquisition Property</w:t>
      </w:r>
      <w:r>
        <w:rPr>
          <w:rFonts w:ascii="Times New Roman" w:cs="Times New Roman" w:eastAsia="Times New Roman" w:hAnsi="Times New Roman"/>
          <w:sz w:val="21"/>
          <w:szCs w:val="21"/>
          <w:color w:val="auto"/>
        </w:rPr>
        <w:t>” means, as of any date of determination, any Real Property Assets owned fewer than (a) thirty (30) months for office Real Property Assets located in New York City and (b) twenty-four (24) months for all other Real Property Assets; provided that Real Property Assets shall cease to be Acquisition Properties in the first fiscal quarter in which the Occupancy Rate of such Acquisition Property averaged eighty-five percent (85%) or more.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Additional Costs</w:t>
      </w:r>
      <w:r>
        <w:rPr>
          <w:rFonts w:ascii="Times New Roman" w:cs="Times New Roman" w:eastAsia="Times New Roman" w:hAnsi="Times New Roman"/>
          <w:sz w:val="21"/>
          <w:szCs w:val="21"/>
          <w:color w:val="auto"/>
        </w:rPr>
        <w:t>” has the meaning specified in Section 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83" w:right="339" w:bottom="1440" w:gutter="0" w:footer="0" w:header="0"/>
        </w:sectPr>
      </w:pPr>
    </w:p>
    <w:bookmarkStart w:id="305" w:name="page306"/>
    <w:bookmarkEnd w:id="305"/>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Daily Effective SOFR Rate</w:t>
      </w:r>
      <w:r>
        <w:rPr>
          <w:rFonts w:ascii="Times New Roman" w:cs="Times New Roman" w:eastAsia="Times New Roman" w:hAnsi="Times New Roman"/>
          <w:sz w:val="21"/>
          <w:szCs w:val="21"/>
          <w:color w:val="auto"/>
        </w:rPr>
        <w:t xml:space="preserve">” means, for any day, an interest rate equal to Daily Effective SOFR,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0.10%;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Adjusted Daily Effective SOFR Rate as so determined would be less than the Floor, such rate shall be deemed to be equal to the Floor for the purposes of this Agreement.</w:t>
      </w:r>
    </w:p>
    <w:p>
      <w:pPr>
        <w:spacing w:after="0" w:line="175"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Term SOFR Rate</w:t>
      </w:r>
      <w:r>
        <w:rPr>
          <w:rFonts w:ascii="Times New Roman" w:cs="Times New Roman" w:eastAsia="Times New Roman" w:hAnsi="Times New Roman"/>
          <w:sz w:val="21"/>
          <w:szCs w:val="21"/>
          <w:color w:val="auto"/>
        </w:rPr>
        <w:t xml:space="preserve">” means, for any Interest Period, an interest rate per annum equal to (a) the Term SOFR Rate for such Interest Period,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0.10%;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if the Adjusted Term SOFR Rate as so determined would be less than the Floor, such rate shall be deemed to be equal to the Floor for the purposes of this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has the meaning specified in the preamble.</w:t>
      </w:r>
    </w:p>
    <w:p>
      <w:pPr>
        <w:spacing w:after="0" w:line="217"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Agent’s Office</w:t>
      </w:r>
      <w:r>
        <w:rPr>
          <w:rFonts w:ascii="Times New Roman" w:cs="Times New Roman" w:eastAsia="Times New Roman" w:hAnsi="Times New Roman"/>
          <w:sz w:val="21"/>
          <w:szCs w:val="21"/>
          <w:color w:val="auto"/>
        </w:rPr>
        <w:t xml:space="preserve">” means Administrative Agent’s office located at </w:t>
      </w:r>
      <w:r>
        <w:rPr>
          <w:rFonts w:ascii="Times New Roman" w:cs="Times New Roman" w:eastAsia="Times New Roman" w:hAnsi="Times New Roman"/>
          <w:sz w:val="21"/>
          <w:szCs w:val="21"/>
          <w:color w:val="EE2724"/>
          <w:strike w:val="1"/>
        </w:rPr>
        <w:t>383 Madison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270 Park</w:t>
      </w:r>
      <w:r>
        <w:rPr>
          <w:rFonts w:ascii="Times New Roman" w:cs="Times New Roman" w:eastAsia="Times New Roman" w:hAnsi="Times New Roman"/>
          <w:sz w:val="21"/>
          <w:szCs w:val="21"/>
          <w:color w:val="auto"/>
        </w:rPr>
        <w:t xml:space="preserve"> Avenue, New York, New York </w:t>
      </w:r>
      <w:r>
        <w:rPr>
          <w:rFonts w:ascii="Times New Roman" w:cs="Times New Roman" w:eastAsia="Times New Roman" w:hAnsi="Times New Roman"/>
          <w:sz w:val="21"/>
          <w:szCs w:val="21"/>
          <w:color w:val="EE2724"/>
          <w:strike w:val="1"/>
        </w:rPr>
        <w:t>10179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10017</w:t>
      </w:r>
      <w:r>
        <w:rPr>
          <w:rFonts w:ascii="Times New Roman" w:cs="Times New Roman" w:eastAsia="Times New Roman" w:hAnsi="Times New Roman"/>
          <w:sz w:val="21"/>
          <w:szCs w:val="21"/>
          <w:color w:val="auto"/>
        </w:rPr>
        <w:t>, or such other office in the United States as Administrative Agent may designate by written notice to Borrower and the Banks.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 Agent.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Bank</w:t>
      </w:r>
      <w:r>
        <w:rPr>
          <w:rFonts w:ascii="Times New Roman" w:cs="Times New Roman" w:eastAsia="Times New Roman" w:hAnsi="Times New Roman"/>
          <w:sz w:val="21"/>
          <w:szCs w:val="21"/>
          <w:color w:val="auto"/>
        </w:rPr>
        <w:t>” has the meaning specified in Section 3.07.</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Financial Institution</w:t>
      </w:r>
      <w:r>
        <w:rPr>
          <w:rFonts w:ascii="Times New Roman" w:cs="Times New Roman" w:eastAsia="Times New Roman" w:hAnsi="Times New Roman"/>
          <w:sz w:val="21"/>
          <w:szCs w:val="21"/>
          <w:color w:val="auto"/>
        </w:rPr>
        <w:t>” means (a) any EEA Financial Institution or (b) any UK Financial Institution.</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Loan</w:t>
      </w:r>
      <w:r>
        <w:rPr>
          <w:rFonts w:ascii="Times New Roman" w:cs="Times New Roman" w:eastAsia="Times New Roman" w:hAnsi="Times New Roman"/>
          <w:sz w:val="21"/>
          <w:szCs w:val="21"/>
          <w:color w:val="auto"/>
        </w:rPr>
        <w:t>” has the meaning specified in Section 3.04.</w:t>
      </w:r>
    </w:p>
    <w:p>
      <w:pPr>
        <w:spacing w:after="0" w:line="230"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any Person (the “first Person”), any other Person: (1) which directly or indirectly controls, or is controlled by, or is under common control with, the first Person. The term “control” means the possession, directly or indirectly, of the power, alone, to direct or cause the direction of the management and policies of a Person, whether through the ownership of voting securities, by contract, or otherwise.</w:t>
      </w:r>
    </w:p>
    <w:p>
      <w:pPr>
        <w:spacing w:after="0" w:line="167"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 means, individually and collectively, Administrative Agent, each Syndication Agent, each Documentation Agent, each Sustainability Structuring Agent and each Joint Lead Arranger.</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means this Third Amended and Restated Revolving Credit Agreement.</w:t>
      </w:r>
    </w:p>
    <w:p>
      <w:pPr>
        <w:spacing w:after="0" w:line="21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Anti-Corruption Laws</w:t>
      </w:r>
      <w:r>
        <w:rPr>
          <w:rFonts w:ascii="Times New Roman" w:cs="Times New Roman" w:eastAsia="Times New Roman" w:hAnsi="Times New Roman"/>
          <w:sz w:val="21"/>
          <w:szCs w:val="21"/>
          <w:color w:val="auto"/>
        </w:rPr>
        <w:t>” means all laws, rules, and regulations of any jurisdiction applicable to the Borrower or any of its Affiliates from time to time concerning or relating to bribery, corruption or money laundering.</w:t>
      </w:r>
    </w:p>
    <w:p>
      <w:pPr>
        <w:spacing w:after="0" w:line="14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Lending Office</w:t>
      </w:r>
      <w:r>
        <w:rPr>
          <w:rFonts w:ascii="Times New Roman" w:cs="Times New Roman" w:eastAsia="Times New Roman" w:hAnsi="Times New Roman"/>
          <w:sz w:val="21"/>
          <w:szCs w:val="21"/>
          <w:color w:val="auto"/>
        </w:rPr>
        <w:t>” means, for each Bank and for its Loans the lending office of such Bank (or of an Affiliate of such Bank) designated as such on its Administrative Questionnaire or in the applicable Assignment and Assumption Agreement, or such other office of such Bank (or of an Affiliate of such Bank) as such Bank may from time to time specify to</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2"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21"/>
          <w:szCs w:val="21"/>
          <w:color w:val="auto"/>
        </w:rPr>
        <w:t>Administrative Agent and Borrower as the office by which its Loans are to be made and maintained.</w:t>
      </w:r>
    </w:p>
    <w:p>
      <w:pPr>
        <w:spacing w:after="0" w:line="217"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Margin</w:t>
      </w:r>
      <w:r>
        <w:rPr>
          <w:rFonts w:ascii="Times New Roman" w:cs="Times New Roman" w:eastAsia="Times New Roman" w:hAnsi="Times New Roman"/>
          <w:sz w:val="21"/>
          <w:szCs w:val="21"/>
          <w:color w:val="auto"/>
        </w:rPr>
        <w:t>” means, with respect to Base Rate Loans, Term Benchmark Loans and RFR Loans, the respective percentages per annum determined, at any time, based on the range into which any Credit Rating then falls, in accordance with the table set forth below. Any change in any Credit Rating causing it to move to a different range on the table shall effect a change in the Applicable Margin as of the third Banking Day following the date on which such change is first announced by the applicable rating agency. Borrower shall have not less than two (2) Credit Ratings at all times, one of which shall be from S&amp;P or Moody’s. In the event that Borrower receives only two (2) Credit Ratings, and such Credit Ratings are not equivalent, the Applicable Margin shall be the higher of the two Credit Ratings. In the event that Borrower receives more than two (2) Credit Ratings, and such Credit Ratings are not all equivalent, the Applicable Margin shall be (A) if the difference between the highest and the lowest such Credit Ratings is one ratings category (e.g. Baa2 by Moody’s and BBB- by S&amp;P or Fitch), the Applicable Margin shall be the rate per annum that would be applicable if the highest of the Credit Ratings were used; and (B) if the difference between the highest and the lowest such Credit Ratings is two ratings categories (e.g. Baa1 by Moody’s and BBB- by S&amp;P or Fitch) or more, the Applicable Margin shall be the rate per annum that would be applicable if the average of the two (2) highest Credit Ratings were used, provided that if such average is not a recognized rating category (i.e., the difference between the Credit Ratings is an even number of ratings categories), then the Applicable Margin shall be based on the lower of the two (2) highest Credit Ratings.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5240" w:type="dxa"/>
            <w:vAlign w:val="bottom"/>
            <w:tcBorders>
              <w:top w:val="single" w:sz="8" w:color="auto"/>
              <w:left w:val="single" w:sz="8" w:color="auto"/>
              <w:right w:val="single" w:sz="8" w:color="auto"/>
            </w:tcBorders>
          </w:tcPr>
          <w:p>
            <w:pPr>
              <w:spacing w:after="0"/>
              <w:rPr>
                <w:sz w:val="15"/>
                <w:szCs w:val="15"/>
                <w:color w:val="auto"/>
              </w:rPr>
            </w:pPr>
          </w:p>
        </w:tc>
        <w:tc>
          <w:tcPr>
            <w:tcW w:w="2820" w:type="dxa"/>
            <w:vAlign w:val="bottom"/>
            <w:tcBorders>
              <w:top w:val="single" w:sz="8" w:color="auto"/>
              <w:right w:val="single" w:sz="8" w:color="auto"/>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Applicable Margin</w:t>
            </w:r>
          </w:p>
        </w:tc>
        <w:tc>
          <w:tcPr>
            <w:tcW w:w="3020" w:type="dxa"/>
            <w:vAlign w:val="bottom"/>
            <w:tcBorders>
              <w:top w:val="single" w:sz="8" w:color="auto"/>
              <w:right w:val="single" w:sz="8" w:color="auto"/>
            </w:tcBorders>
          </w:tcPr>
          <w:p>
            <w:pPr>
              <w:ind w:left="340"/>
              <w:spacing w:after="0" w:line="184" w:lineRule="exact"/>
              <w:rPr>
                <w:sz w:val="20"/>
                <w:szCs w:val="20"/>
                <w:color w:val="auto"/>
              </w:rPr>
            </w:pPr>
            <w:r>
              <w:rPr>
                <w:rFonts w:ascii="Times New Roman" w:cs="Times New Roman" w:eastAsia="Times New Roman" w:hAnsi="Times New Roman"/>
                <w:sz w:val="17"/>
                <w:szCs w:val="17"/>
                <w:color w:val="auto"/>
              </w:rPr>
              <w:t>Applicable Margin</w:t>
            </w:r>
          </w:p>
        </w:tc>
        <w:tc>
          <w:tcPr>
            <w:tcW w:w="0" w:type="dxa"/>
            <w:vAlign w:val="bottom"/>
          </w:tcPr>
          <w:p>
            <w:pPr>
              <w:spacing w:after="0"/>
              <w:rPr>
                <w:sz w:val="1"/>
                <w:szCs w:val="1"/>
                <w:color w:val="auto"/>
              </w:rPr>
            </w:pPr>
          </w:p>
        </w:tc>
      </w:tr>
      <w:tr>
        <w:trPr>
          <w:trHeight w:val="170"/>
        </w:trPr>
        <w:tc>
          <w:tcPr>
            <w:tcW w:w="52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Borrower’s Credit Rating</w:t>
            </w:r>
          </w:p>
        </w:tc>
        <w:tc>
          <w:tcPr>
            <w:tcW w:w="2820" w:type="dxa"/>
            <w:vAlign w:val="bottom"/>
            <w:tcBorders>
              <w:right w:val="single" w:sz="8" w:color="auto"/>
            </w:tcBorders>
            <w:vMerge w:val="continue"/>
          </w:tcPr>
          <w:p>
            <w:pPr>
              <w:spacing w:after="0"/>
              <w:rPr>
                <w:sz w:val="14"/>
                <w:szCs w:val="14"/>
                <w:color w:val="auto"/>
              </w:rPr>
            </w:pPr>
          </w:p>
        </w:tc>
        <w:tc>
          <w:tcPr>
            <w:tcW w:w="3020" w:type="dxa"/>
            <w:vAlign w:val="bottom"/>
            <w:tcBorders>
              <w:right w:val="single" w:sz="8" w:color="auto"/>
            </w:tcBorders>
          </w:tcPr>
          <w:p>
            <w:pPr>
              <w:ind w:left="340"/>
              <w:spacing w:after="0" w:line="171" w:lineRule="exact"/>
              <w:rPr>
                <w:sz w:val="20"/>
                <w:szCs w:val="20"/>
                <w:color w:val="auto"/>
              </w:rPr>
            </w:pPr>
            <w:r>
              <w:rPr>
                <w:rFonts w:ascii="Times New Roman" w:cs="Times New Roman" w:eastAsia="Times New Roman" w:hAnsi="Times New Roman"/>
                <w:sz w:val="17"/>
                <w:szCs w:val="17"/>
                <w:color w:val="auto"/>
              </w:rPr>
              <w:t>for Term Benchmark Loans and RFR</w:t>
            </w:r>
          </w:p>
        </w:tc>
        <w:tc>
          <w:tcPr>
            <w:tcW w:w="0" w:type="dxa"/>
            <w:vAlign w:val="bottom"/>
          </w:tcPr>
          <w:p>
            <w:pPr>
              <w:spacing w:after="0"/>
              <w:rPr>
                <w:sz w:val="1"/>
                <w:szCs w:val="1"/>
                <w:color w:val="auto"/>
              </w:rPr>
            </w:pPr>
          </w:p>
        </w:tc>
      </w:tr>
      <w:tr>
        <w:trPr>
          <w:trHeight w:val="170"/>
        </w:trPr>
        <w:tc>
          <w:tcPr>
            <w:tcW w:w="5240" w:type="dxa"/>
            <w:vAlign w:val="bottom"/>
            <w:tcBorders>
              <w:left w:val="single" w:sz="8" w:color="auto"/>
              <w:right w:val="single" w:sz="8" w:color="auto"/>
            </w:tcBorders>
            <w:vMerge w:val="continue"/>
          </w:tcPr>
          <w:p>
            <w:pPr>
              <w:spacing w:after="0"/>
              <w:rPr>
                <w:sz w:val="14"/>
                <w:szCs w:val="14"/>
                <w:color w:val="auto"/>
              </w:rPr>
            </w:pPr>
          </w:p>
        </w:tc>
        <w:tc>
          <w:tcPr>
            <w:tcW w:w="2820" w:type="dxa"/>
            <w:vAlign w:val="bottom"/>
            <w:tcBorders>
              <w:right w:val="single" w:sz="8" w:color="auto"/>
            </w:tcBorders>
          </w:tcPr>
          <w:p>
            <w:pPr>
              <w:ind w:left="340"/>
              <w:spacing w:after="0" w:line="171" w:lineRule="exact"/>
              <w:rPr>
                <w:sz w:val="20"/>
                <w:szCs w:val="20"/>
                <w:color w:val="auto"/>
              </w:rPr>
            </w:pPr>
            <w:r>
              <w:rPr>
                <w:rFonts w:ascii="Times New Roman" w:cs="Times New Roman" w:eastAsia="Times New Roman" w:hAnsi="Times New Roman"/>
                <w:sz w:val="17"/>
                <w:szCs w:val="17"/>
                <w:color w:val="auto"/>
              </w:rPr>
              <w:t>for Base Rate Loans</w:t>
            </w:r>
          </w:p>
        </w:tc>
        <w:tc>
          <w:tcPr>
            <w:tcW w:w="3020" w:type="dxa"/>
            <w:vAlign w:val="bottom"/>
            <w:tcBorders>
              <w:right w:val="single" w:sz="8" w:color="auto"/>
            </w:tcBorders>
          </w:tcPr>
          <w:p>
            <w:pPr>
              <w:ind w:left="340"/>
              <w:spacing w:after="0" w:line="171" w:lineRule="exact"/>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3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(S&amp;P or Fitch/Moody’s Ratings)</w:t>
            </w:r>
          </w:p>
        </w:tc>
        <w:tc>
          <w:tcPr>
            <w:tcW w:w="28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 per annum)</w:t>
            </w:r>
          </w:p>
        </w:tc>
        <w:tc>
          <w:tcPr>
            <w:tcW w:w="30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 per annum)</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A+/A1 or higher</w:t>
            </w:r>
          </w:p>
        </w:tc>
        <w:tc>
          <w:tcPr>
            <w:tcW w:w="2820" w:type="dxa"/>
            <w:vAlign w:val="bottom"/>
            <w:tcBorders>
              <w:bottom w:val="single" w:sz="8" w:color="auto"/>
              <w:right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rPr>
              <w:t>0.000</w:t>
            </w:r>
          </w:p>
        </w:tc>
        <w:tc>
          <w:tcPr>
            <w:tcW w:w="302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0.650</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A/A2</w:t>
            </w:r>
          </w:p>
        </w:tc>
        <w:tc>
          <w:tcPr>
            <w:tcW w:w="2820" w:type="dxa"/>
            <w:vAlign w:val="bottom"/>
            <w:tcBorders>
              <w:bottom w:val="single" w:sz="8" w:color="auto"/>
              <w:right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rPr>
              <w:t>0.000</w:t>
            </w:r>
          </w:p>
        </w:tc>
        <w:tc>
          <w:tcPr>
            <w:tcW w:w="302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0.700</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A-/A3</w:t>
            </w:r>
          </w:p>
        </w:tc>
        <w:tc>
          <w:tcPr>
            <w:tcW w:w="2820" w:type="dxa"/>
            <w:vAlign w:val="bottom"/>
            <w:tcBorders>
              <w:bottom w:val="single" w:sz="8" w:color="auto"/>
              <w:right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rPr>
              <w:t>0.000</w:t>
            </w:r>
          </w:p>
        </w:tc>
        <w:tc>
          <w:tcPr>
            <w:tcW w:w="302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0.725</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BBB+/Baa1</w:t>
            </w:r>
          </w:p>
        </w:tc>
        <w:tc>
          <w:tcPr>
            <w:tcW w:w="2820" w:type="dxa"/>
            <w:vAlign w:val="bottom"/>
            <w:tcBorders>
              <w:bottom w:val="single" w:sz="8" w:color="auto"/>
              <w:right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rPr>
              <w:t>0.000</w:t>
            </w:r>
          </w:p>
        </w:tc>
        <w:tc>
          <w:tcPr>
            <w:tcW w:w="302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0.775</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BBB/Baa2</w:t>
            </w:r>
          </w:p>
        </w:tc>
        <w:tc>
          <w:tcPr>
            <w:tcW w:w="2820" w:type="dxa"/>
            <w:vAlign w:val="bottom"/>
            <w:tcBorders>
              <w:bottom w:val="single" w:sz="8" w:color="auto"/>
              <w:right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rPr>
              <w:t>0.000</w:t>
            </w:r>
          </w:p>
        </w:tc>
        <w:tc>
          <w:tcPr>
            <w:tcW w:w="302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0.900</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BBB-/Baa3</w:t>
            </w:r>
          </w:p>
        </w:tc>
        <w:tc>
          <w:tcPr>
            <w:tcW w:w="2820" w:type="dxa"/>
            <w:vAlign w:val="bottom"/>
            <w:tcBorders>
              <w:bottom w:val="single" w:sz="8" w:color="auto"/>
              <w:right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rPr>
              <w:t>0.100</w:t>
            </w:r>
          </w:p>
        </w:tc>
        <w:tc>
          <w:tcPr>
            <w:tcW w:w="302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1.100</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BB+/Ba1</w:t>
            </w:r>
          </w:p>
        </w:tc>
        <w:tc>
          <w:tcPr>
            <w:tcW w:w="2820" w:type="dxa"/>
            <w:vAlign w:val="bottom"/>
            <w:tcBorders>
              <w:bottom w:val="single" w:sz="8" w:color="auto"/>
              <w:right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rPr>
              <w:t>0.300</w:t>
            </w:r>
          </w:p>
        </w:tc>
        <w:tc>
          <w:tcPr>
            <w:tcW w:w="302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1.300</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Below BB+/Ba1 or unrated</w:t>
            </w:r>
          </w:p>
        </w:tc>
        <w:tc>
          <w:tcPr>
            <w:tcW w:w="2820" w:type="dxa"/>
            <w:vAlign w:val="bottom"/>
            <w:tcBorders>
              <w:bottom w:val="single" w:sz="8" w:color="auto"/>
              <w:right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rPr>
              <w:t>0.650</w:t>
            </w:r>
          </w:p>
        </w:tc>
        <w:tc>
          <w:tcPr>
            <w:tcW w:w="302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1.650</w:t>
            </w:r>
          </w:p>
        </w:tc>
        <w:tc>
          <w:tcPr>
            <w:tcW w:w="0" w:type="dxa"/>
            <w:vAlign w:val="bottom"/>
          </w:tcPr>
          <w:p>
            <w:pPr>
              <w:spacing w:after="0"/>
              <w:rPr>
                <w:sz w:val="1"/>
                <w:szCs w:val="1"/>
                <w:color w:val="auto"/>
              </w:rPr>
            </w:pPr>
          </w:p>
        </w:tc>
      </w:tr>
    </w:tbl>
    <w:p>
      <w:pPr>
        <w:spacing w:after="0" w:line="300" w:lineRule="exact"/>
        <w:rPr>
          <w:sz w:val="20"/>
          <w:szCs w:val="20"/>
          <w:color w:val="auto"/>
        </w:rPr>
      </w:pPr>
    </w:p>
    <w:p>
      <w:pPr>
        <w:jc w:val="both"/>
        <w:ind w:firstLine="264"/>
        <w:spacing w:after="0" w:line="270" w:lineRule="auto"/>
        <w:rPr>
          <w:sz w:val="20"/>
          <w:szCs w:val="20"/>
          <w:color w:val="auto"/>
        </w:rPr>
      </w:pPr>
      <w:r>
        <w:rPr>
          <w:rFonts w:ascii="Times New Roman" w:cs="Times New Roman" w:eastAsia="Times New Roman" w:hAnsi="Times New Roman"/>
          <w:sz w:val="21"/>
          <w:szCs w:val="21"/>
          <w:color w:val="auto"/>
        </w:rPr>
        <w:t>It is hereby understood and agreed that the Applicable Margin shall be adjusted from time to time based upon the Sustainability Margin Adjustment (to be calculated and applied as set forth in Section 1.08); provided that in no event shall the Applicable Margin be less than zero.</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Borrower Portal</w:t>
      </w:r>
      <w:r>
        <w:rPr>
          <w:rFonts w:ascii="Times New Roman" w:cs="Times New Roman" w:eastAsia="Times New Roman" w:hAnsi="Times New Roman"/>
          <w:sz w:val="21"/>
          <w:szCs w:val="21"/>
          <w:color w:val="auto"/>
        </w:rPr>
        <w:t>” has the meaning set forth in Section 12.07(e).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Electronic Platform</w:t>
      </w:r>
      <w:r>
        <w:rPr>
          <w:rFonts w:ascii="Times New Roman" w:cs="Times New Roman" w:eastAsia="Times New Roman" w:hAnsi="Times New Roman"/>
          <w:sz w:val="21"/>
          <w:szCs w:val="21"/>
          <w:color w:val="auto"/>
        </w:rPr>
        <w:t>” has the meaning assigned in Section 12.07(d)(i).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2" w:right="339" w:bottom="1440" w:gutter="0" w:footer="0" w:header="0"/>
        </w:sectPr>
      </w:pPr>
    </w:p>
    <w:bookmarkStart w:id="307" w:name="page308"/>
    <w:bookmarkEnd w:id="307"/>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 has the meaning specified in Section 12.05(c).</w:t>
      </w:r>
    </w:p>
    <w:p>
      <w:pPr>
        <w:spacing w:after="0" w:line="217"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Assignment and Assumption Agreement</w:t>
      </w:r>
      <w:r>
        <w:rPr>
          <w:rFonts w:ascii="Times New Roman" w:cs="Times New Roman" w:eastAsia="Times New Roman" w:hAnsi="Times New Roman"/>
          <w:sz w:val="21"/>
          <w:szCs w:val="21"/>
          <w:color w:val="auto"/>
        </w:rPr>
        <w:t>” means an Assignment and Assumption Agreement, substantially in the form of EXHIBIT E or any other form (including electronic records generated by the use of an electronic platform) approved by the Administrative Agent and containing substantially the same terms as EXHIBIT E, pursuant to which a Bank assigns and an Assignee assumes rights and obligations in accordance with Section 12.05.</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Authorization Letter</w:t>
      </w:r>
      <w:r>
        <w:rPr>
          <w:rFonts w:ascii="Times New Roman" w:cs="Times New Roman" w:eastAsia="Times New Roman" w:hAnsi="Times New Roman"/>
          <w:sz w:val="21"/>
          <w:szCs w:val="21"/>
          <w:color w:val="auto"/>
        </w:rPr>
        <w:t>” means a letter agreement executed by Borrower in the form of EXHIBIT A.</w:t>
      </w:r>
    </w:p>
    <w:p>
      <w:pPr>
        <w:spacing w:after="0" w:line="217"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1"/>
          <w:szCs w:val="21"/>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3.02.</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Total Loan Commitment</w:t>
      </w:r>
      <w:r>
        <w:rPr>
          <w:rFonts w:ascii="Times New Roman" w:cs="Times New Roman" w:eastAsia="Times New Roman" w:hAnsi="Times New Roman"/>
          <w:sz w:val="21"/>
          <w:szCs w:val="21"/>
          <w:color w:val="auto"/>
        </w:rPr>
        <w:t>” has the meaning specified in Section 2.01(b).</w:t>
      </w:r>
    </w:p>
    <w:p>
      <w:pPr>
        <w:spacing w:after="0" w:line="217"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Action</w:t>
      </w:r>
      <w:r>
        <w:rPr>
          <w:rFonts w:ascii="Times New Roman" w:cs="Times New Roman" w:eastAsia="Times New Roman" w:hAnsi="Times New Roman"/>
          <w:sz w:val="21"/>
          <w:szCs w:val="21"/>
          <w:color w:val="auto"/>
        </w:rPr>
        <w:t>” means the exercise of any Write-Down and Conversion Powers by the applicable Resolution Authority in respect of any liability of an Affected Financial Institution.</w:t>
      </w:r>
    </w:p>
    <w:p>
      <w:pPr>
        <w:spacing w:after="0" w:line="131"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Legislation</w:t>
      </w:r>
      <w:r>
        <w:rPr>
          <w:rFonts w:ascii="Times New Roman" w:cs="Times New Roman" w:eastAsia="Times New Roman" w:hAnsi="Times New Roman"/>
          <w:sz w:val="21"/>
          <w:szCs w:val="21"/>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0"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Banks</w:t>
      </w:r>
      <w:r>
        <w:rPr>
          <w:rFonts w:ascii="Times New Roman" w:cs="Times New Roman" w:eastAsia="Times New Roman" w:hAnsi="Times New Roman"/>
          <w:sz w:val="21"/>
          <w:szCs w:val="21"/>
          <w:color w:val="auto"/>
        </w:rPr>
        <w:t>” have the respective meanings specified in the preamble. Unless the context otherwise requires, the term “Banks” includes the Fronting Banks.</w:t>
      </w:r>
    </w:p>
    <w:p>
      <w:pPr>
        <w:spacing w:after="0" w:line="144"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Affiliate</w:t>
      </w:r>
      <w:r>
        <w:rPr>
          <w:rFonts w:ascii="Times New Roman" w:cs="Times New Roman" w:eastAsia="Times New Roman" w:hAnsi="Times New Roman"/>
          <w:sz w:val="21"/>
          <w:szCs w:val="21"/>
          <w:color w:val="auto"/>
        </w:rPr>
        <w:t>” means, (a) with respect to any Bank, (i) a Person directly or indirectly controlling or controlled by or under direct or indirect common control with such Bank or (ii) any entity (whether a corporation, partnership, trust or otherwise) that is engaged in making, purchasing, holding or otherwise investing in bank loans and similar extensions of credit in the ordinary course of its business and is administered or managed by such Bank or a Person directly or indirectly controlling or controlled by or under direct or indirect common control with such Bank and (b) with respect to any Bank that is a fund which invests in bank loans and similar extensions of credit, any other fund that invests in bank loans and similar extensions of credit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2" w:right="339" w:bottom="1440" w:gutter="0" w:footer="0" w:header="0"/>
        </w:sectPr>
      </w:pPr>
    </w:p>
    <w:bookmarkStart w:id="308" w:name="page309"/>
    <w:bookmarkEnd w:id="308"/>
    <w:p>
      <w:pPr>
        <w:jc w:val="both"/>
        <w:spacing w:after="0" w:line="280" w:lineRule="auto"/>
        <w:rPr>
          <w:sz w:val="20"/>
          <w:szCs w:val="20"/>
          <w:color w:val="auto"/>
        </w:rPr>
      </w:pPr>
      <w:r>
        <w:rPr>
          <w:rFonts w:ascii="Times New Roman" w:cs="Times New Roman" w:eastAsia="Times New Roman" w:hAnsi="Times New Roman"/>
          <w:sz w:val="21"/>
          <w:szCs w:val="21"/>
          <w:color w:val="auto"/>
        </w:rPr>
        <w:t>is managed by the same investment advisor as such Bank or by a Person directly or indirectly controlling or controlled by or under direct or indirect common control with such investment advisor.</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Parties</w:t>
      </w:r>
      <w:r>
        <w:rPr>
          <w:rFonts w:ascii="Times New Roman" w:cs="Times New Roman" w:eastAsia="Times New Roman" w:hAnsi="Times New Roman"/>
          <w:sz w:val="21"/>
          <w:szCs w:val="21"/>
          <w:color w:val="auto"/>
        </w:rPr>
        <w:t>” means Administrative Agent and the Banks.</w:t>
      </w:r>
    </w:p>
    <w:p>
      <w:pPr>
        <w:spacing w:after="0" w:line="230"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Banking Day</w:t>
      </w:r>
      <w:r>
        <w:rPr>
          <w:rFonts w:ascii="Times New Roman" w:cs="Times New Roman" w:eastAsia="Times New Roman" w:hAnsi="Times New Roman"/>
          <w:sz w:val="21"/>
          <w:szCs w:val="21"/>
          <w:color w:val="auto"/>
        </w:rPr>
        <w:t>” means any day (other than a Saturday or a Sunday) on which banks are open for business in New York City; provided that, in addition to the foregoing, a Banking Day shall be any such day that is only a U.S. Government Securities Business Day, (a) in relation to Loans referencing the Adjusted Term SOFR Rate and any interest rate settings, fundings, disbursements, settlements or payments of any such Loans referencing the Adjusted Term SOFR Rate or any other dealings of such Loans referencing the Adjusted Term SOFR Rate and (b) in relation to RFR Loans and any interest rate settings, fundings, disbursements, settlements or payments of any such RFR Loans, or any other dealings of such RFR Loans.</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Reply Period</w:t>
      </w:r>
      <w:r>
        <w:rPr>
          <w:rFonts w:ascii="Times New Roman" w:cs="Times New Roman" w:eastAsia="Times New Roman" w:hAnsi="Times New Roman"/>
          <w:sz w:val="21"/>
          <w:szCs w:val="21"/>
          <w:color w:val="auto"/>
        </w:rPr>
        <w:t>” has the meaning specified in Section 12.02.</w:t>
      </w:r>
    </w:p>
    <w:p>
      <w:pPr>
        <w:spacing w:after="0" w:line="21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Code</w:t>
      </w:r>
      <w:r>
        <w:rPr>
          <w:rFonts w:ascii="Times New Roman" w:cs="Times New Roman" w:eastAsia="Times New Roman" w:hAnsi="Times New Roman"/>
          <w:sz w:val="21"/>
          <w:szCs w:val="21"/>
          <w:color w:val="auto"/>
        </w:rPr>
        <w:t>” means Title 11 of the United States Code, entitled “Bankruptcy”, as amended from time to time, and any successor or statute or statutes.</w:t>
      </w:r>
    </w:p>
    <w:p>
      <w:pPr>
        <w:spacing w:after="0" w:line="144"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Event</w:t>
      </w:r>
      <w:r>
        <w:rPr>
          <w:rFonts w:ascii="Times New Roman" w:cs="Times New Roman" w:eastAsia="Times New Roman" w:hAnsi="Times New Roman"/>
          <w:sz w:val="21"/>
          <w:szCs w:val="21"/>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publicly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Banks’ L/C Fee Rate</w:t>
      </w:r>
      <w:r>
        <w:rPr>
          <w:rFonts w:ascii="Times New Roman" w:cs="Times New Roman" w:eastAsia="Times New Roman" w:hAnsi="Times New Roman"/>
          <w:sz w:val="21"/>
          <w:szCs w:val="21"/>
          <w:color w:val="auto"/>
        </w:rPr>
        <w:t>” has the meaning specified in Section 2.17(g).</w:t>
      </w:r>
    </w:p>
    <w:p>
      <w:pPr>
        <w:spacing w:after="0" w:line="217"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w:t>
      </w:r>
      <w:r>
        <w:rPr>
          <w:rFonts w:ascii="Times New Roman" w:cs="Times New Roman" w:eastAsia="Times New Roman" w:hAnsi="Times New Roman"/>
          <w:sz w:val="21"/>
          <w:szCs w:val="21"/>
          <w:color w:val="auto"/>
        </w:rPr>
        <w:t>”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Banking Day, the immediately preceding Banking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Adjusted Term SOFR Rate shall be effective from and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3" w:right="339" w:bottom="1440" w:gutter="0" w:footer="0" w:header="0"/>
        </w:sectPr>
      </w:pPr>
    </w:p>
    <w:bookmarkStart w:id="309" w:name="page310"/>
    <w:bookmarkEnd w:id="309"/>
    <w:p>
      <w:pPr>
        <w:jc w:val="both"/>
        <w:spacing w:after="0" w:line="258" w:lineRule="auto"/>
        <w:rPr>
          <w:sz w:val="20"/>
          <w:szCs w:val="20"/>
          <w:color w:val="auto"/>
        </w:rPr>
      </w:pPr>
      <w:r>
        <w:rPr>
          <w:rFonts w:ascii="Times New Roman" w:cs="Times New Roman" w:eastAsia="Times New Roman" w:hAnsi="Times New Roman"/>
          <w:sz w:val="21"/>
          <w:szCs w:val="21"/>
          <w:color w:val="auto"/>
        </w:rPr>
        <w:t>effective date of such change in the Prime Rate, the NYFRB Rate or the Adjusted Term SOFR Rate, respectively. If the Base Rate is being used as an alternate rate of interest pursuant to Section 3.02 (for the avoidance of doubt, only until the Benchmark Replacement has been determined pursuant to Section 3.02(b)), then the Base Rate shall be the greater of clauses (a) and (b) above and shall be determined without reference to clause (c) above. For the avoidance of doubt, if the Base Rate as determined pursuant to the foregoing would be less than 1.0%, such rate shall be deemed to be 1.0% for purposes of this Agreement.</w:t>
      </w:r>
    </w:p>
    <w:p>
      <w:pPr>
        <w:spacing w:after="0" w:line="169"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 Loan</w:t>
      </w:r>
      <w:r>
        <w:rPr>
          <w:rFonts w:ascii="Times New Roman" w:cs="Times New Roman" w:eastAsia="Times New Roman" w:hAnsi="Times New Roman"/>
          <w:sz w:val="21"/>
          <w:szCs w:val="21"/>
          <w:color w:val="auto"/>
        </w:rPr>
        <w:t>” means all or any portion (as the context requires) of a Bank’s Ratable Loan which shall accrue interest at a rate determined in relation to the Base Rate.</w:t>
      </w:r>
    </w:p>
    <w:p>
      <w:pPr>
        <w:spacing w:after="0" w:line="14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w:t>
      </w:r>
      <w:r>
        <w:rPr>
          <w:rFonts w:ascii="Times New Roman" w:cs="Times New Roman" w:eastAsia="Times New Roman" w:hAnsi="Times New Roman"/>
          <w:sz w:val="21"/>
          <w:szCs w:val="21"/>
          <w:color w:val="auto"/>
        </w:rPr>
        <w:t xml:space="preserve">” means, initially, with respect to any (i) Term Benchmark Loan, the Term SOFR Rate or (ii) RFR Loan, the Daily Effective SOFR </w:t>
      </w:r>
      <w:r>
        <w:rPr>
          <w:rFonts w:ascii="Times New Roman" w:cs="Times New Roman" w:eastAsia="Times New Roman" w:hAnsi="Times New Roman"/>
          <w:sz w:val="21"/>
          <w:szCs w:val="21"/>
          <w:u w:val="single" w:color="auto"/>
          <w:color w:val="0E32E1"/>
        </w:rPr>
        <w:t>Rate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 Benchmark Transition Event, and the related Benchmark Replacement Date have occurred with respect to the Term SOFR Rate or Daily Effective SOFR </w:t>
      </w:r>
      <w:r>
        <w:rPr>
          <w:rFonts w:ascii="Times New Roman" w:cs="Times New Roman" w:eastAsia="Times New Roman" w:hAnsi="Times New Roman"/>
          <w:sz w:val="21"/>
          <w:szCs w:val="21"/>
          <w:u w:val="single" w:color="auto"/>
          <w:color w:val="0E32E1"/>
        </w:rPr>
        <w:t>Rate</w:t>
      </w:r>
      <w:r>
        <w:rPr>
          <w:rFonts w:ascii="Times New Roman" w:cs="Times New Roman" w:eastAsia="Times New Roman" w:hAnsi="Times New Roman"/>
          <w:sz w:val="21"/>
          <w:szCs w:val="21"/>
          <w:color w:val="auto"/>
        </w:rPr>
        <w:t>, as applicable, or the then-current Benchmark, then “Benchmark” means the applicable Benchmark Replacement to the extent that such Benchmark Replacement has replaced such prior benchmark rate pursuant to clause (b) of Section 3.02.</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means, for any Available Tenor:</w:t>
      </w:r>
    </w:p>
    <w:p>
      <w:pPr>
        <w:spacing w:after="0" w:line="217"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8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If the Benchmark Replacement as determined pursuant to the above would be less than the Floor, the Benchmark Replacement will be deemed to be the Floor for the purposes of this Agreement and the other Loan Documents.</w:t>
      </w:r>
    </w:p>
    <w:p>
      <w:pPr>
        <w:spacing w:after="0" w:line="144"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Adjustment</w:t>
      </w:r>
      <w:r>
        <w:rPr>
          <w:rFonts w:ascii="Times New Roman" w:cs="Times New Roman" w:eastAsia="Times New Roman" w:hAnsi="Times New Roman"/>
          <w:sz w:val="21"/>
          <w:szCs w:val="21"/>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83" w:right="339" w:bottom="1440" w:gutter="0" w:footer="0" w:header="0"/>
        </w:sectPr>
      </w:pPr>
    </w:p>
    <w:bookmarkStart w:id="310" w:name="page311"/>
    <w:bookmarkEnd w:id="310"/>
    <w:p>
      <w:pPr>
        <w:jc w:val="both"/>
        <w:spacing w:after="0" w:line="280" w:lineRule="auto"/>
        <w:rPr>
          <w:sz w:val="20"/>
          <w:szCs w:val="20"/>
          <w:color w:val="auto"/>
        </w:rPr>
      </w:pPr>
      <w:r>
        <w:rPr>
          <w:rFonts w:ascii="Times New Roman" w:cs="Times New Roman" w:eastAsia="Times New Roman" w:hAnsi="Times New Roman"/>
          <w:sz w:val="21"/>
          <w:szCs w:val="21"/>
          <w:color w:val="auto"/>
        </w:rPr>
        <w:t>replacement of such Benchmark with the applicable Unadjusted Benchmark Replacement for dollar-denominated syndicated credit facilities at such time.</w:t>
      </w:r>
    </w:p>
    <w:p>
      <w:pPr>
        <w:spacing w:after="0" w:line="144"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means, with respect to any Benchmark Replacement and/or any Term Benchmark Revolving Loan, any technical, administrative or operational changes (including changes to the definition of “Base Rate,” the definition of “Banking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73"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Date</w:t>
      </w:r>
      <w:r>
        <w:rPr>
          <w:rFonts w:ascii="Times New Roman" w:cs="Times New Roman" w:eastAsia="Times New Roman" w:hAnsi="Times New Roman"/>
          <w:sz w:val="21"/>
          <w:szCs w:val="21"/>
          <w:color w:val="auto"/>
        </w:rPr>
        <w:t>” means, with respect to any Benchmark, the earliest to occur of the following events with respect to such then-current Benchmark:</w:t>
      </w:r>
    </w:p>
    <w:p>
      <w:pPr>
        <w:spacing w:after="0" w:line="131" w:lineRule="exact"/>
        <w:rPr>
          <w:sz w:val="20"/>
          <w:szCs w:val="20"/>
          <w:color w:val="auto"/>
        </w:rPr>
      </w:pPr>
    </w:p>
    <w:p>
      <w:pPr>
        <w:jc w:val="both"/>
        <w:ind w:firstLine="634"/>
        <w:spacing w:after="0" w:line="258" w:lineRule="auto"/>
        <w:tabs>
          <w:tab w:leader="none" w:pos="1118"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9" w:lineRule="exact"/>
        <w:rPr>
          <w:rFonts w:ascii="Times New Roman" w:cs="Times New Roman" w:eastAsia="Times New Roman" w:hAnsi="Times New Roman"/>
          <w:sz w:val="21"/>
          <w:szCs w:val="21"/>
          <w:color w:val="auto"/>
        </w:rPr>
      </w:pPr>
    </w:p>
    <w:p>
      <w:pPr>
        <w:jc w:val="both"/>
        <w:ind w:firstLine="634"/>
        <w:spacing w:after="0" w:line="255" w:lineRule="auto"/>
        <w:tabs>
          <w:tab w:leader="none" w:pos="1109"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p>
    <w:p>
      <w:pPr>
        <w:spacing w:after="0" w:line="169"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82" w:right="339" w:bottom="1440" w:gutter="0" w:footer="0" w:header="0"/>
        </w:sectPr>
      </w:pPr>
    </w:p>
    <w:bookmarkStart w:id="311" w:name="page312"/>
    <w:bookmarkEnd w:id="311"/>
    <w:p>
      <w:pPr>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Transition Event</w:t>
      </w:r>
      <w:r>
        <w:rPr>
          <w:rFonts w:ascii="Times New Roman" w:cs="Times New Roman" w:eastAsia="Times New Roman" w:hAnsi="Times New Roman"/>
          <w:sz w:val="21"/>
          <w:szCs w:val="21"/>
          <w:color w:val="auto"/>
        </w:rPr>
        <w:t>” means, with respect to any Benchmark, the occurrence of one or more of the following events with respect to such then-current Benchmark:</w:t>
      </w:r>
    </w:p>
    <w:p>
      <w:pPr>
        <w:spacing w:after="0" w:line="144" w:lineRule="exact"/>
        <w:rPr>
          <w:sz w:val="20"/>
          <w:szCs w:val="20"/>
          <w:color w:val="auto"/>
        </w:rPr>
      </w:pPr>
    </w:p>
    <w:p>
      <w:pPr>
        <w:jc w:val="both"/>
        <w:ind w:firstLine="634"/>
        <w:spacing w:after="0" w:line="258" w:lineRule="auto"/>
        <w:tabs>
          <w:tab w:leader="none" w:pos="931"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69" w:lineRule="exact"/>
        <w:rPr>
          <w:rFonts w:ascii="Times New Roman" w:cs="Times New Roman" w:eastAsia="Times New Roman" w:hAnsi="Times New Roman"/>
          <w:sz w:val="21"/>
          <w:szCs w:val="21"/>
          <w:color w:val="auto"/>
        </w:rPr>
      </w:pPr>
    </w:p>
    <w:p>
      <w:pPr>
        <w:jc w:val="both"/>
        <w:ind w:firstLine="634"/>
        <w:spacing w:after="0" w:line="253" w:lineRule="auto"/>
        <w:tabs>
          <w:tab w:leader="none" w:pos="933"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78" w:lineRule="exact"/>
        <w:rPr>
          <w:rFonts w:ascii="Times New Roman" w:cs="Times New Roman" w:eastAsia="Times New Roman" w:hAnsi="Times New Roman"/>
          <w:sz w:val="21"/>
          <w:szCs w:val="21"/>
          <w:color w:val="auto"/>
        </w:rPr>
      </w:pPr>
    </w:p>
    <w:p>
      <w:pPr>
        <w:jc w:val="both"/>
        <w:ind w:firstLine="634"/>
        <w:spacing w:after="0" w:line="262" w:lineRule="auto"/>
        <w:tabs>
          <w:tab w:leader="none" w:pos="933"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6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5"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3.02 and (y) ending at the time that a Benchmark Replacement has replaced such then-current Benchmark for all purposes hereunder and under any Loan Document in accordance with Section 3.02.</w:t>
      </w:r>
    </w:p>
    <w:p>
      <w:pPr>
        <w:spacing w:after="0" w:line="171"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Certification</w:t>
      </w:r>
      <w:r>
        <w:rPr>
          <w:rFonts w:ascii="Times New Roman" w:cs="Times New Roman" w:eastAsia="Times New Roman" w:hAnsi="Times New Roman"/>
          <w:sz w:val="21"/>
          <w:szCs w:val="21"/>
          <w:color w:val="auto"/>
        </w:rPr>
        <w:t>” means a certification regarding beneficial ownership as required by the Beneficial Ownership Regulation.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82" w:right="339" w:bottom="1440" w:gutter="0" w:footer="0" w:header="0"/>
        </w:sectPr>
      </w:pPr>
    </w:p>
    <w:bookmarkStart w:id="312" w:name="page313"/>
    <w:bookmarkEnd w:id="312"/>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Regulation</w:t>
      </w:r>
      <w:r>
        <w:rPr>
          <w:rFonts w:ascii="Times New Roman" w:cs="Times New Roman" w:eastAsia="Times New Roman" w:hAnsi="Times New Roman"/>
          <w:sz w:val="21"/>
          <w:szCs w:val="21"/>
          <w:color w:val="auto"/>
        </w:rPr>
        <w:t>” means 31 C.F.R. § 1010.230.</w:t>
      </w:r>
    </w:p>
    <w:p>
      <w:pPr>
        <w:spacing w:after="0" w:line="217"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5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BHC Act Affiliate</w:t>
      </w:r>
      <w:r>
        <w:rPr>
          <w:rFonts w:ascii="Times New Roman" w:cs="Times New Roman" w:eastAsia="Times New Roman" w:hAnsi="Times New Roman"/>
          <w:sz w:val="21"/>
          <w:szCs w:val="21"/>
          <w:color w:val="auto"/>
        </w:rPr>
        <w:t>” of a party means an “affiliate’ (as such term is defined under, and interpreted in accordance with, 12 U.S.C. 1841(k)) of such party.</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has the meaning specified in the preamble.</w:t>
      </w:r>
    </w:p>
    <w:p>
      <w:pPr>
        <w:spacing w:after="0" w:line="217"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Borrower’s Accountants</w:t>
      </w:r>
      <w:r>
        <w:rPr>
          <w:rFonts w:ascii="Times New Roman" w:cs="Times New Roman" w:eastAsia="Times New Roman" w:hAnsi="Times New Roman"/>
          <w:sz w:val="21"/>
          <w:szCs w:val="21"/>
          <w:color w:val="auto"/>
        </w:rPr>
        <w:t>” means Deloitte LLP, any other “Big 4” accounting firm selected by Borrower (or a successor thereof), or such other accounting firm(s) selected by Borrower and reasonably acceptable to the Required Banks.</w:t>
      </w:r>
    </w:p>
    <w:p>
      <w:pPr>
        <w:spacing w:after="0" w:line="131"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Borrower’s Consolidated Financial Statements</w:t>
      </w:r>
      <w:r>
        <w:rPr>
          <w:rFonts w:ascii="Times New Roman" w:cs="Times New Roman" w:eastAsia="Times New Roman" w:hAnsi="Times New Roman"/>
          <w:sz w:val="21"/>
          <w:szCs w:val="21"/>
          <w:color w:val="auto"/>
        </w:rPr>
        <w:t>” means the consolidated balance sheet and related consolidated statements of operations, changes in equity and cash flows, and footnotes thereto, of the Borrower, in each case prepared in accordance with GAAP and as filed with the SEC as SEC Reports.</w:t>
      </w:r>
    </w:p>
    <w:p>
      <w:pPr>
        <w:spacing w:after="0" w:line="162"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Borrower’s Pro Rata Share</w:t>
      </w:r>
      <w:r>
        <w:rPr>
          <w:rFonts w:ascii="Times New Roman" w:cs="Times New Roman" w:eastAsia="Times New Roman" w:hAnsi="Times New Roman"/>
          <w:sz w:val="21"/>
          <w:szCs w:val="21"/>
          <w:color w:val="auto"/>
        </w:rPr>
        <w:t>” means an amount determined based on the pro rata ownership of the equity interests of a Person by Borrower and Borrower’s consolidated subsidiaries.</w:t>
      </w:r>
    </w:p>
    <w:p>
      <w:pPr>
        <w:spacing w:after="0" w:line="157"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Capitalization Rate</w:t>
      </w:r>
      <w:r>
        <w:rPr>
          <w:rFonts w:ascii="Times New Roman" w:cs="Times New Roman" w:eastAsia="Times New Roman" w:hAnsi="Times New Roman"/>
          <w:sz w:val="21"/>
          <w:szCs w:val="21"/>
          <w:color w:val="auto"/>
        </w:rPr>
        <w:t>” means (i) 5.75% per annum for any multifamily Real Property Asset, (ii) 6.5% per annum for any office Real Property Asset, (iii) 6.0% per annum for any retail Real Property Asset, (iv) 7.25% per annum for any hotel Real Property Asset (including those owned by Real Property UJVs), (v) 8.0% per annum for any trade show space Real Property Asset (including those owned by Real Property UJVs), and (vi) 6.5% per annum for all other Real Property Assets.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Capitalization Value</w:t>
      </w:r>
      <w:r>
        <w:rPr>
          <w:rFonts w:ascii="Times New Roman" w:cs="Times New Roman" w:eastAsia="Times New Roman" w:hAnsi="Times New Roman"/>
          <w:sz w:val="21"/>
          <w:szCs w:val="21"/>
          <w:color w:val="auto"/>
        </w:rPr>
        <w:t>” means, at any time, the sum without duplication of:</w:t>
      </w:r>
    </w:p>
    <w:p>
      <w:pPr>
        <w:spacing w:after="0" w:line="230" w:lineRule="exact"/>
        <w:rPr>
          <w:sz w:val="20"/>
          <w:szCs w:val="20"/>
          <w:color w:val="auto"/>
        </w:rPr>
      </w:pPr>
    </w:p>
    <w:p>
      <w:pPr>
        <w:jc w:val="right"/>
        <w:ind w:left="1260" w:hanging="626"/>
        <w:spacing w:after="0" w:line="266" w:lineRule="auto"/>
        <w:tabs>
          <w:tab w:leader="none" w:pos="1088"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Real Property Businesses (other than UJVs, Acquisition Properties, Development Properties and Covered Land), individually determined, Combined EBITDA from such businesses </w:t>
      </w:r>
      <w:r>
        <w:rPr>
          <w:rFonts w:ascii="Times New Roman" w:cs="Times New Roman" w:eastAsia="Times New Roman" w:hAnsi="Times New Roman"/>
          <w:sz w:val="20"/>
          <w:szCs w:val="20"/>
          <w:color w:val="EE2724"/>
          <w:strike w:val="1"/>
        </w:rPr>
        <w:t>(a)</w:t>
      </w:r>
      <w:r>
        <w:rPr>
          <w:rFonts w:ascii="Times New Roman" w:cs="Times New Roman" w:eastAsia="Times New Roman" w:hAnsi="Times New Roman"/>
          <w:sz w:val="20"/>
          <w:szCs w:val="20"/>
          <w:u w:val="single" w:color="auto"/>
          <w:color w:val="0E32E1"/>
        </w:rPr>
        <w:t>, for the most recently ended four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E32E1"/>
        </w:rPr>
        <w:t>consecutive calendar quarters, capitalized at the applicable Capitalization Rate;</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i w:val="1"/>
          <w:iCs w:val="1"/>
          <w:u w:val="single" w:color="auto"/>
          <w:color w:val="0E32E1"/>
        </w:rPr>
        <w:t>provided</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u w:val="single" w:color="auto"/>
          <w:color w:val="0E32E1"/>
        </w:rPr>
        <w:t>that</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in the case of</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EE2724"/>
          <w:strike w:val="1"/>
        </w:rPr>
        <w:t>all</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u w:val="single" w:color="auto"/>
          <w:color w:val="0E32E1"/>
        </w:rPr>
        <w:t>any</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 xml:space="preserve">such Real </w:t>
      </w:r>
      <w:r>
        <w:rPr>
          <w:rFonts w:ascii="Times New Roman" w:cs="Times New Roman" w:eastAsia="Times New Roman" w:hAnsi="Times New Roman"/>
          <w:sz w:val="20"/>
          <w:szCs w:val="20"/>
          <w:color w:val="EE2724"/>
          <w:strike w:val="1"/>
        </w:rPr>
        <w:t>Property Businesses other than hotels or trade show space,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E32E1"/>
        </w:rPr>
        <w:t>Estate Business that was formerly an Acquisition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E32E1"/>
        </w:rPr>
        <w:t>Property or a Development Property and has ceased to be an Acquisition Property or a Development Property for fewer than four (4) consecutive calendar quarters, Capitalization Value for such Real Estate Business shall be equal to</w:t>
      </w:r>
    </w:p>
    <w:p>
      <w:pPr>
        <w:jc w:val="both"/>
        <w:ind w:left="1260" w:firstLine="2"/>
        <w:spacing w:after="0" w:line="251" w:lineRule="auto"/>
        <w:tabs>
          <w:tab w:leader="none" w:pos="1563" w:val="left"/>
        </w:tabs>
        <w:numPr>
          <w:ilvl w:val="1"/>
          <w:numId w:val="216"/>
        </w:numPr>
        <w:rPr>
          <w:rFonts w:ascii="Times New Roman" w:cs="Times New Roman" w:eastAsia="Times New Roman" w:hAnsi="Times New Roman"/>
          <w:sz w:val="21"/>
          <w:szCs w:val="21"/>
          <w:u w:val="single" w:color="auto"/>
          <w:color w:val="0E32E1"/>
        </w:rPr>
      </w:pPr>
      <w:r>
        <w:rPr>
          <w:rFonts w:ascii="Times New Roman" w:cs="Times New Roman" w:eastAsia="Times New Roman" w:hAnsi="Times New Roman"/>
          <w:sz w:val="21"/>
          <w:szCs w:val="21"/>
          <w:u w:val="single" w:color="auto"/>
          <w:color w:val="0E32E1"/>
        </w:rPr>
        <w:t>if such Real Estate Business has ceased to be an Acquisition Property or a Development property for one calendar quarter, Combined EBITDA from such Real Estate Business</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for the most recently ended calendar</w:t>
      </w:r>
      <w:r>
        <w:rPr>
          <w:rFonts w:ascii="Times New Roman" w:cs="Times New Roman" w:eastAsia="Times New Roman" w:hAnsi="Times New Roman"/>
          <w:sz w:val="21"/>
          <w:szCs w:val="21"/>
          <w:color w:val="EE2724"/>
          <w:strike w:val="1"/>
        </w:rPr>
        <w:t>,</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quarter annualized</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(i.e., multiplied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82" w:right="339" w:bottom="1440" w:gutter="0" w:footer="0" w:header="0"/>
        </w:sectPr>
      </w:pPr>
    </w:p>
    <w:bookmarkStart w:id="313" w:name="page314"/>
    <w:bookmarkEnd w:id="313"/>
    <w:p>
      <w:pPr>
        <w:jc w:val="both"/>
        <w:ind w:left="626"/>
        <w:spacing w:after="0" w:line="253" w:lineRule="auto"/>
        <w:rPr>
          <w:sz w:val="20"/>
          <w:szCs w:val="20"/>
          <w:color w:val="auto"/>
        </w:rPr>
      </w:pPr>
      <w:r>
        <w:rPr>
          <w:rFonts w:ascii="Times New Roman" w:cs="Times New Roman" w:eastAsia="Times New Roman" w:hAnsi="Times New Roman"/>
          <w:sz w:val="21"/>
          <w:szCs w:val="21"/>
          <w:color w:val="auto"/>
        </w:rPr>
        <w:t xml:space="preserve">by four), </w:t>
      </w:r>
      <w:r>
        <w:rPr>
          <w:rFonts w:ascii="Times New Roman" w:cs="Times New Roman" w:eastAsia="Times New Roman" w:hAnsi="Times New Roman"/>
          <w:sz w:val="21"/>
          <w:szCs w:val="21"/>
          <w:color w:val="EE2724"/>
          <w:strike w:val="1"/>
        </w:rPr>
        <w:t>and (b) in the case of hotels or trade show space,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capitalized at the applicable Capitalization Rate, (y) if such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Real Estate Business has ceased to be an Acquisition Property or a Development Property for two consecutive calendar quarters, Combined EBITDA from such Real Estate Business</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for the most recently ended</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EE2724"/>
          <w:strike w:val="1"/>
        </w:rPr>
        <w:t>four</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u w:val="single" w:color="auto"/>
          <w:color w:val="0E32E1"/>
        </w:rPr>
        <w:t>two</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u w:val="single" w:color="auto"/>
          <w:color w:val="0E32E1"/>
        </w:rPr>
        <w:t xml:space="preserve">consecutive calendar quarters annualized (i.e., multiplied by two), capitalized at the applicable Capitalization Rate, and (z) if such Real Estate Business has ceased to be an Acquisition Property or a Development Property for three </w:t>
      </w:r>
      <w:r>
        <w:rPr>
          <w:rFonts w:ascii="Times New Roman" w:cs="Times New Roman" w:eastAsia="Times New Roman" w:hAnsi="Times New Roman"/>
          <w:sz w:val="21"/>
          <w:szCs w:val="21"/>
          <w:color w:val="000000"/>
        </w:rPr>
        <w:t xml:space="preserve">consecutive calendar quarters, </w:t>
      </w:r>
      <w:r>
        <w:rPr>
          <w:rFonts w:ascii="Times New Roman" w:cs="Times New Roman" w:eastAsia="Times New Roman" w:hAnsi="Times New Roman"/>
          <w:sz w:val="21"/>
          <w:szCs w:val="21"/>
          <w:color w:val="EE2724"/>
          <w:strike w:val="1"/>
        </w:rPr>
        <w:t>in both cases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E32E1"/>
        </w:rPr>
        <w:t>Combined EBITDA from such Real Estate Business for the most recently</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E32E1"/>
        </w:rPr>
        <w:t>ended three consecutive calendar quarters annualized (i.e., multiplied by four-thirds)</w:t>
      </w:r>
      <w:r>
        <w:rPr>
          <w:rFonts w:ascii="Times New Roman" w:cs="Times New Roman" w:eastAsia="Times New Roman" w:hAnsi="Times New Roman"/>
          <w:sz w:val="21"/>
          <w:szCs w:val="21"/>
          <w:color w:val="000000"/>
        </w:rPr>
        <w:t>, capitalized at the applicable</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Capitalization Rate;</w:t>
      </w:r>
    </w:p>
    <w:p>
      <w:pPr>
        <w:spacing w:after="0" w:line="190" w:lineRule="exact"/>
        <w:rPr>
          <w:sz w:val="20"/>
          <w:szCs w:val="20"/>
          <w:color w:val="auto"/>
        </w:rPr>
      </w:pPr>
    </w:p>
    <w:p>
      <w:pPr>
        <w:jc w:val="both"/>
        <w:ind w:left="626" w:hanging="626"/>
        <w:spacing w:after="0" w:line="255" w:lineRule="auto"/>
        <w:tabs>
          <w:tab w:leader="none" w:pos="609"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Acquisition Properties, individually determined, the greater of (x) Combined EBITDA from such business </w:t>
      </w:r>
      <w:r>
        <w:rPr>
          <w:rFonts w:ascii="Times New Roman" w:cs="Times New Roman" w:eastAsia="Times New Roman" w:hAnsi="Times New Roman"/>
          <w:sz w:val="21"/>
          <w:szCs w:val="21"/>
          <w:color w:val="EE2724"/>
          <w:strike w:val="1"/>
        </w:rPr>
        <w:t>(a) in the case of all such Real Property Businesses other than hotels or trade show space for the most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EE2724"/>
          <w:strike w:val="1"/>
        </w:rPr>
        <w:t>recently ended calendar quarter, annualized (i.e., multiplied by four) and (b) in the case of hotels or trade show space</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EE2724"/>
        </w:rPr>
        <w:t xml:space="preserve"> </w:t>
      </w:r>
      <w:r>
        <w:rPr>
          <w:rFonts w:ascii="Times New Roman" w:cs="Times New Roman" w:eastAsia="Times New Roman" w:hAnsi="Times New Roman"/>
          <w:sz w:val="21"/>
          <w:szCs w:val="21"/>
          <w:color w:val="000000"/>
        </w:rPr>
        <w:t xml:space="preserve">for the most recently ended four consecutive calendar quarters, </w:t>
      </w:r>
      <w:r>
        <w:rPr>
          <w:rFonts w:ascii="Times New Roman" w:cs="Times New Roman" w:eastAsia="Times New Roman" w:hAnsi="Times New Roman"/>
          <w:sz w:val="21"/>
          <w:szCs w:val="21"/>
          <w:color w:val="EE2724"/>
          <w:strike w:val="1"/>
        </w:rPr>
        <w:t>in both cases,</w:t>
      </w:r>
      <w:r>
        <w:rPr>
          <w:rFonts w:ascii="Times New Roman" w:cs="Times New Roman" w:eastAsia="Times New Roman" w:hAnsi="Times New Roman"/>
          <w:sz w:val="21"/>
          <w:szCs w:val="21"/>
          <w:color w:val="000000"/>
        </w:rPr>
        <w:t xml:space="preserve"> capitalized at the applicable Capitalization Rate and (y) the Gross Book Value of such businesses;</w:t>
      </w:r>
    </w:p>
    <w:p>
      <w:pPr>
        <w:spacing w:after="0" w:line="171" w:lineRule="exact"/>
        <w:rPr>
          <w:rFonts w:ascii="Times New Roman" w:cs="Times New Roman" w:eastAsia="Times New Roman" w:hAnsi="Times New Roman"/>
          <w:sz w:val="21"/>
          <w:szCs w:val="21"/>
          <w:color w:val="auto"/>
        </w:rPr>
      </w:pPr>
    </w:p>
    <w:p>
      <w:pPr>
        <w:ind w:left="626" w:hanging="626"/>
        <w:spacing w:after="0" w:line="293" w:lineRule="auto"/>
        <w:tabs>
          <w:tab w:leader="none" w:pos="559"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Development Properties and Covered Land, individually determined, the Gross Book Value of such Development Properties and Covered Land;</w:t>
      </w:r>
    </w:p>
    <w:p>
      <w:pPr>
        <w:spacing w:after="0" w:line="130" w:lineRule="exact"/>
        <w:rPr>
          <w:rFonts w:ascii="Times New Roman" w:cs="Times New Roman" w:eastAsia="Times New Roman" w:hAnsi="Times New Roman"/>
          <w:sz w:val="21"/>
          <w:szCs w:val="21"/>
          <w:color w:val="auto"/>
        </w:rPr>
      </w:pPr>
    </w:p>
    <w:p>
      <w:pPr>
        <w:ind w:left="626" w:hanging="626"/>
        <w:spacing w:after="0" w:line="280" w:lineRule="auto"/>
        <w:tabs>
          <w:tab w:leader="none" w:pos="585"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Other Investments, which do not have publicly traded shares, the Net Equity Value of such Other Investments;</w:t>
      </w:r>
    </w:p>
    <w:p>
      <w:pPr>
        <w:spacing w:after="0" w:line="143" w:lineRule="exact"/>
        <w:rPr>
          <w:rFonts w:ascii="Times New Roman" w:cs="Times New Roman" w:eastAsia="Times New Roman" w:hAnsi="Times New Roman"/>
          <w:sz w:val="21"/>
          <w:szCs w:val="21"/>
          <w:color w:val="auto"/>
        </w:rPr>
      </w:pPr>
    </w:p>
    <w:p>
      <w:pPr>
        <w:ind w:left="626" w:hanging="626"/>
        <w:spacing w:after="0" w:line="255" w:lineRule="auto"/>
        <w:tabs>
          <w:tab w:leader="none" w:pos="454"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Real Property UJVs, which do not have publicly traded shares, individually determined, the greater of (x) Combined EBITDA from such Real Property UJVs </w:t>
      </w:r>
      <w:r>
        <w:rPr>
          <w:rFonts w:ascii="Times New Roman" w:cs="Times New Roman" w:eastAsia="Times New Roman" w:hAnsi="Times New Roman"/>
          <w:sz w:val="21"/>
          <w:szCs w:val="21"/>
          <w:color w:val="EE2724"/>
          <w:strike w:val="1"/>
        </w:rPr>
        <w:t>(a) in the case of all Real Property UJVs other than those owning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EE2724"/>
          <w:strike w:val="1"/>
        </w:rPr>
        <w:t>hotels or trade show space, for the most recently ended calendar quarter, annualized (i.e., multiplied by four), capitalized at the applicable Capitalization Rate, and (b) in the case of Real Property UJVs owning hotels or trade show space</w:t>
      </w:r>
      <w:r>
        <w:rPr>
          <w:rFonts w:ascii="Times New Roman" w:cs="Times New Roman" w:eastAsia="Times New Roman" w:hAnsi="Times New Roman"/>
          <w:sz w:val="21"/>
          <w:szCs w:val="21"/>
          <w:color w:val="000000"/>
          <w:strike w:val="1"/>
        </w:rPr>
        <w:t>, for the most recently ended four consecutive calendar quarters, capitalized at the applicable Capitalization</w:t>
      </w:r>
      <w:r>
        <w:rPr>
          <w:rFonts w:ascii="Times New Roman" w:cs="Times New Roman" w:eastAsia="Times New Roman" w:hAnsi="Times New Roman"/>
          <w:sz w:val="21"/>
          <w:szCs w:val="21"/>
          <w:color w:val="EE2724"/>
          <w:strike w:val="1"/>
        </w:rPr>
        <w:t xml:space="preserve"> </w:t>
      </w:r>
      <w:r>
        <w:rPr>
          <w:rFonts w:ascii="Times New Roman" w:cs="Times New Roman" w:eastAsia="Times New Roman" w:hAnsi="Times New Roman"/>
          <w:sz w:val="21"/>
          <w:szCs w:val="21"/>
          <w:color w:val="000000"/>
          <w:strike w:val="1"/>
        </w:rPr>
        <w:t>Rate, less Borrower’s Pro Rata Share of any Indebtedness attributable to such Real Property UJVs, and (y) the Net Equity Value of such Real Property UJVs (subject to the last sentence of this definition); and</w:t>
      </w:r>
    </w:p>
    <w:p>
      <w:pPr>
        <w:spacing w:after="0" w:line="181" w:lineRule="exact"/>
        <w:rPr>
          <w:rFonts w:ascii="Times New Roman" w:cs="Times New Roman" w:eastAsia="Times New Roman" w:hAnsi="Times New Roman"/>
          <w:sz w:val="21"/>
          <w:szCs w:val="21"/>
          <w:color w:val="auto"/>
        </w:rPr>
      </w:pPr>
    </w:p>
    <w:p>
      <w:pPr>
        <w:ind w:left="626" w:hanging="626"/>
        <w:spacing w:after="0" w:line="258" w:lineRule="auto"/>
        <w:tabs>
          <w:tab w:leader="none" w:pos="467"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Borrower’s Pro Rata Share of Unrestricted Cash and Cash Equivalents, the book value of notes and mortgage loans receivable and capitalized development costs (exclusive of tenant improvements and tenant leasing commission costs), and the fair market value of publicly traded securities, at such time, all as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86"/>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606"/>
          </w:cols>
          <w:pgMar w:left="954" w:top="1382" w:right="339" w:bottom="1440" w:gutter="0" w:footer="0" w:header="0"/>
        </w:sectPr>
      </w:pPr>
    </w:p>
    <w:bookmarkStart w:id="314" w:name="page315"/>
    <w:bookmarkEnd w:id="314"/>
    <w:p>
      <w:pPr>
        <w:jc w:val="both"/>
        <w:spacing w:after="0" w:line="280" w:lineRule="auto"/>
        <w:rPr>
          <w:sz w:val="20"/>
          <w:szCs w:val="20"/>
          <w:color w:val="auto"/>
        </w:rPr>
      </w:pPr>
      <w:r>
        <w:rPr>
          <w:rFonts w:ascii="Times New Roman" w:cs="Times New Roman" w:eastAsia="Times New Roman" w:hAnsi="Times New Roman"/>
          <w:sz w:val="21"/>
          <w:szCs w:val="21"/>
          <w:color w:val="auto"/>
        </w:rPr>
        <w:t>For clarity, the parties acknowledge and agree that the calculations pursuant to clauses (1), (2), (3), and (5) above in this definition are intended to be made on a Real-Property-Asset-by-Real-Property-Asset basis.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Notwithstanding the foregoing, the Real Property Asset at 350 Park Avenue in New York City shall be valued at $900,000,000 for purposes of this definition so long as the Borrower’s existing put option for such Real Estate Asset remains in full force and effect and any exercise by the counterparty to the put option of its option to form a joint venture to redevelop such Real Property Asset has not closed so long as Borrower would be entitled to exercise the put option if the counterparty defaulted on its obligation to close following exercise of the joint venture option.</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For the purposes of this definition, (1) for any Disposition of Real Property Assets by a Real Property Business during any calendar quarter, Combined EBITDA will be reduced by actual Combined EBITDA generated from such asset or assets, (2) the aggregate contribution to Capitalization Value in excess of 35% of the total Capitalization Value from all Real Property Businesses and Other Investments owned by UJVs shall not be included in Capitalization Value, and (3) the aggregate contribution to Capitalization Value from leasing commissions and management and development fees in excess of 15% of Combined EBITDA shall not be included in Capitalization Value. To the extent that liabilities of a Real Property UJV are Recourse to Borrower or the General Partner, then for purposes of clause (5)(y) above, the Net Equity Value of such Real Property UJV shall not be reduced by such Recourse liabilities.</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Capitalization Value of Unencumbered Assets</w:t>
      </w:r>
      <w:r>
        <w:rPr>
          <w:rFonts w:ascii="Times New Roman" w:cs="Times New Roman" w:eastAsia="Times New Roman" w:hAnsi="Times New Roman"/>
          <w:sz w:val="21"/>
          <w:szCs w:val="21"/>
          <w:color w:val="auto"/>
        </w:rPr>
        <w:t>” means, at any time, the sum without duplication of:</w:t>
      </w:r>
    </w:p>
    <w:p>
      <w:pPr>
        <w:spacing w:after="0" w:line="217" w:lineRule="exact"/>
        <w:rPr>
          <w:sz w:val="20"/>
          <w:szCs w:val="20"/>
          <w:color w:val="auto"/>
        </w:rPr>
      </w:pPr>
    </w:p>
    <w:p>
      <w:pPr>
        <w:ind w:left="1260" w:hanging="626"/>
        <w:spacing w:after="0" w:line="252" w:lineRule="auto"/>
        <w:tabs>
          <w:tab w:leader="none" w:pos="1088"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Real Property Businesses (other than UJVs, Acquisition Properties, Development Properties and Covered Land) that are Unencumbered Assets, individually determined, Unencumbered Combined EBITDA from such businesses </w:t>
      </w:r>
      <w:r>
        <w:rPr>
          <w:rFonts w:ascii="Times New Roman" w:cs="Times New Roman" w:eastAsia="Times New Roman" w:hAnsi="Times New Roman"/>
          <w:sz w:val="21"/>
          <w:szCs w:val="21"/>
          <w:color w:val="EE2724"/>
          <w:strike w:val="1"/>
        </w:rPr>
        <w:t>(a)</w:t>
      </w:r>
      <w:r>
        <w:rPr>
          <w:rFonts w:ascii="Times New Roman" w:cs="Times New Roman" w:eastAsia="Times New Roman" w:hAnsi="Times New Roman"/>
          <w:sz w:val="21"/>
          <w:szCs w:val="21"/>
          <w:u w:val="single" w:color="auto"/>
          <w:color w:val="0E32E1"/>
        </w:rPr>
        <w:t>, for the most recently ended four consecutive calendar quarters, capitalized at the applicable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Capitalization Rate;</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i w:val="1"/>
          <w:iCs w:val="1"/>
          <w:u w:val="single" w:color="auto"/>
          <w:color w:val="0E32E1"/>
        </w:rPr>
        <w:t>provided</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u w:val="single" w:color="auto"/>
          <w:color w:val="0E32E1"/>
        </w:rPr>
        <w:t>that</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in the case of</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EE2724"/>
          <w:strike w:val="1"/>
        </w:rPr>
        <w:t>all</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u w:val="single" w:color="auto"/>
          <w:color w:val="0E32E1"/>
        </w:rPr>
        <w:t>any</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such Real</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EE2724"/>
          <w:strike w:val="1"/>
        </w:rPr>
        <w:t>Property Businesses other than hotels or trade show</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EE2724"/>
          <w:strike w:val="1"/>
        </w:rPr>
        <w:t xml:space="preserve">space, </w:t>
      </w:r>
      <w:r>
        <w:rPr>
          <w:rFonts w:ascii="Times New Roman" w:cs="Times New Roman" w:eastAsia="Times New Roman" w:hAnsi="Times New Roman"/>
          <w:sz w:val="21"/>
          <w:szCs w:val="21"/>
          <w:u w:val="single" w:color="auto"/>
          <w:color w:val="0E32E1"/>
          <w:strike w:val="1"/>
        </w:rPr>
        <w:t>Estate Business that was formerly an Acquisition Property or a Development Property and has ceased to be an</w:t>
      </w:r>
      <w:r>
        <w:rPr>
          <w:rFonts w:ascii="Times New Roman" w:cs="Times New Roman" w:eastAsia="Times New Roman" w:hAnsi="Times New Roman"/>
          <w:sz w:val="21"/>
          <w:szCs w:val="21"/>
          <w:color w:val="EE2724"/>
          <w:strike w:val="1"/>
        </w:rPr>
        <w:t xml:space="preserve"> </w:t>
      </w:r>
      <w:r>
        <w:rPr>
          <w:rFonts w:ascii="Times New Roman" w:cs="Times New Roman" w:eastAsia="Times New Roman" w:hAnsi="Times New Roman"/>
          <w:sz w:val="21"/>
          <w:szCs w:val="21"/>
          <w:u w:val="single" w:color="auto"/>
          <w:color w:val="0E32E1"/>
          <w:strike w:val="1"/>
        </w:rPr>
        <w:t>Acquisition Property or a Development Property for fewer than four (4) consecutive calendar quarters, Capitalization Value of Unencumbered Assets for such Real Estate Business shall be equal to (x) if such Real Estate Business has ceased to be an Acquisition Property or a Development property for one calendar quarter, Unencumbered Combined EBITDA from such Real Estate Business</w:t>
      </w:r>
      <w:r>
        <w:rPr>
          <w:rFonts w:ascii="Times New Roman" w:cs="Times New Roman" w:eastAsia="Times New Roman" w:hAnsi="Times New Roman"/>
          <w:sz w:val="21"/>
          <w:szCs w:val="21"/>
          <w:color w:val="0E32E1"/>
          <w:strike w:val="1"/>
        </w:rPr>
        <w:t xml:space="preserve"> </w:t>
      </w:r>
      <w:r>
        <w:rPr>
          <w:rFonts w:ascii="Times New Roman" w:cs="Times New Roman" w:eastAsia="Times New Roman" w:hAnsi="Times New Roman"/>
          <w:sz w:val="21"/>
          <w:szCs w:val="21"/>
          <w:color w:val="000000"/>
          <w:strike w:val="1"/>
        </w:rPr>
        <w:t>for the most recently ended calendar quarter</w:t>
      </w:r>
      <w:r>
        <w:rPr>
          <w:rFonts w:ascii="Times New Roman" w:cs="Times New Roman" w:eastAsia="Times New Roman" w:hAnsi="Times New Roman"/>
          <w:sz w:val="21"/>
          <w:szCs w:val="21"/>
          <w:color w:val="EE2724"/>
          <w:strike w:val="1"/>
        </w:rPr>
        <w:t>,</w:t>
      </w:r>
      <w:r>
        <w:rPr>
          <w:rFonts w:ascii="Times New Roman" w:cs="Times New Roman" w:eastAsia="Times New Roman" w:hAnsi="Times New Roman"/>
          <w:sz w:val="21"/>
          <w:szCs w:val="21"/>
          <w:color w:val="0E32E1"/>
          <w:strike w:val="1"/>
        </w:rPr>
        <w:t xml:space="preserve"> </w:t>
      </w:r>
      <w:r>
        <w:rPr>
          <w:rFonts w:ascii="Times New Roman" w:cs="Times New Roman" w:eastAsia="Times New Roman" w:hAnsi="Times New Roman"/>
          <w:sz w:val="21"/>
          <w:szCs w:val="21"/>
          <w:color w:val="000000"/>
          <w:strike w:val="1"/>
        </w:rPr>
        <w:t>annualized (i.e., multiplied by</w:t>
      </w:r>
      <w:r>
        <w:rPr>
          <w:rFonts w:ascii="Times New Roman" w:cs="Times New Roman" w:eastAsia="Times New Roman" w:hAnsi="Times New Roman"/>
          <w:sz w:val="21"/>
          <w:szCs w:val="21"/>
          <w:color w:val="0E32E1"/>
          <w:strike w:val="1"/>
        </w:rPr>
        <w:t xml:space="preserve"> </w:t>
      </w:r>
      <w:r>
        <w:rPr>
          <w:rFonts w:ascii="Times New Roman" w:cs="Times New Roman" w:eastAsia="Times New Roman" w:hAnsi="Times New Roman"/>
          <w:sz w:val="21"/>
          <w:szCs w:val="21"/>
          <w:color w:val="000000"/>
          <w:strike w:val="1"/>
        </w:rPr>
        <w:t xml:space="preserve">four), </w:t>
      </w:r>
      <w:r>
        <w:rPr>
          <w:rFonts w:ascii="Times New Roman" w:cs="Times New Roman" w:eastAsia="Times New Roman" w:hAnsi="Times New Roman"/>
          <w:sz w:val="21"/>
          <w:szCs w:val="21"/>
          <w:color w:val="EE2724"/>
          <w:strike w:val="1"/>
        </w:rPr>
        <w:t>and (b) in the case of hotels or trade show space,</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0E32E1"/>
          <w:strike w:val="1"/>
        </w:rPr>
        <w:t>capitalized at the applicable Capitalization Rate, (y) if such</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0E32E1"/>
          <w:strike w:val="1"/>
        </w:rPr>
        <w:t>Real Estate Business has ceased to be an Acquisition Property or a Development Property for two consecutive calendar quarters, Unencumbered Combined EBITDA from such Real Estate Business</w:t>
      </w:r>
      <w:r>
        <w:rPr>
          <w:rFonts w:ascii="Times New Roman" w:cs="Times New Roman" w:eastAsia="Times New Roman" w:hAnsi="Times New Roman"/>
          <w:sz w:val="21"/>
          <w:szCs w:val="21"/>
          <w:color w:val="0E32E1"/>
          <w:strike w:val="1"/>
        </w:rPr>
        <w:t xml:space="preserve"> </w:t>
      </w:r>
      <w:r>
        <w:rPr>
          <w:rFonts w:ascii="Times New Roman" w:cs="Times New Roman" w:eastAsia="Times New Roman" w:hAnsi="Times New Roman"/>
          <w:sz w:val="21"/>
          <w:szCs w:val="21"/>
          <w:color w:val="000000"/>
          <w:strike w:val="1"/>
        </w:rPr>
        <w:t>for the most recently ended</w:t>
      </w:r>
      <w:r>
        <w:rPr>
          <w:rFonts w:ascii="Times New Roman" w:cs="Times New Roman" w:eastAsia="Times New Roman" w:hAnsi="Times New Roman"/>
          <w:sz w:val="21"/>
          <w:szCs w:val="21"/>
          <w:color w:val="0E32E1"/>
          <w:strike w:val="1"/>
        </w:rPr>
        <w:t xml:space="preserve"> </w:t>
      </w:r>
      <w:r>
        <w:rPr>
          <w:rFonts w:ascii="Times New Roman" w:cs="Times New Roman" w:eastAsia="Times New Roman" w:hAnsi="Times New Roman"/>
          <w:sz w:val="21"/>
          <w:szCs w:val="21"/>
          <w:color w:val="EE2724"/>
          <w:strike w:val="1"/>
        </w:rPr>
        <w:t xml:space="preserve">four </w:t>
      </w:r>
      <w:r>
        <w:rPr>
          <w:rFonts w:ascii="Times New Roman" w:cs="Times New Roman" w:eastAsia="Times New Roman" w:hAnsi="Times New Roman"/>
          <w:sz w:val="21"/>
          <w:szCs w:val="21"/>
          <w:u w:val="single" w:color="auto"/>
          <w:color w:val="0E32E1"/>
          <w:strike w:val="1"/>
        </w:rPr>
        <w:t>two consecutive calendar quarters annualized (i.e., multiplied by two), capitalized at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-1476375</wp:posOffset>
            </wp:positionV>
            <wp:extent cx="330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12">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83" w:right="339" w:bottom="1440" w:gutter="0" w:footer="0" w:header="0"/>
        </w:sectPr>
      </w:pPr>
    </w:p>
    <w:bookmarkStart w:id="315" w:name="page316"/>
    <w:bookmarkEnd w:id="315"/>
    <w:p>
      <w:pPr>
        <w:jc w:val="both"/>
        <w:ind w:left="626"/>
        <w:spacing w:after="0" w:line="262" w:lineRule="auto"/>
        <w:rPr>
          <w:sz w:val="20"/>
          <w:szCs w:val="20"/>
          <w:color w:val="auto"/>
        </w:rPr>
      </w:pPr>
      <w:r>
        <w:rPr>
          <w:rFonts w:ascii="Times New Roman" w:cs="Times New Roman" w:eastAsia="Times New Roman" w:hAnsi="Times New Roman"/>
          <w:sz w:val="21"/>
          <w:szCs w:val="21"/>
          <w:u w:val="single" w:color="auto"/>
          <w:color w:val="0E32E1"/>
        </w:rPr>
        <w:t>Capitalization Rate, and (z) if such Real Estate Business has ceased to be an Acquisition Property or a Development Property for three</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consecutive calendar quarters,</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EE2724"/>
          <w:strike w:val="1"/>
        </w:rPr>
        <w:t>in both cases</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u w:val="single" w:color="auto"/>
          <w:color w:val="0E32E1"/>
        </w:rPr>
        <w:t>Unencumbered Combined EBITDA from such Real</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u w:val="single" w:color="auto"/>
          <w:color w:val="0E32E1"/>
        </w:rPr>
        <w:t>Estate Business for the most recently ended three consecutive calendar quarters annualized (i.e., multiplied by four-thirds),</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capitalized at the applicable Capitalization Rate;</w:t>
      </w:r>
    </w:p>
    <w:p>
      <w:pPr>
        <w:spacing w:after="0" w:line="164" w:lineRule="exact"/>
        <w:rPr>
          <w:sz w:val="20"/>
          <w:szCs w:val="20"/>
          <w:color w:val="auto"/>
        </w:rPr>
      </w:pPr>
    </w:p>
    <w:p>
      <w:pPr>
        <w:jc w:val="both"/>
        <w:ind w:left="626" w:hanging="626"/>
        <w:spacing w:after="0" w:line="258" w:lineRule="auto"/>
        <w:tabs>
          <w:tab w:leader="none" w:pos="618"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Acquisition Properties that are Unencumbered Assets, individually determined, the greater of (x) Unencumbered Combined EBITDA from such business </w:t>
      </w:r>
      <w:r>
        <w:rPr>
          <w:rFonts w:ascii="Times New Roman" w:cs="Times New Roman" w:eastAsia="Times New Roman" w:hAnsi="Times New Roman"/>
          <w:sz w:val="21"/>
          <w:szCs w:val="21"/>
          <w:color w:val="EE2724"/>
          <w:strike w:val="1"/>
        </w:rPr>
        <w:t>(a) in the case of all such Real Property Businesses other than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EE2724"/>
          <w:strike w:val="1"/>
        </w:rPr>
        <w:t>hotels or trade show space, for the most recently ended calendar quarter, annualized (i.e., multiplied by four) and (b) in the case of hotels or trade show space</w:t>
      </w:r>
      <w:r>
        <w:rPr>
          <w:rFonts w:ascii="Times New Roman" w:cs="Times New Roman" w:eastAsia="Times New Roman" w:hAnsi="Times New Roman"/>
          <w:sz w:val="21"/>
          <w:szCs w:val="21"/>
          <w:color w:val="000000"/>
          <w:strike w:val="1"/>
        </w:rPr>
        <w:t>, for the most recently ended four consecutive calendar quarters,</w:t>
      </w:r>
      <w:r>
        <w:rPr>
          <w:rFonts w:ascii="Times New Roman" w:cs="Times New Roman" w:eastAsia="Times New Roman" w:hAnsi="Times New Roman"/>
          <w:sz w:val="21"/>
          <w:szCs w:val="21"/>
          <w:color w:val="EE2724"/>
          <w:strike w:val="1"/>
        </w:rPr>
        <w:t xml:space="preserve"> in both cases, </w:t>
      </w:r>
      <w:r>
        <w:rPr>
          <w:rFonts w:ascii="Times New Roman" w:cs="Times New Roman" w:eastAsia="Times New Roman" w:hAnsi="Times New Roman"/>
          <w:sz w:val="21"/>
          <w:szCs w:val="21"/>
          <w:color w:val="000000"/>
          <w:strike w:val="1"/>
        </w:rPr>
        <w:t>capitalized at the applicable Capitalization Rate and (y) the Gross Book Value of such businesses;</w:t>
      </w:r>
    </w:p>
    <w:p>
      <w:pPr>
        <w:spacing w:after="0" w:line="169" w:lineRule="exact"/>
        <w:rPr>
          <w:rFonts w:ascii="Times New Roman" w:cs="Times New Roman" w:eastAsia="Times New Roman" w:hAnsi="Times New Roman"/>
          <w:sz w:val="21"/>
          <w:szCs w:val="21"/>
          <w:color w:val="auto"/>
        </w:rPr>
      </w:pPr>
    </w:p>
    <w:p>
      <w:pPr>
        <w:ind w:left="626" w:hanging="626"/>
        <w:spacing w:after="0" w:line="280" w:lineRule="auto"/>
        <w:tabs>
          <w:tab w:leader="none" w:pos="487"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Development Properties and Covered Land that are Unencumbered Assets, individually determined, the Gross Book Value of such Development Properties and Covered Land;</w:t>
      </w:r>
    </w:p>
    <w:p>
      <w:pPr>
        <w:spacing w:after="0" w:line="143" w:lineRule="exact"/>
        <w:rPr>
          <w:rFonts w:ascii="Times New Roman" w:cs="Times New Roman" w:eastAsia="Times New Roman" w:hAnsi="Times New Roman"/>
          <w:sz w:val="21"/>
          <w:szCs w:val="21"/>
          <w:color w:val="auto"/>
        </w:rPr>
      </w:pPr>
    </w:p>
    <w:p>
      <w:pPr>
        <w:ind w:left="626" w:hanging="626"/>
        <w:spacing w:after="0" w:line="252" w:lineRule="auto"/>
        <w:tabs>
          <w:tab w:leader="none" w:pos="452"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Real Property UJVs (i) in which either (A) the Borrower has unilateral authority (directly or indirectly) to sell, transfer, encumber or otherwise dispose of the Real Property Assets (or interests in an entity that owns the Real Property Assets) owned by such Real Property UJV which authority may be subject to a right of first offer in favor of Borrower’s joint venture partner or (B) the Borrower has the right to sell its interest in such Real Property UJV (which right may be subject to a right of first offer in favor of its joint venture partner and other customary limitations) or is party to a customary buy-sell agreement with its joint venture partner that enables the Borrower to acquire such partner’s interests in such Real Property UJV and/or obligates such partner to acquire the Borrower’s interests in such Real Property UJV, in each case upon the occurrence of a triggering event, (ii) that are Unencumbered Assets and (iii) which do not have publicly traded shares, individually determined, the greater of (x) the Unencumbered Combined EBITDA from such Real Property UJVs </w:t>
      </w:r>
      <w:r>
        <w:rPr>
          <w:rFonts w:ascii="Times New Roman" w:cs="Times New Roman" w:eastAsia="Times New Roman" w:hAnsi="Times New Roman"/>
          <w:sz w:val="21"/>
          <w:szCs w:val="21"/>
          <w:color w:val="EE2724"/>
        </w:rPr>
        <w:t>(a) in the case of Real Property UJVs other than those owning hotels or trade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EE2724"/>
          <w:strike w:val="1"/>
        </w:rPr>
        <w:t>show space, for the most recently ended calendar quarter, annualized (i.e., multiplied by four), capitalized at the applicable Capitalization Rate, and (b) in the case of Real Property UJVs owning hotels or trade show space</w:t>
      </w:r>
      <w:r>
        <w:rPr>
          <w:rFonts w:ascii="Times New Roman" w:cs="Times New Roman" w:eastAsia="Times New Roman" w:hAnsi="Times New Roman"/>
          <w:sz w:val="21"/>
          <w:szCs w:val="21"/>
          <w:color w:val="000000"/>
          <w:strike w:val="1"/>
        </w:rPr>
        <w:t>, for the</w:t>
      </w:r>
      <w:r>
        <w:rPr>
          <w:rFonts w:ascii="Times New Roman" w:cs="Times New Roman" w:eastAsia="Times New Roman" w:hAnsi="Times New Roman"/>
          <w:sz w:val="21"/>
          <w:szCs w:val="21"/>
          <w:color w:val="EE2724"/>
          <w:strike w:val="1"/>
        </w:rPr>
        <w:t xml:space="preserve"> </w:t>
      </w:r>
      <w:r>
        <w:rPr>
          <w:rFonts w:ascii="Times New Roman" w:cs="Times New Roman" w:eastAsia="Times New Roman" w:hAnsi="Times New Roman"/>
          <w:sz w:val="21"/>
          <w:szCs w:val="21"/>
          <w:color w:val="000000"/>
          <w:strike w:val="1"/>
        </w:rPr>
        <w:t>most recently ended four consecutive calendar quarters, capitalized at the applicable Capitalization Rate, and (y) the Net Equity Value of such Real Property UJVs; and</w:t>
      </w:r>
    </w:p>
    <w:p>
      <w:pPr>
        <w:spacing w:after="0" w:line="183" w:lineRule="exact"/>
        <w:rPr>
          <w:rFonts w:ascii="Times New Roman" w:cs="Times New Roman" w:eastAsia="Times New Roman" w:hAnsi="Times New Roman"/>
          <w:sz w:val="21"/>
          <w:szCs w:val="21"/>
          <w:color w:val="auto"/>
        </w:rPr>
      </w:pPr>
    </w:p>
    <w:p>
      <w:pPr>
        <w:ind w:left="626" w:hanging="626"/>
        <w:spacing w:after="0" w:line="258" w:lineRule="auto"/>
        <w:tabs>
          <w:tab w:leader="none" w:pos="472"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Borrower's Pro Rata Share of Unrestricted Cash and Cash Equivalents, the book value of notes and mortgage loans receivable and capitalized development costs (exclusive of tenant improvements and tenant leasing commission costs), leasing commissions and development fees (but, for clarity, excluding property management fees and fees of BMS Building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2562225</wp:posOffset>
            </wp:positionH>
            <wp:positionV relativeFrom="paragraph">
              <wp:posOffset>-1497965</wp:posOffset>
            </wp:positionV>
            <wp:extent cx="41694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13">
                      <a:extLst>
                        <a:ext uri="{28A0092B-C50C-407E-A947-70E740481C1C}"/>
                      </a:extLst>
                    </a:blip>
                    <a:srcRect/>
                    <a:stretch>
                      <a:fillRect/>
                    </a:stretch>
                  </pic:blipFill>
                  <pic:spPr bwMode="auto">
                    <a:xfrm>
                      <a:off x="0" y="0"/>
                      <a:ext cx="4169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886"/>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0606"/>
          </w:cols>
          <w:pgMar w:left="954" w:top="1382" w:right="339" w:bottom="1440" w:gutter="0" w:footer="0" w:header="0"/>
        </w:sectPr>
      </w:pPr>
    </w:p>
    <w:bookmarkStart w:id="316" w:name="page317"/>
    <w:bookmarkEnd w:id="316"/>
    <w:p>
      <w:pPr>
        <w:jc w:val="both"/>
        <w:ind w:left="1260"/>
        <w:spacing w:after="0" w:line="262" w:lineRule="auto"/>
        <w:rPr>
          <w:sz w:val="20"/>
          <w:szCs w:val="20"/>
          <w:color w:val="auto"/>
        </w:rPr>
      </w:pPr>
      <w:r>
        <w:rPr>
          <w:rFonts w:ascii="Times New Roman" w:cs="Times New Roman" w:eastAsia="Times New Roman" w:hAnsi="Times New Roman"/>
          <w:sz w:val="21"/>
          <w:szCs w:val="21"/>
          <w:color w:val="auto"/>
        </w:rPr>
        <w:t>GMSC and similar affiliated building service providers which shall be treated as Real Property Businesses pursuant to clause (1) above) for the most recently ended four (4) consecutive calendar quarters multiplied by three (3), and the fair market value of publicly traded securities, in each case that are Unencumbered Assets of Borrower, at such time, all as determined in accordance with GAAP.</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Notwithstanding the foregoing, the Real Property Asset at 350 Park Avenue in New York City shall be valued at $900,000,000 for purposes of this definition so long as (x) such Real Property Asset is an Unencumbered Asset and (y) the Borrower’s existing put option for such Real Estate Asset remains in full force and effect and any exercise by the counterparty to the put option of its option to form a joint venture to redevelop such Real Property Asset has not closed so long as Borrower would be entitled to exercise the put option if the counterparty defaulted on its obligation to close following exercise of the joint venture option.</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For the purposes of this definition, (1) for any Disposition of Real Property Assets by a Real Property Business during any calendar quarter, Unencumbered Combined EBITDA will be reduced by actual Unencumbered Combined EBITDA generated from such asset or assets, (2) the aggregate contribution to Capitalization Value of Unencumbered Assets in excess of 20% of the total Capitalization Value of Unencumbered Assets from the aggregate of all Real Property Businesses owned by UJVs (other than the UJV known as Manhattan High Street Holdings LP), and notes and mortgage loans receivable that are Unencumbered Assets (including those owned by UJVs) at such time, as determined in accordance with GAAP, shall not be included in Capitalization Value of Unencumbered Assets, (3) the aggregate contribution to Capitalization Value of Unencumbered Assets from leasing commissions and management and development fees in excess of 15% of Unencumbered Combined EBITDA shall not be included in Capitalization Value of Unencumbered Assets and (4) the aggregate contribution to Capitalization Value of Unencumbered Assets from Development Properties (other than office Development Properties that are at least 75% pre-leased) and Covered Land in excess of 25% shall not be included in Capitalization Value of Unencumbered Assets.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Lease</w:t>
      </w:r>
      <w:r>
        <w:rPr>
          <w:rFonts w:ascii="Times New Roman" w:cs="Times New Roman" w:eastAsia="Times New Roman" w:hAnsi="Times New Roman"/>
          <w:sz w:val="21"/>
          <w:szCs w:val="21"/>
          <w:color w:val="auto"/>
        </w:rPr>
        <w:t>” means any lease which has been or should be capitalized on the books of the lessee in accordance 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GAAP.</w:t>
      </w:r>
    </w:p>
    <w:p>
      <w:pPr>
        <w:spacing w:after="0" w:line="193"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or Cash Equivalents</w:t>
      </w:r>
      <w:r>
        <w:rPr>
          <w:rFonts w:ascii="Times New Roman" w:cs="Times New Roman" w:eastAsia="Times New Roman" w:hAnsi="Times New Roman"/>
          <w:sz w:val="21"/>
          <w:szCs w:val="21"/>
          <w:color w:val="auto"/>
        </w:rPr>
        <w:t>” means (a) cash; (b) marketable direct obligations issued or unconditionally guaranteed by the United States Government or issued by an agency thereof and backed by the full faith and credit of the United States, in each case maturing within one (1) year after the date of acquisition thereof; (c) marketable direct obligations issued by any state of the United States of America or any political subdivision of any such state or any public instrumentality thereof maturing within ninety (90) days after the date of acquisition thereof and, at the time of acquisition, having one of the two highest ratings obtainable from any two of S&amp;P, Moody’s or Fitch (or, if at any time no two of the foregoing shall be rating such obligations, then from such other nationally recognized rating services as are reasonably acceptable to Administrative Agent); (d) domestic corporate bonds, other than domestic corporate bonds issued by Borrower or any of its Affiliates, maturing no more than two (2) years after the date of acquisition thereof and, at the time of acquisition, having a rating of at least A or the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82" w:right="339" w:bottom="1440" w:gutter="0" w:footer="0" w:header="0"/>
        </w:sectPr>
      </w:pPr>
    </w:p>
    <w:bookmarkStart w:id="317" w:name="page318"/>
    <w:bookmarkEnd w:id="317"/>
    <w:p>
      <w:pPr>
        <w:jc w:val="both"/>
        <w:spacing w:after="0" w:line="251" w:lineRule="auto"/>
        <w:rPr>
          <w:sz w:val="20"/>
          <w:szCs w:val="20"/>
          <w:color w:val="auto"/>
        </w:rPr>
      </w:pPr>
      <w:r>
        <w:rPr>
          <w:rFonts w:ascii="Times New Roman" w:cs="Times New Roman" w:eastAsia="Times New Roman" w:hAnsi="Times New Roman"/>
          <w:sz w:val="21"/>
          <w:szCs w:val="21"/>
          <w:color w:val="auto"/>
        </w:rPr>
        <w:t>from any two (2) of S&amp;P, Moody’s or Fitch (or, if at any time no two of the foregoing shall be rating such obligations, then from such other nationally recognized rating services as are reasonably acceptable to Administrative Agent); (e) variable-rate domestic corporate notes or medium term corporate notes, other than notes issued by Borrower or any of its Affiliates, maturing or resetting no more than one (1) year after the date of acquisition thereof and having a rating of at least A or the equivalent from two of S&amp;P, Moody’s or Fitch (or, if at any time no two of the foregoing shall be rating such obligations, then from such other nationally recognized rating services as are reasonably acceptable to Administrative Agent); (f) commercial paper (foreign and domestic) or master notes, other than commercial paper or master notes issued by Borrower or any of its Affiliates, and, at the time of acquisition, having a long-term rating of at least A or the equivalent from S&amp;P, Moody’s or Fitch and having a short-term rating of at least A-2 and P-2 from S&amp;P and Moody’s, respectively (or, if at any time neither S&amp;P nor Moody’s shall be rating such obligations, then the highest rating from such other nationally recognized rating services as are reasonably acceptable to Administrative Agent); (g) domestic and foreign certificates of deposit or domestic time deposits or foreign deposits or bankers’ acceptances (foreign or domestic) in Dollars, Hong Kong Dollars, Singapore Dollars, Pounds Sterling, Euros or Yen that are issued by a bank (I) which has, at the time of acquisition, a long-term rating of at least A or the equivalent from S&amp;P, Moody’s or Fitch (or, if at any time no two of the foregoing shall be rating such obligations, then from such other nationally recognized rating services as are reasonably acceptable to Administrative Agent) and (II) if a domestic bank, which is a member of the Federal Deposit Insurance Corporation; (h) overnight securities repurchase agreements, or reverse repurchase agreements secured by any of the foregoing types of securities or debt instruments, provided that the collateral supporting such repurchase agreements shall have a value not less than 101% of the principal amount of the repurchase agreement plus accrued interest; and (i) money market funds invested in investments substantially all of which consist of the items described in clauses (a) through (h) above.</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Charges</w:t>
      </w:r>
      <w:r>
        <w:rPr>
          <w:rFonts w:ascii="Times New Roman" w:cs="Times New Roman" w:eastAsia="Times New Roman" w:hAnsi="Times New Roman"/>
          <w:sz w:val="21"/>
          <w:szCs w:val="21"/>
          <w:color w:val="auto"/>
        </w:rPr>
        <w:t>” has the meaning specified in Section 2.07.</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Date</w:t>
      </w:r>
      <w:r>
        <w:rPr>
          <w:rFonts w:ascii="Times New Roman" w:cs="Times New Roman" w:eastAsia="Times New Roman" w:hAnsi="Times New Roman"/>
          <w:sz w:val="21"/>
          <w:szCs w:val="21"/>
          <w:color w:val="auto"/>
        </w:rPr>
        <w:t>” means the date the Initial Advance is made.</w:t>
      </w:r>
    </w:p>
    <w:p>
      <w:pPr>
        <w:spacing w:after="0" w:line="21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CME Term SOFR Administrator</w:t>
      </w:r>
      <w:r>
        <w:rPr>
          <w:rFonts w:ascii="Times New Roman" w:cs="Times New Roman" w:eastAsia="Times New Roman" w:hAnsi="Times New Roman"/>
          <w:sz w:val="21"/>
          <w:szCs w:val="21"/>
          <w:color w:val="auto"/>
        </w:rPr>
        <w:t>” means CME Group Benchmark Administration Limited as administrator of the forward-looking term Secured Overnight Financing Rate (SOFR) (or a successor administrator).</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w:t>
      </w:r>
    </w:p>
    <w:p>
      <w:pPr>
        <w:spacing w:after="0" w:line="230"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Combined EBITDA</w:t>
      </w:r>
      <w:r>
        <w:rPr>
          <w:rFonts w:ascii="Times New Roman" w:cs="Times New Roman" w:eastAsia="Times New Roman" w:hAnsi="Times New Roman"/>
          <w:sz w:val="21"/>
          <w:szCs w:val="21"/>
          <w:color w:val="auto"/>
        </w:rPr>
        <w:t xml:space="preserve">” means, for any </w:t>
      </w:r>
      <w:r>
        <w:rPr>
          <w:rFonts w:ascii="Times New Roman" w:cs="Times New Roman" w:eastAsia="Times New Roman" w:hAnsi="Times New Roman"/>
          <w:sz w:val="21"/>
          <w:szCs w:val="21"/>
          <w:color w:val="EE2724"/>
          <w:strike w:val="1"/>
        </w:rPr>
        <w:t>quarter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period</w:t>
      </w:r>
      <w:r>
        <w:rPr>
          <w:rFonts w:ascii="Times New Roman" w:cs="Times New Roman" w:eastAsia="Times New Roman" w:hAnsi="Times New Roman"/>
          <w:sz w:val="21"/>
          <w:szCs w:val="21"/>
          <w:color w:val="auto"/>
        </w:rPr>
        <w:t>, the Borrower’s Pro Rata Share of net income or loss plus Interest Expense, income taxes, depreciation and amortization and excluding the effect of non-recurring items (such as, without limitation, (i) gains or losses from asset sales, (ii) gains or losses from debt restructurings or write-ups or forgiveness of indebtedness, and costs and expenses incurred during such period with respect to acquisitions, dispositions, investments, or debt or equity financings (whether or not consummated) during such period, and (iii) non-cash gains or losses from impairments, hedging transactions or foreign currency fluctuations), all as determined in accordance with GAAP, of Consolidated Businesses and UJVs (provided, however, that for purposes of determining the ratio of Combined EBITDA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82" w:right="339" w:bottom="1440" w:gutter="0" w:footer="0" w:header="0"/>
        </w:sectPr>
      </w:pPr>
    </w:p>
    <w:bookmarkStart w:id="318" w:name="page319"/>
    <w:bookmarkEnd w:id="318"/>
    <w:p>
      <w:pPr>
        <w:jc w:val="both"/>
        <w:spacing w:after="0" w:line="258" w:lineRule="auto"/>
        <w:rPr>
          <w:sz w:val="20"/>
          <w:szCs w:val="20"/>
          <w:color w:val="auto"/>
        </w:rPr>
      </w:pPr>
      <w:r>
        <w:rPr>
          <w:rFonts w:ascii="Times New Roman" w:cs="Times New Roman" w:eastAsia="Times New Roman" w:hAnsi="Times New Roman"/>
          <w:sz w:val="21"/>
          <w:szCs w:val="21"/>
          <w:color w:val="auto"/>
        </w:rPr>
        <w:t>to Fixed Charges, Combined EBITDA of UJVs shall exclude UJVs that are not either Real Property UJVs or UJVs formed to make, acquire or manage mortgage loans, mezzanine loans and/or other real estate credit investments), as the case may be, multiplied by four, provided however, that Combined EBITDA shall include only general and administrative expenses that are attributable to the management and operation of the assets in accordance with GAAP and shall not include any corporate general and administrative expenses of Borrower, General Partner, Consolidated Businesses or UJVs (e.g., salaries of corporate officers).</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Communications</w:t>
      </w:r>
      <w:r>
        <w:rPr>
          <w:rFonts w:ascii="Times New Roman" w:cs="Times New Roman" w:eastAsia="Times New Roman" w:hAnsi="Times New Roman"/>
          <w:sz w:val="21"/>
          <w:szCs w:val="21"/>
          <w:color w:val="auto"/>
        </w:rPr>
        <w:t>” has the meaning specified in Section 12.07(d)(iii).</w:t>
      </w:r>
    </w:p>
    <w:p>
      <w:pPr>
        <w:spacing w:after="0" w:line="217"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Businesses</w:t>
      </w:r>
      <w:r>
        <w:rPr>
          <w:rFonts w:ascii="Times New Roman" w:cs="Times New Roman" w:eastAsia="Times New Roman" w:hAnsi="Times New Roman"/>
          <w:sz w:val="21"/>
          <w:szCs w:val="21"/>
          <w:color w:val="auto"/>
        </w:rPr>
        <w:t>” means, at any time, the Borrower and Subsidiaries of the Borrower that the Borrower consolidates in its consolidated financial statements prepared in accordance with GAAP, provided, however, that UJVs which are consolidated in accordance with GAAP are not Consolidated Businesses.</w:t>
      </w:r>
    </w:p>
    <w:p>
      <w:pPr>
        <w:spacing w:after="0" w:line="15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Continuation</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Continued</w:t>
      </w:r>
      <w:r>
        <w:rPr>
          <w:rFonts w:ascii="Times New Roman" w:cs="Times New Roman" w:eastAsia="Times New Roman" w:hAnsi="Times New Roman"/>
          <w:sz w:val="21"/>
          <w:szCs w:val="21"/>
          <w:color w:val="auto"/>
        </w:rPr>
        <w:t>” refer to the continuation pursuant to Section 2.12 of a Term Benchmark Loan as a Term Benchmark Loan from one Interest Period to the next interest Period.</w:t>
      </w:r>
    </w:p>
    <w:p>
      <w:pPr>
        <w:spacing w:after="0" w:line="14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Convert</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Conversion</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Converted</w:t>
      </w:r>
      <w:r>
        <w:rPr>
          <w:rFonts w:ascii="Times New Roman" w:cs="Times New Roman" w:eastAsia="Times New Roman" w:hAnsi="Times New Roman"/>
          <w:sz w:val="21"/>
          <w:szCs w:val="21"/>
          <w:color w:val="auto"/>
        </w:rPr>
        <w:t>” refer to a conversion pursuant to Section 2.12 of (x) a Base Rate Loan into a Term Benchmark Loan or a RFR Loan, (y) a RFR Loan into a Base Rate Loan or a Term Benchmark Loan, or (z) a Term Benchmark Loan into a Base Rate Loan or a RFR Loan, each of which may be accompanied by the transfer by a Bank (at its sole discretion) of all or a portion of its Ratable Loan from one Applicable Lending Office to another.</w:t>
      </w:r>
    </w:p>
    <w:p>
      <w:pPr>
        <w:spacing w:after="0" w:line="16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Corresponding Tenor</w:t>
      </w:r>
      <w:r>
        <w:rPr>
          <w:rFonts w:ascii="Times New Roman" w:cs="Times New Roman" w:eastAsia="Times New Roman" w:hAnsi="Times New Roman"/>
          <w:sz w:val="21"/>
          <w:szCs w:val="21"/>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means any of the following:</w:t>
      </w:r>
    </w:p>
    <w:p>
      <w:pPr>
        <w:spacing w:after="0" w:line="217" w:lineRule="exact"/>
        <w:rPr>
          <w:sz w:val="20"/>
          <w:szCs w:val="20"/>
          <w:color w:val="auto"/>
        </w:rPr>
      </w:pPr>
    </w:p>
    <w:p>
      <w:pPr>
        <w:jc w:val="both"/>
        <w:ind w:left="640" w:right="1960"/>
        <w:spacing w:after="0" w:line="482" w:lineRule="auto"/>
        <w:rPr>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 a “covered bank” as that term is defined in, and interpreted in accordance with, 12 C.F.R. § 47.3(b); or a “covered FSI” as that term is defined in, and interpreted in accordance with, 12 C.F.R. § 382.2(b).</w:t>
      </w:r>
    </w:p>
    <w:p>
      <w:pPr>
        <w:spacing w:after="0" w:line="3"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Land</w:t>
      </w:r>
      <w:r>
        <w:rPr>
          <w:rFonts w:ascii="Times New Roman" w:cs="Times New Roman" w:eastAsia="Times New Roman" w:hAnsi="Times New Roman"/>
          <w:sz w:val="21"/>
          <w:szCs w:val="21"/>
          <w:color w:val="auto"/>
        </w:rPr>
        <w:t xml:space="preserve">” means, initially, the Real Property Assets set forth on </w:t>
      </w:r>
      <w:r>
        <w:rPr>
          <w:rFonts w:ascii="Times New Roman" w:cs="Times New Roman" w:eastAsia="Times New Roman" w:hAnsi="Times New Roman"/>
          <w:sz w:val="21"/>
          <w:szCs w:val="21"/>
          <w:u w:val="single" w:color="auto"/>
          <w:color w:val="auto"/>
        </w:rPr>
        <w:t>Schedule 5</w:t>
      </w:r>
      <w:r>
        <w:rPr>
          <w:rFonts w:ascii="Times New Roman" w:cs="Times New Roman" w:eastAsia="Times New Roman" w:hAnsi="Times New Roman"/>
          <w:sz w:val="21"/>
          <w:szCs w:val="21"/>
          <w:color w:val="auto"/>
        </w:rPr>
        <w:t xml:space="preserve"> and any subsequent Real Property Asset acquired with the intention of developing or redeveloping the Real Property Asset or holding such Real Property Asset for the purpose of creating an assemblage for potential future development</w:t>
      </w:r>
      <w:r>
        <w:rPr>
          <w:rFonts w:ascii="Times New Roman" w:cs="Times New Roman" w:eastAsia="Times New Roman" w:hAnsi="Times New Roman"/>
          <w:sz w:val="21"/>
          <w:szCs w:val="21"/>
          <w:u w:val="single" w:color="auto"/>
          <w:color w:val="0E32E1"/>
        </w:rPr>
        <w:t>, in each case until such Real Estate Asset becomes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Development Property.</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has the meaning assigned to it in Section 12.27.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82" w:right="339" w:bottom="1440" w:gutter="0" w:footer="0" w:header="0"/>
        </w:sectPr>
      </w:pPr>
    </w:p>
    <w:bookmarkStart w:id="319" w:name="page320"/>
    <w:bookmarkEnd w:id="319"/>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Party</w:t>
      </w:r>
      <w:r>
        <w:rPr>
          <w:rFonts w:ascii="Times New Roman" w:cs="Times New Roman" w:eastAsia="Times New Roman" w:hAnsi="Times New Roman"/>
          <w:sz w:val="21"/>
          <w:szCs w:val="21"/>
          <w:color w:val="auto"/>
        </w:rPr>
        <w:t xml:space="preserve">” means the Administrative Agent, </w:t>
      </w:r>
      <w:r>
        <w:rPr>
          <w:rFonts w:ascii="Times New Roman" w:cs="Times New Roman" w:eastAsia="Times New Roman" w:hAnsi="Times New Roman"/>
          <w:sz w:val="21"/>
          <w:szCs w:val="21"/>
          <w:color w:val="0E32E1"/>
        </w:rPr>
        <w:t>the Sustainability Structuring Agent, any</w:t>
      </w:r>
      <w:r>
        <w:rPr>
          <w:rFonts w:ascii="Times New Roman" w:cs="Times New Roman" w:eastAsia="Times New Roman" w:hAnsi="Times New Roman"/>
          <w:sz w:val="21"/>
          <w:szCs w:val="21"/>
          <w:color w:val="auto"/>
        </w:rPr>
        <w:t xml:space="preserve"> Fronting Bank or any other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2959735</wp:posOffset>
            </wp:positionH>
            <wp:positionV relativeFrom="paragraph">
              <wp:posOffset>-10795</wp:posOffset>
            </wp:positionV>
            <wp:extent cx="22434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14">
                      <a:extLst>
                        <a:ext uri="{28A0092B-C50C-407E-A947-70E740481C1C}"/>
                      </a:extLst>
                    </a:blip>
                    <a:srcRect/>
                    <a:stretch>
                      <a:fillRect/>
                    </a:stretch>
                  </pic:blipFill>
                  <pic:spPr bwMode="auto">
                    <a:xfrm>
                      <a:off x="0" y="0"/>
                      <a:ext cx="2243455" cy="8255"/>
                    </a:xfrm>
                    <a:prstGeom prst="rect">
                      <a:avLst/>
                    </a:prstGeom>
                    <a:noFill/>
                  </pic:spPr>
                </pic:pic>
              </a:graphicData>
            </a:graphic>
          </wp:anchor>
        </w:drawing>
      </w:r>
    </w:p>
    <w:p>
      <w:pPr>
        <w:spacing w:after="0" w:line="19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Rating</w:t>
      </w:r>
      <w:r>
        <w:rPr>
          <w:rFonts w:ascii="Times New Roman" w:cs="Times New Roman" w:eastAsia="Times New Roman" w:hAnsi="Times New Roman"/>
          <w:sz w:val="21"/>
          <w:szCs w:val="21"/>
          <w:color w:val="auto"/>
        </w:rPr>
        <w:t>” means the rating assigned by Moody’s, S&amp;P, and/or Fitch to Borrower’s senior unsecured long-term indebtedness.</w:t>
      </w:r>
    </w:p>
    <w:p>
      <w:pPr>
        <w:spacing w:after="0" w:line="157" w:lineRule="exact"/>
        <w:rPr>
          <w:sz w:val="20"/>
          <w:szCs w:val="20"/>
          <w:color w:val="auto"/>
        </w:rPr>
      </w:pPr>
    </w:p>
    <w:p>
      <w:pPr>
        <w:jc w:val="both"/>
        <w:ind w:firstLine="62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Effective SOFR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Rate</w:t>
      </w:r>
      <w:r>
        <w:rPr>
          <w:rFonts w:ascii="Times New Roman" w:cs="Times New Roman" w:eastAsia="Times New Roman" w:hAnsi="Times New Roman"/>
          <w:sz w:val="21"/>
          <w:szCs w:val="21"/>
          <w:color w:val="auto"/>
        </w:rPr>
        <w:t>” means, for any day (a “</w:t>
      </w:r>
      <w:r>
        <w:rPr>
          <w:rFonts w:ascii="Times New Roman" w:cs="Times New Roman" w:eastAsia="Times New Roman" w:hAnsi="Times New Roman"/>
          <w:sz w:val="21"/>
          <w:szCs w:val="21"/>
          <w:u w:val="single" w:color="auto"/>
          <w:color w:val="auto"/>
        </w:rPr>
        <w:t>SOFR Rate Day</w:t>
      </w:r>
      <w:r>
        <w:rPr>
          <w:rFonts w:ascii="Times New Roman" w:cs="Times New Roman" w:eastAsia="Times New Roman" w:hAnsi="Times New Roman"/>
          <w:sz w:val="21"/>
          <w:szCs w:val="21"/>
          <w:color w:val="auto"/>
        </w:rPr>
        <w:t xml:space="preserve">”), a rate per annum equal to SOFR effective for such SOFR Rate Day (or, if not a Banking Day, the Banking Day preceding such SOFR Rate Day), in each case, as such SOFR is published by the SOFR Administrator on the SOFR Administrator’s Website. Any change in Daily Effective SOFR </w:t>
      </w:r>
      <w:r>
        <w:rPr>
          <w:rFonts w:ascii="Times New Roman" w:cs="Times New Roman" w:eastAsia="Times New Roman" w:hAnsi="Times New Roman"/>
          <w:sz w:val="21"/>
          <w:szCs w:val="21"/>
          <w:u w:val="single" w:color="auto"/>
          <w:color w:val="0E32E1"/>
        </w:rPr>
        <w:t>Rate</w:t>
      </w:r>
      <w:r>
        <w:rPr>
          <w:rFonts w:ascii="Times New Roman" w:cs="Times New Roman" w:eastAsia="Times New Roman" w:hAnsi="Times New Roman"/>
          <w:sz w:val="21"/>
          <w:szCs w:val="21"/>
          <w:color w:val="auto"/>
        </w:rPr>
        <w:t xml:space="preserve"> due to a change in SOFR shall be effective from and including the effective date of such change in SOFR without notice to the Borrower. If by 5:00 p.m. (New York City time) on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U.S. Government Securities Business Day immediately following any SOFR Rate Day, SOFR in respect of such SOFR Rate Day has not been published on the SOFR Administrator’s Website and a Benchmark Replacement Date with respect to the Daily Effective SOFR Rate has not occurred, then SOFR for such SOFR Rate Day will be SOFR as published in respect of the first preceding U.S. Government Securities Business Day for which such SOFR was published on the SOFR Administrator’s Website.</w:t>
      </w:r>
    </w:p>
    <w:p>
      <w:pPr>
        <w:spacing w:after="0" w:line="183"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w:t>
      </w:r>
      <w:r>
        <w:rPr>
          <w:rFonts w:ascii="Times New Roman" w:cs="Times New Roman" w:eastAsia="Times New Roman" w:hAnsi="Times New Roman"/>
          <w:sz w:val="21"/>
          <w:szCs w:val="21"/>
          <w:color w:val="auto"/>
        </w:rPr>
        <w:t>” means, at any time, without duplication, (i) all indebtedness and liabilities of a Person for borrowed money, secured or unsecured, including mortgage and other notes payable (but excluding any indebtedness to the extent secured by cash or cash equivalents or marketable securities, or defeased), as determined in accordance with GAAP, and (ii) without duplication, all liabilities of a Person consisting of indebtedness for borrowed money, determined in accordance with GAAP, that are or would be stated and quantified as contingent liabilities in the notes to the consolidated financial statements of such Person as of that date. For purposes of determining “Total Outstanding Indebtedness” and “Debt”, the term “without duplication” shall mean (without limitation) that amounts loaned from one Person to a second Person that under GAAP would be consolidated with the first Person shall not be treated as Debt of the second Person.</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means any event which with the giving of notice or lapse of time, or both, would become an Event of Default.</w:t>
      </w:r>
    </w:p>
    <w:p>
      <w:pPr>
        <w:spacing w:after="0" w:line="217"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means any Bank that (a) has failed, within three Banking Days of the date required to be funded or paid, to (i) fund any portion of its Loans, (ii) fund any portion of its participations in Letters of Credit or (iii) pay over to any Credit Party any other amount required to be paid by it hereunder, unless, in the case of clause (i) above, such Bank notifies the Administrative Agent in writing that such failure is the result of such Bank’s good faith determination that a condition precedent to funding (specifically identified and including the particular default, if any) has not been satisfied, or, in the case of clause (iii) above, such Bank notifies the Administrative Agent in writing that such failure is the result of a good faith dispute which has been specifically identified,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Bank’s good faith determination that a condition precedent (specifically identified and including the particular default, if any) to funding a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82" w:right="339" w:bottom="1440" w:gutter="0" w:footer="0" w:header="0"/>
        </w:sectPr>
      </w:pPr>
    </w:p>
    <w:bookmarkStart w:id="320" w:name="page321"/>
    <w:bookmarkEnd w:id="320"/>
    <w:p>
      <w:pPr>
        <w:jc w:val="both"/>
        <w:spacing w:after="0" w:line="253" w:lineRule="auto"/>
        <w:rPr>
          <w:sz w:val="20"/>
          <w:szCs w:val="20"/>
          <w:color w:val="auto"/>
        </w:rPr>
      </w:pPr>
      <w:r>
        <w:rPr>
          <w:rFonts w:ascii="Times New Roman" w:cs="Times New Roman" w:eastAsia="Times New Roman" w:hAnsi="Times New Roman"/>
          <w:sz w:val="21"/>
          <w:szCs w:val="21"/>
          <w:color w:val="auto"/>
        </w:rPr>
        <w:t>under this Agreement cannot be satisfied) or generally under other agreements in which it commits to extend credit, (c) has failed, within three Banking Days after request by the Administrative Agent, a Fronting Bank or Borrower, acting in good faith, to provide a certification in writing from an authorized officer of such Bank that it will comply with its obligations to fund prospective Loans and participations in then outstanding Letters of Credit under this Agreement, provided that such Bank shall cease to be a Defaulting Lender pursuant to this clause (c) upon the Administrative Agent’s, such Fronting Bank’s or Borrower’s (with simultaneous notice to the Administrative Agent) (as applicable) receipt of such certification in form and substance reasonably satisfactory to it or them (as applicable), or (d) has, or has a direct or indirect parent company that has, become the subject of a Bankruptcy Event or a Bail-In Action.</w:t>
      </w:r>
    </w:p>
    <w:p>
      <w:pPr>
        <w:spacing w:after="0" w:line="190"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Rate</w:t>
      </w:r>
      <w:r>
        <w:rPr>
          <w:rFonts w:ascii="Times New Roman" w:cs="Times New Roman" w:eastAsia="Times New Roman" w:hAnsi="Times New Roman"/>
          <w:sz w:val="21"/>
          <w:szCs w:val="21"/>
          <w:color w:val="auto"/>
        </w:rPr>
        <w:t>” means a rate per annum equal to: (1) with respect to Base Rate Loans or RFR Loans, a variable rate of three percent (3%) plus the rate of interest then in effect thereon (including the Applicable Margin); and (2) with respect to Term Benchmark Loans, a fixed rate of three percent (3%) plus the rate(s) of interest in effect thereon (including the Applicable Margin) at the time of any Default or Event of Default until the end of the then current Interest Period therefor and, thereafter, a variable rate of three percent (3%) plus the rate of interest for a Base Rate Loan (including the Applicable Margin).</w:t>
      </w:r>
    </w:p>
    <w:p>
      <w:pPr>
        <w:spacing w:after="0" w:line="171"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Development Property</w:t>
      </w:r>
      <w:r>
        <w:rPr>
          <w:rFonts w:ascii="Times New Roman" w:cs="Times New Roman" w:eastAsia="Times New Roman" w:hAnsi="Times New Roman"/>
          <w:sz w:val="21"/>
          <w:szCs w:val="21"/>
          <w:color w:val="auto"/>
        </w:rPr>
        <w:t>” means any Real Property Assets which are owned by the Borrower or any of its Consolidated Businesses or any UJV, and which are under development or redevelopment, provided that Real Property Assets shall cease to be Development Properties as of the earlier to occur of (a) the date which is (i) thirty (30) months after the earlier of (x) completion of construction thereof (as evidenced by a permanent certificate of occupancy or its equivalent permitting the use and occupancy thereof for their regular intended uses) and (y) the date on which no portion of such asset is construction in process in accordance with GAAP for office Real Property Assets located in New York City and (ii) twenty-four (24) months after the earlier of (x) completion of construction thereof (as evidenced by a permanent certificate of occupancy or its equivalent permitting the use and occupancy thereof for their regular intended uses) and (y) the date on which no portion of such asset is construction in process in accordance with GAAP for all other Real Property Assets, and (b) the last day of the first fiscal quarter in which the Occupancy Rate of such Development Property has averaged eighty-five percent (85%) or more; provided that Penn 1 and Penn 2 in New York City will be treated as Development Properties until December 31, 2026 and the condominiums at 220 Central Park South in New York City will be treated as a Development Property until December 31, 2026. Notwithstanding the foregoing, Borrower may irrevocably elect by written notice to the Administrative Agent (which may be by email) to cease treating any asset as a Development Property as of a date earlier than that provided by this definition.</w:t>
      </w:r>
    </w:p>
    <w:p>
      <w:pPr>
        <w:spacing w:after="0" w:line="183"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Disposition</w:t>
      </w:r>
      <w:r>
        <w:rPr>
          <w:rFonts w:ascii="Times New Roman" w:cs="Times New Roman" w:eastAsia="Times New Roman" w:hAnsi="Times New Roman"/>
          <w:sz w:val="21"/>
          <w:szCs w:val="21"/>
          <w:color w:val="auto"/>
        </w:rPr>
        <w:t>” means a sale (whether by assignment, transfer or Capital Lease) of an asset (whether effected pursuant to a division or otherwise).</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Dollars</w:t>
      </w:r>
      <w:r>
        <w:rPr>
          <w:rFonts w:ascii="Times New Roman" w:cs="Times New Roman" w:eastAsia="Times New Roman" w:hAnsi="Times New Roman"/>
          <w:sz w:val="21"/>
          <w:szCs w:val="21"/>
          <w:color w:val="auto"/>
        </w:rPr>
        <w:t>” and the sign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 lawful money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82" w:right="339" w:bottom="1440" w:gutter="0" w:footer="0" w:header="0"/>
        </w:sectPr>
      </w:pPr>
    </w:p>
    <w:bookmarkStart w:id="321" w:name="page322"/>
    <w:bookmarkEnd w:id="321"/>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Financial Institution</w:t>
      </w:r>
      <w:r>
        <w:rPr>
          <w:rFonts w:ascii="Times New Roman" w:cs="Times New Roman" w:eastAsia="Times New Roman" w:hAnsi="Times New Roman"/>
          <w:sz w:val="21"/>
          <w:szCs w:val="21"/>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Member Country</w:t>
      </w:r>
      <w:r>
        <w:rPr>
          <w:rFonts w:ascii="Times New Roman" w:cs="Times New Roman" w:eastAsia="Times New Roman" w:hAnsi="Times New Roman"/>
          <w:sz w:val="21"/>
          <w:szCs w:val="21"/>
          <w:color w:val="auto"/>
        </w:rPr>
        <w:t>” means any of the member states of the European Union, Iceland, Liechtenstein, and Norway.</w:t>
      </w:r>
    </w:p>
    <w:p>
      <w:pPr>
        <w:spacing w:after="0" w:line="243"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Resolution Authority</w:t>
      </w:r>
      <w:r>
        <w:rPr>
          <w:rFonts w:ascii="Times New Roman" w:cs="Times New Roman" w:eastAsia="Times New Roman" w:hAnsi="Times New Roman"/>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5"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Election</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Elected</w:t>
      </w:r>
      <w:r>
        <w:rPr>
          <w:rFonts w:ascii="Times New Roman" w:cs="Times New Roman" w:eastAsia="Times New Roman" w:hAnsi="Times New Roman"/>
          <w:sz w:val="21"/>
          <w:szCs w:val="21"/>
          <w:color w:val="auto"/>
        </w:rPr>
        <w:t>” refer to elections, if any, by Borrower pursuant to Section 2.12 to have all or a portion of an advance of the Ratable Loans be outstanding as Term Benchmark Loans.</w:t>
      </w:r>
    </w:p>
    <w:p>
      <w:pPr>
        <w:spacing w:after="0" w:line="14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Signature</w:t>
      </w:r>
      <w:r>
        <w:rPr>
          <w:rFonts w:ascii="Times New Roman" w:cs="Times New Roman" w:eastAsia="Times New Roman" w:hAnsi="Times New Roman"/>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44" w:lineRule="exact"/>
        <w:rPr>
          <w:sz w:val="20"/>
          <w:szCs w:val="20"/>
          <w:color w:val="auto"/>
        </w:rPr>
      </w:pPr>
    </w:p>
    <w:p>
      <w:pPr>
        <w:jc w:val="both"/>
        <w:ind w:firstLine="629"/>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System</w:t>
      </w:r>
      <w:r>
        <w:rPr>
          <w:rFonts w:ascii="Times New Roman" w:cs="Times New Roman" w:eastAsia="Times New Roman" w:hAnsi="Times New Roman"/>
          <w:sz w:val="21"/>
          <w:szCs w:val="21"/>
          <w:color w:val="auto"/>
        </w:rPr>
        <w:t>” means any electronic system, including e-mail, e-fax, Intralinks</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ClearPar®, Debt Domain, Syndtrak and any other Internet or extranet-based site, whether such electronic system is owned, operated or hosted by the Administrative Agent and any of its Affiliates or any other Person, providing for access to data protected by passcodes or other security system(s) and chosen by the Administrative Agent to be its electronic transmission system.</w:t>
      </w:r>
    </w:p>
    <w:p>
      <w:pPr>
        <w:spacing w:after="0" w:line="188"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Discharge</w:t>
      </w:r>
      <w:r>
        <w:rPr>
          <w:rFonts w:ascii="Times New Roman" w:cs="Times New Roman" w:eastAsia="Times New Roman" w:hAnsi="Times New Roman"/>
          <w:sz w:val="21"/>
          <w:szCs w:val="21"/>
          <w:color w:val="auto"/>
        </w:rPr>
        <w:t>” means any discharge or release of any Hazardous Materials in violation of any applicable Environmental Law.</w:t>
      </w:r>
    </w:p>
    <w:p>
      <w:pPr>
        <w:spacing w:after="0" w:line="14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w:t>
      </w:r>
      <w:r>
        <w:rPr>
          <w:rFonts w:ascii="Times New Roman" w:cs="Times New Roman" w:eastAsia="Times New Roman" w:hAnsi="Times New Roman"/>
          <w:sz w:val="21"/>
          <w:szCs w:val="21"/>
          <w:color w:val="auto"/>
        </w:rPr>
        <w:t>” means any applicable Law relating to pollution or the environment, including Laws relating to noise or to emissions, discharges, releases or threatened releases of Hazardous Materials into the work place, the community or the environment, or otherwise relating to the generation, manufacture, processing, distribution, use, treatment, storage, disposal, transport or handling of Hazardous Materials.</w:t>
      </w:r>
    </w:p>
    <w:p>
      <w:pPr>
        <w:spacing w:after="0" w:line="164"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Notice</w:t>
      </w:r>
      <w:r>
        <w:rPr>
          <w:rFonts w:ascii="Times New Roman" w:cs="Times New Roman" w:eastAsia="Times New Roman" w:hAnsi="Times New Roman"/>
          <w:sz w:val="21"/>
          <w:szCs w:val="21"/>
          <w:color w:val="auto"/>
        </w:rPr>
        <w:t>” means any written complaint, order, citation, letter, inquiry, notice or other written communication from any Person (1) affecting or relating to Borrower’s compliance with any Environmental Law in connection with any activity or operations at any time conducted by Borrower, (2) relating to the occurrence or presence of or exposure to or possible or threatened or alleged occurrence or presence of or exposure to Environmental Discharges or Hazardous Materials at any of Borrower’s locations or facilities, including, without limitation: (a) the existence of any contamination or possible or threatened contamination at any such location or facility and (b) remediation of any Environmental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82" w:right="339" w:bottom="1440" w:gutter="0" w:footer="0" w:header="0"/>
        </w:sectPr>
      </w:pPr>
    </w:p>
    <w:bookmarkStart w:id="322" w:name="page323"/>
    <w:bookmarkEnd w:id="322"/>
    <w:p>
      <w:pPr>
        <w:jc w:val="both"/>
        <w:spacing w:after="0" w:line="280" w:lineRule="auto"/>
        <w:rPr>
          <w:sz w:val="20"/>
          <w:szCs w:val="20"/>
          <w:color w:val="auto"/>
        </w:rPr>
      </w:pPr>
      <w:r>
        <w:rPr>
          <w:rFonts w:ascii="Times New Roman" w:cs="Times New Roman" w:eastAsia="Times New Roman" w:hAnsi="Times New Roman"/>
          <w:sz w:val="21"/>
          <w:szCs w:val="21"/>
          <w:color w:val="auto"/>
        </w:rPr>
        <w:t>Discharge or Hazardous Materials at any such location or facility or any part thereof; and (3) any violation or alleged violation of any relevant Environmental Law.</w:t>
      </w:r>
    </w:p>
    <w:p>
      <w:pPr>
        <w:spacing w:after="0" w:line="144"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Employee Retirement Income Security Act of 1974, including the rules and regulations promulgated thereunder.</w:t>
      </w:r>
    </w:p>
    <w:p>
      <w:pPr>
        <w:spacing w:after="0" w:line="131"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Affiliate</w:t>
      </w:r>
      <w:r>
        <w:rPr>
          <w:rFonts w:ascii="Times New Roman" w:cs="Times New Roman" w:eastAsia="Times New Roman" w:hAnsi="Times New Roman"/>
          <w:sz w:val="21"/>
          <w:szCs w:val="21"/>
          <w:color w:val="auto"/>
        </w:rPr>
        <w:t>” means any corporation or trade or business which is a member of the same controlled group of organizations (within the meaning of Section 414(b) of the Code) as Borrower or General Partner or is under common control (within the meaning of Section 414(c) of the Code) with Borrower or General Partner or is required to be treated as a single employer with Borrower or General Partner under Section 414(m) or 414(o) of the Code.</w:t>
      </w:r>
    </w:p>
    <w:p>
      <w:pPr>
        <w:spacing w:after="0" w:line="180"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 Bail-In Legislation Schedule</w:t>
      </w:r>
      <w:r>
        <w:rPr>
          <w:rFonts w:ascii="Times New Roman" w:cs="Times New Roman" w:eastAsia="Times New Roman" w:hAnsi="Times New Roman"/>
          <w:sz w:val="21"/>
          <w:szCs w:val="21"/>
          <w:color w:val="auto"/>
        </w:rPr>
        <w:t>” means the EU Bail-In Legislation Schedule published by the Loan Market Association (or any successor person), as in effect from time to time.</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has the meaning specified in Section 9.01.</w:t>
      </w:r>
    </w:p>
    <w:p>
      <w:pPr>
        <w:spacing w:after="0" w:line="217"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means any of the following Taxes imposed on or with respect to a Recipient or required to be withheld or deducted from a payment to a Recipient: (a) Taxes imposed on or measured by net income (however denominated), profits or gains, franchise Taxes (imposed in lieu of income Taxes), and branch profits Taxes (or any similar Taxes), in each case, (i) imposed as a result of such Recipient being organized under the laws of, or having its principal office or, in the case of any Bank, its applicable lending office located in, the jurisdiction imposing such Tax (or any political subdivision thereof) or (ii) that are Other Connection Taxes, (b) in the case of a Bank, U.S. Federal withholding Taxes imposed on amounts payable to or for the account of such Bank with respect to an applicable interest in a Loan, Letter of Credit or Loan Commitment pursuant to a law in effect on the date on which (i) such Bank acquires such interest in such Loan, Letter of Credit or Loan Commitment (other than pursuant to an assignment requested by the Borrower under Section 3.07) or (ii) such Bank changes its lending office, except in each case to the extent that, pursuant to Section 10.13, amounts with respect to such Taxes were payable either to such Bank's assignor immediately before such Bank acquired the applicable interest in a Loan, Letter of Credit or Loan Commitment or to such Bank immediately before it changed its lending office, (c) Taxes attributable to such Recipient's failure to comply with Section 10.13 and (d) any U.S. Federal withholding Taxes imposed under FATCA.</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Execution Date</w:t>
      </w:r>
      <w:r>
        <w:rPr>
          <w:rFonts w:ascii="Times New Roman" w:cs="Times New Roman" w:eastAsia="Times New Roman" w:hAnsi="Times New Roman"/>
          <w:sz w:val="21"/>
          <w:szCs w:val="21"/>
          <w:color w:val="auto"/>
        </w:rPr>
        <w:t>” means the date of this Agreement.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2021 Credit Agreement</w:t>
      </w:r>
      <w:r>
        <w:rPr>
          <w:rFonts w:ascii="Times New Roman" w:cs="Times New Roman" w:eastAsia="Times New Roman" w:hAnsi="Times New Roman"/>
          <w:sz w:val="21"/>
          <w:szCs w:val="21"/>
          <w:color w:val="auto"/>
        </w:rPr>
        <w:t>” has the meaning specified in the recitals.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Exiting Bank</w:t>
      </w:r>
      <w:r>
        <w:rPr>
          <w:rFonts w:ascii="Times New Roman" w:cs="Times New Roman" w:eastAsia="Times New Roman" w:hAnsi="Times New Roman"/>
          <w:sz w:val="21"/>
          <w:szCs w:val="21"/>
          <w:color w:val="auto"/>
        </w:rPr>
        <w:t>” has the meaning specified in Section 12.24(a).</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Extension Date</w:t>
      </w:r>
      <w:r>
        <w:rPr>
          <w:rFonts w:ascii="Times New Roman" w:cs="Times New Roman" w:eastAsia="Times New Roman" w:hAnsi="Times New Roman"/>
          <w:sz w:val="21"/>
          <w:szCs w:val="21"/>
          <w:color w:val="auto"/>
        </w:rPr>
        <w:t>” has the meaning specified in Section 2.18.</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Extension Notice</w:t>
      </w:r>
      <w:r>
        <w:rPr>
          <w:rFonts w:ascii="Times New Roman" w:cs="Times New Roman" w:eastAsia="Times New Roman" w:hAnsi="Times New Roman"/>
          <w:sz w:val="21"/>
          <w:szCs w:val="21"/>
          <w:color w:val="auto"/>
        </w:rPr>
        <w:t>” has the meaning specified in Section 2.18.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383" w:right="339" w:bottom="1440" w:gutter="0" w:footer="0" w:header="0"/>
        </w:sectPr>
      </w:pPr>
    </w:p>
    <w:bookmarkStart w:id="323" w:name="page324"/>
    <w:bookmarkEnd w:id="323"/>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Facility Fee</w:t>
      </w:r>
      <w:r>
        <w:rPr>
          <w:rFonts w:ascii="Times New Roman" w:cs="Times New Roman" w:eastAsia="Times New Roman" w:hAnsi="Times New Roman"/>
          <w:sz w:val="21"/>
          <w:szCs w:val="21"/>
          <w:color w:val="auto"/>
        </w:rPr>
        <w:t>” means the respective percentages per annum determined, at any time, based on the range into which any Credit Rating then falls, in accordance with the table set forth below. Any change in any Credit Rating causing it to move to a different range on the table shall be effective as of the third Banking Day following the date on which such change is first announced by the applicable rating agency. Borrower shall have not less than two (2) Credit Ratings at all times, one of which shall be from S&amp;P or Moody’s. In the event that Borrower receives only two (2) Credit Ratings, and such Credit Ratings are not equivalent, the Facility Fee shall be the higher of the two Credit Ratings. In the event that Borrower receives more than two (2) Credit Ratings, and such Credit Ratings are not all equivalent, the Facility Fee shall be (A) if the difference between the highest and the lowest such Credit Ratings is one ratings category (e.g. Baa2 by Moody’s and BBB- by S&amp;P or Fitch), the Facility Fee shall be the rate per annum that would be applicable if the highest of the Credit Ratings were used; and (B) if the difference between the highest and the lowest such Credit Ratings is two ratings categories (e.g. Baa1 by Moody’s and BBB- by S&amp;P or Fitch) or more, the Facility Fee shall be the rate per annum that would be applicable if the average of the two (2) highest Credit Ratings were used, provided that if such average is not a recognized rating category (i.e., the difference between the Credit Ratings is an even number of ratings categories), then the Facility Fee shall be based on the lower of the two (2) highest Credit Ratings.</w:t>
      </w:r>
    </w:p>
    <w:p>
      <w:pPr>
        <w:spacing w:after="0" w:line="223"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Borrower’s Credit Rating</w:t>
            </w:r>
          </w:p>
        </w:tc>
        <w:tc>
          <w:tcPr>
            <w:tcW w:w="18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Facility Fee</w:t>
            </w:r>
          </w:p>
        </w:tc>
      </w:tr>
      <w:tr>
        <w:trPr>
          <w:trHeight w:val="189"/>
        </w:trPr>
        <w:tc>
          <w:tcPr>
            <w:tcW w:w="6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(S&amp;P or Fitch/Moody’s Ratings)</w:t>
            </w:r>
          </w:p>
        </w:tc>
        <w:tc>
          <w:tcPr>
            <w:tcW w:w="1860" w:type="dxa"/>
            <w:vAlign w:val="bottom"/>
          </w:tcPr>
          <w:p>
            <w:pPr>
              <w:spacing w:after="0"/>
              <w:rPr>
                <w:sz w:val="16"/>
                <w:szCs w:val="16"/>
                <w:color w:val="auto"/>
              </w:rPr>
            </w:pPr>
          </w:p>
        </w:tc>
        <w:tc>
          <w:tcPr>
            <w:tcW w:w="2920" w:type="dxa"/>
            <w:vAlign w:val="bottom"/>
            <w:gridSpan w:val="2"/>
          </w:tcPr>
          <w:p>
            <w:pPr>
              <w:jc w:val="center"/>
              <w:ind w:left="1793"/>
              <w:spacing w:after="0" w:line="189" w:lineRule="exact"/>
              <w:rPr>
                <w:sz w:val="20"/>
                <w:szCs w:val="20"/>
                <w:color w:val="auto"/>
              </w:rPr>
            </w:pPr>
            <w:r>
              <w:rPr>
                <w:rFonts w:ascii="Times New Roman" w:cs="Times New Roman" w:eastAsia="Times New Roman" w:hAnsi="Times New Roman"/>
                <w:sz w:val="17"/>
                <w:szCs w:val="17"/>
                <w:color w:val="auto"/>
              </w:rPr>
              <w:t>(% per annum)</w:t>
            </w:r>
          </w:p>
        </w:tc>
      </w:tr>
      <w:tr>
        <w:trPr>
          <w:trHeight w:val="20"/>
        </w:trPr>
        <w:tc>
          <w:tcPr>
            <w:tcW w:w="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63"/>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A+/A1 or higher</w:t>
            </w:r>
          </w:p>
        </w:tc>
        <w:tc>
          <w:tcPr>
            <w:tcW w:w="2920" w:type="dxa"/>
            <w:vAlign w:val="bottom"/>
            <w:gridSpan w:val="2"/>
          </w:tcPr>
          <w:p>
            <w:pPr>
              <w:jc w:val="center"/>
              <w:ind w:left="1793"/>
              <w:spacing w:after="0"/>
              <w:rPr>
                <w:sz w:val="20"/>
                <w:szCs w:val="20"/>
                <w:color w:val="auto"/>
              </w:rPr>
            </w:pPr>
            <w:r>
              <w:rPr>
                <w:rFonts w:ascii="Times New Roman" w:cs="Times New Roman" w:eastAsia="Times New Roman" w:hAnsi="Times New Roman"/>
                <w:sz w:val="17"/>
                <w:szCs w:val="17"/>
                <w:color w:val="auto"/>
              </w:rPr>
              <w:t>0.100</w:t>
            </w:r>
          </w:p>
        </w:tc>
      </w:tr>
      <w:tr>
        <w:trPr>
          <w:trHeight w:val="223"/>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A/A2</w:t>
            </w:r>
          </w:p>
        </w:tc>
        <w:tc>
          <w:tcPr>
            <w:tcW w:w="2920" w:type="dxa"/>
            <w:vAlign w:val="bottom"/>
            <w:gridSpan w:val="2"/>
          </w:tcPr>
          <w:p>
            <w:pPr>
              <w:jc w:val="center"/>
              <w:ind w:left="1793"/>
              <w:spacing w:after="0"/>
              <w:rPr>
                <w:sz w:val="20"/>
                <w:szCs w:val="20"/>
                <w:color w:val="auto"/>
              </w:rPr>
            </w:pPr>
            <w:r>
              <w:rPr>
                <w:rFonts w:ascii="Times New Roman" w:cs="Times New Roman" w:eastAsia="Times New Roman" w:hAnsi="Times New Roman"/>
                <w:sz w:val="17"/>
                <w:szCs w:val="17"/>
                <w:color w:val="auto"/>
              </w:rPr>
              <w:t>0.100</w:t>
            </w:r>
          </w:p>
        </w:tc>
      </w:tr>
      <w:tr>
        <w:trPr>
          <w:trHeight w:val="223"/>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A-/A3</w:t>
            </w:r>
          </w:p>
        </w:tc>
        <w:tc>
          <w:tcPr>
            <w:tcW w:w="2920" w:type="dxa"/>
            <w:vAlign w:val="bottom"/>
            <w:gridSpan w:val="2"/>
          </w:tcPr>
          <w:p>
            <w:pPr>
              <w:jc w:val="center"/>
              <w:ind w:left="1793"/>
              <w:spacing w:after="0"/>
              <w:rPr>
                <w:sz w:val="20"/>
                <w:szCs w:val="20"/>
                <w:color w:val="auto"/>
              </w:rPr>
            </w:pPr>
            <w:r>
              <w:rPr>
                <w:rFonts w:ascii="Times New Roman" w:cs="Times New Roman" w:eastAsia="Times New Roman" w:hAnsi="Times New Roman"/>
                <w:sz w:val="17"/>
                <w:szCs w:val="17"/>
                <w:color w:val="auto"/>
              </w:rPr>
              <w:t>0.125</w:t>
            </w:r>
          </w:p>
        </w:tc>
      </w:tr>
      <w:tr>
        <w:trPr>
          <w:trHeight w:val="223"/>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BBB+/Baa1</w:t>
            </w:r>
          </w:p>
        </w:tc>
        <w:tc>
          <w:tcPr>
            <w:tcW w:w="2920" w:type="dxa"/>
            <w:vAlign w:val="bottom"/>
            <w:gridSpan w:val="2"/>
          </w:tcPr>
          <w:p>
            <w:pPr>
              <w:jc w:val="center"/>
              <w:ind w:left="1793"/>
              <w:spacing w:after="0"/>
              <w:rPr>
                <w:sz w:val="20"/>
                <w:szCs w:val="20"/>
                <w:color w:val="auto"/>
              </w:rPr>
            </w:pPr>
            <w:r>
              <w:rPr>
                <w:rFonts w:ascii="Times New Roman" w:cs="Times New Roman" w:eastAsia="Times New Roman" w:hAnsi="Times New Roman"/>
                <w:sz w:val="17"/>
                <w:szCs w:val="17"/>
                <w:color w:val="auto"/>
              </w:rPr>
              <w:t>0.150</w:t>
            </w:r>
          </w:p>
        </w:tc>
      </w:tr>
      <w:tr>
        <w:trPr>
          <w:trHeight w:val="223"/>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BBB/Baa2</w:t>
            </w:r>
          </w:p>
        </w:tc>
        <w:tc>
          <w:tcPr>
            <w:tcW w:w="2920" w:type="dxa"/>
            <w:vAlign w:val="bottom"/>
            <w:gridSpan w:val="2"/>
          </w:tcPr>
          <w:p>
            <w:pPr>
              <w:jc w:val="center"/>
              <w:ind w:left="1793"/>
              <w:spacing w:after="0"/>
              <w:rPr>
                <w:sz w:val="20"/>
                <w:szCs w:val="20"/>
                <w:color w:val="auto"/>
              </w:rPr>
            </w:pPr>
            <w:r>
              <w:rPr>
                <w:rFonts w:ascii="Times New Roman" w:cs="Times New Roman" w:eastAsia="Times New Roman" w:hAnsi="Times New Roman"/>
                <w:sz w:val="17"/>
                <w:szCs w:val="17"/>
                <w:color w:val="auto"/>
              </w:rPr>
              <w:t>0.200</w:t>
            </w:r>
          </w:p>
        </w:tc>
      </w:tr>
      <w:tr>
        <w:trPr>
          <w:trHeight w:val="223"/>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BBB-/Baa3</w:t>
            </w:r>
          </w:p>
        </w:tc>
        <w:tc>
          <w:tcPr>
            <w:tcW w:w="2920" w:type="dxa"/>
            <w:vAlign w:val="bottom"/>
            <w:gridSpan w:val="2"/>
          </w:tcPr>
          <w:p>
            <w:pPr>
              <w:jc w:val="center"/>
              <w:ind w:left="1793"/>
              <w:spacing w:after="0"/>
              <w:rPr>
                <w:sz w:val="20"/>
                <w:szCs w:val="20"/>
                <w:color w:val="auto"/>
              </w:rPr>
            </w:pPr>
            <w:r>
              <w:rPr>
                <w:rFonts w:ascii="Times New Roman" w:cs="Times New Roman" w:eastAsia="Times New Roman" w:hAnsi="Times New Roman"/>
                <w:sz w:val="17"/>
                <w:szCs w:val="17"/>
                <w:color w:val="auto"/>
              </w:rPr>
              <w:t>0.250</w:t>
            </w:r>
          </w:p>
        </w:tc>
      </w:tr>
      <w:tr>
        <w:trPr>
          <w:trHeight w:val="223"/>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BB+/Ba1</w:t>
            </w:r>
          </w:p>
        </w:tc>
        <w:tc>
          <w:tcPr>
            <w:tcW w:w="2920" w:type="dxa"/>
            <w:vAlign w:val="bottom"/>
            <w:gridSpan w:val="2"/>
          </w:tcPr>
          <w:p>
            <w:pPr>
              <w:jc w:val="center"/>
              <w:ind w:left="1793"/>
              <w:spacing w:after="0"/>
              <w:rPr>
                <w:sz w:val="20"/>
                <w:szCs w:val="20"/>
                <w:color w:val="auto"/>
              </w:rPr>
            </w:pPr>
            <w:r>
              <w:rPr>
                <w:rFonts w:ascii="Times New Roman" w:cs="Times New Roman" w:eastAsia="Times New Roman" w:hAnsi="Times New Roman"/>
                <w:sz w:val="17"/>
                <w:szCs w:val="17"/>
                <w:color w:val="auto"/>
              </w:rPr>
              <w:t>0.300</w:t>
            </w:r>
          </w:p>
        </w:tc>
      </w:tr>
      <w:tr>
        <w:trPr>
          <w:trHeight w:val="228"/>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Below BB+/Ba1 or unrated</w:t>
            </w:r>
          </w:p>
        </w:tc>
        <w:tc>
          <w:tcPr>
            <w:tcW w:w="2920" w:type="dxa"/>
            <w:vAlign w:val="bottom"/>
            <w:gridSpan w:val="2"/>
          </w:tcPr>
          <w:p>
            <w:pPr>
              <w:jc w:val="center"/>
              <w:ind w:left="1793"/>
              <w:spacing w:after="0"/>
              <w:rPr>
                <w:sz w:val="20"/>
                <w:szCs w:val="20"/>
                <w:color w:val="auto"/>
              </w:rPr>
            </w:pPr>
            <w:r>
              <w:rPr>
                <w:rFonts w:ascii="Times New Roman" w:cs="Times New Roman" w:eastAsia="Times New Roman" w:hAnsi="Times New Roman"/>
                <w:sz w:val="17"/>
                <w:szCs w:val="17"/>
                <w:color w:val="auto"/>
              </w:rPr>
              <w:t>0.350</w:t>
            </w:r>
          </w:p>
        </w:tc>
      </w:tr>
    </w:tbl>
    <w:p>
      <w:pPr>
        <w:spacing w:after="0" w:line="3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It is hereby understood and agreed that the Facility Fee shall be adjusted from time to time on an annual basis based upon the Sustainability Facility Fee Adjustment (to be calculated and applied as set forth in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 provided that in no event shall the Facility Fee be less than zero.</w:t>
      </w:r>
    </w:p>
    <w:p>
      <w:pPr>
        <w:spacing w:after="0" w:line="175"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or any fiscal or regulatory legislation, rules or practices adopted pursuant to any intergovernmental agreement entered into in connection with the implementation of such Sections of the Code.</w:t>
      </w:r>
    </w:p>
    <w:p>
      <w:pPr>
        <w:spacing w:after="0" w:line="18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Funds Effective Rate</w:t>
      </w:r>
      <w:r>
        <w:rPr>
          <w:rFonts w:ascii="Times New Roman" w:cs="Times New Roman" w:eastAsia="Times New Roman" w:hAnsi="Times New Roman"/>
          <w:sz w:val="21"/>
          <w:szCs w:val="21"/>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Banking Day by the NYFRB as the effective federal funds rate;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383" w:right="339" w:bottom="1440" w:gutter="0" w:footer="0" w:header="0"/>
        </w:sectPr>
      </w:pPr>
    </w:p>
    <w:bookmarkStart w:id="324" w:name="page325"/>
    <w:bookmarkEnd w:id="324"/>
    <w:p>
      <w:pPr>
        <w:jc w:val="both"/>
        <w:spacing w:after="0" w:line="280" w:lineRule="auto"/>
        <w:rPr>
          <w:sz w:val="20"/>
          <w:szCs w:val="20"/>
          <w:color w:val="auto"/>
        </w:rPr>
      </w:pPr>
      <w:r>
        <w:rPr>
          <w:rFonts w:ascii="Times New Roman" w:cs="Times New Roman" w:eastAsia="Times New Roman" w:hAnsi="Times New Roman"/>
          <w:sz w:val="21"/>
          <w:szCs w:val="21"/>
          <w:color w:val="auto"/>
        </w:rPr>
        <w:t>the Federal Funds Effective Rate as so determined would be less than 0%, such rate shall be deemed to be 0% for the purposes of this Agreement.</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Reserve Board</w:t>
      </w:r>
      <w:r>
        <w:rPr>
          <w:rFonts w:ascii="Times New Roman" w:cs="Times New Roman" w:eastAsia="Times New Roman" w:hAnsi="Times New Roman"/>
          <w:sz w:val="21"/>
          <w:szCs w:val="21"/>
          <w:color w:val="auto"/>
        </w:rPr>
        <w:t>” means the Board of Governors of the Federal Reserve System of the United States of America.</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means each period from January 1 to December 31.</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Fitch</w:t>
      </w:r>
      <w:r>
        <w:rPr>
          <w:rFonts w:ascii="Times New Roman" w:cs="Times New Roman" w:eastAsia="Times New Roman" w:hAnsi="Times New Roman"/>
          <w:sz w:val="21"/>
          <w:szCs w:val="21"/>
          <w:color w:val="auto"/>
        </w:rPr>
        <w:t>” means Fitch, Inc. and its successors.</w:t>
      </w:r>
    </w:p>
    <w:p>
      <w:pPr>
        <w:spacing w:after="0" w:line="217" w:lineRule="exact"/>
        <w:rPr>
          <w:sz w:val="20"/>
          <w:szCs w:val="20"/>
          <w:color w:val="auto"/>
        </w:rPr>
      </w:pPr>
    </w:p>
    <w:p>
      <w:pPr>
        <w:jc w:val="both"/>
        <w:ind w:firstLine="629"/>
        <w:spacing w:after="0" w:line="27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Charges</w:t>
      </w:r>
      <w:r>
        <w:rPr>
          <w:rFonts w:ascii="Times New Roman" w:cs="Times New Roman" w:eastAsia="Times New Roman" w:hAnsi="Times New Roman"/>
          <w:sz w:val="20"/>
          <w:szCs w:val="20"/>
          <w:color w:val="auto"/>
        </w:rPr>
        <w:t xml:space="preserve">” means, without duplication, in respect of any </w:t>
      </w:r>
      <w:r>
        <w:rPr>
          <w:rFonts w:ascii="Times New Roman" w:cs="Times New Roman" w:eastAsia="Times New Roman" w:hAnsi="Times New Roman"/>
          <w:sz w:val="20"/>
          <w:szCs w:val="20"/>
          <w:color w:val="EE2724"/>
          <w:strike w:val="1"/>
        </w:rPr>
        <w:t>quarter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E32E1"/>
        </w:rPr>
        <w:t>period of four consecutive quarters</w:t>
      </w:r>
      <w:r>
        <w:rPr>
          <w:rFonts w:ascii="Times New Roman" w:cs="Times New Roman" w:eastAsia="Times New Roman" w:hAnsi="Times New Roman"/>
          <w:sz w:val="20"/>
          <w:szCs w:val="20"/>
          <w:color w:val="auto"/>
        </w:rPr>
        <w:t>, the sum of (i) the Borrower’s Pro Rata Share of Interest Expense for such period attributable to Debt in respect of Consolidated Businesses and Real Property UJVs, as well as to any other Debt that is Recourse to the Borrower, multiplied by four (4); and (ii) distributions during such period on preferred units of the Borrower, as determined on a consolidated basis, in accordance with GAAP, multiplied by four (4).</w:t>
      </w:r>
    </w:p>
    <w:p>
      <w:pPr>
        <w:spacing w:after="0" w:line="149"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Floor</w:t>
      </w:r>
      <w:r>
        <w:rPr>
          <w:rFonts w:ascii="Times New Roman" w:cs="Times New Roman" w:eastAsia="Times New Roman" w:hAnsi="Times New Roman"/>
          <w:sz w:val="21"/>
          <w:szCs w:val="21"/>
          <w:color w:val="auto"/>
        </w:rPr>
        <w:t>” means the benchmark rate floor, if any, provided in this Agreement initially (as of the execution of this Agreement, the modification, amendment or renewal of this Agreement or otherwise) with respect to the Adjusted Term SOFR Rate or the Adjusted Daily Effective SOFR Rate, as applicable. For the avoidance of doubt the initial Floor for each of Adjusted Term SOFR Rate and the Adjusted Daily Effective SOFR Rate shall be 0.0%.</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Bank</w:t>
      </w:r>
      <w:r>
        <w:rPr>
          <w:rFonts w:ascii="Times New Roman" w:cs="Times New Roman" w:eastAsia="Times New Roman" w:hAnsi="Times New Roman"/>
          <w:sz w:val="21"/>
          <w:szCs w:val="21"/>
          <w:color w:val="auto"/>
        </w:rPr>
        <w:t>” means a Bank that is not a U.S. Person.</w:t>
      </w:r>
    </w:p>
    <w:p>
      <w:pPr>
        <w:spacing w:after="0" w:line="230"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Fronting Bank</w:t>
      </w:r>
      <w:r>
        <w:rPr>
          <w:rFonts w:ascii="Times New Roman" w:cs="Times New Roman" w:eastAsia="Times New Roman" w:hAnsi="Times New Roman"/>
          <w:sz w:val="21"/>
          <w:szCs w:val="21"/>
          <w:color w:val="auto"/>
        </w:rPr>
        <w:t>” means JPMorgan Chase Bank, N.A., Bank of America, N.A., Wells Fargo Bank, N.A., U.S. Bank National Association, PNC Bank, National Association or another Bank that shall have agreed to be designated by Borrower from among those Banks identified by Administrative Agent as being a permissible Fronting Bank pursuant to Section 2.17, each in its capacity as the issuer of Letters of Credit hereunder and its successors in such capacity. A Fronting Bank may, in its discretion, arrange for Letters of Credit to be issued by one of its Affiliates, in which case “Fronting Bank” shall include such Affiliate. When used herein, “Fronting Bank” shall mean the applicable Fronting Bank, each Fronting Bank, any Fronting Bank or all of the Fronting Banks, as the context may require.</w:t>
      </w:r>
    </w:p>
    <w:p>
      <w:pPr>
        <w:spacing w:after="0" w:line="169"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means accounting principles generally accepted in the United States of America as in effect from time to time, applied on a basis consistent with those used in the preparation of the financial statements referred to in Section 5.15 (captioned “Financial Statements”) (except for changes concurred to by Borrower’s Accountants); provided that, if the Borrower notifies the Administrative Agent that the Borrower requests an amendment to any provision hereof to eliminate the effect of any change occurring after the date hereof in GAAP or in the application of any such change on the operation of such provision, or if the Administrative Agent notifies the Borrower that the Required Banks request an amendment to any provision hereof for such purpose, in either case, regardless of whether any such notice is given before or after such change in GAAP or in the application of any such change, then such provision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382" w:right="339" w:bottom="1440" w:gutter="0" w:footer="0" w:header="0"/>
        </w:sectPr>
      </w:pPr>
    </w:p>
    <w:bookmarkStart w:id="325" w:name="page326"/>
    <w:bookmarkEnd w:id="325"/>
    <w:p>
      <w:pPr>
        <w:jc w:val="both"/>
        <w:spacing w:after="0" w:line="280" w:lineRule="auto"/>
        <w:rPr>
          <w:sz w:val="20"/>
          <w:szCs w:val="20"/>
          <w:color w:val="auto"/>
        </w:rPr>
      </w:pPr>
      <w:r>
        <w:rPr>
          <w:rFonts w:ascii="Times New Roman" w:cs="Times New Roman" w:eastAsia="Times New Roman" w:hAnsi="Times New Roman"/>
          <w:sz w:val="21"/>
          <w:szCs w:val="21"/>
          <w:color w:val="auto"/>
        </w:rPr>
        <w:t>interpreted on the basis of GAAP as in effect and applied for purposes of this Agreement immediately before such change shall have become effective.</w:t>
      </w:r>
    </w:p>
    <w:p>
      <w:pPr>
        <w:spacing w:after="0" w:line="144"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General Partner</w:t>
      </w:r>
      <w:r>
        <w:rPr>
          <w:rFonts w:ascii="Times New Roman" w:cs="Times New Roman" w:eastAsia="Times New Roman" w:hAnsi="Times New Roman"/>
          <w:sz w:val="21"/>
          <w:szCs w:val="21"/>
          <w:color w:val="auto"/>
        </w:rPr>
        <w:t>” means Vornado Realty Trust, a real estate investment trust organized and existing under the laws of the State of Maryland and the sole general partner of Borrower.</w:t>
      </w:r>
    </w:p>
    <w:p>
      <w:pPr>
        <w:spacing w:after="0" w:line="131"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Faith Contest</w:t>
      </w:r>
      <w:r>
        <w:rPr>
          <w:rFonts w:ascii="Times New Roman" w:cs="Times New Roman" w:eastAsia="Times New Roman" w:hAnsi="Times New Roman"/>
          <w:sz w:val="21"/>
          <w:szCs w:val="21"/>
          <w:color w:val="auto"/>
        </w:rPr>
        <w:t>” means the contest of an item if: (1) the item is diligently contested in good faith, and, if appropriate, by proceedings timely instituted; (2) adequate reserves are established with respect to the contested item; (3) during the period of such contest, the enforcement of any contested item is effectively stayed; and (4) the failure to pay or comply with the contested item during the period of the contest is not likely to result in a Material Adverse Change.</w:t>
      </w:r>
    </w:p>
    <w:p>
      <w:pPr>
        <w:spacing w:after="0" w:line="180"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any nation or government, any state or other political subdivision thereof, and any agency, authority, regulatory body, central bank or other entity exercising executive, legislative, judicial, regulatory or administrative functions of or pertaining to government (including any supra-national bodies such as the European Union or the European Central Bank).</w:t>
      </w:r>
    </w:p>
    <w:p>
      <w:pPr>
        <w:spacing w:after="0" w:line="16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Gross Book Value</w:t>
      </w:r>
      <w:r>
        <w:rPr>
          <w:rFonts w:ascii="Times New Roman" w:cs="Times New Roman" w:eastAsia="Times New Roman" w:hAnsi="Times New Roman"/>
          <w:sz w:val="21"/>
          <w:szCs w:val="21"/>
          <w:color w:val="auto"/>
        </w:rPr>
        <w:t>” means the undepreciated book value of assets comprising a business net of impairments, determined in accordance with GAAP.</w:t>
      </w:r>
    </w:p>
    <w:p>
      <w:pPr>
        <w:spacing w:after="0" w:line="157"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means any pollutant, effluents, emissions, contaminants, toxic or hazardous wastes or substances, as any of those terms are defined from time to time in or for the purposes of any relevant Environmental Law, including asbestos fibers and friable asbestos, polychlorinated biphenyls, and any petroleum or hydrocarbon-based products or derivatives.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Commitments</w:t>
      </w:r>
      <w:r>
        <w:rPr>
          <w:rFonts w:ascii="Times New Roman" w:cs="Times New Roman" w:eastAsia="Times New Roman" w:hAnsi="Times New Roman"/>
          <w:sz w:val="21"/>
          <w:szCs w:val="21"/>
          <w:color w:val="auto"/>
        </w:rPr>
        <w:t>” has the meaning specified in Section 2.16(c).</w:t>
      </w:r>
    </w:p>
    <w:p>
      <w:pPr>
        <w:spacing w:after="0" w:line="215" w:lineRule="exact"/>
        <w:rPr>
          <w:sz w:val="20"/>
          <w:szCs w:val="20"/>
          <w:color w:val="auto"/>
        </w:rPr>
      </w:pPr>
    </w:p>
    <w:p>
      <w:pPr>
        <w:jc w:val="both"/>
        <w:ind w:firstLine="629"/>
        <w:spacing w:after="0" w:line="271" w:lineRule="auto"/>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u w:val="single" w:color="auto"/>
          <w:color w:val="auto"/>
        </w:rPr>
        <w:t>Indemnified Taxes</w:t>
      </w:r>
      <w:r>
        <w:rPr>
          <w:rFonts w:ascii="Times New Roman" w:cs="Times New Roman" w:eastAsia="Times New Roman" w:hAnsi="Times New Roman"/>
          <w:sz w:val="21"/>
          <w:szCs w:val="21"/>
          <w:color w:val="auto"/>
        </w:rPr>
        <w:t>” means (a) Taxes, other than Excluded Taxes, imposed on or with respect to any payment made by or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account of any obligation of the Borrower under any Loan Document and (b) to the extent not otherwise described in (a) hereof, Other Taxes.</w:t>
      </w:r>
    </w:p>
    <w:p>
      <w:pPr>
        <w:spacing w:after="0" w:line="153"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Initial Advance</w:t>
      </w:r>
      <w:r>
        <w:rPr>
          <w:rFonts w:ascii="Times New Roman" w:cs="Times New Roman" w:eastAsia="Times New Roman" w:hAnsi="Times New Roman"/>
          <w:sz w:val="21"/>
          <w:szCs w:val="21"/>
          <w:color w:val="auto"/>
        </w:rPr>
        <w:t>” means the first advance of proceeds of the Loans and/or issuance of Letters of Credit (including the deemed issuance of Letters of Credit pursuant to Section 2.17(j)).</w:t>
      </w:r>
    </w:p>
    <w:p>
      <w:pPr>
        <w:spacing w:after="0" w:line="144"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Expense</w:t>
      </w:r>
      <w:r>
        <w:rPr>
          <w:rFonts w:ascii="Times New Roman" w:cs="Times New Roman" w:eastAsia="Times New Roman" w:hAnsi="Times New Roman"/>
          <w:sz w:val="21"/>
          <w:szCs w:val="21"/>
          <w:color w:val="auto"/>
        </w:rPr>
        <w:t xml:space="preserve">” means, for any </w:t>
      </w:r>
      <w:r>
        <w:rPr>
          <w:rFonts w:ascii="Times New Roman" w:cs="Times New Roman" w:eastAsia="Times New Roman" w:hAnsi="Times New Roman"/>
          <w:sz w:val="21"/>
          <w:szCs w:val="21"/>
          <w:color w:val="EE2724"/>
          <w:strike w:val="1"/>
        </w:rPr>
        <w:t>quarter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period of four consecutive quarters</w:t>
      </w:r>
      <w:r>
        <w:rPr>
          <w:rFonts w:ascii="Times New Roman" w:cs="Times New Roman" w:eastAsia="Times New Roman" w:hAnsi="Times New Roman"/>
          <w:sz w:val="21"/>
          <w:szCs w:val="21"/>
          <w:color w:val="0E32E1"/>
        </w:rPr>
        <w:t>,</w:t>
      </w:r>
      <w:r>
        <w:rPr>
          <w:rFonts w:ascii="Times New Roman" w:cs="Times New Roman" w:eastAsia="Times New Roman" w:hAnsi="Times New Roman"/>
          <w:sz w:val="21"/>
          <w:szCs w:val="21"/>
          <w:color w:val="auto"/>
        </w:rPr>
        <w:t xml:space="preserve"> the consolidated interest expense, whether paid, accrued or capitalized (without deduction of consolidated interest income) of Borrower that is attributable to Borrower’s Pro Rata Share in its Consolidated Businesses in respect of Real Property Businesses, including, without limitation or duplication (or, to the extent not so included, with the addition of), (1) the portion of any rental obligation in respect of any Capital Lease obligation allocable to interest expense in accordance with GAAP; (2) the amortization of Debt discounts and premiums; (3) any payments or fees (other than upfront fees) with respect to interest rate swap or similar agreements; and (4) the interest expense and items listed in clauses (1) through (3) above applicable to each of the UJVs (to the extent not included above) multiplied by Borrower’s Pro Rata Share in the UJVs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382" w:right="339" w:bottom="1440" w:gutter="0" w:footer="0" w:header="0"/>
        </w:sectPr>
      </w:pPr>
    </w:p>
    <w:bookmarkStart w:id="326" w:name="page327"/>
    <w:bookmarkEnd w:id="326"/>
    <w:p>
      <w:pPr>
        <w:jc w:val="both"/>
        <w:spacing w:after="0" w:line="262" w:lineRule="auto"/>
        <w:rPr>
          <w:sz w:val="20"/>
          <w:szCs w:val="20"/>
          <w:color w:val="auto"/>
        </w:rPr>
      </w:pPr>
      <w:r>
        <w:rPr>
          <w:rFonts w:ascii="Times New Roman" w:cs="Times New Roman" w:eastAsia="Times New Roman" w:hAnsi="Times New Roman"/>
          <w:sz w:val="21"/>
          <w:szCs w:val="21"/>
          <w:color w:val="auto"/>
        </w:rPr>
        <w:t>respect of Real Property Businesses, in all cases as reflected in the Borrower’s Consolidated Financial Statements, provided that there shall be excluded from Interest Expense capitalized interest covered by an interest reserve established under a loan facility (such as capitalized construction interest provided for in a construction loan). “Interest Expense” shall not include the non-cash portion of interest expense attributable to convertible Debt determined in accordance with ASC 470-20.</w:t>
      </w:r>
    </w:p>
    <w:p>
      <w:pPr>
        <w:spacing w:after="0" w:line="164" w:lineRule="exact"/>
        <w:rPr>
          <w:sz w:val="20"/>
          <w:szCs w:val="20"/>
          <w:color w:val="auto"/>
        </w:rPr>
      </w:pPr>
    </w:p>
    <w:p>
      <w:pPr>
        <w:jc w:val="both"/>
        <w:ind w:firstLine="62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xml:space="preserve">” means (a) with respect to any Base Rate Loan, (i) the first (1st) Banking Day of each calendar quarter for the preceding calendar quarter, (ii) at maturity, whether by acceleration or otherwise, and (iii) upon any termination of the Total Loan Commitment in its entirety under Section 2.16(a) hereof, (b) with respect to any Term Benchmark Loan, (i) the last day of each Interest Period applicable to such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in the case of a Term Benchmark Loan with an Interest Period of more than three months’ duration, </w:t>
      </w:r>
      <w:r>
        <w:rPr>
          <w:rFonts w:ascii="Times New Roman" w:cs="Times New Roman" w:eastAsia="Times New Roman" w:hAnsi="Times New Roman"/>
          <w:sz w:val="21"/>
          <w:szCs w:val="21"/>
          <w:u w:val="single" w:color="auto"/>
          <w:color w:val="auto"/>
        </w:rPr>
        <w:t>then</w:t>
      </w:r>
      <w:r>
        <w:rPr>
          <w:rFonts w:ascii="Times New Roman" w:cs="Times New Roman" w:eastAsia="Times New Roman" w:hAnsi="Times New Roman"/>
          <w:sz w:val="21"/>
          <w:szCs w:val="21"/>
          <w:color w:val="auto"/>
        </w:rPr>
        <w:t xml:space="preserve"> each day prior to the last day of such Interest Period that occurs at intervals of three months’ duration after the first day of such Interest Period, (ii) at maturity, whether by acceleration or otherwise, and (iii) upon any termination of the Total Loan Commitment in its entirety under Section 2.16(a) hereof, and (c) with respect to any RFR Loan, (i)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Banking Day of each calendar month for the preceding calendar month, (ii) at maturity, whether by acceleration or otherwise, and (iii) upon any termination of the Total Loan Commitment in its entirety under Section 2.16(a) hereof.</w:t>
      </w:r>
    </w:p>
    <w:p>
      <w:pPr>
        <w:spacing w:after="0" w:line="183"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means, with respect to any Term Benchmark Loan, the period commencing on the date of such Loan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 if any Interest Period would end on a day other than a Banking Day, such Interest Period shall be extended to the next succeeding Banking Day unless such next succeeding Banking Day would fall in the next calendar month, in which case such Interest Period shall end on the next preceding Banking Day, (ii) any Interest Period that commences on the last Banking Day of a calendar month (or on a day for which there is no numerically corresponding day in the last calendar month of such Interest Period) shall end on the last Banking Day of the last calendar month of such Interest Period and (iii) no tenor that has been removed from this definition pursuant to Section 3.02(e) shall be available for specification in such borrowing request or notice of Election, Conversion or Continuation. For purposes hereof, the date of a Loan initially shall be the date on which the borrowing of such Loan is made and thereafter shall be the effective date of the most recent conversion or continuation of such Loan.</w:t>
      </w:r>
    </w:p>
    <w:p>
      <w:pPr>
        <w:spacing w:after="0" w:line="186"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ISP</w:t>
      </w:r>
      <w:r>
        <w:rPr>
          <w:rFonts w:ascii="Times New Roman" w:cs="Times New Roman" w:eastAsia="Times New Roman" w:hAnsi="Times New Roman"/>
          <w:sz w:val="21"/>
          <w:szCs w:val="21"/>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4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Joint Lead Arrangers</w:t>
      </w:r>
      <w:r>
        <w:rPr>
          <w:rFonts w:ascii="Times New Roman" w:cs="Times New Roman" w:eastAsia="Times New Roman" w:hAnsi="Times New Roman"/>
          <w:sz w:val="21"/>
          <w:szCs w:val="21"/>
          <w:color w:val="auto"/>
        </w:rPr>
        <w:t>” means the financial institutions listed on the cover page to this Agreement as a “joint lead arranger”, including the Lead Arrangers.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w:t>
      </w:r>
      <w:r>
        <w:rPr>
          <w:rFonts w:ascii="Times New Roman" w:cs="Times New Roman" w:eastAsia="Times New Roman" w:hAnsi="Times New Roman"/>
          <w:sz w:val="21"/>
          <w:szCs w:val="21"/>
          <w:color w:val="auto"/>
        </w:rPr>
        <w:t xml:space="preserve">” means Scope 1 and Scope 2 emissions, as defined in </w:t>
      </w:r>
      <w:r>
        <w:rPr>
          <w:rFonts w:ascii="Times New Roman" w:cs="Times New Roman" w:eastAsia="Times New Roman" w:hAnsi="Times New Roman"/>
          <w:sz w:val="21"/>
          <w:szCs w:val="21"/>
          <w:i w:val="1"/>
          <w:iCs w:val="1"/>
          <w:color w:val="auto"/>
        </w:rPr>
        <w:t>The Greenhouse Gas Protocol: A Corporate Accounting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 xml:space="preserve">Reporting Standard: Revised Edition </w:t>
      </w:r>
      <w:r>
        <w:rPr>
          <w:rFonts w:ascii="Times New Roman" w:cs="Times New Roman" w:eastAsia="Times New Roman" w:hAnsi="Times New Roman"/>
          <w:sz w:val="21"/>
          <w:szCs w:val="21"/>
          <w:color w:val="auto"/>
        </w:rPr>
        <w:t>as published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382" w:right="339" w:bottom="1440" w:gutter="0" w:footer="0" w:header="0"/>
        </w:sectPr>
      </w:pPr>
    </w:p>
    <w:bookmarkStart w:id="327" w:name="page328"/>
    <w:bookmarkEnd w:id="327"/>
    <w:p>
      <w:pPr>
        <w:jc w:val="both"/>
        <w:spacing w:after="0" w:line="280" w:lineRule="auto"/>
        <w:rPr>
          <w:sz w:val="20"/>
          <w:szCs w:val="20"/>
          <w:color w:val="auto"/>
        </w:rPr>
      </w:pPr>
      <w:r>
        <w:rPr>
          <w:rFonts w:ascii="Times New Roman" w:cs="Times New Roman" w:eastAsia="Times New Roman" w:hAnsi="Times New Roman"/>
          <w:sz w:val="21"/>
          <w:szCs w:val="21"/>
          <w:color w:val="auto"/>
        </w:rPr>
        <w:t>World Business Council for Sustainable Development and the World Resources Institute and in effect on the date of this Agreement, and as calculated at the end of a fiscal year and which shall be reported in the applicable KPI Metrics Report.</w:t>
      </w:r>
    </w:p>
    <w:p>
      <w:pPr>
        <w:spacing w:after="0" w:line="14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 Applicable Margin Adjustment Amount</w:t>
      </w:r>
      <w:r>
        <w:rPr>
          <w:rFonts w:ascii="Times New Roman" w:cs="Times New Roman" w:eastAsia="Times New Roman" w:hAnsi="Times New Roman"/>
          <w:sz w:val="21"/>
          <w:szCs w:val="21"/>
          <w:color w:val="auto"/>
        </w:rPr>
        <w:t>” means, with respect to any period between Sustainability Pricing Adjustment Dates, (a) positive 0.04%, if the KPI for such period as set forth in the KPI Metrics Report is greater than the KPI Threshold for such period, (b) 0.00%, if the KPI for such period as set forth in the KPI Metrics Report is less than or equal to the KPI Threshold for such period but greater than the KPI Target for such period, and (c) negative 0.04%, if the KPI for such period as set forth in the KPI Metrics Report is less than or equal to the KPI Target for such period.</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 Facility Fee Adjustment Amount</w:t>
      </w:r>
      <w:r>
        <w:rPr>
          <w:rFonts w:ascii="Times New Roman" w:cs="Times New Roman" w:eastAsia="Times New Roman" w:hAnsi="Times New Roman"/>
          <w:sz w:val="21"/>
          <w:szCs w:val="21"/>
          <w:color w:val="auto"/>
        </w:rPr>
        <w:t>” means, with respect to any period between Sustainability Pricing Adjustment Dates,</w:t>
      </w:r>
    </w:p>
    <w:p>
      <w:pPr>
        <w:spacing w:after="0" w:line="33" w:lineRule="exact"/>
        <w:rPr>
          <w:sz w:val="20"/>
          <w:szCs w:val="20"/>
          <w:color w:val="auto"/>
        </w:rPr>
      </w:pPr>
    </w:p>
    <w:p>
      <w:pPr>
        <w:ind w:left="300" w:hanging="295"/>
        <w:spacing w:after="0"/>
        <w:tabs>
          <w:tab w:leader="none" w:pos="30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0.01%, if the KPI for such period as set forth in the KPI Metrics Report is greater than the KPI Threshold for such period,</w:t>
      </w:r>
    </w:p>
    <w:p>
      <w:pPr>
        <w:spacing w:after="0" w:line="30" w:lineRule="exact"/>
        <w:rPr>
          <w:rFonts w:ascii="Times New Roman" w:cs="Times New Roman" w:eastAsia="Times New Roman" w:hAnsi="Times New Roman"/>
          <w:sz w:val="20"/>
          <w:szCs w:val="20"/>
          <w:color w:val="auto"/>
        </w:rPr>
      </w:pPr>
    </w:p>
    <w:p>
      <w:pPr>
        <w:jc w:val="both"/>
        <w:ind w:firstLine="5"/>
        <w:spacing w:after="0" w:line="251" w:lineRule="auto"/>
        <w:tabs>
          <w:tab w:leader="none" w:pos="300"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0.00%, if the KPI for such period as set forth in the KPI Metrics Report is less than or equal to the KPI Threshold for such period but greater than the KPI Target for such period, and (c) negative 0.01%, if the KPI for such period as set forth in the KPI Metrics Report is less than or equal to KPI Target for such period.</w:t>
      </w:r>
    </w:p>
    <w:p>
      <w:pPr>
        <w:spacing w:after="0" w:line="175"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 Metrics Report</w:t>
      </w:r>
      <w:r>
        <w:rPr>
          <w:rFonts w:ascii="Times New Roman" w:cs="Times New Roman" w:eastAsia="Times New Roman" w:hAnsi="Times New Roman"/>
          <w:sz w:val="21"/>
          <w:szCs w:val="21"/>
          <w:color w:val="auto"/>
        </w:rPr>
        <w:t>” means an annual report (it being understood that this annual report may take the form of the annual Sustainability Report) audited by the Sustainability Assurance Provider that sets forth the calculations for the KPI for a specific calendar year.</w:t>
      </w:r>
    </w:p>
    <w:p>
      <w:pPr>
        <w:spacing w:after="0" w:line="15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 Target</w:t>
      </w:r>
      <w:r>
        <w:rPr>
          <w:rFonts w:ascii="Times New Roman" w:cs="Times New Roman" w:eastAsia="Times New Roman" w:hAnsi="Times New Roman"/>
          <w:sz w:val="21"/>
          <w:szCs w:val="21"/>
          <w:color w:val="auto"/>
        </w:rPr>
        <w:t xml:space="preserve">” means, with respect to any calendar year, the KPI Target for such calendar year as set forth in the Sustainability Table, as the same may be adjusted from time to time as a result of a Sustainability Recalculation Event or otherwise in accordance with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 Threshold</w:t>
      </w:r>
      <w:r>
        <w:rPr>
          <w:rFonts w:ascii="Times New Roman" w:cs="Times New Roman" w:eastAsia="Times New Roman" w:hAnsi="Times New Roman"/>
          <w:sz w:val="21"/>
          <w:szCs w:val="21"/>
          <w:color w:val="auto"/>
        </w:rPr>
        <w:t xml:space="preserve">” means, with respect to any calendar year, the KPI Threshold for such calendar year as set forth in the Sustainability Table, as the same may be adjusted from time to time as a result of a Sustainability Recalculation Event or otherwise in accordance with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means any federal, state or local statute, law, rule, regulation, ordinance, order, code, or rule of common law, now or hereafter in effect, and in each case as amended, and any judicial or administrative interpretation thereof by a Governmental Authority or otherwise, including any judicial or administrative order, consent decree or judgment.</w:t>
      </w:r>
    </w:p>
    <w:p>
      <w:pPr>
        <w:spacing w:after="0" w:line="175"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Exposure</w:t>
      </w:r>
      <w:r>
        <w:rPr>
          <w:rFonts w:ascii="Times New Roman" w:cs="Times New Roman" w:eastAsia="Times New Roman" w:hAnsi="Times New Roman"/>
          <w:sz w:val="21"/>
          <w:szCs w:val="21"/>
          <w:color w:val="auto"/>
        </w:rPr>
        <w:t>” means, at any time, the sum of (a) the aggregate undrawn amount of all outstanding Letters of Credit at such time plus (b) the aggregate amount of all drawings under Letters of Credit that have not yet been reimbursed by or on behalf of the Borrower (including, for clarity, by means of advances of Loans pursuant to this Agreement) at such time. The LC Exposure of any Bank at any time shall be its Pro Rata Share of the total LC Exposure at such time. For all purposes of this Agreement, if on any date of determination a Letter of Credit has expired by its terms but any amount may still be drawn thereunder by reason of the operation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383" w:right="3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21"/>
          <w:szCs w:val="21"/>
          <w:color w:val="auto"/>
        </w:rPr>
        <w:t>Rule 3.14 of the ISP, such Letter of Credit shall be deemed to be “outstanding” in the amount so remaining available to be drawn.</w:t>
      </w:r>
    </w:p>
    <w:p>
      <w:pPr>
        <w:spacing w:after="0" w:line="21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Lead Arrangers</w:t>
      </w:r>
      <w:r>
        <w:rPr>
          <w:rFonts w:ascii="Times New Roman" w:cs="Times New Roman" w:eastAsia="Times New Roman" w:hAnsi="Times New Roman"/>
          <w:sz w:val="21"/>
          <w:szCs w:val="21"/>
          <w:color w:val="auto"/>
        </w:rPr>
        <w:t>” means JPMorgan Chase Bank, N.A., BofA Securities, Inc., PNC Capital Markets LLC, Wells Fargo Securities LLC and U.S. Bank National Association.</w:t>
      </w:r>
    </w:p>
    <w:p>
      <w:pPr>
        <w:spacing w:after="0" w:line="15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Lender-Related Person</w:t>
      </w:r>
      <w:r>
        <w:rPr>
          <w:rFonts w:ascii="Times New Roman" w:cs="Times New Roman" w:eastAsia="Times New Roman" w:hAnsi="Times New Roman"/>
          <w:sz w:val="21"/>
          <w:szCs w:val="21"/>
          <w:color w:val="auto"/>
        </w:rPr>
        <w:t>” means the Administrative Agent, any Lead Arranger, any Fronting Bank and any Bank, and any Affiliates, directors, officers, employees, agents and advisors of any of the foregoing Persons.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has the meaning specified in Section 2.17(a).</w:t>
      </w:r>
    </w:p>
    <w:p>
      <w:pPr>
        <w:spacing w:after="0" w:line="217"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Commitment</w:t>
      </w:r>
      <w:r>
        <w:rPr>
          <w:rFonts w:ascii="Times New Roman" w:cs="Times New Roman" w:eastAsia="Times New Roman" w:hAnsi="Times New Roman"/>
          <w:sz w:val="21"/>
          <w:szCs w:val="21"/>
          <w:color w:val="auto"/>
        </w:rPr>
        <w:t xml:space="preserve">” means, with respect to each Fronting Bank, the commitment of each Fronting Bank to issue Letters of Credit hereunder. The initial amount of each Fronting Bank’s Letter of Credit Commitment is set forth on </w:t>
      </w:r>
      <w:r>
        <w:rPr>
          <w:rFonts w:ascii="Times New Roman" w:cs="Times New Roman" w:eastAsia="Times New Roman" w:hAnsi="Times New Roman"/>
          <w:sz w:val="21"/>
          <w:szCs w:val="21"/>
          <w:u w:val="single" w:color="auto"/>
          <w:color w:val="auto"/>
        </w:rPr>
        <w:t>Schedule 1A</w:t>
      </w:r>
      <w:r>
        <w:rPr>
          <w:rFonts w:ascii="Times New Roman" w:cs="Times New Roman" w:eastAsia="Times New Roman" w:hAnsi="Times New Roman"/>
          <w:sz w:val="21"/>
          <w:szCs w:val="21"/>
          <w:color w:val="auto"/>
        </w:rPr>
        <w:t xml:space="preserve"> attached hereto, or if a Fronting Bank has otherwise assumed a Letter of Credit Commitment after the Closing Date, the amount set forth for such Fronting Bank as its Letter of Credit Commitment in the Register maintained by the Administrative Agent. The Letter of Credit Commitment of a Fronting Bank may be modified from time to time by agreement between such Fronting Bank and the Borrower, and notified to the Administrative Agent.</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Liabilities</w:t>
      </w:r>
      <w:r>
        <w:rPr>
          <w:rFonts w:ascii="Times New Roman" w:cs="Times New Roman" w:eastAsia="Times New Roman" w:hAnsi="Times New Roman"/>
          <w:sz w:val="21"/>
          <w:szCs w:val="21"/>
          <w:color w:val="auto"/>
        </w:rPr>
        <w:t>” means any losses, claims (including intraparty claims), demands, damages or liabilities of any kind.</w:t>
      </w:r>
    </w:p>
    <w:p>
      <w:pPr>
        <w:spacing w:after="0" w:line="217"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any mortgage, deed of trust, pledge, security interest, hypothecation, assignment for collateral purposes, deposit arrangement, lien (statutory or other), or other security agreement or charge of any kind or nature whatsoever of any third party (excluding any right of setoff but including, without limitation, any conditional sale or other title retention agreement, any financing lease having substantially the same economic effect as any of the foregoing, and the filing of any financing statement under the Uniform Commercial Code or comparable law of any jurisdiction to evidence any of the foregoing).</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means, with respect to each Bank, its Ratable Loan (including any New Term Loan(s) (if any)), collectively.</w:t>
      </w:r>
    </w:p>
    <w:p>
      <w:pPr>
        <w:spacing w:after="0" w:line="230"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Commitment</w:t>
      </w:r>
      <w:r>
        <w:rPr>
          <w:rFonts w:ascii="Times New Roman" w:cs="Times New Roman" w:eastAsia="Times New Roman" w:hAnsi="Times New Roman"/>
          <w:sz w:val="21"/>
          <w:szCs w:val="21"/>
          <w:color w:val="auto"/>
        </w:rPr>
        <w:t xml:space="preserve">” means, with respect to each Bank, the obligation to make a Ratable Loan in the principal amount set forth on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attached hereto and incorporated herein, as such amount may be reduced or increased from time to time in accordance with the provisions of Section 2.16 or pursuant to assignments made under Section 12.05(c) (and upon the execution of an amendment agreement described in Section 2.16(c)(ii) or Assignment and Assumption Agreements, the definition of Loan Commitment shall be deemed revised to reflect the Incremental Commitment or the assignment being effected pursuant to each such Assignment and Assumption Agreement, as the case may be).</w:t>
      </w:r>
    </w:p>
    <w:p>
      <w:pPr>
        <w:spacing w:after="0" w:line="170"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 means this Agreement, the Notes, the Authorization Letter and the Solvency Certificate, any amendments, modifications or supplements thereto, and any other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383" w:right="3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21"/>
          <w:szCs w:val="21"/>
          <w:color w:val="auto"/>
        </w:rPr>
        <w:t>agreements entered into in connection with this Agreement that are designated as “Loan Documents”.</w:t>
      </w:r>
    </w:p>
    <w:p>
      <w:pPr>
        <w:spacing w:after="0" w:line="217"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Change</w:t>
      </w:r>
      <w:r>
        <w:rPr>
          <w:rFonts w:ascii="Times New Roman" w:cs="Times New Roman" w:eastAsia="Times New Roman" w:hAnsi="Times New Roman"/>
          <w:sz w:val="21"/>
          <w:szCs w:val="21"/>
          <w:color w:val="auto"/>
        </w:rPr>
        <w:t>” means either (1) a material adverse change in the status of the business, results of operations, financial condition, or property of Borrower or (2) any event or occurrence of whatever nature which is likely to have a material adverse effect on the ability of Borrower to perform its obligations under the Loan Documents.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Affiliates</w:t>
      </w:r>
      <w:r>
        <w:rPr>
          <w:rFonts w:ascii="Times New Roman" w:cs="Times New Roman" w:eastAsia="Times New Roman" w:hAnsi="Times New Roman"/>
          <w:sz w:val="21"/>
          <w:szCs w:val="21"/>
          <w:color w:val="auto"/>
        </w:rPr>
        <w:t>” means the Affiliates of Borrower listed on EXHIBIT F.</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means April 14, 2028, subject to extension pursuant to Section 2.18.</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Maximum Rate</w:t>
      </w:r>
      <w:r>
        <w:rPr>
          <w:rFonts w:ascii="Times New Roman" w:cs="Times New Roman" w:eastAsia="Times New Roman" w:hAnsi="Times New Roman"/>
          <w:sz w:val="21"/>
          <w:szCs w:val="21"/>
          <w:color w:val="auto"/>
        </w:rPr>
        <w:t>” has the meaning specified in Section 2.07.</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Moody’s</w:t>
      </w:r>
      <w:r>
        <w:rPr>
          <w:rFonts w:ascii="Times New Roman" w:cs="Times New Roman" w:eastAsia="Times New Roman" w:hAnsi="Times New Roman"/>
          <w:sz w:val="21"/>
          <w:szCs w:val="21"/>
          <w:color w:val="auto"/>
        </w:rPr>
        <w:t>” means Moody’s Investors Service, Inc. and its successors.</w:t>
      </w:r>
    </w:p>
    <w:p>
      <w:pPr>
        <w:spacing w:after="0" w:line="230"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Multiemployer Plan</w:t>
      </w:r>
      <w:r>
        <w:rPr>
          <w:rFonts w:ascii="Times New Roman" w:cs="Times New Roman" w:eastAsia="Times New Roman" w:hAnsi="Times New Roman"/>
          <w:sz w:val="21"/>
          <w:szCs w:val="21"/>
          <w:color w:val="auto"/>
        </w:rPr>
        <w:t>” means a Plan defined as such in Section 3(37) of ERISA to which contributions have been or are required to be made by Borrower or General Partner or any ERISA Affiliate and which is covered by Title IV of ERISA.</w:t>
      </w:r>
    </w:p>
    <w:p>
      <w:pPr>
        <w:spacing w:after="0" w:line="14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Equity Value</w:t>
      </w:r>
      <w:r>
        <w:rPr>
          <w:rFonts w:ascii="Times New Roman" w:cs="Times New Roman" w:eastAsia="Times New Roman" w:hAnsi="Times New Roman"/>
          <w:sz w:val="21"/>
          <w:szCs w:val="21"/>
          <w:color w:val="auto"/>
        </w:rPr>
        <w:t>” means, at any time, the total assets of the applicable business less the total liabilities of such business less the amounts attributable to the minority interest in such business, in each case as determined on a consolidated basis, in accordance with GAAP, subject to the last sentence of the definition of Capitalization Value.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Ratable Bank</w:t>
      </w:r>
      <w:r>
        <w:rPr>
          <w:rFonts w:ascii="Times New Roman" w:cs="Times New Roman" w:eastAsia="Times New Roman" w:hAnsi="Times New Roman"/>
          <w:sz w:val="21"/>
          <w:szCs w:val="21"/>
          <w:color w:val="auto"/>
        </w:rPr>
        <w:t>” has the meaning specified in Section 2.16(c).</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Ratable Commitments</w:t>
      </w:r>
      <w:r>
        <w:rPr>
          <w:rFonts w:ascii="Times New Roman" w:cs="Times New Roman" w:eastAsia="Times New Roman" w:hAnsi="Times New Roman"/>
          <w:sz w:val="21"/>
          <w:szCs w:val="21"/>
          <w:color w:val="auto"/>
        </w:rPr>
        <w:t>” has the meaning specified in Section 2.16(c).</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Ratable Loan</w:t>
      </w:r>
      <w:r>
        <w:rPr>
          <w:rFonts w:ascii="Times New Roman" w:cs="Times New Roman" w:eastAsia="Times New Roman" w:hAnsi="Times New Roman"/>
          <w:sz w:val="21"/>
          <w:szCs w:val="21"/>
          <w:color w:val="auto"/>
        </w:rPr>
        <w:t>” has the meaning specified in Section 2.16(c).</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Term Bank</w:t>
      </w:r>
      <w:r>
        <w:rPr>
          <w:rFonts w:ascii="Times New Roman" w:cs="Times New Roman" w:eastAsia="Times New Roman" w:hAnsi="Times New Roman"/>
          <w:sz w:val="21"/>
          <w:szCs w:val="21"/>
          <w:color w:val="auto"/>
        </w:rPr>
        <w:t>” has the meaning specified in Section 2.16(c).</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Term Commitments</w:t>
      </w:r>
      <w:r>
        <w:rPr>
          <w:rFonts w:ascii="Times New Roman" w:cs="Times New Roman" w:eastAsia="Times New Roman" w:hAnsi="Times New Roman"/>
          <w:sz w:val="21"/>
          <w:szCs w:val="21"/>
          <w:color w:val="auto"/>
        </w:rPr>
        <w:t>” has the meaning specified in Section 2.16(c).</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Term Loan</w:t>
      </w:r>
      <w:r>
        <w:rPr>
          <w:rFonts w:ascii="Times New Roman" w:cs="Times New Roman" w:eastAsia="Times New Roman" w:hAnsi="Times New Roman"/>
          <w:sz w:val="21"/>
          <w:szCs w:val="21"/>
          <w:color w:val="auto"/>
        </w:rPr>
        <w:t>” has the meaning specified in Section 2.16(c).</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have the respective meanings specified in Section 2.09.</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w:t>
      </w:r>
      <w:r>
        <w:rPr>
          <w:rFonts w:ascii="Times New Roman" w:cs="Times New Roman" w:eastAsia="Times New Roman" w:hAnsi="Times New Roman"/>
          <w:sz w:val="21"/>
          <w:szCs w:val="21"/>
          <w:color w:val="auto"/>
        </w:rPr>
        <w:t>” means the Federal Reserve Bank of New York.</w:t>
      </w:r>
    </w:p>
    <w:p>
      <w:pPr>
        <w:spacing w:after="0" w:line="243"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 Rate</w:t>
      </w:r>
      <w:r>
        <w:rPr>
          <w:rFonts w:ascii="Times New Roman" w:cs="Times New Roman" w:eastAsia="Times New Roman" w:hAnsi="Times New Roman"/>
          <w:sz w:val="21"/>
          <w:szCs w:val="21"/>
          <w:color w:val="auto"/>
        </w:rPr>
        <w:t>” means, for any day, the greater of (a) the Federal Funds Effective Rate in effect on such day and (b) the Overnight Bank Funding Rate in effect on such day (or for any day that is not a Banking Day, for the immediately preceding Banking Day); provided that if none of such rates are published for any day that is a Banking Day, the term “NYFRB Rate” means the rate for a federal funds transaction quoted at 11:00 a.m. on such day received by the Administrative Agent from a federal funds broker of recognized standing selected by it;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382" w:right="339" w:bottom="1440" w:gutter="0" w:footer="0" w:header="0"/>
        </w:sectPr>
      </w:pPr>
    </w:p>
    <w:bookmarkStart w:id="330" w:name="page331"/>
    <w:bookmarkEnd w:id="330"/>
    <w:p>
      <w:pPr>
        <w:jc w:val="both"/>
        <w:spacing w:after="0" w:line="280" w:lineRule="auto"/>
        <w:rPr>
          <w:sz w:val="20"/>
          <w:szCs w:val="20"/>
          <w:color w:val="auto"/>
        </w:rPr>
      </w:pP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if any of the aforesaid rates shall be less than zero, such rate shall be deemed to be zero for purposes of this Agreement.</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NYFRB’s Website</w:t>
      </w:r>
      <w:r>
        <w:rPr>
          <w:rFonts w:ascii="Times New Roman" w:cs="Times New Roman" w:eastAsia="Times New Roman" w:hAnsi="Times New Roman"/>
          <w:sz w:val="21"/>
          <w:szCs w:val="21"/>
          <w:color w:val="auto"/>
        </w:rPr>
        <w:t>” means the website of the NYFRB at http://www.newyorkfed.org, or any successor source.</w:t>
      </w:r>
    </w:p>
    <w:p>
      <w:pPr>
        <w:spacing w:after="0" w:line="230"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means each and every obligation, covenant and agreement of Borrower, now or hereafter existing, contained in this Agreement, and any of the other Loan Documents, whether for principal, reimbursement obligations, interest, fees, expenses, indemnities or otherwise, and any amendments or supplements thereto, extensions or renewals thereof or replacements therefor, including but not limited to all indebtedness, obligations and liabilities of Borrower to Administrative Agent and any Bank now existing or hereafter incurred under or arising out of or in connection with the Notes, this Agreement, the other Loan Documents, and any documents or instruments executed in connection therewith; in each case whether direct or indirect, joint or several, absolute or contingent, liquidated or unliquidated, now or hereafter existing, renewed or restructured, whether or not from time to time decreased or extinguished and later increased, created or incurred, and including all indebtedness of Borrower under any instrument now or hereafter evidencing or securing any of the foregoing.</w:t>
      </w:r>
    </w:p>
    <w:p>
      <w:pPr>
        <w:spacing w:after="0" w:line="171"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Occupancy Rate</w:t>
      </w:r>
      <w:r>
        <w:rPr>
          <w:rFonts w:ascii="Times New Roman" w:cs="Times New Roman" w:eastAsia="Times New Roman" w:hAnsi="Times New Roman"/>
          <w:sz w:val="21"/>
          <w:szCs w:val="21"/>
          <w:color w:val="auto"/>
        </w:rPr>
        <w:t>” means, with respect to a Real Property Asset at any time, the ratio, expressed as a percentage, of (a) the net rentable square footage of such Real Property Asset leased and occupied by tenants (excluding any tenants that have vacated such Real Property Asset and have not entered into a valid sublease for such space) that are (x) paying rent at rates not materially less than rates generally prevailing at the time the applicable lease was entered into and (y) not more than 90 days delinquent in the payment of rent or in bankruptcy to (b) the aggregate net rentable square footage of such Real Property Asset. For purposes of the definition of “Occupancy Rate”, a tenant shall be deemed to actually occupy a Real Property Asset notwithstanding a temporary cessation of operations for renovation, repairs or other temporary reason, or for the purpose of completing tenant build-out or that is otherwise scheduled to be open for business within 90 days of the date of such determination.</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means The Office of Foreign Assets Control of the United States Department of the Treasury.</w:t>
      </w:r>
    </w:p>
    <w:p>
      <w:pPr>
        <w:spacing w:after="0" w:line="217"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Connection Taxes</w:t>
      </w:r>
      <w:r>
        <w:rPr>
          <w:rFonts w:ascii="Times New Roman" w:cs="Times New Roman" w:eastAsia="Times New Roman" w:hAnsi="Times New Roman"/>
          <w:sz w:val="21"/>
          <w:szCs w:val="21"/>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69"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Investment</w:t>
      </w:r>
      <w:r>
        <w:rPr>
          <w:rFonts w:ascii="Times New Roman" w:cs="Times New Roman" w:eastAsia="Times New Roman" w:hAnsi="Times New Roman"/>
          <w:sz w:val="21"/>
          <w:szCs w:val="21"/>
          <w:color w:val="auto"/>
        </w:rPr>
        <w:t xml:space="preserve">” means a Consolidated Business or UJV that does not own primarily Real Property Assets or publicly traded securities, including, without limitation, those entities more particularly set forth on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382" w:right="339" w:bottom="1440" w:gutter="0" w:footer="0" w:header="0"/>
        </w:sectPr>
      </w:pPr>
    </w:p>
    <w:bookmarkStart w:id="331" w:name="page332"/>
    <w:bookmarkEnd w:id="331"/>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3.07).</w:t>
      </w:r>
    </w:p>
    <w:p>
      <w:pPr>
        <w:spacing w:after="0" w:line="16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u w:val="single" w:color="auto"/>
          <w:color w:val="0E32E1"/>
        </w:rPr>
        <w:t>“Outbound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6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Overnight Bank Funding Rate</w:t>
      </w:r>
      <w:r>
        <w:rPr>
          <w:rFonts w:ascii="Times New Roman" w:cs="Times New Roman" w:eastAsia="Times New Roman" w:hAnsi="Times New Roman"/>
          <w:sz w:val="21"/>
          <w:szCs w:val="21"/>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Banking Day by the NYFRB as an overnight bank funding rate.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means, with respect to any Bank, any Person controlling such Bank.</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has the meaning specified in Section 12.05(b).</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has the meaning specified in Section 12.05(b).</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has the meaning specified in Section 12.19.</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has the meaning specified in Section 10.12(b).</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 Notice</w:t>
      </w:r>
      <w:r>
        <w:rPr>
          <w:rFonts w:ascii="Times New Roman" w:cs="Times New Roman" w:eastAsia="Times New Roman" w:hAnsi="Times New Roman"/>
          <w:sz w:val="21"/>
          <w:szCs w:val="21"/>
          <w:color w:val="auto"/>
        </w:rPr>
        <w:t>” has the meaning specified in Section 10.12(b).</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Payor</w:t>
      </w:r>
      <w:r>
        <w:rPr>
          <w:rFonts w:ascii="Times New Roman" w:cs="Times New Roman" w:eastAsia="Times New Roman" w:hAnsi="Times New Roman"/>
          <w:sz w:val="21"/>
          <w:szCs w:val="21"/>
          <w:color w:val="auto"/>
        </w:rPr>
        <w:t>” has the meaning specified in Section 10.12.</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PBGC</w:t>
      </w:r>
      <w:r>
        <w:rPr>
          <w:rFonts w:ascii="Times New Roman" w:cs="Times New Roman" w:eastAsia="Times New Roman" w:hAnsi="Times New Roman"/>
          <w:sz w:val="21"/>
          <w:szCs w:val="21"/>
          <w:color w:val="auto"/>
        </w:rPr>
        <w:t>” means the Pension Benefit Guaranty Corporation and any entity succeeding to any or all of its functions under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ERISA.</w:t>
      </w:r>
    </w:p>
    <w:p>
      <w:pPr>
        <w:spacing w:after="0" w:line="20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 individual, partnership, corporation, business trust, joint stock company, trust, unincorporated association, joint venture, limited liability company, Governmental Authority or other entity of whatever nature.</w:t>
      </w:r>
    </w:p>
    <w:p>
      <w:pPr>
        <w:spacing w:after="0" w:line="14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any employee benefit or other plan (other than a Multiemployer Plan) established or maintained, or to which contributions have been or are required to be made, by Borrower or General Partner or any ERISA Affiliate and which is covered by Title IV of ERISA or to which Section 412 of the Code applies.</w:t>
      </w:r>
    </w:p>
    <w:p>
      <w:pPr>
        <w:spacing w:after="0" w:line="152" w:lineRule="exact"/>
        <w:rPr>
          <w:sz w:val="20"/>
          <w:szCs w:val="20"/>
          <w:color w:val="auto"/>
        </w:rPr>
      </w:pPr>
    </w:p>
    <w:p>
      <w:pPr>
        <w:jc w:val="both"/>
        <w:ind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 Asset Regulations</w:t>
      </w:r>
      <w:r>
        <w:rPr>
          <w:rFonts w:ascii="Times New Roman" w:cs="Times New Roman" w:eastAsia="Times New Roman" w:hAnsi="Times New Roman"/>
          <w:sz w:val="21"/>
          <w:szCs w:val="21"/>
          <w:color w:val="auto"/>
        </w:rPr>
        <w:t xml:space="preserve">” means 29 CFR § 2510.3-101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as modified by Section 3(42) of ERISA,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382" w:right="339" w:bottom="1440" w:gutter="0" w:footer="0" w:header="0"/>
        </w:sectPr>
      </w:pPr>
    </w:p>
    <w:bookmarkStart w:id="332" w:name="page333"/>
    <w:bookmarkEnd w:id="332"/>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presence</w:t>
      </w:r>
      <w:r>
        <w:rPr>
          <w:rFonts w:ascii="Times New Roman" w:cs="Times New Roman" w:eastAsia="Times New Roman" w:hAnsi="Times New Roman"/>
          <w:sz w:val="21"/>
          <w:szCs w:val="21"/>
          <w:color w:val="auto"/>
        </w:rPr>
        <w:t>”, when used in connection with any Environmental Discharge or Hazardous Materials, means and includes presence, generation, manufacture, installation, treatment, use, storage, handling, repair, encapsulation, disposal, transportation, spill, discharge and release.</w:t>
      </w:r>
    </w:p>
    <w:p>
      <w:pPr>
        <w:spacing w:after="0" w:line="175"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Pricing Certificate</w:t>
      </w:r>
      <w:r>
        <w:rPr>
          <w:rFonts w:ascii="Times New Roman" w:cs="Times New Roman" w:eastAsia="Times New Roman" w:hAnsi="Times New Roman"/>
          <w:sz w:val="21"/>
          <w:szCs w:val="21"/>
          <w:color w:val="auto"/>
        </w:rPr>
        <w:t xml:space="preserve">” means a certificate substantially in the form of </w:t>
      </w:r>
      <w:r>
        <w:rPr>
          <w:rFonts w:ascii="Times New Roman" w:cs="Times New Roman" w:eastAsia="Times New Roman" w:hAnsi="Times New Roman"/>
          <w:sz w:val="21"/>
          <w:szCs w:val="21"/>
          <w:u w:val="single" w:color="auto"/>
          <w:color w:val="auto"/>
        </w:rPr>
        <w:t>Exhibit I</w:t>
      </w:r>
      <w:r>
        <w:rPr>
          <w:rFonts w:ascii="Times New Roman" w:cs="Times New Roman" w:eastAsia="Times New Roman" w:hAnsi="Times New Roman"/>
          <w:sz w:val="21"/>
          <w:szCs w:val="21"/>
          <w:color w:val="auto"/>
        </w:rPr>
        <w:t xml:space="preserve"> executed by the chief executive officer, chief operating officer, chief financial officer, chief sustainability officer, treasurer, assistant treasurer, controller or senior vice president of finance of the Borrower certifying and attaching (a) a true and correct copy of the KPI Metrics Report for the most recently ended calendar year and setting forth the Sustainability Margin Adjustment and the Sustainability Facility Fee Adjustment, in each case for the period covered thereby and computations in reasonable detail in respect thereof, (b) if applicable, information detailing any change in the Borrower’s internal policies related to sustainability that has been disclosed to the SEC as required pursuant to its promulgated rules and regulations since the Closing Date (for the first certificate delivered hereunder) or the date of the most recently delivered Pricing Certificate (for each subsequent certificate); and (c) a true and correct review report of the Sustainability Assurance Provider, which report (i) measures, verifies, calculates and certifies the KPI set forth in the Pricing Certificate or the KPI Metrics Report, as applicable, for the most recently ended calendar year and (ii) confirms that the Sustainability Assurance Provider is not aware of any modifications that should be made to such computations in order for them to be presented in all material respects in conformity with the Standard for Sustainability Reporting.</w:t>
      </w:r>
    </w:p>
    <w:p>
      <w:pPr>
        <w:spacing w:after="0" w:line="180"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Prime Rate</w:t>
      </w:r>
      <w:r>
        <w:rPr>
          <w:rFonts w:ascii="Times New Roman" w:cs="Times New Roman" w:eastAsia="Times New Roman" w:hAnsi="Times New Roman"/>
          <w:sz w:val="21"/>
          <w:szCs w:val="21"/>
          <w:color w:val="auto"/>
        </w:rPr>
        <w:t>” means the rate of interest last quoted by The Wall Street Journal as the “Prime Rate” in the U.S. or, if The Wall Street Journal ceases to quote such rate, the rate published by the Federal Reserve Board in Federal Reserve Statistical Release H.15</w:t>
      </w:r>
    </w:p>
    <w:p>
      <w:pPr>
        <w:spacing w:after="0" w:line="1" w:lineRule="exact"/>
        <w:rPr>
          <w:sz w:val="20"/>
          <w:szCs w:val="20"/>
          <w:color w:val="auto"/>
        </w:rPr>
      </w:pPr>
    </w:p>
    <w:p>
      <w:pPr>
        <w:jc w:val="both"/>
        <w:ind w:firstLine="5"/>
        <w:spacing w:after="0" w:line="254" w:lineRule="auto"/>
        <w:tabs>
          <w:tab w:leader="none" w:pos="533"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 Each change in the Prime Rate shall be effective from and including the date such change is publicly announced or quoted as being effective.</w:t>
      </w:r>
    </w:p>
    <w:p>
      <w:pPr>
        <w:spacing w:after="0" w:line="172"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 Rata Share</w:t>
      </w:r>
      <w:r>
        <w:rPr>
          <w:rFonts w:ascii="Times New Roman" w:cs="Times New Roman" w:eastAsia="Times New Roman" w:hAnsi="Times New Roman"/>
          <w:sz w:val="21"/>
          <w:szCs w:val="21"/>
          <w:color w:val="auto"/>
        </w:rPr>
        <w:t>” means, with respect to each Bank, the percentage of the Total Loan Commitment represented by such Bank’s Loan Commitment; provided that solely in the case of Section 12.20(c) when a Defaulting Lender shall exist,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Share</w:t>
      </w:r>
      <w:r>
        <w:rPr>
          <w:rFonts w:ascii="Times New Roman" w:cs="Times New Roman" w:eastAsia="Times New Roman" w:hAnsi="Times New Roman"/>
          <w:sz w:val="21"/>
          <w:szCs w:val="21"/>
          <w:color w:val="auto"/>
        </w:rPr>
        <w:t>” shall mean the percentage of the Total Loan Commitment (disregarding any Defaulting Lender’s Loan Commitment) represented by such Bank’s Loan Commitment. If the Loan Commitments have terminated or expired, the Pro Rata Share shall be determined based upon the Loan Commitments most recently in effect, giving effect to any assignments and to any Bank’s status as a Defaulting Lender at the time of determination.</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Prohibited Transaction</w:t>
      </w:r>
      <w:r>
        <w:rPr>
          <w:rFonts w:ascii="Times New Roman" w:cs="Times New Roman" w:eastAsia="Times New Roman" w:hAnsi="Times New Roman"/>
          <w:sz w:val="21"/>
          <w:szCs w:val="21"/>
          <w:color w:val="auto"/>
        </w:rPr>
        <w:t>” means any non-exempt transaction set forth in Section 406 of ERISA or Section 4975 of the Code.</w:t>
      </w:r>
    </w:p>
    <w:p>
      <w:pPr>
        <w:spacing w:after="0" w:line="21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PTE</w:t>
      </w:r>
      <w:r>
        <w:rPr>
          <w:rFonts w:ascii="Times New Roman" w:cs="Times New Roman" w:eastAsia="Times New Roman" w:hAnsi="Times New Roman"/>
          <w:sz w:val="21"/>
          <w:szCs w:val="21"/>
          <w:color w:val="auto"/>
        </w:rPr>
        <w:t>” means a prohibited transaction class exemption issued by the U.S. Department of Labor, as any such exemption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82" w:right="339" w:bottom="1440" w:gutter="0" w:footer="0" w:header="0"/>
        </w:sectPr>
      </w:pPr>
    </w:p>
    <w:bookmarkStart w:id="333" w:name="page334"/>
    <w:bookmarkEnd w:id="333"/>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QFC</w:t>
      </w:r>
      <w:r>
        <w:rPr>
          <w:rFonts w:ascii="Times New Roman" w:cs="Times New Roman" w:eastAsia="Times New Roman" w:hAnsi="Times New Roman"/>
          <w:sz w:val="21"/>
          <w:szCs w:val="21"/>
          <w:color w:val="auto"/>
        </w:rPr>
        <w:t>” has the meaning assigned to the term “qualified financial contract” in, and shall be interpreted in accordance with, 12 U.S.C. 5390(c)(8)(D).</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QFC Credit Support</w:t>
      </w:r>
      <w:r>
        <w:rPr>
          <w:rFonts w:ascii="Times New Roman" w:cs="Times New Roman" w:eastAsia="Times New Roman" w:hAnsi="Times New Roman"/>
          <w:sz w:val="21"/>
          <w:szCs w:val="21"/>
          <w:color w:val="auto"/>
        </w:rPr>
        <w:t>” has the meaning assigned to it in Section 12.27.</w:t>
      </w:r>
    </w:p>
    <w:p>
      <w:pPr>
        <w:spacing w:after="0" w:line="230"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Qualified Institution</w:t>
      </w:r>
      <w:r>
        <w:rPr>
          <w:rFonts w:ascii="Times New Roman" w:cs="Times New Roman" w:eastAsia="Times New Roman" w:hAnsi="Times New Roman"/>
          <w:sz w:val="21"/>
          <w:szCs w:val="21"/>
          <w:color w:val="auto"/>
        </w:rPr>
        <w:t>” means a Bank, or one or more banks, finance companies, insurance or other financial institutions which (A) has (or, in the case of a banking institution which is a subsidiary, such banking institution’s parent has) a rating of its senior debt obligations of not less than BBB+ by S&amp;P or Baal by Moody’s or a comparable rating by a rating agency reasonably acceptable to the Administrative Agent and (B) has (or, in the case of a banking institution which is a subsidiary, such banking institution’s parent has) total assets in excess of Ten Billion Dollars ($10,000,000,000), but shall exclude any natural person, any Defaulting Lender and the Borrower or any of its Affiliates.</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Ratable Loan</w:t>
      </w:r>
      <w:r>
        <w:rPr>
          <w:rFonts w:ascii="Times New Roman" w:cs="Times New Roman" w:eastAsia="Times New Roman" w:hAnsi="Times New Roman"/>
          <w:sz w:val="21"/>
          <w:szCs w:val="21"/>
          <w:color w:val="auto"/>
        </w:rPr>
        <w:t>” has the meaning specified in Section 2.01(b).</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Ratable Loan Note</w:t>
      </w:r>
      <w:r>
        <w:rPr>
          <w:rFonts w:ascii="Times New Roman" w:cs="Times New Roman" w:eastAsia="Times New Roman" w:hAnsi="Times New Roman"/>
          <w:sz w:val="21"/>
          <w:szCs w:val="21"/>
          <w:color w:val="auto"/>
        </w:rPr>
        <w:t>” has the meaning specified in Section 2.09.</w:t>
      </w:r>
    </w:p>
    <w:p>
      <w:pPr>
        <w:spacing w:after="0" w:line="217"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Real Property Asset</w:t>
      </w:r>
      <w:r>
        <w:rPr>
          <w:rFonts w:ascii="Times New Roman" w:cs="Times New Roman" w:eastAsia="Times New Roman" w:hAnsi="Times New Roman"/>
          <w:sz w:val="21"/>
          <w:szCs w:val="21"/>
          <w:color w:val="auto"/>
        </w:rPr>
        <w:t>” means an asset from which income is, or upon completion expected by the Borrower to be, derived predominantly from contractual rent payments under leases with unaffiliated third party tenants, hotel operations, tradeshow operations, signage or leasing commissions and management and development fees, and shall include those investments in mortgages and mortgage participations owned by the Borrower as to which the Borrower has demonstrated to the Administrative Agent, in the Administrative Agent’s reasonable discretion, that Borrower has control of the decision-making functions of management and leasing of such mortgaged properties, has control of the economic benefits of such mortgaged properties, and holds the right to acquire such mortgaged properties.</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Real Property Business</w:t>
      </w:r>
      <w:r>
        <w:rPr>
          <w:rFonts w:ascii="Times New Roman" w:cs="Times New Roman" w:eastAsia="Times New Roman" w:hAnsi="Times New Roman"/>
          <w:sz w:val="21"/>
          <w:szCs w:val="21"/>
          <w:color w:val="auto"/>
        </w:rPr>
        <w:t>” means a Consolidated Business or UJV that owns primarily Real Property Assets.</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Real Property UJV</w:t>
      </w:r>
      <w:r>
        <w:rPr>
          <w:rFonts w:ascii="Times New Roman" w:cs="Times New Roman" w:eastAsia="Times New Roman" w:hAnsi="Times New Roman"/>
          <w:sz w:val="21"/>
          <w:szCs w:val="21"/>
          <w:color w:val="auto"/>
        </w:rPr>
        <w:t>” means a UJV that is a Real Property Business.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Recipient</w:t>
      </w:r>
      <w:r>
        <w:rPr>
          <w:rFonts w:ascii="Times New Roman" w:cs="Times New Roman" w:eastAsia="Times New Roman" w:hAnsi="Times New Roman"/>
          <w:sz w:val="21"/>
          <w:szCs w:val="21"/>
          <w:color w:val="auto"/>
        </w:rPr>
        <w:t>” means the Administrative Agent, any Bank and any Fronting Bank, as applicable.</w:t>
      </w:r>
    </w:p>
    <w:p>
      <w:pPr>
        <w:spacing w:after="0" w:line="217"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Recourse</w:t>
      </w:r>
      <w:r>
        <w:rPr>
          <w:rFonts w:ascii="Times New Roman" w:cs="Times New Roman" w:eastAsia="Times New Roman" w:hAnsi="Times New Roman"/>
          <w:sz w:val="21"/>
          <w:szCs w:val="21"/>
          <w:color w:val="auto"/>
        </w:rPr>
        <w:t>” means, with reference to any obligation or liability, any liability or obligation that is not Without Recourse to the obligor thereunder, directly or indirectly. For purposes hereof, a Person shall not be deemed to be “indirectly” liable for the liabilities or obligations of an obligor solely by reason of the fact that such Person has an ownership interest in such obligor, provided that such Person is not otherwise legally liable, directly or indirectly, for such obligor’s liabilities or obligations (e.g. by reason of a guaranty or contribution obligation, by operation of law or by reason of such Person being a general partner of such obligor). A guaranty of Debt issued by Borrower or General Partner (as distinguished from a Subsidiary) shall be Recourse, but a guaranty for completion of improvements, a carry guaranty and a recourse carve-out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383" w:right="339" w:bottom="1440" w:gutter="0" w:footer="0" w:header="0"/>
        </w:sectPr>
      </w:pPr>
    </w:p>
    <w:bookmarkStart w:id="334" w:name="page335"/>
    <w:bookmarkEnd w:id="334"/>
    <w:p>
      <w:pPr>
        <w:spacing w:after="0" w:line="280" w:lineRule="auto"/>
        <w:rPr>
          <w:sz w:val="20"/>
          <w:szCs w:val="20"/>
          <w:color w:val="auto"/>
        </w:rPr>
      </w:pPr>
      <w:r>
        <w:rPr>
          <w:rFonts w:ascii="Times New Roman" w:cs="Times New Roman" w:eastAsia="Times New Roman" w:hAnsi="Times New Roman"/>
          <w:sz w:val="21"/>
          <w:szCs w:val="21"/>
          <w:color w:val="auto"/>
        </w:rPr>
        <w:t>guaranty customarily given in connection with Debt shall be deemed Without Recourse, unless and except to the extent of a claim made under such guaranty that remains unpaid.</w:t>
      </w:r>
    </w:p>
    <w:p>
      <w:pPr>
        <w:spacing w:after="0" w:line="144"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Reference Time</w:t>
      </w:r>
      <w:r>
        <w:rPr>
          <w:rFonts w:ascii="Times New Roman" w:cs="Times New Roman" w:eastAsia="Times New Roman" w:hAnsi="Times New Roman"/>
          <w:sz w:val="21"/>
          <w:szCs w:val="21"/>
          <w:color w:val="auto"/>
        </w:rPr>
        <w:t>” with respect to any setting of the then-current Benchmark means (1) if such Benchmark is the Term SOFR Rate, 5:00 a.m. (Chicago time) on the day that is two U.S. Government Securities Business Days preceding the date of such setting,</w:t>
      </w:r>
    </w:p>
    <w:p>
      <w:pPr>
        <w:spacing w:after="0" w:line="2" w:lineRule="exact"/>
        <w:rPr>
          <w:sz w:val="20"/>
          <w:szCs w:val="20"/>
          <w:color w:val="auto"/>
        </w:rPr>
      </w:pPr>
    </w:p>
    <w:p>
      <w:pPr>
        <w:ind w:firstLine="5"/>
        <w:spacing w:after="0" w:line="256" w:lineRule="auto"/>
        <w:tabs>
          <w:tab w:leader="none" w:pos="307"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RFR for such Benchmark is Daily Effective SOFR </w:t>
      </w:r>
      <w:r>
        <w:rPr>
          <w:rFonts w:ascii="Times New Roman" w:cs="Times New Roman" w:eastAsia="Times New Roman" w:hAnsi="Times New Roman"/>
          <w:sz w:val="21"/>
          <w:szCs w:val="21"/>
          <w:u w:val="single" w:color="auto"/>
          <w:color w:val="0E32E1"/>
        </w:rPr>
        <w:t>Rate</w:t>
      </w:r>
      <w:r>
        <w:rPr>
          <w:rFonts w:ascii="Times New Roman" w:cs="Times New Roman" w:eastAsia="Times New Roman" w:hAnsi="Times New Roman"/>
          <w:sz w:val="21"/>
          <w:szCs w:val="21"/>
          <w:color w:val="auto"/>
        </w:rPr>
        <w:t xml:space="preserve">, then the date of such setting or (3) if such Benchmark is none of the Term SOFR Rate or Daily Effective SOFR </w:t>
      </w:r>
      <w:r>
        <w:rPr>
          <w:rFonts w:ascii="Times New Roman" w:cs="Times New Roman" w:eastAsia="Times New Roman" w:hAnsi="Times New Roman"/>
          <w:sz w:val="21"/>
          <w:szCs w:val="21"/>
          <w:u w:val="single" w:color="auto"/>
          <w:color w:val="0E32E1"/>
        </w:rPr>
        <w:t>Rate</w:t>
      </w:r>
      <w:r>
        <w:rPr>
          <w:rFonts w:ascii="Times New Roman" w:cs="Times New Roman" w:eastAsia="Times New Roman" w:hAnsi="Times New Roman"/>
          <w:sz w:val="21"/>
          <w:szCs w:val="21"/>
          <w:color w:val="auto"/>
        </w:rPr>
        <w:t>, the time determined by the Administrative Agent in its reasonable discretion.</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Refinancing Mortgage</w:t>
      </w:r>
      <w:r>
        <w:rPr>
          <w:rFonts w:ascii="Times New Roman" w:cs="Times New Roman" w:eastAsia="Times New Roman" w:hAnsi="Times New Roman"/>
          <w:sz w:val="21"/>
          <w:szCs w:val="21"/>
          <w:color w:val="auto"/>
        </w:rPr>
        <w:t>” has the meaning specified in Section 12.21.</w:t>
      </w:r>
    </w:p>
    <w:p>
      <w:pPr>
        <w:spacing w:after="0" w:line="217"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 D</w:t>
      </w:r>
      <w:r>
        <w:rPr>
          <w:rFonts w:ascii="Times New Roman" w:cs="Times New Roman" w:eastAsia="Times New Roman" w:hAnsi="Times New Roman"/>
          <w:sz w:val="21"/>
          <w:szCs w:val="21"/>
          <w:color w:val="auto"/>
        </w:rPr>
        <w:t>” means Regulation D of the Board of Governors of the Federal Reserve System, as the same may be amended or supplemented from time to time, or any similar Law from time to time in effect.</w:t>
      </w:r>
    </w:p>
    <w:p>
      <w:pPr>
        <w:spacing w:after="0" w:line="131"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 U</w:t>
      </w:r>
      <w:r>
        <w:rPr>
          <w:rFonts w:ascii="Times New Roman" w:cs="Times New Roman" w:eastAsia="Times New Roman" w:hAnsi="Times New Roman"/>
          <w:sz w:val="21"/>
          <w:szCs w:val="21"/>
          <w:color w:val="auto"/>
        </w:rPr>
        <w:t>” means Regulation U of the Board of Governors of the Federal Reserve System, as the same may be amended or supplemented from time to time, or any similar Law from time to time in effect.</w:t>
      </w:r>
    </w:p>
    <w:p>
      <w:pPr>
        <w:spacing w:after="0" w:line="144"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Regulatory Change</w:t>
      </w:r>
      <w:r>
        <w:rPr>
          <w:rFonts w:ascii="Times New Roman" w:cs="Times New Roman" w:eastAsia="Times New Roman" w:hAnsi="Times New Roman"/>
          <w:sz w:val="21"/>
          <w:szCs w:val="21"/>
          <w:color w:val="auto"/>
        </w:rPr>
        <w:t xml:space="preserve">” means the occurrence after the date of this Agreement or, with respect to any Bank, such later date on which such Bank becomes a party to this Agreement, of (a) the adoption of or taking effect of any law, rule, regulation or treaty, (b) any change in any law, rule, regulation or treaty or in the interpretation or application thereof by any Governmental Authority or (c) compliance by any Bank or any Fronting Bank (or, for purposes of Section 3.06, by any lending office of such Bank or by such Bank's or such Fronting Bank's holding company, if any) with any request, guideline or directive (whether or not having the force of law) of any Governmental Authority made or issued after the date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“Regulatory Change,” regardless of the date enacted, adopted or issued, provided, however, that if the applicable Bank shall have implemented changes prior to the Execution Date in response to any such requests, rules, guidelines or directives, then the same shall not be deemed to be a Regulatory Change with respect to such Bank.</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REIT</w:t>
      </w:r>
      <w:r>
        <w:rPr>
          <w:rFonts w:ascii="Times New Roman" w:cs="Times New Roman" w:eastAsia="Times New Roman" w:hAnsi="Times New Roman"/>
          <w:sz w:val="21"/>
          <w:szCs w:val="21"/>
          <w:color w:val="auto"/>
        </w:rPr>
        <w:t>” means a “real estate investment trust,” as such term is defined in Section 856 of the Code.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Documents</w:t>
      </w:r>
      <w:r>
        <w:rPr>
          <w:rFonts w:ascii="Times New Roman" w:cs="Times New Roman" w:eastAsia="Times New Roman" w:hAnsi="Times New Roman"/>
          <w:sz w:val="21"/>
          <w:szCs w:val="21"/>
          <w:color w:val="auto"/>
        </w:rPr>
        <w:t>” has the meaning specified in Section 11.02.</w:t>
      </w:r>
    </w:p>
    <w:p>
      <w:pPr>
        <w:spacing w:after="0" w:line="21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Governmental Body</w:t>
      </w:r>
      <w:r>
        <w:rPr>
          <w:rFonts w:ascii="Times New Roman" w:cs="Times New Roman" w:eastAsia="Times New Roman" w:hAnsi="Times New Roman"/>
          <w:sz w:val="21"/>
          <w:szCs w:val="21"/>
          <w:color w:val="auto"/>
        </w:rPr>
        <w:t>” means, the Federal Reserve Board and/or the NYFRB, the CME Term SOFR Administrator, as applicable, or a committee officially endorsed or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382" w:right="33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21"/>
          <w:szCs w:val="21"/>
          <w:color w:val="auto"/>
        </w:rPr>
        <w:t>convened by the Federal Reserve Board and/or the NYFRB or, in each case, any successor thereto.</w:t>
      </w:r>
    </w:p>
    <w:p>
      <w:pPr>
        <w:spacing w:after="0" w:line="21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Rate</w:t>
      </w:r>
      <w:r>
        <w:rPr>
          <w:rFonts w:ascii="Times New Roman" w:cs="Times New Roman" w:eastAsia="Times New Roman" w:hAnsi="Times New Roman"/>
          <w:sz w:val="21"/>
          <w:szCs w:val="21"/>
          <w:color w:val="auto"/>
        </w:rPr>
        <w:t>” means (i) with respect to any Term Benchmark Loan, the Adjusted Term SOFR Rate or (ii) with respect to any RFR Loan, the Adjusted Daily Effective SOFR Rate, as applicable.</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Replacement Bank</w:t>
      </w:r>
      <w:r>
        <w:rPr>
          <w:rFonts w:ascii="Times New Roman" w:cs="Times New Roman" w:eastAsia="Times New Roman" w:hAnsi="Times New Roman"/>
          <w:sz w:val="21"/>
          <w:szCs w:val="21"/>
          <w:color w:val="auto"/>
        </w:rPr>
        <w:t>” has the meaning specified in Section 3.07.</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Replacement Notice</w:t>
      </w:r>
      <w:r>
        <w:rPr>
          <w:rFonts w:ascii="Times New Roman" w:cs="Times New Roman" w:eastAsia="Times New Roman" w:hAnsi="Times New Roman"/>
          <w:sz w:val="21"/>
          <w:szCs w:val="21"/>
          <w:color w:val="auto"/>
        </w:rPr>
        <w:t>” has the meaning specified in Section 3.07.</w:t>
      </w:r>
    </w:p>
    <w:p>
      <w:pPr>
        <w:spacing w:after="0" w:line="21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Reportable Event</w:t>
      </w:r>
      <w:r>
        <w:rPr>
          <w:rFonts w:ascii="Times New Roman" w:cs="Times New Roman" w:eastAsia="Times New Roman" w:hAnsi="Times New Roman"/>
          <w:sz w:val="21"/>
          <w:szCs w:val="21"/>
          <w:color w:val="auto"/>
        </w:rPr>
        <w:t>” means any of the events set forth in Section 4043(c) of ERISA, other than those events as to which the thirty (30) day notice period is waived by the PBGC.</w:t>
      </w:r>
    </w:p>
    <w:p>
      <w:pPr>
        <w:spacing w:after="0" w:line="14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Banks</w:t>
      </w:r>
      <w:r>
        <w:rPr>
          <w:rFonts w:ascii="Times New Roman" w:cs="Times New Roman" w:eastAsia="Times New Roman" w:hAnsi="Times New Roman"/>
          <w:sz w:val="21"/>
          <w:szCs w:val="21"/>
          <w:color w:val="auto"/>
        </w:rPr>
        <w:t xml:space="preserve">” means at any time Banks having Loan Commitments and outstanding New Term Loans (if any) aggregating at least 51% of the sum of the Total Loan Commitments plus the outstanding principal amount of the New Term Loans (if any) of all of the Banks (excluding, however, any Defaulting Lender) at such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following the termination of the Loan Commitments, the “Required Banks” shall be the Banks holding at least 51% of the then aggregate unpaid principal amount of the Loans (excluding, however, any Defaulting Lender).</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Payment</w:t>
      </w:r>
      <w:r>
        <w:rPr>
          <w:rFonts w:ascii="Times New Roman" w:cs="Times New Roman" w:eastAsia="Times New Roman" w:hAnsi="Times New Roman"/>
          <w:sz w:val="21"/>
          <w:szCs w:val="21"/>
          <w:color w:val="auto"/>
        </w:rPr>
        <w:t>” has the meaning set forth in Section 10.12.</w:t>
      </w:r>
    </w:p>
    <w:p>
      <w:pPr>
        <w:spacing w:after="0" w:line="217"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Resolution Authority</w:t>
      </w:r>
      <w:r>
        <w:rPr>
          <w:rFonts w:ascii="Times New Roman" w:cs="Times New Roman" w:eastAsia="Times New Roman" w:hAnsi="Times New Roman"/>
          <w:sz w:val="21"/>
          <w:szCs w:val="21"/>
          <w:color w:val="auto"/>
        </w:rPr>
        <w:t>” means an EEA Resolution Authority or, with respect to any UK Financial Institution, a UK Resolution Authority.</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Loan</w:t>
      </w:r>
      <w:r>
        <w:rPr>
          <w:rFonts w:ascii="Times New Roman" w:cs="Times New Roman" w:eastAsia="Times New Roman" w:hAnsi="Times New Roman"/>
          <w:sz w:val="21"/>
          <w:szCs w:val="21"/>
          <w:color w:val="auto"/>
        </w:rPr>
        <w:t>” means a Loan that bears interest at a rate based on the Adjusted Daily Effective SOFR Rate.</w:t>
      </w:r>
    </w:p>
    <w:p>
      <w:pPr>
        <w:spacing w:after="0" w:line="217"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Country</w:t>
      </w:r>
      <w:r>
        <w:rPr>
          <w:rFonts w:ascii="Times New Roman" w:cs="Times New Roman" w:eastAsia="Times New Roman" w:hAnsi="Times New Roman"/>
          <w:sz w:val="21"/>
          <w:szCs w:val="21"/>
          <w:color w:val="auto"/>
        </w:rPr>
        <w:t xml:space="preserve">” means, at any time, a country, region or territory which is itself the subject or target of any Sanctions (at the time of this Agreement, including but not limited to Cuba, the Crimea Region of Ukraine, the so-called Luhansk People’s Republic, the so-called Donetsk People’s Republic, the Kherson and Zaporizhzhia Regions of Ukraine, Iran, </w:t>
      </w:r>
      <w:r>
        <w:rPr>
          <w:rFonts w:ascii="Times New Roman" w:cs="Times New Roman" w:eastAsia="Times New Roman" w:hAnsi="Times New Roman"/>
          <w:sz w:val="21"/>
          <w:szCs w:val="21"/>
          <w:u w:val="single" w:color="auto"/>
          <w:color w:val="0E32E1"/>
        </w:rPr>
        <w:t>and</w:t>
      </w:r>
      <w:r>
        <w:rPr>
          <w:rFonts w:ascii="Times New Roman" w:cs="Times New Roman" w:eastAsia="Times New Roman" w:hAnsi="Times New Roman"/>
          <w:sz w:val="21"/>
          <w:szCs w:val="21"/>
          <w:color w:val="auto"/>
        </w:rPr>
        <w:t xml:space="preserve"> North Korea </w:t>
      </w:r>
      <w:r>
        <w:rPr>
          <w:rFonts w:ascii="Times New Roman" w:cs="Times New Roman" w:eastAsia="Times New Roman" w:hAnsi="Times New Roman"/>
          <w:sz w:val="21"/>
          <w:szCs w:val="21"/>
          <w:color w:val="EE2724"/>
          <w:strike w:val="1"/>
        </w:rPr>
        <w:t>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EE2724"/>
          <w:strike w:val="1"/>
        </w:rPr>
        <w:t>Syria</w:t>
      </w:r>
      <w:r>
        <w:rPr>
          <w:rFonts w:ascii="Times New Roman" w:cs="Times New Roman" w:eastAsia="Times New Roman" w:hAnsi="Times New Roman"/>
          <w:sz w:val="21"/>
          <w:szCs w:val="21"/>
          <w:color w:val="000000"/>
        </w:rPr>
        <w:t>).</w:t>
      </w:r>
    </w:p>
    <w:p>
      <w:pPr>
        <w:spacing w:after="0" w:line="16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Person</w:t>
      </w:r>
      <w:r>
        <w:rPr>
          <w:rFonts w:ascii="Times New Roman" w:cs="Times New Roman" w:eastAsia="Times New Roman" w:hAnsi="Times New Roman"/>
          <w:sz w:val="21"/>
          <w:szCs w:val="21"/>
          <w:color w:val="auto"/>
        </w:rPr>
        <w:t>” means, at any time, (a) any Person listed in any Sanctions-related list of designated Persons maintained by the U.S. Government, including by OFAC or the U.S. Department of State, or by the United Nations Security Council, the European Union, any European Union member state, His Majesty’s Treasury of the United Kingdom or any other relevant sanctions authority, (b) any Person operating, organized or resident in a Sanctioned Country, (c) any Person owned or controlled by any such Person or Persons described in the foregoing clauses (a) or (b), or (d) any Person otherwise the subject of Sanctions.</w:t>
      </w:r>
    </w:p>
    <w:p>
      <w:pPr>
        <w:spacing w:after="0" w:line="169"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means economic or financial sanctions, trade embargoes or similar restrictions imposed, administered or enforced from time to time by (a) the U.S. government, including those administered by OFAC or the U.S. Department of State, or (b) the United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382" w:right="339" w:bottom="1440" w:gutter="0" w:footer="0" w:header="0"/>
        </w:sectPr>
      </w:pPr>
    </w:p>
    <w:bookmarkStart w:id="336" w:name="page337"/>
    <w:bookmarkEnd w:id="336"/>
    <w:p>
      <w:pPr>
        <w:jc w:val="both"/>
        <w:spacing w:after="0" w:line="280" w:lineRule="auto"/>
        <w:rPr>
          <w:sz w:val="20"/>
          <w:szCs w:val="20"/>
          <w:color w:val="auto"/>
        </w:rPr>
      </w:pPr>
      <w:r>
        <w:rPr>
          <w:rFonts w:ascii="Times New Roman" w:cs="Times New Roman" w:eastAsia="Times New Roman" w:hAnsi="Times New Roman"/>
          <w:sz w:val="21"/>
          <w:szCs w:val="21"/>
          <w:color w:val="auto"/>
        </w:rPr>
        <w:t>Nations Security Council, the European Union, any European Union member state, His Majesty’s Treasury of the United Kingdom or other relevant sanctions authority.</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United States Securities and Exchange Commission.</w:t>
      </w:r>
    </w:p>
    <w:p>
      <w:pPr>
        <w:spacing w:after="0" w:line="230"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 Reports</w:t>
      </w:r>
      <w:r>
        <w:rPr>
          <w:rFonts w:ascii="Times New Roman" w:cs="Times New Roman" w:eastAsia="Times New Roman" w:hAnsi="Times New Roman"/>
          <w:sz w:val="21"/>
          <w:szCs w:val="21"/>
          <w:color w:val="auto"/>
        </w:rPr>
        <w:t>” means the reports required to be delivered to the Securities and Exchange Commission pursuant to the Securities Exchange Act of 1934, as amended.</w:t>
      </w:r>
    </w:p>
    <w:p>
      <w:pPr>
        <w:spacing w:after="0" w:line="14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Indebtedness</w:t>
      </w:r>
      <w:r>
        <w:rPr>
          <w:rFonts w:ascii="Times New Roman" w:cs="Times New Roman" w:eastAsia="Times New Roman" w:hAnsi="Times New Roman"/>
          <w:sz w:val="21"/>
          <w:szCs w:val="21"/>
          <w:color w:val="auto"/>
        </w:rPr>
        <w:t>” means, at any time, that portion of Total Outstanding Indebtedness that is not Unsecured Indebtedness.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Indebtedness Adjustment</w:t>
      </w:r>
      <w:r>
        <w:rPr>
          <w:rFonts w:ascii="Times New Roman" w:cs="Times New Roman" w:eastAsia="Times New Roman" w:hAnsi="Times New Roman"/>
          <w:sz w:val="21"/>
          <w:szCs w:val="21"/>
          <w:color w:val="auto"/>
        </w:rPr>
        <w:t>” has the meaning set forth in Section 8.07.</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w:t>
      </w:r>
      <w:r>
        <w:rPr>
          <w:rFonts w:ascii="Times New Roman" w:cs="Times New Roman" w:eastAsia="Times New Roman" w:hAnsi="Times New Roman"/>
          <w:sz w:val="21"/>
          <w:szCs w:val="21"/>
          <w:color w:val="auto"/>
        </w:rPr>
        <w:t>” has the meaning set forth in Section 2.16(c).</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w:t>
      </w:r>
      <w:r>
        <w:rPr>
          <w:rFonts w:ascii="Times New Roman" w:cs="Times New Roman" w:eastAsia="Times New Roman" w:hAnsi="Times New Roman"/>
          <w:sz w:val="21"/>
          <w:szCs w:val="21"/>
          <w:color w:val="auto"/>
        </w:rPr>
        <w:t>” means a rate equal to the secured overnight financing rate as administered by the SOFR Administrator.</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means the NYFRB (or a successor administrator of the secured overnight financing rate).</w:t>
      </w:r>
    </w:p>
    <w:p>
      <w:pPr>
        <w:spacing w:after="0" w:line="21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Administrator’s Website</w:t>
      </w:r>
      <w:r>
        <w:rPr>
          <w:rFonts w:ascii="Times New Roman" w:cs="Times New Roman" w:eastAsia="Times New Roman" w:hAnsi="Times New Roman"/>
          <w:sz w:val="21"/>
          <w:szCs w:val="21"/>
          <w:color w:val="auto"/>
        </w:rPr>
        <w:t>” means the NYFRB’s website, currently at http://www.newyorkfed.org, or any successor source for the secured overnight financing rate identified as such by the SOFR Administrator from time to time.</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Rate Day</w:t>
      </w:r>
      <w:r>
        <w:rPr>
          <w:rFonts w:ascii="Times New Roman" w:cs="Times New Roman" w:eastAsia="Times New Roman" w:hAnsi="Times New Roman"/>
          <w:sz w:val="21"/>
          <w:szCs w:val="21"/>
          <w:color w:val="auto"/>
        </w:rPr>
        <w:t xml:space="preserve">” has the meaning specified in the definition of “Daily Effective SOFR </w:t>
      </w:r>
      <w:r>
        <w:rPr>
          <w:rFonts w:ascii="Times New Roman" w:cs="Times New Roman" w:eastAsia="Times New Roman" w:hAnsi="Times New Roman"/>
          <w:sz w:val="21"/>
          <w:szCs w:val="21"/>
          <w:u w:val="single" w:color="auto"/>
          <w:color w:val="0E32E1"/>
        </w:rPr>
        <w:t>Rate</w:t>
      </w:r>
      <w:r>
        <w:rPr>
          <w:rFonts w:ascii="Times New Roman" w:cs="Times New Roman" w:eastAsia="Times New Roman" w:hAnsi="Times New Roman"/>
          <w:sz w:val="21"/>
          <w:szCs w:val="21"/>
          <w:color w:val="auto"/>
        </w:rPr>
        <w:t>”.</w:t>
      </w:r>
    </w:p>
    <w:p>
      <w:pPr>
        <w:spacing w:after="0" w:line="230"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Solvency Certificate</w:t>
      </w:r>
      <w:r>
        <w:rPr>
          <w:rFonts w:ascii="Times New Roman" w:cs="Times New Roman" w:eastAsia="Times New Roman" w:hAnsi="Times New Roman"/>
          <w:sz w:val="21"/>
          <w:szCs w:val="21"/>
          <w:color w:val="auto"/>
        </w:rPr>
        <w:t>” means a certificate in substantially the form of EXHIBIT D, to be delivered by Borrower pursuant to the terms of this Agreement.</w:t>
      </w:r>
    </w:p>
    <w:p>
      <w:pPr>
        <w:spacing w:after="0" w:line="144"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Solvent</w:t>
      </w:r>
      <w:r>
        <w:rPr>
          <w:rFonts w:ascii="Times New Roman" w:cs="Times New Roman" w:eastAsia="Times New Roman" w:hAnsi="Times New Roman"/>
          <w:sz w:val="21"/>
          <w:szCs w:val="21"/>
          <w:color w:val="auto"/>
        </w:rPr>
        <w:t>” means, when used with respect to any Person, that (1) the fair value of the property of such Person, on a going concern basis, is greater than the total amount of liabilities (including, without limitation, contingent liabilities) of such Person; (2) the present fair saleable value of the assets of such Person, on a going concern basis, is not less than the amount that will be required to pay the probable liabilities of such Person on its debts as they become absolute and matured; (3) such Person does not intend to, and does not believe that it will, incur debts or liabilities beyond such Person’s ability to pay as such debts and liabilities mature; (4)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and (5) such Person has sufficient resources, provided that such resources are prudently utilized, to satisfy all of such Person’s obligations. Contingent liabilities will be computed at the amount that, in light of all the facts and circumstances existing at such time, represents the amount that can reasonably be expected to become an actual or matured liability.</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S&amp;P</w:t>
      </w:r>
      <w:r>
        <w:rPr>
          <w:rFonts w:ascii="Times New Roman" w:cs="Times New Roman" w:eastAsia="Times New Roman" w:hAnsi="Times New Roman"/>
          <w:sz w:val="21"/>
          <w:szCs w:val="21"/>
          <w:color w:val="auto"/>
        </w:rPr>
        <w:t>” means S&amp;P Global Ratings and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382" w:right="339" w:bottom="1440" w:gutter="0" w:footer="0" w:header="0"/>
        </w:sectPr>
      </w:pPr>
    </w:p>
    <w:bookmarkStart w:id="337" w:name="page338"/>
    <w:bookmarkEnd w:id="337"/>
    <w:p>
      <w:pPr>
        <w:jc w:val="both"/>
        <w:ind w:firstLine="629"/>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for Sustainability Reporting</w:t>
      </w:r>
      <w:r>
        <w:rPr>
          <w:rFonts w:ascii="Times New Roman" w:cs="Times New Roman" w:eastAsia="Times New Roman" w:hAnsi="Times New Roman"/>
          <w:sz w:val="20"/>
          <w:szCs w:val="20"/>
          <w:color w:val="auto"/>
        </w:rPr>
        <w:t>” means the Global Reporting Initiative; provided, that Borrower may, by written notice to Administrative Agent, adopt a new Standard for Sustainability Reporting in connection with Borrower’s compliance with any rules, regulations or guidance promulgated by the SEC or any other Governmental Authority with respect to sustainability reporting.</w:t>
      </w:r>
    </w:p>
    <w:p>
      <w:pPr>
        <w:spacing w:after="0" w:line="156"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with respect to any Person, a corporation, partnership, joint venture, limited liability company or other entity, fifty percent (50%) or more of the outstanding voting stock, partnership interests or membership interests, as the case may be, of which are owned, directly or indirectly, by that Person or by one or more other Subsidiaries of that Person and over which that Person or one or more other Subsidiaries of that Person exercise sole control. For the purposes of this definition, “voting stock” means stock having voting power for the election of directors or trustees, as the case may be, whether at all times or only so long as no senior class of stock has voting power for the election of directors or trustees by reason of any contingency, and “control” means the power to direct the management and policies of a Person, directly or indirectly, whether through the ownership of voting securities, by contract or otherwise.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Supported QFC</w:t>
      </w:r>
      <w:r>
        <w:rPr>
          <w:rFonts w:ascii="Times New Roman" w:cs="Times New Roman" w:eastAsia="Times New Roman" w:hAnsi="Times New Roman"/>
          <w:sz w:val="21"/>
          <w:szCs w:val="21"/>
          <w:color w:val="auto"/>
        </w:rPr>
        <w:t>” has the meaning assigned to it in Section 12.27.</w:t>
      </w:r>
    </w:p>
    <w:p>
      <w:pPr>
        <w:spacing w:after="0" w:line="217"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Assurance Provider</w:t>
      </w:r>
      <w:r>
        <w:rPr>
          <w:rFonts w:ascii="Times New Roman" w:cs="Times New Roman" w:eastAsia="Times New Roman" w:hAnsi="Times New Roman"/>
          <w:sz w:val="21"/>
          <w:szCs w:val="21"/>
          <w:color w:val="auto"/>
        </w:rPr>
        <w:t>” means a qualified external reviewer, independent of the Borrower and its Subsidiaries, with relevant expertise, such as an auditor, environmental consultant and/or independent ratings agency of recognized national standing that shall apply auditing standards and methodology consistent with the Standard for Sustainability Reporting. As of the date hereof, the term Sustainability Assurance Provider means Deloitte &amp; Touche LLP; provided that a replacement sustainability assurance provider may be designated from time to time by the Borrower if any such replacement Sustainability Assurance Provider</w:t>
      </w:r>
    </w:p>
    <w:p>
      <w:pPr>
        <w:spacing w:after="0" w:line="4" w:lineRule="exact"/>
        <w:rPr>
          <w:sz w:val="20"/>
          <w:szCs w:val="20"/>
          <w:color w:val="auto"/>
        </w:rPr>
      </w:pPr>
    </w:p>
    <w:p>
      <w:pPr>
        <w:jc w:val="both"/>
        <w:ind w:firstLine="5"/>
        <w:spacing w:after="0" w:line="251" w:lineRule="auto"/>
        <w:tabs>
          <w:tab w:leader="none" w:pos="306"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(i) a qualified external reviewer, independent of the Borrower and its Subsidiaries, with relevant expertise, such as an auditor, environmental consultant and/or independent ratings agency of recognized national standing or (ii) another firm designated by the Borrower and reasonably approved by the Administrative Agent, and (b) shall apply substantially the same auditing standards and methodology used in the most recently delivered KPI Metrics Report, except for any changes to such standards and/or methodology that (i) are consistent with then generally accepted industry standards or SEC requirements or (ii) if not so consistent, are proposed by the Borrower and reasonably approved by the Administrative Agent.</w:t>
      </w:r>
    </w:p>
    <w:p>
      <w:pPr>
        <w:spacing w:after="0" w:line="177"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Facility Fee Adjustment</w:t>
      </w:r>
      <w:r>
        <w:rPr>
          <w:rFonts w:ascii="Times New Roman" w:cs="Times New Roman" w:eastAsia="Times New Roman" w:hAnsi="Times New Roman"/>
          <w:sz w:val="21"/>
          <w:szCs w:val="21"/>
          <w:color w:val="auto"/>
        </w:rPr>
        <w:t>” means, with respect to any KPI Metrics Report, for any period between Sustainability Pricing Adjustment Dates, an amount (whether positive, negative or zero), expressed as a percentage, equal to the KPI Facility Fee Adjustment Amount (whether positive, negative or zero) for such period.</w:t>
      </w:r>
    </w:p>
    <w:p>
      <w:pPr>
        <w:spacing w:after="0" w:line="15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Margin Adjustment</w:t>
      </w:r>
      <w:r>
        <w:rPr>
          <w:rFonts w:ascii="Times New Roman" w:cs="Times New Roman" w:eastAsia="Times New Roman" w:hAnsi="Times New Roman"/>
          <w:sz w:val="21"/>
          <w:szCs w:val="21"/>
          <w:color w:val="auto"/>
        </w:rPr>
        <w:t>” means, with respect to any KPI Metrics Report, for any period between Sustainability Pricing Adjustment Dates, an amount (whether positive, negative or zero), expressed as a percentage, equal to the KPI Applicable Margin Adjustment Amount (whether positive, negative or zero) for such period.</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u w:val="single" w:color="auto"/>
          <w:color w:val="auto"/>
        </w:rPr>
        <w:t>Sustainability Pricing Adjustment Date</w:t>
      </w:r>
      <w:r>
        <w:rPr>
          <w:rFonts w:ascii="Times New Roman" w:cs="Times New Roman" w:eastAsia="Times New Roman" w:hAnsi="Times New Roman"/>
          <w:sz w:val="21"/>
          <w:szCs w:val="21"/>
          <w:color w:val="auto"/>
        </w:rPr>
        <w:t>” has the meaning specified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1.08(a)</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382" w:right="339" w:bottom="1440" w:gutter="0" w:footer="0" w:header="0"/>
        </w:sectPr>
      </w:pPr>
    </w:p>
    <w:bookmarkStart w:id="338" w:name="page339"/>
    <w:bookmarkEnd w:id="338"/>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Recalculation Event</w:t>
      </w:r>
      <w:r>
        <w:rPr>
          <w:rFonts w:ascii="Times New Roman" w:cs="Times New Roman" w:eastAsia="Times New Roman" w:hAnsi="Times New Roman"/>
          <w:sz w:val="21"/>
          <w:szCs w:val="21"/>
          <w:color w:val="auto"/>
        </w:rPr>
        <w:t>” means (i) any acquisition, disposition, merger or similar transaction or series of related transactions consummated by the Borrower and its Subsidiaries (otherwise in accordance with the provisions of this Agreement) whereby, as a result of the consummation of such transaction or series of related transactions the KPI would reasonably be expected to be (as determined in good faith by the Borrower), or shall be, increased or decreased by 5% or more (on a consolidated basis) as compared to the KPI in effect immediately prior to the consummation of such transaction or (ii) any change or anticipated change in Law (including rules, regulations and guidance promulgated by the SEC or any other Governmental Authority) applicable to any party hereto the result of which shall (A) prohibit or limit the use of the KPI hereunder, (B) prohibit or modify any sustainability calculation hereunder in any material respect or cause any other violation of any sustainability provision hereunder, or impose or modify any reporting obligation in respect thereof, (C) cause the Borrower to fail to attain or maintain the KPI or target or threshold with respect thereto or (D) prohibit or otherwise limit such party’s ability to make or maintain the Loans hereunder after applying the sustainability provisions hereunder.</w:t>
      </w:r>
    </w:p>
    <w:p>
      <w:pPr>
        <w:spacing w:after="0" w:line="173"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Report</w:t>
      </w:r>
      <w:r>
        <w:rPr>
          <w:rFonts w:ascii="Times New Roman" w:cs="Times New Roman" w:eastAsia="Times New Roman" w:hAnsi="Times New Roman"/>
          <w:sz w:val="21"/>
          <w:szCs w:val="21"/>
          <w:color w:val="auto"/>
        </w:rPr>
        <w:t>” means the annual non-financial disclosure report prepared in accordance with the Standard for Sustainability Reporting publicly reported by the Borrower and published on an Internet or intranet website to which each Bank and the Administrative Agent have been granted access free of charge (or at the expense of the Borrower), it being understood and agreed that the applicable Sustainability Report shall be such disclosure report as in effect and available on the date of delivery of the applicable Pricing Certificate.</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Table</w:t>
      </w:r>
      <w:r>
        <w:rPr>
          <w:rFonts w:ascii="Times New Roman" w:cs="Times New Roman" w:eastAsia="Times New Roman" w:hAnsi="Times New Roman"/>
          <w:sz w:val="21"/>
          <w:szCs w:val="21"/>
          <w:color w:val="auto"/>
        </w:rPr>
        <w:t xml:space="preserve">” means the Sustainability Table set forth on </w:t>
      </w:r>
      <w:r>
        <w:rPr>
          <w:rFonts w:ascii="Times New Roman" w:cs="Times New Roman" w:eastAsia="Times New Roman" w:hAnsi="Times New Roman"/>
          <w:sz w:val="21"/>
          <w:szCs w:val="21"/>
          <w:u w:val="single" w:color="auto"/>
          <w:color w:val="auto"/>
        </w:rPr>
        <w:t>Schedule 4</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Benchmark</w:t>
      </w:r>
      <w:r>
        <w:rPr>
          <w:rFonts w:ascii="Times New Roman" w:cs="Times New Roman" w:eastAsia="Times New Roman" w:hAnsi="Times New Roman"/>
          <w:sz w:val="21"/>
          <w:szCs w:val="21"/>
          <w:color w:val="auto"/>
        </w:rPr>
        <w:t>” when used in reference to any Loan, refers to whether such Loan is bearing interest at a rate determined by reference to the Adjusted Term SOFR Rate.</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has the meaning assigned to it under the definition of Term SOFR Reference Rate.</w:t>
      </w:r>
    </w:p>
    <w:p>
      <w:pPr>
        <w:spacing w:after="0" w:line="217"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Rate</w:t>
      </w:r>
      <w:r>
        <w:rPr>
          <w:rFonts w:ascii="Times New Roman" w:cs="Times New Roman" w:eastAsia="Times New Roman" w:hAnsi="Times New Roman"/>
          <w:sz w:val="21"/>
          <w:szCs w:val="21"/>
          <w:color w:val="auto"/>
        </w:rPr>
        <w:t>” means, with respect to any Term Benchmark Loan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6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Reference Rate</w:t>
      </w:r>
      <w:r>
        <w:rPr>
          <w:rFonts w:ascii="Times New Roman" w:cs="Times New Roman" w:eastAsia="Times New Roman" w:hAnsi="Times New Roman"/>
          <w:sz w:val="21"/>
          <w:szCs w:val="21"/>
          <w:color w:val="auto"/>
        </w:rPr>
        <w:t>” means, for any day and time (such day, the “</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with respect to any Term Benchmark Loan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382" w:right="339" w:bottom="1440" w:gutter="0" w:footer="0" w:header="0"/>
        </w:sectPr>
      </w:pPr>
    </w:p>
    <w:bookmarkStart w:id="339" w:name="page340"/>
    <w:bookmarkEnd w:id="339"/>
    <w:p>
      <w:pPr>
        <w:jc w:val="both"/>
        <w:spacing w:after="0" w:line="258" w:lineRule="auto"/>
        <w:rPr>
          <w:sz w:val="20"/>
          <w:szCs w:val="20"/>
          <w:color w:val="auto"/>
        </w:rPr>
      </w:pPr>
      <w:r>
        <w:rPr>
          <w:rFonts w:ascii="Times New Roman" w:cs="Times New Roman" w:eastAsia="Times New Roman" w:hAnsi="Times New Roman"/>
          <w:sz w:val="21"/>
          <w:szCs w:val="21"/>
          <w:color w:val="auto"/>
        </w:rPr>
        <w:t>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Banking Days prior to such Term SOFR Determination Day.</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Loan Commitment</w:t>
      </w:r>
      <w:r>
        <w:rPr>
          <w:rFonts w:ascii="Times New Roman" w:cs="Times New Roman" w:eastAsia="Times New Roman" w:hAnsi="Times New Roman"/>
          <w:sz w:val="21"/>
          <w:szCs w:val="21"/>
          <w:color w:val="auto"/>
        </w:rPr>
        <w:t>” means an amount equal to the aggregate amount of all Loan Commitments.</w:t>
      </w:r>
    </w:p>
    <w:p>
      <w:pPr>
        <w:spacing w:after="0" w:line="217"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Outstanding Indebtedness</w:t>
      </w:r>
      <w:r>
        <w:rPr>
          <w:rFonts w:ascii="Times New Roman" w:cs="Times New Roman" w:eastAsia="Times New Roman" w:hAnsi="Times New Roman"/>
          <w:sz w:val="21"/>
          <w:szCs w:val="21"/>
          <w:color w:val="auto"/>
        </w:rPr>
        <w:t>” means, at any time, without duplication, the sum of Debt of the Borrower, the Borrower’s Pro Rata Share of Debt in respect of Consolidated Businesses, and any Debt of UJVs to the extent Recourse to the Borrower, as determined on a consolidated basis in accordance with GAAP.</w:t>
      </w:r>
    </w:p>
    <w:p>
      <w:pPr>
        <w:spacing w:after="0" w:line="15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UJVs</w:t>
      </w:r>
      <w:r>
        <w:rPr>
          <w:rFonts w:ascii="Times New Roman" w:cs="Times New Roman" w:eastAsia="Times New Roman" w:hAnsi="Times New Roman"/>
          <w:sz w:val="21"/>
          <w:szCs w:val="21"/>
          <w:color w:val="auto"/>
        </w:rPr>
        <w:t>” means, at any time, (1) investments of the Borrower that are accounted for under the equity method in the Borrower’s Consolidated Financial Statements prepared in accordance with GAAP and (2) investments of the Borrower in which the Borrower owns less than 50% of the equity interests and that are consolidated in the Borrower’s Consolidated Financial Statements prepared in accordance with GAAP.</w:t>
      </w:r>
    </w:p>
    <w:p>
      <w:pPr>
        <w:spacing w:after="0" w:line="167"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Financial Institutions</w:t>
      </w:r>
      <w:r>
        <w:rPr>
          <w:rFonts w:ascii="Times New Roman" w:cs="Times New Roman" w:eastAsia="Times New Roman" w:hAnsi="Times New Roman"/>
          <w:sz w:val="21"/>
          <w:szCs w:val="21"/>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Resolution Authority</w:t>
      </w:r>
      <w:r>
        <w:rPr>
          <w:rFonts w:ascii="Times New Roman" w:cs="Times New Roman" w:eastAsia="Times New Roman" w:hAnsi="Times New Roman"/>
          <w:sz w:val="21"/>
          <w:szCs w:val="21"/>
          <w:color w:val="auto"/>
        </w:rPr>
        <w:t>” means the Bank of England or any other public administrative authority having responsibility for the resolution of any UK Financial Institution.</w:t>
      </w:r>
    </w:p>
    <w:p>
      <w:pPr>
        <w:spacing w:after="0" w:line="15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Unadjusted Benchmark Replacement</w:t>
      </w:r>
      <w:r>
        <w:rPr>
          <w:rFonts w:ascii="Times New Roman" w:cs="Times New Roman" w:eastAsia="Times New Roman" w:hAnsi="Times New Roman"/>
          <w:sz w:val="21"/>
          <w:szCs w:val="21"/>
          <w:color w:val="auto"/>
        </w:rPr>
        <w:t>” means the applicable Benchmark Replacement excluding the related Benchmark Replacement Adjustment.</w:t>
      </w:r>
    </w:p>
    <w:p>
      <w:pPr>
        <w:spacing w:after="0" w:line="144"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Unencumbered Assets</w:t>
      </w:r>
      <w:r>
        <w:rPr>
          <w:rFonts w:ascii="Times New Roman" w:cs="Times New Roman" w:eastAsia="Times New Roman" w:hAnsi="Times New Roman"/>
          <w:sz w:val="21"/>
          <w:szCs w:val="21"/>
          <w:color w:val="auto"/>
        </w:rPr>
        <w:t>” means, collectively, assets, reflected in the Borrower’s Consolidated Financial Statements, owned in whole or in part, directly or indirectly, by Borrower and not subject to any Lien to secure all or any portion of Secured Indebtedness or to any negative pledge or similar agreement, and assets of Consolidated Businesses and UJVs which are not subject to any Lien to secure all or any portion of Secured Indebtedness or to any negative pledge or similar agreement, provided that any such Consolidated Business or UJV is not the borrower or guarantor of any Unsecured Indebtedness. For clarity, (i) an agreement that conditions the ability to encumber assets upon the maintenance of one or more specified ratios but that does not generally prohibit the encumbrance of assets, or the encumbrance of specific assets, shall not constitute a negative pledge or similar agreement, (ii) any Refinancing Mortgage may be disregarded for purposes of determining whether any asset subject to such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382" w:right="339" w:bottom="1440" w:gutter="0" w:footer="0" w:header="0"/>
        </w:sectPr>
      </w:pPr>
    </w:p>
    <w:bookmarkStart w:id="340" w:name="page341"/>
    <w:bookmarkEnd w:id="340"/>
    <w:p>
      <w:pPr>
        <w:jc w:val="both"/>
        <w:spacing w:after="0" w:line="274" w:lineRule="auto"/>
        <w:rPr>
          <w:sz w:val="20"/>
          <w:szCs w:val="20"/>
          <w:color w:val="auto"/>
        </w:rPr>
      </w:pPr>
      <w:r>
        <w:rPr>
          <w:rFonts w:ascii="Times New Roman" w:cs="Times New Roman" w:eastAsia="Times New Roman" w:hAnsi="Times New Roman"/>
          <w:sz w:val="20"/>
          <w:szCs w:val="20"/>
          <w:color w:val="auto"/>
        </w:rPr>
        <w:t>Mortgage constitutes an Unencumbered Asset and (iii) in the event Borrower owns, directly or indirectly in whole or in part, both the fee estate in an asset and a separate leasehold estate in the same asset (or both a senior leasehold estate and a separate junior leasehold estate in the same asset) and one such estate is subject to a Lien to secure Secured Indebtedness or a negative pledge such that it would not be treated as an Unencumbered Asset but the other such estate is not subject to any such Lien or negative pledge, Borrower shall be entitled to treat each estate as a separate asset for purposes of determining whether each estate is an Unencumbered Asset.</w:t>
      </w:r>
    </w:p>
    <w:p>
      <w:pPr>
        <w:spacing w:after="0" w:line="15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Unencumbered Combined EBITDA</w:t>
      </w:r>
      <w:r>
        <w:rPr>
          <w:rFonts w:ascii="Times New Roman" w:cs="Times New Roman" w:eastAsia="Times New Roman" w:hAnsi="Times New Roman"/>
          <w:sz w:val="21"/>
          <w:szCs w:val="21"/>
          <w:color w:val="auto"/>
        </w:rPr>
        <w:t xml:space="preserve">” means that portion of Combined EBITDA attributable to Unencumbered Assets;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Unencumbered Combined EBITDA shall include only general and administrative expenses that are attributable to the management and operation of the Unencumbered Assets in accordance with GAAP and shall not include any corporate general and administrative expenses of Borrower, General Partner, Consolidated Businesses or UJVs (e.g., salaries of corporate officers).</w:t>
      </w:r>
    </w:p>
    <w:p>
      <w:pPr>
        <w:spacing w:after="0" w:line="16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Unfunded Current Liability</w:t>
      </w:r>
      <w:r>
        <w:rPr>
          <w:rFonts w:ascii="Times New Roman" w:cs="Times New Roman" w:eastAsia="Times New Roman" w:hAnsi="Times New Roman"/>
          <w:sz w:val="21"/>
          <w:szCs w:val="21"/>
          <w:color w:val="auto"/>
        </w:rPr>
        <w:t>” of any Plan means the amount, if any, by which the actuarial present value of accumulated plan benefits as of the close of its most recent plan year, based upon the actuarial assumptions used by such Plan’s actuary in the most recent annual valuation of such Plan, exceeds the fair market value of the assets allocable thereto, determined in accordance with Section 412 of the Code.</w:t>
      </w:r>
    </w:p>
    <w:p>
      <w:pPr>
        <w:spacing w:after="0" w:line="167"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Unrestricted Cash and Cash Equivalents</w:t>
      </w:r>
      <w:r>
        <w:rPr>
          <w:rFonts w:ascii="Times New Roman" w:cs="Times New Roman" w:eastAsia="Times New Roman" w:hAnsi="Times New Roman"/>
          <w:sz w:val="21"/>
          <w:szCs w:val="21"/>
          <w:color w:val="auto"/>
        </w:rPr>
        <w:t>” means Cash or Cash Equivalents owned by Borrower, and Borrower’s Pro Rata Share of any Cash or Cash Equivalents owned by any Consolidated Businesses or UJV, that are not subject to any pledge, lien or control agreement, less amounts placed with third parties as deposits or security for contractual obligations.</w:t>
      </w:r>
    </w:p>
    <w:p>
      <w:pPr>
        <w:spacing w:after="0" w:line="15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Unsecured Indebtedness</w:t>
      </w:r>
      <w:r>
        <w:rPr>
          <w:rFonts w:ascii="Times New Roman" w:cs="Times New Roman" w:eastAsia="Times New Roman" w:hAnsi="Times New Roman"/>
          <w:sz w:val="21"/>
          <w:szCs w:val="21"/>
          <w:color w:val="auto"/>
        </w:rPr>
        <w:t>” means, at any time, Total Outstanding Indebtedness that is not secured by a lien on assets of the Borrower, a Consolidated Business or a UJV, as the case may be.</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Unsecured Indebtedness Adjustment</w:t>
      </w:r>
      <w:r>
        <w:rPr>
          <w:rFonts w:ascii="Times New Roman" w:cs="Times New Roman" w:eastAsia="Times New Roman" w:hAnsi="Times New Roman"/>
          <w:sz w:val="21"/>
          <w:szCs w:val="21"/>
          <w:color w:val="auto"/>
        </w:rPr>
        <w:t>” has the meaning set forth in Section 8.06.</w:t>
      </w:r>
    </w:p>
    <w:p>
      <w:pPr>
        <w:spacing w:after="0" w:line="230"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Unsecured Interest Expense</w:t>
      </w:r>
      <w:r>
        <w:rPr>
          <w:rFonts w:ascii="Times New Roman" w:cs="Times New Roman" w:eastAsia="Times New Roman" w:hAnsi="Times New Roman"/>
          <w:sz w:val="21"/>
          <w:szCs w:val="21"/>
          <w:color w:val="auto"/>
        </w:rPr>
        <w:t xml:space="preserve">” means, for any </w:t>
      </w:r>
      <w:r>
        <w:rPr>
          <w:rFonts w:ascii="Times New Roman" w:cs="Times New Roman" w:eastAsia="Times New Roman" w:hAnsi="Times New Roman"/>
          <w:sz w:val="21"/>
          <w:szCs w:val="21"/>
          <w:color w:val="EE2724"/>
          <w:strike w:val="1"/>
        </w:rPr>
        <w:t>quarter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period</w:t>
      </w:r>
      <w:r>
        <w:rPr>
          <w:rFonts w:ascii="Times New Roman" w:cs="Times New Roman" w:eastAsia="Times New Roman" w:hAnsi="Times New Roman"/>
          <w:sz w:val="21"/>
          <w:szCs w:val="21"/>
          <w:color w:val="auto"/>
        </w:rPr>
        <w:t>, the Borrower’s Pro Rata Share of Interest Expense attributable to Total Outstanding Indebtedness constituting Unsecured Indebtedness.</w:t>
      </w:r>
    </w:p>
    <w:p>
      <w:pPr>
        <w:spacing w:after="0" w:line="14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Government Securities Business Day</w:t>
      </w:r>
      <w:r>
        <w:rPr>
          <w:rFonts w:ascii="Times New Roman" w:cs="Times New Roman" w:eastAsia="Times New Roman" w:hAnsi="Times New Roman"/>
          <w:sz w:val="21"/>
          <w:szCs w:val="21"/>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49"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Person</w:t>
      </w:r>
      <w:r>
        <w:rPr>
          <w:rFonts w:ascii="Times New Roman" w:cs="Times New Roman" w:eastAsia="Times New Roman" w:hAnsi="Times New Roman"/>
          <w:sz w:val="21"/>
          <w:szCs w:val="21"/>
          <w:color w:val="auto"/>
        </w:rPr>
        <w:t xml:space="preserve">” means </w:t>
      </w:r>
      <w:r>
        <w:rPr>
          <w:rFonts w:ascii="Times New Roman" w:cs="Times New Roman" w:eastAsia="Times New Roman" w:hAnsi="Times New Roman"/>
          <w:sz w:val="21"/>
          <w:szCs w:val="21"/>
          <w:u w:val="single" w:color="auto"/>
          <w:color w:val="0E32E1"/>
        </w:rPr>
        <w:t>(i) for purposes of Sections 5.27 and 7.05 hereof, any United States citizen, lawful permanent resident,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entity organized under the laws of the United States or any jurisdiction within the United States, including any foreign branch of any such entity, or any person in the United States and (ii) for all other purposes,</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a “United States person” within the meaning of</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Section 7701(a)(30) of the Code.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382" w:right="339" w:bottom="1440" w:gutter="0" w:footer="0" w:header="0"/>
        </w:sectPr>
      </w:pPr>
    </w:p>
    <w:bookmarkStart w:id="341" w:name="page342"/>
    <w:bookmarkEnd w:id="341"/>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Special Resolution Regime</w:t>
      </w:r>
      <w:r>
        <w:rPr>
          <w:rFonts w:ascii="Times New Roman" w:cs="Times New Roman" w:eastAsia="Times New Roman" w:hAnsi="Times New Roman"/>
          <w:sz w:val="21"/>
          <w:szCs w:val="21"/>
          <w:color w:val="auto"/>
        </w:rPr>
        <w:t>” has the meaning assigned to it in Section 12.27.</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Tax Compliance Certificate</w:t>
      </w:r>
      <w:r>
        <w:rPr>
          <w:rFonts w:ascii="Times New Roman" w:cs="Times New Roman" w:eastAsia="Times New Roman" w:hAnsi="Times New Roman"/>
          <w:sz w:val="21"/>
          <w:szCs w:val="21"/>
          <w:color w:val="auto"/>
        </w:rPr>
        <w:t>” has the meaning assigned to such term in Section 10.13(f)(ii)(B)(3).</w:t>
      </w:r>
    </w:p>
    <w:p>
      <w:pPr>
        <w:spacing w:after="0" w:line="217"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VRT Principals</w:t>
      </w:r>
      <w:r>
        <w:rPr>
          <w:rFonts w:ascii="Times New Roman" w:cs="Times New Roman" w:eastAsia="Times New Roman" w:hAnsi="Times New Roman"/>
          <w:sz w:val="21"/>
          <w:szCs w:val="21"/>
          <w:color w:val="auto"/>
        </w:rPr>
        <w:t>” means the trustees, executive officers and directors of Borrower (other than General Partner) or General Partner at any applicable time.</w:t>
      </w:r>
    </w:p>
    <w:p>
      <w:pPr>
        <w:spacing w:after="0" w:line="131"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Without Recourse</w:t>
      </w:r>
      <w:r>
        <w:rPr>
          <w:rFonts w:ascii="Times New Roman" w:cs="Times New Roman" w:eastAsia="Times New Roman" w:hAnsi="Times New Roman"/>
          <w:sz w:val="21"/>
          <w:szCs w:val="21"/>
          <w:color w:val="auto"/>
        </w:rPr>
        <w:t>” means, with reference to any obligation or liability, any obligation or liability for which the obligor thereunder is not liable or obligated other than as to its interest in a designated asset or assets only, subject to such exceptions to the non-recourse nature of such obligation or liability (such as, but not limited to, fraud, misappropriation, misapplication and environmental indemnities), as are usual and customary in like transactions involving institutional lenders at the time of the incurrence of such obligation or liability.</w:t>
      </w:r>
    </w:p>
    <w:p>
      <w:pPr>
        <w:spacing w:after="0" w:line="169"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Write-Down and Conversion Powers</w:t>
      </w:r>
      <w:r>
        <w:rPr>
          <w:rFonts w:ascii="Times New Roman" w:cs="Times New Roman" w:eastAsia="Times New Roman" w:hAnsi="Times New Roman"/>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7" w:lineRule="exact"/>
        <w:rPr>
          <w:sz w:val="20"/>
          <w:szCs w:val="20"/>
          <w:color w:val="auto"/>
        </w:rPr>
      </w:pPr>
    </w:p>
    <w:p>
      <w:pPr>
        <w:jc w:val="both"/>
        <w:ind w:firstLine="314"/>
        <w:spacing w:after="0" w:line="267"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Accounting Terms.</w:t>
      </w:r>
      <w:r>
        <w:rPr>
          <w:rFonts w:ascii="Times New Roman" w:cs="Times New Roman" w:eastAsia="Times New Roman" w:hAnsi="Times New Roman"/>
          <w:sz w:val="20"/>
          <w:szCs w:val="20"/>
          <w:color w:val="auto"/>
        </w:rPr>
        <w:t xml:space="preserve"> All accounting terms not specifically defined herein shall be construed in accordance with GAAP, and, except as otherwise provided herein, all financial data required to be delivered hereunder shall be prepared in accordance with GAAP.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Debt or other liabilities of the Borrower or any Subsidiary at “fair value”, as defined therein, so that such Debt and other liabilities will be valued at the historical cost basis, which generally is the contractual amount owed adjusted for amortization or accretion of any premium or discount, and (ii) in a manner such that any obligations relating to a lease that was accounted for by a Person as an operating lease as of December 31, 2018 and any similar lease entered into after December 31, 2018 by such Person shall be accounted for as obligations relating to an operating lease and not as a Capital Lease.</w:t>
      </w:r>
    </w:p>
    <w:p>
      <w:pPr>
        <w:spacing w:after="0" w:line="9" w:lineRule="exact"/>
        <w:rPr>
          <w:sz w:val="20"/>
          <w:szCs w:val="20"/>
          <w:color w:val="auto"/>
        </w:rPr>
      </w:pPr>
    </w:p>
    <w:p>
      <w:pPr>
        <w:jc w:val="both"/>
        <w:ind w:firstLine="314"/>
        <w:spacing w:after="0" w:line="280"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Computation of Time Periods.</w:t>
      </w:r>
      <w:r>
        <w:rPr>
          <w:rFonts w:ascii="Times New Roman" w:cs="Times New Roman" w:eastAsia="Times New Roman" w:hAnsi="Times New Roman"/>
          <w:sz w:val="21"/>
          <w:szCs w:val="21"/>
          <w:color w:val="auto"/>
        </w:rPr>
        <w:t xml:space="preserve"> Except as otherwise provided herein, in this Agreement, in the computation of periods of time from a specified date to a later specified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383" w:right="3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21"/>
          <w:szCs w:val="21"/>
          <w:color w:val="auto"/>
        </w:rPr>
        <w:t>date, the word “from” means “from and including” and words “to” and “until” each means “to but excluding”.</w:t>
      </w:r>
    </w:p>
    <w:p>
      <w:pPr>
        <w:spacing w:after="0" w:line="60" w:lineRule="exact"/>
        <w:rPr>
          <w:sz w:val="20"/>
          <w:szCs w:val="20"/>
          <w:color w:val="auto"/>
        </w:rPr>
      </w:pPr>
    </w:p>
    <w:p>
      <w:pPr>
        <w:jc w:val="both"/>
        <w:ind w:firstLine="314"/>
        <w:spacing w:after="0" w:line="255"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u w:val="single" w:color="auto"/>
          <w:color w:val="auto"/>
        </w:rPr>
        <w:t>Rules of Construction.</w:t>
      </w:r>
      <w:r>
        <w:rPr>
          <w:rFonts w:ascii="Times New Roman" w:cs="Times New Roman" w:eastAsia="Times New Roman" w:hAnsi="Times New Roman"/>
          <w:sz w:val="21"/>
          <w:szCs w:val="21"/>
          <w:color w:val="auto"/>
        </w:rPr>
        <w:t xml:space="preserve"> When used in this Agreement: (1) “or” is not exclusive; (2) a reference to a Law includes any amendment or modification to such Law; (3) a reference to a Person includes its permitted successors and permitted assigns; (4) except as provided otherwise, all references to the singular shall include the plural and vice versa; (5) except as provided in this Agreement, a reference to an agreement, instrument or document shall include such agreement, instrument or document as the same may be amended, modified or supplemented from time to time in accordance with its terms and as permitted by the Loan Documents; (6) all references to Articles or Sections shall be to Articles and Sections of this Agreement unless otherwise indicated; and (7) all Exhibits to this Agreement shall be incorporated into this Agreement.</w:t>
      </w:r>
    </w:p>
    <w:p>
      <w:pPr>
        <w:spacing w:after="0" w:line="77" w:lineRule="exact"/>
        <w:rPr>
          <w:sz w:val="20"/>
          <w:szCs w:val="20"/>
          <w:color w:val="auto"/>
        </w:rPr>
      </w:pPr>
    </w:p>
    <w:p>
      <w:pPr>
        <w:jc w:val="both"/>
        <w:ind w:firstLine="314"/>
        <w:spacing w:after="0" w:line="251" w:lineRule="auto"/>
        <w:rPr>
          <w:sz w:val="20"/>
          <w:szCs w:val="20"/>
          <w:color w:val="auto"/>
        </w:rPr>
      </w:pPr>
      <w:r>
        <w:rPr>
          <w:rFonts w:ascii="Times New Roman" w:cs="Times New Roman" w:eastAsia="Times New Roman" w:hAnsi="Times New Roman"/>
          <w:sz w:val="21"/>
          <w:szCs w:val="21"/>
          <w:color w:val="auto"/>
        </w:rPr>
        <w:t xml:space="preserve">SECTION 1.05 </w:t>
      </w:r>
      <w:r>
        <w:rPr>
          <w:rFonts w:ascii="Times New Roman" w:cs="Times New Roman" w:eastAsia="Times New Roman" w:hAnsi="Times New Roman"/>
          <w:sz w:val="21"/>
          <w:szCs w:val="21"/>
          <w:u w:val="single" w:color="auto"/>
          <w:color w:val="auto"/>
        </w:rPr>
        <w:t>Interest Rates; Benchmark Notification.</w:t>
      </w:r>
      <w:r>
        <w:rPr>
          <w:rFonts w:ascii="Times New Roman" w:cs="Times New Roman" w:eastAsia="Times New Roman" w:hAnsi="Times New Roman"/>
          <w:sz w:val="21"/>
          <w:szCs w:val="21"/>
          <w:color w:val="auto"/>
        </w:rPr>
        <w:t xml:space="preserve"> The interest rate on a Loan denominated in dollars may be derived from an interest rate benchmark that may be discontinued or is, or may in the future become, the subject of regulatory reform. Upon the occurrence of a Benchmark Transition Event, Section 3.02(b)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Bank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82" w:lineRule="exact"/>
        <w:rPr>
          <w:sz w:val="20"/>
          <w:szCs w:val="20"/>
          <w:color w:val="auto"/>
        </w:rPr>
      </w:pPr>
    </w:p>
    <w:p>
      <w:pPr>
        <w:jc w:val="both"/>
        <w:ind w:firstLine="314"/>
        <w:spacing w:after="0" w:line="255" w:lineRule="auto"/>
        <w:rPr>
          <w:sz w:val="20"/>
          <w:szCs w:val="20"/>
          <w:color w:val="auto"/>
        </w:rPr>
      </w:pPr>
      <w:r>
        <w:rPr>
          <w:rFonts w:ascii="Times New Roman" w:cs="Times New Roman" w:eastAsia="Times New Roman" w:hAnsi="Times New Roman"/>
          <w:sz w:val="21"/>
          <w:szCs w:val="21"/>
          <w:color w:val="auto"/>
        </w:rPr>
        <w:t xml:space="preserve">SECTION 1.06 </w:t>
      </w:r>
      <w:r>
        <w:rPr>
          <w:rFonts w:ascii="Times New Roman" w:cs="Times New Roman" w:eastAsia="Times New Roman" w:hAnsi="Times New Roman"/>
          <w:sz w:val="21"/>
          <w:szCs w:val="21"/>
          <w:u w:val="single" w:color="auto"/>
          <w:color w:val="auto"/>
        </w:rPr>
        <w:t>Letter of Credit Amounts.</w:t>
      </w:r>
      <w:r>
        <w:rPr>
          <w:rFonts w:ascii="Times New Roman" w:cs="Times New Roman" w:eastAsia="Times New Roman" w:hAnsi="Times New Roman"/>
          <w:sz w:val="21"/>
          <w:szCs w:val="21"/>
          <w:color w:val="auto"/>
        </w:rPr>
        <w:t xml:space="preserve"> Unless otherwise specified herein, the amount of a Letter of Credit at any time shall be deemed to be the amount of such Letter of Credit available to be drawn at such time; provided that with respect to any Letter of Credit that, by its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383" w:right="339" w:bottom="1440" w:gutter="0" w:footer="0" w:header="0"/>
        </w:sectPr>
      </w:pPr>
    </w:p>
    <w:bookmarkStart w:id="343" w:name="page344"/>
    <w:bookmarkEnd w:id="343"/>
    <w:p>
      <w:pPr>
        <w:jc w:val="both"/>
        <w:ind w:firstLine="314"/>
        <w:spacing w:after="0" w:line="258" w:lineRule="auto"/>
        <w:rPr>
          <w:sz w:val="20"/>
          <w:szCs w:val="20"/>
          <w:color w:val="auto"/>
        </w:rPr>
      </w:pPr>
      <w:r>
        <w:rPr>
          <w:rFonts w:ascii="Times New Roman" w:cs="Times New Roman" w:eastAsia="Times New Roman" w:hAnsi="Times New Roman"/>
          <w:sz w:val="21"/>
          <w:szCs w:val="21"/>
          <w:color w:val="auto"/>
        </w:rPr>
        <w:t xml:space="preserve">SECTION 1.07 </w:t>
      </w:r>
      <w:r>
        <w:rPr>
          <w:rFonts w:ascii="Times New Roman" w:cs="Times New Roman" w:eastAsia="Times New Roman" w:hAnsi="Times New Roman"/>
          <w:sz w:val="21"/>
          <w:szCs w:val="21"/>
          <w:u w:val="single" w:color="auto"/>
          <w:color w:val="auto"/>
        </w:rPr>
        <w:t>Divisions.</w:t>
      </w:r>
      <w:r>
        <w:rPr>
          <w:rFonts w:ascii="Times New Roman" w:cs="Times New Roman" w:eastAsia="Times New Roman" w:hAnsi="Times New Roman"/>
          <w:sz w:val="21"/>
          <w:szCs w:val="21"/>
          <w:color w:val="auto"/>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64" w:lineRule="exact"/>
        <w:rPr>
          <w:sz w:val="20"/>
          <w:szCs w:val="20"/>
          <w:color w:val="auto"/>
        </w:rPr>
      </w:pPr>
    </w:p>
    <w:p>
      <w:pPr>
        <w:ind w:left="320"/>
        <w:spacing w:after="0"/>
        <w:tabs>
          <w:tab w:leader="none" w:pos="1920" w:val="left"/>
        </w:tabs>
        <w:rPr>
          <w:sz w:val="20"/>
          <w:szCs w:val="20"/>
          <w:color w:val="auto"/>
        </w:rPr>
      </w:pPr>
      <w:r>
        <w:rPr>
          <w:rFonts w:ascii="Times New Roman" w:cs="Times New Roman" w:eastAsia="Times New Roman" w:hAnsi="Times New Roman"/>
          <w:sz w:val="21"/>
          <w:szCs w:val="21"/>
          <w:color w:val="auto"/>
        </w:rPr>
        <w:t>SECTION 1.01</w:t>
      </w:r>
      <w:r>
        <w:rPr>
          <w:sz w:val="20"/>
          <w:szCs w:val="20"/>
          <w:color w:val="auto"/>
        </w:rPr>
        <w:tab/>
      </w:r>
      <w:r>
        <w:rPr>
          <w:rFonts w:ascii="Times New Roman" w:cs="Times New Roman" w:eastAsia="Times New Roman" w:hAnsi="Times New Roman"/>
          <w:sz w:val="20"/>
          <w:szCs w:val="20"/>
          <w:u w:val="single" w:color="auto"/>
          <w:color w:val="auto"/>
        </w:rPr>
        <w:t>Sustainability Adjustments.</w:t>
      </w:r>
    </w:p>
    <w:p>
      <w:pPr>
        <w:spacing w:after="0" w:line="112" w:lineRule="exact"/>
        <w:rPr>
          <w:sz w:val="20"/>
          <w:szCs w:val="20"/>
          <w:color w:val="auto"/>
        </w:rPr>
      </w:pPr>
    </w:p>
    <w:p>
      <w:pPr>
        <w:jc w:val="both"/>
        <w:ind w:firstLine="634"/>
        <w:spacing w:after="0" w:line="252" w:lineRule="auto"/>
        <w:tabs>
          <w:tab w:leader="none" w:pos="1254"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date on which Borrower provides a Pricing Certificate in respect of the most recently ended calendar year, commencing with the calendar year ended December 31, 2024, (i) the Applicable Margin shall be increased or decreased (or not adjusted), as applicable, pursuant to the Sustainability Margin Adjustment as set forth in such Pricing Certificate and (ii) the Facility Fee shall be increased or decreased (or not adjusted), as applicable, pursuant to the Sustainability Facility Fee Adjustment as set forth in such Pricing Certificate. For purposes of the foregoing, (A) the Sustainability Margin Adjustment and the Sustainability Facility Fee Adjustment shall be determined and applied as of the fifth Banking Day following receipt by the Administrative Agent of a Pricing Certificate delivered pursuant to Section 1.08(f) based upon the KPI Metric set forth in such Pricing Certificate and the calculations of the Sustainability Margin Adjustment and the Sustainability Facility Fee Adjustment therein (such day, the “</w:t>
      </w:r>
      <w:r>
        <w:rPr>
          <w:rFonts w:ascii="Times New Roman" w:cs="Times New Roman" w:eastAsia="Times New Roman" w:hAnsi="Times New Roman"/>
          <w:sz w:val="21"/>
          <w:szCs w:val="21"/>
          <w:u w:val="single" w:color="auto"/>
          <w:color w:val="auto"/>
        </w:rPr>
        <w:t>Sustainability Pricing Adjustment Date</w:t>
      </w:r>
      <w:r>
        <w:rPr>
          <w:rFonts w:ascii="Times New Roman" w:cs="Times New Roman" w:eastAsia="Times New Roman" w:hAnsi="Times New Roman"/>
          <w:sz w:val="21"/>
          <w:szCs w:val="21"/>
          <w:color w:val="auto"/>
        </w:rPr>
        <w:t>”) and (B) each change in the Applicable Margin and Facility Fee resulting from a Pricing Certificate shall be effective during the period commencing on and including the applicable Sustainability Pricing Adjustment Date and ending on the date immediately preceding the next such Sustainability Pricing Adjustment Date (or, in the case of non-delivery of a Pricing Certificate, the last day such Pricing Certificate could have been delivered pursuant to the terms of Section 1.08(f)).</w:t>
      </w:r>
    </w:p>
    <w:p>
      <w:pPr>
        <w:spacing w:after="0" w:line="74" w:lineRule="exact"/>
        <w:rPr>
          <w:rFonts w:ascii="Times New Roman" w:cs="Times New Roman" w:eastAsia="Times New Roman" w:hAnsi="Times New Roman"/>
          <w:sz w:val="21"/>
          <w:szCs w:val="21"/>
          <w:color w:val="auto"/>
        </w:rPr>
      </w:pPr>
    </w:p>
    <w:p>
      <w:pPr>
        <w:jc w:val="both"/>
        <w:ind w:firstLine="634"/>
        <w:spacing w:after="0" w:line="256" w:lineRule="auto"/>
        <w:tabs>
          <w:tab w:leader="none" w:pos="1253"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only one Pricing Certificate may be delivered in respect of any calendar year. It is further understood and agreed that the Applicable Margin will never be reduced or increased by more than 0.04% and the Facility Fee will never be reduced or increased by more than 0.01%, pursuant to the Sustainability Margin Adjustment and the Sustainability Facility Fee Adjustment, respectively, during any calendar year. For the avoidance of doubt, any adjustment to the Applicable Margin or Facility Fee by reason of meeting the KPI Metric in any year shall not be cumulative year-over-year. Each applicable adjustment shall only apply until the date on which the next adjustment is due to take place.</w:t>
      </w:r>
    </w:p>
    <w:p>
      <w:pPr>
        <w:spacing w:after="0" w:line="78" w:lineRule="exact"/>
        <w:rPr>
          <w:rFonts w:ascii="Times New Roman" w:cs="Times New Roman" w:eastAsia="Times New Roman" w:hAnsi="Times New Roman"/>
          <w:sz w:val="21"/>
          <w:szCs w:val="21"/>
          <w:color w:val="auto"/>
        </w:rPr>
      </w:pPr>
    </w:p>
    <w:p>
      <w:pPr>
        <w:jc w:val="both"/>
        <w:ind w:firstLine="634"/>
        <w:spacing w:after="0" w:line="255" w:lineRule="auto"/>
        <w:tabs>
          <w:tab w:leader="none" w:pos="1254"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hereby understood and agreed that if no such Pricing Certificate is delivered by Borrower with regard to a particular calendar year within the period set forth in Section 1.08(f), the Sustainability Margin Adjustment will be positive 0.04% and the Sustainability Facility Fee Adjustment will be positive 0.01% commencing on the last day such Pricing Certificate could have been delivered pursuant to the terms of Section 1.08(f) and continuing until Borrower delivers a Pricing Certificate to the Administrative Agent for the applicable calendar year.</w:t>
      </w:r>
    </w:p>
    <w:p>
      <w:pPr>
        <w:spacing w:after="0" w:line="66" w:lineRule="exact"/>
        <w:rPr>
          <w:rFonts w:ascii="Times New Roman" w:cs="Times New Roman" w:eastAsia="Times New Roman" w:hAnsi="Times New Roman"/>
          <w:sz w:val="21"/>
          <w:szCs w:val="21"/>
          <w:color w:val="auto"/>
        </w:rPr>
      </w:pPr>
    </w:p>
    <w:p>
      <w:pPr>
        <w:jc w:val="both"/>
        <w:ind w:firstLine="634"/>
        <w:spacing w:after="0" w:line="270" w:lineRule="auto"/>
        <w:tabs>
          <w:tab w:leader="none" w:pos="1253"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(i)(A) any Bank becomes aware of any material inaccuracy in the Sustainability Margin Adjustment, the Sustainability Facility Fee Adjustment or the KPI Metric as reported in a Pricing Certificate (any such material inaccuracy, a “</w:t>
      </w:r>
      <w:r>
        <w:rPr>
          <w:rFonts w:ascii="Times New Roman" w:cs="Times New Roman" w:eastAsia="Times New Roman" w:hAnsi="Times New Roman"/>
          <w:sz w:val="21"/>
          <w:szCs w:val="21"/>
          <w:u w:val="single" w:color="auto"/>
          <w:color w:val="auto"/>
        </w:rPr>
        <w:t>Pricing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Certificate Inaccuracy</w:t>
      </w:r>
      <w:r>
        <w:rPr>
          <w:rFonts w:ascii="Times New Roman" w:cs="Times New Roman" w:eastAsia="Times New Roman" w:hAnsi="Times New Roman"/>
          <w:sz w:val="21"/>
          <w:szCs w:val="21"/>
          <w:color w:val="auto"/>
        </w:rPr>
        <w:t>”) and such</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382" w:right="339" w:bottom="1440" w:gutter="0" w:footer="0" w:header="0"/>
        </w:sectPr>
      </w:pPr>
    </w:p>
    <w:bookmarkStart w:id="344" w:name="page345"/>
    <w:bookmarkEnd w:id="344"/>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Bank delivers, not later than 10 Banking Days after obtaining knowledge thereof, a written notice to the Administrative Agent describing such Pricing Certificate Inaccuracy in reasonable detail (which description shall be shared with each Bank and the Borrower), or (B) the Borrower becomes aware of a Pricing Certificate Inaccuracy and the Borrower and the Administrative Agent shall mutually agree that there was a Pricing Certificate Inaccuracy at the time of delivery of a Pricing Certificate, and (ii) in either case, a proper calculation of the Sustainability Margin Adjustment, the Sustainability Facility Fee Adjustment or the KPI Metric would have resulted in no adjustment or an increase in the Applicable Margin or Facility Fee for any period, (x) commencing on the fifth Banking Day following delivery of a corrected Sustainability Certificate to the Administrative Agent, the Applicable Margin and Facility Fee shall be adjusted to reflect such corrected calculations of the Sustainability Margin Adjustment and the Sustainability Facility Fee Adjustment and (y) the Borrower shall be obligated to pay to the Administrative Agent for the account of the applicable Banks or the applicable Fronting Banks, as the case may be, promptly on demand by the Administrative Agent (or, after the occurrence of an actual or deemed entry of an order for relief with respect to any Borrower under the Bankruptcy Code (or any comparable event under non-U.S. Debtor Relief Laws), automatically and without further action by the Administrative Agent, any Bank or any Fronting Bank), but in any event within 10 Banking Days after the Borrower has received written notice of (in the case of clause (d)(i)(A) above), or has agreed in writing that there was (in the case of clause (d)(i)(B) above), a Pricing Certificate Inaccuracy, an amount equal to the excess of (1) the amount of interest and fees that should have been paid for such period </w:t>
      </w:r>
      <w:r>
        <w:rPr>
          <w:rFonts w:ascii="Times New Roman" w:cs="Times New Roman" w:eastAsia="Times New Roman" w:hAnsi="Times New Roman"/>
          <w:sz w:val="21"/>
          <w:szCs w:val="21"/>
          <w:u w:val="single" w:color="auto"/>
          <w:color w:val="auto"/>
        </w:rPr>
        <w:t>over</w:t>
      </w:r>
      <w:r>
        <w:rPr>
          <w:rFonts w:ascii="Times New Roman" w:cs="Times New Roman" w:eastAsia="Times New Roman" w:hAnsi="Times New Roman"/>
          <w:sz w:val="21"/>
          <w:szCs w:val="21"/>
          <w:color w:val="auto"/>
        </w:rPr>
        <w:t xml:space="preserve"> (2) the amount of interest and fees actually paid for such period. If Borrower becomes aware of any Pricing Certificate Inaccuracy and, in connection therewith, if a proper calculation of the Sustainability Margin Adjustment, Sustainability Facility Fee Adjustment or the KPI Metric would have resulted in a decrease in the Applicable Margin or Facility Fee for any period, then, upon receipt by the Administrative Agent of notice from the Borrower of such Pricing Certificate Inaccuracy (which notice shall include corrections to the calculations of the Sustainability Margin Adjustment or the KPI Metric, as applicable), commencing on the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Banking Day following receipt by the Administrative Agent of such notice, the Applicable Margin and Facility Fee shall be adjusted (but only with respect to periods commencing after such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Banking Day) to reflect the corrected calculations of the Sustainability Margin Adjustment, Sustainability Facility Fee Adjustment or the KPI Metric, as applicable, for all periods occurring no sooner than 10 Banking Days after receipt by the Administrative Agent of such notice. For the avoidance of any doubt, the parties agree that any such adjustment to reflect a decrease in the Applicable Margin or Facility Fee for any period shall only be effective on a prospective basis and shall not require any adjustments to amounts previously paid by the Borrower prior to the discovery of a Pricing Certificate Inaccuracy.</w:t>
      </w:r>
    </w:p>
    <w:p>
      <w:pPr>
        <w:spacing w:after="0" w:line="93" w:lineRule="exact"/>
        <w:rPr>
          <w:sz w:val="20"/>
          <w:szCs w:val="20"/>
          <w:color w:val="auto"/>
        </w:rPr>
      </w:pPr>
    </w:p>
    <w:p>
      <w:pPr>
        <w:jc w:val="both"/>
        <w:ind w:firstLine="249"/>
        <w:spacing w:after="0" w:line="256" w:lineRule="auto"/>
        <w:rPr>
          <w:sz w:val="20"/>
          <w:szCs w:val="20"/>
          <w:color w:val="auto"/>
        </w:rPr>
      </w:pPr>
      <w:r>
        <w:rPr>
          <w:rFonts w:ascii="Times New Roman" w:cs="Times New Roman" w:eastAsia="Times New Roman" w:hAnsi="Times New Roman"/>
          <w:sz w:val="21"/>
          <w:szCs w:val="21"/>
          <w:color w:val="auto"/>
        </w:rPr>
        <w:t xml:space="preserve">It is understood and agreed that any Pricing Certificate Inaccuracy shall not constitute a Default or Event of Default or otherwise result in the failure of any condition precedent to any advance or the issuance of any letter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the Borrower complies with the terms of this Section 1.08(d) and Section 6.09(17) with respect to such Pricing Certificate Inaccuracy. Notwithstanding anything to the contrary herein, unless such amounts shall be due upon the occurrence of an actual or deemed entry of an order for relief with respect to Borrower under the Bankruptcy Code (or any comparable event under non-U.S. Debtor Relief Laws), (a)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382" w:right="339" w:bottom="1440" w:gutter="0" w:footer="0" w:header="0"/>
        </w:sectPr>
      </w:pPr>
    </w:p>
    <w:bookmarkStart w:id="345" w:name="page346"/>
    <w:bookmarkEnd w:id="345"/>
    <w:p>
      <w:pPr>
        <w:jc w:val="both"/>
        <w:spacing w:after="0" w:line="256" w:lineRule="auto"/>
        <w:rPr>
          <w:sz w:val="20"/>
          <w:szCs w:val="20"/>
          <w:color w:val="auto"/>
        </w:rPr>
      </w:pPr>
      <w:r>
        <w:rPr>
          <w:rFonts w:ascii="Times New Roman" w:cs="Times New Roman" w:eastAsia="Times New Roman" w:hAnsi="Times New Roman"/>
          <w:sz w:val="21"/>
          <w:szCs w:val="21"/>
          <w:color w:val="auto"/>
        </w:rPr>
        <w:t>any additional amounts required to be paid pursuant to the immediately preceding paragraph shall not be due and payable until 10 Banking Days after the Borrower has received written notice of (in the case of clause (d)(i)(A) above), or has agreed in writing that there was (in the case of clause (d)(i)(B) above), a Pricing Certificate Inaccuracy (such date, the “</w:t>
      </w:r>
      <w:r>
        <w:rPr>
          <w:rFonts w:ascii="Times New Roman" w:cs="Times New Roman" w:eastAsia="Times New Roman" w:hAnsi="Times New Roman"/>
          <w:sz w:val="21"/>
          <w:szCs w:val="21"/>
          <w:u w:val="single" w:color="auto"/>
          <w:color w:val="auto"/>
        </w:rPr>
        <w:t>Certificate Inaccuracy 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 (b) any nonpayment of such additional amounts prior to the Certificate Inaccuracy Payment Date shall not constitute a Default (whether retroactively or otherwise) and (c) none of such additional amounts shall be deemed overdue prior to the Certificate Inaccuracy Payment Date or shall accrue interest at the Default Rate prior to the Certificate Inaccuracy Payment Date.</w:t>
      </w:r>
    </w:p>
    <w:p>
      <w:pPr>
        <w:spacing w:after="0" w:line="66" w:lineRule="exact"/>
        <w:rPr>
          <w:sz w:val="20"/>
          <w:szCs w:val="20"/>
          <w:color w:val="auto"/>
        </w:rPr>
      </w:pPr>
    </w:p>
    <w:p>
      <w:pPr>
        <w:jc w:val="both"/>
        <w:ind w:firstLine="634"/>
        <w:spacing w:after="0" w:line="253" w:lineRule="auto"/>
        <w:tabs>
          <w:tab w:leader="none" w:pos="1254"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hereby agrees that neither the Administrative Agent nor the Sustainability Structuring Agent shall have (x) any duty to ascertain, inquire into or otherwise independently verify any sustainability related information or any other information or materials provided by the Borrower and used in connection with the sustainability provisions of the credit facility described in this Agreement, including with respect to the applicable KPI Metrics nor (y) any responsibility for (or liability in respect of) the completeness or accuracy of such information. Each party hereto hereby agrees that neither the Administrative Agent nor the Sustainability Structuring Agent nor any Lead Arranger shall have any responsibility for (or liability in respect of) reviewing, auditing or otherwise evaluating any calculation by the Borrower of any Sustainability Facility Fee Adjustment or any Sustainability Margin Adjustment (or any of the data or computations that are part of or related to any such calculation) set forth in any Pricing Certificate or notice as to a Pricing Certificate Inaccuracy (and the Administrative Agent and the Sustainability Structuring Agent may rely conclusively on any such certificate or notice, without further inquiry).</w:t>
      </w:r>
    </w:p>
    <w:p>
      <w:pPr>
        <w:spacing w:after="0" w:line="74" w:lineRule="exact"/>
        <w:rPr>
          <w:rFonts w:ascii="Times New Roman" w:cs="Times New Roman" w:eastAsia="Times New Roman" w:hAnsi="Times New Roman"/>
          <w:sz w:val="21"/>
          <w:szCs w:val="21"/>
          <w:color w:val="auto"/>
        </w:rPr>
      </w:pPr>
    </w:p>
    <w:p>
      <w:pPr>
        <w:jc w:val="both"/>
        <w:ind w:firstLine="634"/>
        <w:spacing w:after="0" w:line="253" w:lineRule="auto"/>
        <w:tabs>
          <w:tab w:leader="none" w:pos="1257"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soon as available and in any event within 120 days following the end of each calendar year (commencing with the calendar year ending December 31, 2024), Borrower shall deliver a Pricing Certificate to the Administrative Agent (and the Administrative Agent shall promptly provide a copy to each Bank) for the most recently-ended calendar year;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for any calendar year the Borrower may elect not to deliver a Pricing Certificate, and such election shall not constitute a Default or Event of Default (but such failure to so deliver a Pricing Certificate by the end of such 120-day period shall result in the Sustainability Margin Adjustment and the Sustainability Fee Adjustment being applied as set forth in Section 1.08(c)). In the event (i) Borrower’s fiscal year is changed to a non-calendar year fiscal year or (ii) Borrower elects, in accordance with applicable rules, regulations or guidance of the SEC, to disclose its annual sustainability reporting with or following the filing of its quarterly report on Form 10-Q for the second quarter of its fiscal year, Borrower will be permitted to adjust the timing of delivery of the Pricing Certificate at its election to be coordinated with fiscal year and periodic reporting schedule.</w:t>
      </w:r>
    </w:p>
    <w:p>
      <w:pPr>
        <w:spacing w:after="0" w:line="74" w:lineRule="exact"/>
        <w:rPr>
          <w:rFonts w:ascii="Times New Roman" w:cs="Times New Roman" w:eastAsia="Times New Roman" w:hAnsi="Times New Roman"/>
          <w:sz w:val="21"/>
          <w:szCs w:val="21"/>
          <w:color w:val="auto"/>
        </w:rPr>
      </w:pPr>
    </w:p>
    <w:p>
      <w:pPr>
        <w:jc w:val="both"/>
        <w:ind w:firstLine="634"/>
        <w:spacing w:after="0" w:line="258" w:lineRule="auto"/>
        <w:tabs>
          <w:tab w:leader="none" w:pos="1253"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the date hereof, there occurs any Sustainability Recalculation Event, and either (i) the Borrower notifies the Administrative Agent in writing that the Borrower requests an amendment to any provision hereof to eliminate, accommodate or otherwise take into account the effect of such Sustainability Recalculation Event, or (ii) the Administrative Agent notifies the Borrower that the Required Banks request an amendment to any provision or provisions hereof for such purpose (it being understood and agreed that any such notice may be given before or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382" w:right="339" w:bottom="1440" w:gutter="0" w:footer="0" w:header="0"/>
        </w:sectPr>
      </w:pPr>
    </w:p>
    <w:bookmarkStart w:id="346" w:name="page347"/>
    <w:bookmarkEnd w:id="346"/>
    <w:p>
      <w:pPr>
        <w:jc w:val="both"/>
        <w:spacing w:after="0" w:line="252" w:lineRule="auto"/>
        <w:rPr>
          <w:sz w:val="20"/>
          <w:szCs w:val="20"/>
          <w:color w:val="auto"/>
        </w:rPr>
      </w:pPr>
      <w:r>
        <w:rPr>
          <w:rFonts w:ascii="Times New Roman" w:cs="Times New Roman" w:eastAsia="Times New Roman" w:hAnsi="Times New Roman"/>
          <w:sz w:val="21"/>
          <w:szCs w:val="21"/>
          <w:color w:val="auto"/>
        </w:rPr>
        <w:t>after such Sustainability Recalculation Event has occurred), then (A) the Borrower and the Administrative Agent shall negotiate in good faith to amend the provisions hereof to eliminate, accommodate or otherwise take into account the effect of such Sustainability Recalculation Event for the period from and after the occurrence of such Sustainability Recalculation Event, and (B) the provisions of this Agreement shall be interpreted on the basis of the provisions in effect and applied immediately prior to such Sustainability Recalculation Event for a period of not more than 30 days following the date of any such notice (unless the provisions hereof shall have been amended in accordance herewith or such notice shall have been withdrawn). If, after 30 days following the date of any such notice, the consent of the Borrower, the Administrative Agent and the requisite Banks under Section 12.02 has not been obtained (provided that adjustments to the KPI Target, KPI Threshold, Standard for Sustainability Reporting and/or Sustainability Table in connection with a Sustainability Recalculation Event shall not be deemed to be an amendment described in clause (1) of Section 12.02), (x) on the one-year anniversary of the date a delivered Pricing Certificate was most recently delivered or due and not delivered, as applicable, the Applicable Margin shall be calculated without regard to this Section 1.08, which Section and related definitions shall have no further force or effect, and (y) thereafter, no party to this Agreement shall make any public or private representations or description of the credit facility described in this Agreement as a sustainability-linked loan.</w:t>
      </w:r>
    </w:p>
    <w:p>
      <w:pPr>
        <w:spacing w:after="0" w:line="70" w:lineRule="exact"/>
        <w:rPr>
          <w:sz w:val="20"/>
          <w:szCs w:val="20"/>
          <w:color w:val="auto"/>
        </w:rPr>
      </w:pPr>
    </w:p>
    <w:p>
      <w:pPr>
        <w:jc w:val="both"/>
        <w:ind w:firstLine="634"/>
        <w:spacing w:after="0" w:line="257" w:lineRule="auto"/>
        <w:tabs>
          <w:tab w:leader="none" w:pos="1253"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reserves the right to adjust the baseline set forth in the Sustainability Table, in consultation with the Sustainability Structuring Agent, in alignment with mandatory regulatory disclosure requirements and/or a new Science-Based Target (SBTi) aligned goal but the Sustainability Table shall maintain the 2.5% annual improvement for each year as the KPI Target and 1% annual improvement for each year as the KPI Threshold, in each case, from the </w:t>
      </w:r>
      <w:r>
        <w:rPr>
          <w:rFonts w:ascii="Times New Roman" w:cs="Times New Roman" w:eastAsia="Times New Roman" w:hAnsi="Times New Roman"/>
          <w:sz w:val="21"/>
          <w:szCs w:val="21"/>
          <w:color w:val="EE2724"/>
          <w:strike w:val="1"/>
        </w:rPr>
        <w:t>2022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A2299"/>
        </w:rPr>
        <w:t>2019</w:t>
      </w:r>
      <w:r>
        <w:rPr>
          <w:rFonts w:ascii="Times New Roman" w:cs="Times New Roman" w:eastAsia="Times New Roman" w:hAnsi="Times New Roman"/>
          <w:sz w:val="21"/>
          <w:szCs w:val="21"/>
          <w:color w:val="auto"/>
        </w:rPr>
        <w:t xml:space="preserve"> baseline as so adjusted. In the event that the baseline is so adjusted, the Borrower, the Administrative Agent and the Sustainability Structuring Agent shall amend the Sustainability Table in accordance with the foregoing sentence, and the Administrative Agent shall provide the amended Sustainability Table to the Banks.</w:t>
      </w:r>
    </w:p>
    <w:p>
      <w:pPr>
        <w:spacing w:after="0" w:line="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II</w:t>
      </w:r>
    </w:p>
    <w:p>
      <w:pPr>
        <w:spacing w:after="0" w:line="17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THE LOANS</w:t>
      </w:r>
    </w:p>
    <w:p>
      <w:pPr>
        <w:spacing w:after="0" w:line="204" w:lineRule="exact"/>
        <w:rPr>
          <w:sz w:val="20"/>
          <w:szCs w:val="20"/>
          <w:color w:val="auto"/>
        </w:rPr>
      </w:pPr>
    </w:p>
    <w:p>
      <w:pPr>
        <w:ind w:firstLine="314"/>
        <w:spacing w:after="0" w:line="280" w:lineRule="auto"/>
        <w:rPr>
          <w:sz w:val="20"/>
          <w:szCs w:val="20"/>
          <w:color w:val="auto"/>
        </w:rPr>
      </w:pPr>
      <w:r>
        <w:rPr>
          <w:rFonts w:ascii="Times New Roman" w:cs="Times New Roman" w:eastAsia="Times New Roman" w:hAnsi="Times New Roman"/>
          <w:sz w:val="21"/>
          <w:szCs w:val="21"/>
          <w:color w:val="auto"/>
        </w:rPr>
        <w:t xml:space="preserve">SECTION 2.01 </w:t>
      </w:r>
      <w:r>
        <w:rPr>
          <w:rFonts w:ascii="Times New Roman" w:cs="Times New Roman" w:eastAsia="Times New Roman" w:hAnsi="Times New Roman"/>
          <w:sz w:val="21"/>
          <w:szCs w:val="21"/>
          <w:u w:val="single" w:color="auto"/>
          <w:color w:val="auto"/>
        </w:rPr>
        <w:t>Ratable Loans.</w:t>
      </w:r>
      <w:r>
        <w:rPr>
          <w:rFonts w:ascii="Times New Roman" w:cs="Times New Roman" w:eastAsia="Times New Roman" w:hAnsi="Times New Roman"/>
          <w:sz w:val="21"/>
          <w:szCs w:val="21"/>
          <w:color w:val="auto"/>
        </w:rPr>
        <w:t xml:space="preserve"> (a) Subject to the terms and conditions of this Agreement, the Banks agree to make loans to Borrower as provided in this Article II.</w:t>
      </w:r>
    </w:p>
    <w:p>
      <w:pPr>
        <w:spacing w:after="0" w:line="13" w:lineRule="exact"/>
        <w:rPr>
          <w:sz w:val="20"/>
          <w:szCs w:val="20"/>
          <w:color w:val="auto"/>
        </w:rPr>
      </w:pPr>
    </w:p>
    <w:p>
      <w:pPr>
        <w:jc w:val="both"/>
        <w:ind w:firstLine="634"/>
        <w:spacing w:after="0" w:line="214" w:lineRule="auto"/>
        <w:tabs>
          <w:tab w:leader="none" w:pos="1254"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Banks severally agrees to make a loan to Borrower in Dollars (each such loan by a Bank, a “</w:t>
      </w:r>
      <w:r>
        <w:rPr>
          <w:rFonts w:ascii="Times New Roman" w:cs="Times New Roman" w:eastAsia="Times New Roman" w:hAnsi="Times New Roman"/>
          <w:sz w:val="21"/>
          <w:szCs w:val="21"/>
          <w:u w:val="single" w:color="auto"/>
          <w:color w:val="auto"/>
        </w:rPr>
        <w:t>Ratable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in an amount up to its Loan Commitment pursuant to which such Bank shall from time to time advance and readvance to Borrower an amount equal to its Pro Rata Share of the excess (the “</w:t>
      </w:r>
      <w:r>
        <w:rPr>
          <w:rFonts w:ascii="Times New Roman" w:cs="Times New Roman" w:eastAsia="Times New Roman" w:hAnsi="Times New Roman"/>
          <w:sz w:val="21"/>
          <w:szCs w:val="21"/>
          <w:u w:val="single" w:color="auto"/>
          <w:color w:val="auto"/>
        </w:rPr>
        <w:t>Available Total Loan Commitment</w:t>
      </w:r>
      <w:r>
        <w:rPr>
          <w:rFonts w:ascii="Times New Roman" w:cs="Times New Roman" w:eastAsia="Times New Roman" w:hAnsi="Times New Roman"/>
          <w:sz w:val="21"/>
          <w:szCs w:val="21"/>
          <w:color w:val="auto"/>
        </w:rPr>
        <w:t>”) of the Total Loan Commitment minus the sum of (1) all advances previously drawn and currently outstanding made by the Banks which remain unpaid and (2) the LC Exposure. Within the limits set forth herein, Borrower may borrow from time to time under this paragraph (b) and prepay from time to time pursuant to Section 2.10 (subject, however, to the restrictions on prepayment set forth in said Section), and thereafter reborrow pursuant to this paragraph (b). The Ratable Loans may be outstanding as: (1) Base Rate Loans; (2) Term Benchmark Loans; (3) RFR Loans; or (4) a combination of the foregoing, as Borrower shall elect and notify Administrative Agent in accordance with Section 2.14. Each Term Benchmark Loan, Base Rate Loan and RFR Loan of each Bank shall be maintained at such Bank’s Applicable Lending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40"/>
          </w:cols>
          <w:pgMar w:left="320" w:top="1383" w:right="339" w:bottom="1440" w:gutter="0" w:footer="0" w:header="0"/>
        </w:sectPr>
      </w:pPr>
    </w:p>
    <w:bookmarkStart w:id="347" w:name="page348"/>
    <w:bookmarkEnd w:id="347"/>
    <w:p>
      <w:pPr>
        <w:jc w:val="both"/>
        <w:ind w:firstLine="634"/>
        <w:spacing w:after="0" w:line="224" w:lineRule="auto"/>
        <w:tabs>
          <w:tab w:leader="none" w:pos="1253"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of the Banks under this Agreement are several, and no Bank shall be responsible for the failure of any other Bank to make any advance of a Loan to be made by such other Bank. However, the failure of any Bank to make any advance of each Loan to be made by it hereunder on the date specified therefor shall not relieve any other Bank of its obligation to make any advance of its Loans specified hereby to be made on such date.</w:t>
      </w:r>
    </w:p>
    <w:p>
      <w:pPr>
        <w:spacing w:after="0" w:line="155" w:lineRule="exact"/>
        <w:rPr>
          <w:sz w:val="20"/>
          <w:szCs w:val="20"/>
          <w:color w:val="auto"/>
        </w:rPr>
      </w:pPr>
    </w:p>
    <w:tbl>
      <w:tblPr>
        <w:tblLayout w:type="fixed"/>
        <w:tblInd w:w="640" w:type="dxa"/>
        <w:tblCellMar>
          <w:top w:w="0" w:type="dxa"/>
          <w:left w:w="0" w:type="dxa"/>
          <w:bottom w:w="0" w:type="dxa"/>
          <w:right w:w="0" w:type="dxa"/>
        </w:tblCellMar>
      </w:tblPr>
      <w:tr>
        <w:trPr>
          <w:trHeight w:val="241"/>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SECTION 2.02</w:t>
            </w:r>
          </w:p>
        </w:tc>
        <w:tc>
          <w:tcPr>
            <w:tcW w:w="980" w:type="dxa"/>
            <w:vAlign w:val="bottom"/>
            <w:gridSpan w:val="3"/>
          </w:tcPr>
          <w:p>
            <w:pPr>
              <w:spacing w:after="0"/>
              <w:rPr>
                <w:sz w:val="20"/>
                <w:szCs w:val="20"/>
                <w:color w:val="auto"/>
              </w:rPr>
            </w:pPr>
            <w:r>
              <w:rPr>
                <w:rFonts w:ascii="Times New Roman" w:cs="Times New Roman" w:eastAsia="Times New Roman" w:hAnsi="Times New Roman"/>
                <w:sz w:val="21"/>
                <w:szCs w:val="21"/>
                <w:color w:val="auto"/>
                <w:w w:val="98"/>
              </w:rPr>
              <w:t>[Reserved].</w:t>
            </w:r>
          </w:p>
        </w:tc>
      </w:tr>
      <w:tr>
        <w:trPr>
          <w:trHeight w:val="20"/>
        </w:trPr>
        <w:tc>
          <w:tcPr>
            <w:tcW w:w="1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334"/>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SECTION 2.03</w:t>
            </w:r>
          </w:p>
        </w:tc>
        <w:tc>
          <w:tcPr>
            <w:tcW w:w="980" w:type="dxa"/>
            <w:vAlign w:val="bottom"/>
            <w:gridSpan w:val="3"/>
          </w:tcPr>
          <w:p>
            <w:pPr>
              <w:spacing w:after="0"/>
              <w:rPr>
                <w:sz w:val="20"/>
                <w:szCs w:val="20"/>
                <w:color w:val="auto"/>
              </w:rPr>
            </w:pPr>
            <w:r>
              <w:rPr>
                <w:rFonts w:ascii="Times New Roman" w:cs="Times New Roman" w:eastAsia="Times New Roman" w:hAnsi="Times New Roman"/>
                <w:sz w:val="21"/>
                <w:szCs w:val="21"/>
                <w:color w:val="auto"/>
                <w:w w:val="98"/>
              </w:rPr>
              <w:t>[Reserved.]</w:t>
            </w:r>
          </w:p>
        </w:tc>
      </w:tr>
      <w:tr>
        <w:trPr>
          <w:trHeight w:val="20"/>
        </w:trPr>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21"/>
          <w:szCs w:val="21"/>
          <w:color w:val="auto"/>
        </w:rPr>
        <w:t xml:space="preserve">SECTION 2.04 </w:t>
      </w:r>
      <w:r>
        <w:rPr>
          <w:rFonts w:ascii="Times New Roman" w:cs="Times New Roman" w:eastAsia="Times New Roman" w:hAnsi="Times New Roman"/>
          <w:sz w:val="21"/>
          <w:szCs w:val="21"/>
          <w:u w:val="single" w:color="auto"/>
          <w:color w:val="auto"/>
        </w:rPr>
        <w:t>Advances, Generally</w:t>
      </w:r>
      <w:r>
        <w:rPr>
          <w:rFonts w:ascii="Times New Roman" w:cs="Times New Roman" w:eastAsia="Times New Roman" w:hAnsi="Times New Roman"/>
          <w:sz w:val="21"/>
          <w:szCs w:val="21"/>
          <w:color w:val="auto"/>
        </w:rPr>
        <w:t>. The Initial Advance shall be at least One Million Dollars ($1,000,000) and in an integral multiple of One Hundred Thousand Dollars ($100,000) and shall be made upon satisfaction of the conditions set forth in Section 4.01. Subsequent advances shall be made upon satisfaction of the conditions set forth in Section 4.02. The amount of each advance subsequent to the Initial Advance shall, subject to Section 2.13, be at least One Million Dollars ($1,000,000) (unless less than One Million Dollars ($1,000,000) is available for disbursement pursuant to the terms hereof at the time of any subsequent advance, in which case the amount of such subsequent advance shall be equal to such remaining availability) and in an integral multiple of One Hundred Thousand Dollars ($100,000).</w:t>
      </w:r>
    </w:p>
    <w:p>
      <w:pPr>
        <w:spacing w:after="0" w:line="115"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Each advance shall be subject, in addition to the limitations and conditions applicable to advances of the Loans generally, to Administrative Agent’s receipt, on or immediately prior to the date the request for such advance is made, of a certificate from the officer requesting the advance certifying that Borrower is in compliance with all covenants enumerated in paragraphs 3(a) and 3(b) of Section 6.09 and containing covenant compliance calculations with respect to Sections 8.02 and 8.06 only, that include the proforma adjustments described below, which calculations shall demonstrate Borrower’s compliance with covenants on a proforma basis.</w:t>
      </w:r>
    </w:p>
    <w:p>
      <w:pPr>
        <w:spacing w:after="0" w:line="18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In connection with each advance of Loan proceeds, the following proforma adjustments shall be made to the covenant compliance calculations required with respect to Sections 8.02 and 8.06 as of the end of the most recently ended calendar quarter for which financial results are required hereunder to have been reported by Borrower:</w:t>
      </w:r>
    </w:p>
    <w:p>
      <w:pPr>
        <w:spacing w:after="0" w:line="162" w:lineRule="exact"/>
        <w:rPr>
          <w:sz w:val="20"/>
          <w:szCs w:val="20"/>
          <w:color w:val="auto"/>
        </w:rPr>
      </w:pPr>
    </w:p>
    <w:p>
      <w:pPr>
        <w:jc w:val="both"/>
        <w:ind w:left="640" w:firstLine="622"/>
        <w:spacing w:after="0" w:line="262" w:lineRule="auto"/>
        <w:tabs>
          <w:tab w:leader="none" w:pos="1885"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Outstanding Indebtedness and Unsecured Indebtedness (or Secured Indebtedness in the event of an advance in respect of a Refinancing Mortgage which Borrower elects to treat as Secured Indebtedness) shall be adjusted by adding thereto, respectively, all Debt and Unsecured Indebtedness (or Secured Indebtedness if applicable), respectively, that is incurred by Borrower in connection with such advance;</w:t>
      </w:r>
    </w:p>
    <w:p>
      <w:pPr>
        <w:spacing w:after="0" w:line="163" w:lineRule="exact"/>
        <w:rPr>
          <w:rFonts w:ascii="Times New Roman" w:cs="Times New Roman" w:eastAsia="Times New Roman" w:hAnsi="Times New Roman"/>
          <w:sz w:val="21"/>
          <w:szCs w:val="21"/>
          <w:color w:val="auto"/>
        </w:rPr>
      </w:pPr>
    </w:p>
    <w:p>
      <w:pPr>
        <w:jc w:val="both"/>
        <w:ind w:left="640" w:firstLine="622"/>
        <w:spacing w:after="0" w:line="258" w:lineRule="auto"/>
        <w:tabs>
          <w:tab w:leader="none" w:pos="1891"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Capitalization Value, shall be adjusted by adding thereto the purchase price of any Real Property Assets (including capitalized acquisition costs determined in accordance with GAAP) or the Net Equity Value of any Other Investments, together with the Borrower’s Pro Rata Share of any Unrestricted Cash and Cash Equivalents, the book value of notes and mortgage loans receivable and marketable securities and the cost of non-marketable securities that are acquired in connection with such advance; and</w:t>
      </w:r>
    </w:p>
    <w:p>
      <w:pPr>
        <w:spacing w:after="0" w:line="169" w:lineRule="exact"/>
        <w:rPr>
          <w:rFonts w:ascii="Times New Roman" w:cs="Times New Roman" w:eastAsia="Times New Roman" w:hAnsi="Times New Roman"/>
          <w:sz w:val="21"/>
          <w:szCs w:val="21"/>
          <w:color w:val="auto"/>
        </w:rPr>
      </w:pPr>
    </w:p>
    <w:p>
      <w:pPr>
        <w:ind w:left="640" w:firstLine="622"/>
        <w:spacing w:after="0" w:line="280" w:lineRule="auto"/>
        <w:tabs>
          <w:tab w:leader="none" w:pos="1897"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Capitalization Value of Unencumbered Assets, if applicable, shall be adjusted by adding thereto the purchase price of any Real Property Assets (including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356" w:right="339" w:bottom="1440" w:gutter="0" w:footer="0" w:header="0"/>
        </w:sectPr>
      </w:pPr>
    </w:p>
    <w:bookmarkStart w:id="348" w:name="page349"/>
    <w:bookmarkEnd w:id="348"/>
    <w:p>
      <w:pPr>
        <w:jc w:val="both"/>
        <w:ind w:left="640"/>
        <w:spacing w:after="0" w:line="262" w:lineRule="auto"/>
        <w:rPr>
          <w:sz w:val="20"/>
          <w:szCs w:val="20"/>
          <w:color w:val="auto"/>
        </w:rPr>
      </w:pPr>
      <w:r>
        <w:rPr>
          <w:rFonts w:ascii="Times New Roman" w:cs="Times New Roman" w:eastAsia="Times New Roman" w:hAnsi="Times New Roman"/>
          <w:sz w:val="21"/>
          <w:szCs w:val="21"/>
          <w:color w:val="auto"/>
        </w:rPr>
        <w:t>capitalized acquisition costs determined in accordance with GAAP) that are Unencumbered Assets together with Borrower’s Pro Rata Share of any Unrestricted Cash and Cash Equivalents, if applicable, the book value of notes and mortgage loans receivable and marketable securities and the cost of non-marketable securities that are acquired in connection with such advance.</w:t>
      </w:r>
    </w:p>
    <w:p>
      <w:pPr>
        <w:spacing w:after="0" w:line="164"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2.05 </w:t>
      </w:r>
      <w:r>
        <w:rPr>
          <w:rFonts w:ascii="Times New Roman" w:cs="Times New Roman" w:eastAsia="Times New Roman" w:hAnsi="Times New Roman"/>
          <w:sz w:val="21"/>
          <w:szCs w:val="21"/>
          <w:u w:val="single" w:color="auto"/>
          <w:color w:val="auto"/>
        </w:rPr>
        <w:t>Procedures for Advances</w:t>
      </w:r>
      <w:r>
        <w:rPr>
          <w:rFonts w:ascii="Times New Roman" w:cs="Times New Roman" w:eastAsia="Times New Roman" w:hAnsi="Times New Roman"/>
          <w:sz w:val="21"/>
          <w:szCs w:val="21"/>
          <w:color w:val="auto"/>
        </w:rPr>
        <w:t>. In the case of advances of Ratable Loans, Borrower shall submit to Administrative Agent a request for each advance signed by an authorized officer of the Borrower (provided that if such request is submitted through an Approved Borrower Portal, such signature requirement may be waived at the sole discretion of the Administrative Agent), stating the type and date of such advance (and Interest Period, if a Term Benchmark Loan), the amount requested and the expected purpose for which such advance is to be used, no later than 11:00 a.m. (New York time) on the date, in the case of advances of Base Rate Loans and RFR Loans, which is the proposed date of such Base Rate Loan or RFR Loan, and, in the case of advances of Term Benchmark Loans, which is three (3) Banking Days, prior to the date such advance is to be made. Administrative Agent, upon its receipt and approval of the request for advance, will so notify the Banks. Not later than 12:00 p.m. (New York time) on the date of each advance (or 1:00 p.m. (New York time) in the case of a Base Rate Loan or a RFR Loan for which the Borrower has made a Loan request on such date), each Bank shall, through its Applicable Lending Office and subject to the conditions of this Agreement, make the amount to be advanced by it on such day available to Administrative Agent, at Administrative Agent’s Office and in immediately available funds for the account of Borrower. The amount so received by Administrative Agent shall, subject to the conditions of this Agreement, be made available to Borrower, in immediately available funds, by Administrative Agent’s to an account designated by Borrower.</w:t>
      </w:r>
    </w:p>
    <w:p>
      <w:pPr>
        <w:spacing w:after="0" w:line="79"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2.06 </w:t>
      </w:r>
      <w:r>
        <w:rPr>
          <w:rFonts w:ascii="Times New Roman" w:cs="Times New Roman" w:eastAsia="Times New Roman" w:hAnsi="Times New Roman"/>
          <w:sz w:val="21"/>
          <w:szCs w:val="21"/>
          <w:u w:val="single" w:color="auto"/>
          <w:color w:val="auto"/>
        </w:rPr>
        <w:t>Interest Periods; Renewals</w:t>
      </w:r>
      <w:r>
        <w:rPr>
          <w:rFonts w:ascii="Times New Roman" w:cs="Times New Roman" w:eastAsia="Times New Roman" w:hAnsi="Times New Roman"/>
          <w:sz w:val="21"/>
          <w:szCs w:val="21"/>
          <w:color w:val="auto"/>
        </w:rPr>
        <w:t>. In the case of the Term Benchmark Loans, Borrower shall select an Interest Period of any duration in accordance with the definition of Interest Period in Section 1.01, subject to the following limitations: (1) no Interest Period may extend beyond the Maturity Date; (2) if an Interest Period would end on a day which is not a Banking Day, such Interest Period shall be extended to the next Banking Day, unless such Banking Day would fall in the next calendar month, in which event such Interest Period shall end on the immediately preceding Banking Day; and (3) only eight (8) discrete segments of a Bank’s Ratable Loans that are Term Benchmark Loans for a designated Interest Period pursuant to a particular Election, Conversion or Continuation, may be outstanding at any one time (each such segment of each Bank’s Ratable Loan corresponding to a proportionate segment of each of the other Banks’ Ratable Loans).</w:t>
      </w:r>
    </w:p>
    <w:p>
      <w:pPr>
        <w:spacing w:after="0" w:line="69"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Upon notice to Administrative Agent as provided in Section 2.14, Borrower may Continue any Term Benchmark Loan on the last day of the Interest Period of the same or different duration in accordance with the limitations provided above.</w:t>
      </w:r>
    </w:p>
    <w:p>
      <w:pPr>
        <w:spacing w:after="0" w:line="14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 xml:space="preserve">SECTION 2.07 </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Borrower shall pay interest to Administrative Agent for the account of the applicable Bank on the outstanding and unpaid principal amount of the Loans, at a rate per annum as follows: (1) for Base Rate Loans at a rate equal to the Base Rate plus the Applicable Margin; (2) for Term Benchmark Loans at a rate equal to the applicable Adjusted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382" w:right="339" w:bottom="1440" w:gutter="0" w:footer="0" w:header="0"/>
        </w:sectPr>
      </w:pPr>
    </w:p>
    <w:bookmarkStart w:id="349" w:name="page350"/>
    <w:bookmarkEnd w:id="349"/>
    <w:p>
      <w:pPr>
        <w:jc w:val="both"/>
        <w:spacing w:after="0" w:line="263" w:lineRule="auto"/>
        <w:rPr>
          <w:sz w:val="20"/>
          <w:szCs w:val="20"/>
          <w:color w:val="auto"/>
        </w:rPr>
      </w:pPr>
      <w:r>
        <w:rPr>
          <w:rFonts w:ascii="Times New Roman" w:cs="Times New Roman" w:eastAsia="Times New Roman" w:hAnsi="Times New Roman"/>
          <w:sz w:val="21"/>
          <w:szCs w:val="21"/>
          <w:color w:val="auto"/>
        </w:rPr>
        <w:t>Term SOFR Rate for the Interest Period in effect for such Loan plus the Applicable Margin; and (3) for RFR Loans at a rate equal to the Adjusted Daily Effective SOFR Rate plus the Applicable Margin. Any principal amount not paid when due (when scheduled, at acceleration or otherwise) shall bear interest thereafter, payable on demand, at the Default Rate.</w:t>
      </w:r>
    </w:p>
    <w:p>
      <w:pPr>
        <w:spacing w:after="0" w:line="18"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The interest rate on Base Rate Loans shall change when the Base Rate changes, and the interest rate on RFR Loans shall change when Daily Effective SOFR </w:t>
      </w:r>
      <w:r>
        <w:rPr>
          <w:rFonts w:ascii="Times New Roman" w:cs="Times New Roman" w:eastAsia="Times New Roman" w:hAnsi="Times New Roman"/>
          <w:sz w:val="21"/>
          <w:szCs w:val="21"/>
          <w:u w:val="single" w:color="auto"/>
          <w:color w:val="0E32E1"/>
        </w:rPr>
        <w:t>Rate</w:t>
      </w:r>
      <w:r>
        <w:rPr>
          <w:rFonts w:ascii="Times New Roman" w:cs="Times New Roman" w:eastAsia="Times New Roman" w:hAnsi="Times New Roman"/>
          <w:sz w:val="21"/>
          <w:szCs w:val="21"/>
          <w:color w:val="auto"/>
        </w:rPr>
        <w:t xml:space="preserve"> changes. Interest shall be calculated for the actual number of days elapsed on the basis of a year consisting of three hundred sixty (360) days (except that interest computed by reference to the Base Rate when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Base Rate, Adjusted Term SOFR Rate, Term SOFR Rate, Adjusted Daily Effective SOFR Rate or Daily Effective SOFR </w:t>
      </w:r>
      <w:r>
        <w:rPr>
          <w:rFonts w:ascii="Times New Roman" w:cs="Times New Roman" w:eastAsia="Times New Roman" w:hAnsi="Times New Roman"/>
          <w:sz w:val="21"/>
          <w:szCs w:val="21"/>
          <w:u w:val="single" w:color="auto"/>
          <w:color w:val="0E32E1"/>
        </w:rPr>
        <w:t>Rate</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shall be determined by the Administrative Agent, and such determination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-992505</wp:posOffset>
            </wp:positionV>
            <wp:extent cx="330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15">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52"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1"/>
          <w:szCs w:val="21"/>
          <w:u w:val="single" w:color="auto"/>
          <w:color w:val="auto"/>
        </w:rPr>
        <w:t>Charges</w:t>
      </w:r>
      <w:r>
        <w:rPr>
          <w:rFonts w:ascii="Times New Roman" w:cs="Times New Roman" w:eastAsia="Times New Roman" w:hAnsi="Times New Roman"/>
          <w:sz w:val="21"/>
          <w:szCs w:val="21"/>
          <w:color w:val="auto"/>
        </w:rPr>
        <w:t>”), shall exceed the maximum lawful rate (the “</w:t>
      </w:r>
      <w:r>
        <w:rPr>
          <w:rFonts w:ascii="Times New Roman" w:cs="Times New Roman" w:eastAsia="Times New Roman" w:hAnsi="Times New Roman"/>
          <w:sz w:val="21"/>
          <w:szCs w:val="21"/>
          <w:u w:val="single" w:color="auto"/>
          <w:color w:val="auto"/>
        </w:rPr>
        <w:t>Maximum Rate</w:t>
      </w:r>
      <w:r>
        <w:rPr>
          <w:rFonts w:ascii="Times New Roman" w:cs="Times New Roman" w:eastAsia="Times New Roman" w:hAnsi="Times New Roman"/>
          <w:sz w:val="21"/>
          <w:szCs w:val="21"/>
          <w:color w:val="auto"/>
        </w:rPr>
        <w:t>”) which may be contracted for, charged, taken, received or reserved by the Bank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paragraph shall be cumulated and the interest and Charges payable to such Bank in respect of other Loans or periods shall be increased (but not above the Maximum Rate therefor) until such cumulated amount, together with interest thereon at the Federal Funds Effective Rate to the date of repayment, shall have been received by such Bank.</w:t>
      </w:r>
    </w:p>
    <w:p>
      <w:pPr>
        <w:spacing w:after="0" w:line="18"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 xml:space="preserve">Accrued interest shall be due and payable in arrears, in the case of Base Rate Loans, Term Benchmark Loans and RFR Loans on each Interest Payment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interest accruing at the Default Rate shall be due and payable on demand.</w:t>
      </w:r>
    </w:p>
    <w:p>
      <w:pPr>
        <w:spacing w:after="0" w:line="91"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2.08 </w:t>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Borrower shall, during the term of the Loans commencing as of the Execution Date, pay to Administrative Agent for the account of each Bank a facility fee computed, on the daily Loan Commitment of such Bank, by multiplying the aggregate Loan Commitments on such day by an amount equal to the daily Facility Fee, calculated on the basis of a year of three hundred sixty (360) days for the actual number of days elapsed. The accrued Facility Fee shall be due and payable in arrears on the fifteenth day of January, April, July and October of each year, commencing on the first such date after the Execution Date, and upon the Maturity Date (as the case may be accelerated) or earlier termination of the Loan Commitments.</w:t>
      </w:r>
    </w:p>
    <w:p>
      <w:pPr>
        <w:spacing w:after="0" w:line="13"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2.09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Unless otherwise requested by a Bank, any Ratable Loans made by each Bank under this Agreement shall be evidenced by, and repaid with interest in accordance with, a promissory note of Borrower in the form of EXHIBIT B duly completed and executed by Borrower, in a principal amount equal to such Bank’s Loan Commitment, payable to such Bank for the account of its Applicable Lending Office (each such note, as the same may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40"/>
          </w:cols>
          <w:pgMar w:left="320" w:top="1382" w:right="339" w:bottom="1440" w:gutter="0" w:footer="0" w:header="0"/>
        </w:sectPr>
      </w:pPr>
    </w:p>
    <w:bookmarkStart w:id="350" w:name="page351"/>
    <w:bookmarkEnd w:id="350"/>
    <w:p>
      <w:pPr>
        <w:jc w:val="both"/>
        <w:spacing w:after="0" w:line="254" w:lineRule="auto"/>
        <w:rPr>
          <w:sz w:val="20"/>
          <w:szCs w:val="20"/>
          <w:color w:val="auto"/>
        </w:rPr>
      </w:pPr>
      <w:r>
        <w:rPr>
          <w:rFonts w:ascii="Times New Roman" w:cs="Times New Roman" w:eastAsia="Times New Roman" w:hAnsi="Times New Roman"/>
          <w:sz w:val="21"/>
          <w:szCs w:val="21"/>
          <w:color w:val="auto"/>
        </w:rPr>
        <w:t>hereafter be amended, modified, extended, severed, assigned, substituted, renewed or restated from time to time, including any substitute note pursuant to Section 3.07 or 12.05, a “</w:t>
      </w:r>
      <w:r>
        <w:rPr>
          <w:rFonts w:ascii="Times New Roman" w:cs="Times New Roman" w:eastAsia="Times New Roman" w:hAnsi="Times New Roman"/>
          <w:sz w:val="21"/>
          <w:szCs w:val="21"/>
          <w:u w:val="single" w:color="auto"/>
          <w:color w:val="auto"/>
        </w:rPr>
        <w:t>Ratable Loan Note</w:t>
      </w:r>
      <w:r>
        <w:rPr>
          <w:rFonts w:ascii="Times New Roman" w:cs="Times New Roman" w:eastAsia="Times New Roman" w:hAnsi="Times New Roman"/>
          <w:sz w:val="21"/>
          <w:szCs w:val="21"/>
          <w:color w:val="auto"/>
        </w:rPr>
        <w:t>”). A particular Bank’s Ratable Loan Note(s) are referred to collectively in this Agreement as such Bank’s “</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all such Ratable Loan Notes and interests are referred to collectively in this Agreement as the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The Ratable Loans shall mature, and all outstanding principal and accrued interest and other Obligations shall be paid in full, on the Maturity Date, as the same may be accelerated in accordance with this Agreement.</w:t>
      </w:r>
    </w:p>
    <w:p>
      <w:pPr>
        <w:spacing w:after="0" w:line="4"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Each Bank is hereby authorized by Borrower to endorse on the schedule attached to the Ratable Loan Note held by it, the amount of each advance, and each payment of principal received by such Bank for the account of its Applicable Lending Office(s) on account of its Ratable Loans, which endorsement shall, in the absence of manifest error, be conclusive as to the outstanding balance of the Ratable Loans made by such Bank. The failure by any Bank to make such notations with respect to the Loans or each advance or payment shall not limit or otherwise affect the obligations of Borrower under this Agreement or the Notes.</w:t>
      </w:r>
    </w:p>
    <w:p>
      <w:pPr>
        <w:spacing w:after="0" w:line="175"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In connection with a Refinancing Mortgage, Borrower shall deliver to the Administrative Agent, a mortgage note, payable to the Administrative Agent for the account of the Banks, which shall be secured by the applicable Refinancing Mortgage. Such note shall be in such form as shall be requested by Borrower, subject to the Administrative Agent’s reasonable approval. Each reference in this Agreement to the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shall be deemed to refer to and include any or all of such mortgage notes, as the context may require.</w:t>
      </w:r>
    </w:p>
    <w:p>
      <w:pPr>
        <w:spacing w:after="0" w:line="180"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2.10</w:t>
      </w:r>
      <w:r>
        <w:rPr>
          <w:sz w:val="20"/>
          <w:szCs w:val="20"/>
          <w:color w:val="auto"/>
        </w:rPr>
        <w:tab/>
      </w:r>
      <w:r>
        <w:rPr>
          <w:rFonts w:ascii="Times New Roman" w:cs="Times New Roman" w:eastAsia="Times New Roman" w:hAnsi="Times New Roman"/>
          <w:sz w:val="21"/>
          <w:szCs w:val="21"/>
          <w:u w:val="single" w:color="auto"/>
          <w:color w:val="auto"/>
        </w:rPr>
        <w:t>Prepayments</w:t>
      </w:r>
      <w:r>
        <w:rPr>
          <w:rFonts w:ascii="Times New Roman" w:cs="Times New Roman" w:eastAsia="Times New Roman" w:hAnsi="Times New Roman"/>
          <w:sz w:val="21"/>
          <w:szCs w:val="21"/>
          <w:color w:val="auto"/>
        </w:rPr>
        <w:t>.</w:t>
      </w:r>
    </w:p>
    <w:p>
      <w:pPr>
        <w:spacing w:after="0" w:line="112" w:lineRule="exact"/>
        <w:rPr>
          <w:sz w:val="20"/>
          <w:szCs w:val="20"/>
          <w:color w:val="auto"/>
        </w:rPr>
      </w:pPr>
    </w:p>
    <w:p>
      <w:pPr>
        <w:jc w:val="both"/>
        <w:ind w:firstLine="629"/>
        <w:spacing w:after="0" w:line="259" w:lineRule="auto"/>
        <w:rPr>
          <w:sz w:val="20"/>
          <w:szCs w:val="20"/>
          <w:color w:val="auto"/>
        </w:rPr>
      </w:pPr>
      <w:r>
        <w:rPr>
          <w:rFonts w:ascii="Times New Roman" w:cs="Times New Roman" w:eastAsia="Times New Roman" w:hAnsi="Times New Roman"/>
          <w:sz w:val="21"/>
          <w:szCs w:val="21"/>
          <w:color w:val="auto"/>
        </w:rPr>
        <w:t>Without prepayment premium or penalty but subject to Section 3.05, Borrower may, upon at least one (1) Banking Day’s notice (by 2:00 p.m. New York time) to Administrative Agent in the case of the Base Rate Loans and RFR Loans, and at least three</w:t>
      </w:r>
    </w:p>
    <w:p>
      <w:pPr>
        <w:spacing w:after="0" w:line="1" w:lineRule="exact"/>
        <w:rPr>
          <w:sz w:val="20"/>
          <w:szCs w:val="20"/>
          <w:color w:val="auto"/>
        </w:rPr>
      </w:pPr>
    </w:p>
    <w:p>
      <w:pPr>
        <w:jc w:val="both"/>
        <w:ind w:firstLine="5"/>
        <w:spacing w:after="0" w:line="271" w:lineRule="auto"/>
        <w:tabs>
          <w:tab w:leader="none" w:pos="307"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Banking Days’ notice (by 2:00 p.m. New York time) to Administrative Agent in the case of Term Benchmark Loans, prepay the Ratable Loans, in whole or in part, provided that (1) any partial prepayment under this Section shall be in integral multiples of One Million Dollars ($1,000,000) (or such lesser amount as is then outstanding); and (2) each prepayment under this Section shall include, at Administrative Agent’s option, all interest accrued on the amount of principal prepaid to (but excluding) the date of prepayment.</w:t>
      </w:r>
    </w:p>
    <w:p>
      <w:pPr>
        <w:spacing w:after="0" w:line="155"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2.11</w:t>
      </w:r>
      <w:r>
        <w:rPr>
          <w:sz w:val="20"/>
          <w:szCs w:val="20"/>
          <w:color w:val="auto"/>
        </w:rPr>
        <w:tab/>
      </w:r>
      <w:r>
        <w:rPr>
          <w:rFonts w:ascii="Times New Roman" w:cs="Times New Roman" w:eastAsia="Times New Roman" w:hAnsi="Times New Roman"/>
          <w:sz w:val="20"/>
          <w:szCs w:val="20"/>
          <w:u w:val="single" w:color="auto"/>
          <w:color w:val="auto"/>
        </w:rPr>
        <w:t>Method of Payment</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Borrower shall make each payment under this Agreement and under the Notes not later than 1:00 p.m. (New York time) on the date when due in Dollars to Administrative Agent at Administrative Agent’s Office in immediately available funds, without condition or deduction for any counterclaim, defense, recoupment or setoff. Borrower shall deliver federal reference number(s) evidencing the applicable wire transfer(s) to Administrative Agent as soon as available thereafter on such day. Administrative Agent will thereafter, on the day of its receipt of each such payment(s), cause to be distributed to each Bank (1) such Bank’s appropriate share (based upon the respective outstanding principal amounts and interest due under the Loans of the Banks) of the payments of principal and interest in like funds for the account of such Bank’s Applicable Lending Office; and (2) fees payable to such Bank by Borrower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382" w:right="339" w:bottom="1440" w:gutter="0" w:footer="0" w:header="0"/>
        </w:sectPr>
      </w:pPr>
    </w:p>
    <w:bookmarkStart w:id="351" w:name="page352"/>
    <w:bookmarkEnd w:id="351"/>
    <w:p>
      <w:pPr>
        <w:jc w:val="both"/>
        <w:spacing w:after="0" w:line="258" w:lineRule="auto"/>
        <w:rPr>
          <w:sz w:val="20"/>
          <w:szCs w:val="20"/>
          <w:color w:val="auto"/>
        </w:rPr>
      </w:pPr>
      <w:r>
        <w:rPr>
          <w:rFonts w:ascii="Times New Roman" w:cs="Times New Roman" w:eastAsia="Times New Roman" w:hAnsi="Times New Roman"/>
          <w:sz w:val="21"/>
          <w:szCs w:val="21"/>
          <w:color w:val="auto"/>
        </w:rPr>
        <w:t>the terms of this Agreement. If and to the extent that the Administrative Agent shall receive any such payment for the account of the Banks on or before 11:00 a.m. (New York time) on any Banking Day, and Administrative Agent shall not have distributed to any Bank its applicable share of such payment on such day, Administrative Agent shall distribute such amount to such Bank together with interest thereon paid by the Administrative Agent, for each day from the date such amount should have been distributed to such Bank until the date Administrative Agent distributes such amount to such Bank, at the Federal Funds Effective Rate.</w:t>
      </w:r>
    </w:p>
    <w:p>
      <w:pPr>
        <w:spacing w:after="0" w:line="169"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Except to the extent provided in this Agreement, whenever any payment to be made under this Agreement or under the Notes is due on any day other than a Banking Day, such payment shall be made on the next succeeding Banking Day, and such extension of time shall in such case be included in the computation of the payment of interest and other fees, as the case may be.</w:t>
      </w:r>
    </w:p>
    <w:p>
      <w:pPr>
        <w:spacing w:after="0" w:line="175"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2.12</w:t>
      </w:r>
      <w:r>
        <w:rPr>
          <w:sz w:val="20"/>
          <w:szCs w:val="20"/>
          <w:color w:val="auto"/>
        </w:rPr>
        <w:tab/>
      </w:r>
      <w:r>
        <w:rPr>
          <w:rFonts w:ascii="Times New Roman" w:cs="Times New Roman" w:eastAsia="Times New Roman" w:hAnsi="Times New Roman"/>
          <w:sz w:val="21"/>
          <w:szCs w:val="21"/>
          <w:u w:val="single" w:color="auto"/>
          <w:color w:val="auto"/>
        </w:rPr>
        <w:t>Elections, Conversions or Continuation of Loans</w:t>
      </w:r>
      <w:r>
        <w:rPr>
          <w:rFonts w:ascii="Times New Roman" w:cs="Times New Roman" w:eastAsia="Times New Roman" w:hAnsi="Times New Roman"/>
          <w:sz w:val="21"/>
          <w:szCs w:val="21"/>
          <w:color w:val="auto"/>
        </w:rPr>
        <w:t>.</w:t>
      </w:r>
    </w:p>
    <w:p>
      <w:pPr>
        <w:spacing w:after="0" w:line="112"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Subject to the provisions of Article III and Sections 2.06 and 2.13, Borrower shall have the right to Elect to have all or a portion of any advance of the Ratable Loans be Term Benchmark Loans, Base Rate Loans, RFR Loans or a combination of the foregoing, to Convert Base Rate Loans into Term Benchmark Loans or RFR Loans, to convert RFR Loans into Base Rate Loans or Term Benchmark Loans, to Convert Term Benchmark Loans into Base Rate Loans or RFR Loans, or to Continue Term Benchmark Loans as Term Benchmark Loans, at any time or from time to time, provided that: (1) Borrower shall give Administrative Agent notice of each such Election, Conversion or Continuation as provided in Section 2.14 signed by an authorized officer of the Borrower (provided that if such notice is submitted through an Approved Borrower Portal, such signature requirement may be waived at the sole discretion of the Administrative Agent); and (2) a Term Benchmark Loan may be Continued or Converted only on the last day of the applicable Interest Period for such Term Benchmark Loan. Except as otherwise provided in this Agreement, each Election, Continuation and Conversion shall be applicable to each Bank’s Ratable Loan in accordance with its Pro Rata Share. Notwithstanding any contrary provision hereof, if an Event of Default has occurred and is continuing, the Administrative Agent, at the request of the Required Banks, may require, by notice to Borrower, that (i) no outstanding Ratable Loan may be converted to or continued as a Term Benchmark Loan and (ii) unless repaid, each Ratable Loan shall be converted to a Base Rate Loan at the end of the Interest Period applicable thereto.</w:t>
      </w:r>
    </w:p>
    <w:p>
      <w:pPr>
        <w:spacing w:after="0" w:line="184"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2.13</w:t>
      </w:r>
      <w:r>
        <w:rPr>
          <w:sz w:val="20"/>
          <w:szCs w:val="20"/>
          <w:color w:val="auto"/>
        </w:rPr>
        <w:tab/>
      </w:r>
      <w:r>
        <w:rPr>
          <w:rFonts w:ascii="Times New Roman" w:cs="Times New Roman" w:eastAsia="Times New Roman" w:hAnsi="Times New Roman"/>
          <w:sz w:val="21"/>
          <w:szCs w:val="21"/>
          <w:u w:val="single" w:color="auto"/>
          <w:color w:val="auto"/>
        </w:rPr>
        <w:t>Minimum Amounts</w:t>
      </w:r>
      <w:r>
        <w:rPr>
          <w:rFonts w:ascii="Times New Roman" w:cs="Times New Roman" w:eastAsia="Times New Roman" w:hAnsi="Times New Roman"/>
          <w:sz w:val="21"/>
          <w:szCs w:val="21"/>
          <w:color w:val="auto"/>
        </w:rPr>
        <w:t>.</w:t>
      </w:r>
    </w:p>
    <w:p>
      <w:pPr>
        <w:spacing w:after="0" w:line="125"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With respect to the Ratable Loans as a whole, each Election and each Conversion shall be in an amount at least equal to One Million Dollars ($1,000,000) and in integral multiples of One Hundred Thousand Dollars ($100,000) or such lesser amount as shall be available or outstanding, as the case may be.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240"/>
          </w:cols>
          <w:pgMar w:left="320" w:top="1382" w:right="339" w:bottom="1440" w:gutter="0" w:footer="0" w:header="0"/>
        </w:sectPr>
      </w:pPr>
    </w:p>
    <w:bookmarkStart w:id="352" w:name="page353"/>
    <w:bookmarkEnd w:id="352"/>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2.14</w:t>
      </w:r>
      <w:r>
        <w:rPr>
          <w:sz w:val="20"/>
          <w:szCs w:val="20"/>
          <w:color w:val="auto"/>
        </w:rPr>
        <w:tab/>
      </w:r>
      <w:r>
        <w:rPr>
          <w:rFonts w:ascii="Times New Roman" w:cs="Times New Roman" w:eastAsia="Times New Roman" w:hAnsi="Times New Roman"/>
          <w:sz w:val="20"/>
          <w:szCs w:val="20"/>
          <w:u w:val="single" w:color="auto"/>
          <w:color w:val="auto"/>
        </w:rPr>
        <w:t>Certain Notices Regarding Elections, Conversions and Continuations of Loans</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Notices by Borrower to Administrative Agent of Elections, Conversions and Continuations of Term Benchmark Loans shall be irrevocable and shall be effective only if received by Administrative Agent not later than 11:00 a.m. (New York time) on the number of Banking Days prior to the date of the relevant Election, Conversion or Continuation specified below:</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249"/>
        </w:trPr>
        <w:tc>
          <w:tcPr>
            <w:tcW w:w="3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Number of</w:t>
            </w:r>
          </w:p>
        </w:tc>
      </w:tr>
      <w:tr>
        <w:trPr>
          <w:trHeight w:val="224"/>
        </w:trPr>
        <w:tc>
          <w:tcPr>
            <w:tcW w:w="3760" w:type="dxa"/>
            <w:vAlign w:val="bottom"/>
          </w:tcPr>
          <w:p>
            <w:pPr>
              <w:spacing w:after="0"/>
              <w:rPr>
                <w:sz w:val="19"/>
                <w:szCs w:val="19"/>
                <w:color w:val="auto"/>
              </w:rPr>
            </w:pPr>
          </w:p>
        </w:tc>
        <w:tc>
          <w:tcPr>
            <w:tcW w:w="4980" w:type="dxa"/>
            <w:vAlign w:val="bottom"/>
            <w:gridSpan w:val="2"/>
          </w:tcPr>
          <w:p>
            <w:pPr>
              <w:spacing w:after="0" w:line="224" w:lineRule="exact"/>
              <w:rPr>
                <w:sz w:val="20"/>
                <w:szCs w:val="20"/>
                <w:color w:val="auto"/>
              </w:rPr>
            </w:pPr>
            <w:r>
              <w:rPr>
                <w:rFonts w:ascii="Times New Roman" w:cs="Times New Roman" w:eastAsia="Times New Roman" w:hAnsi="Times New Roman"/>
                <w:sz w:val="21"/>
                <w:szCs w:val="21"/>
                <w:color w:val="auto"/>
              </w:rPr>
              <w:t>Notice</w:t>
            </w:r>
          </w:p>
        </w:tc>
        <w:tc>
          <w:tcPr>
            <w:tcW w:w="1660" w:type="dxa"/>
            <w:vAlign w:val="bottom"/>
          </w:tcPr>
          <w:p>
            <w:pPr>
              <w:jc w:val="center"/>
              <w:spacing w:after="0" w:line="224" w:lineRule="exact"/>
              <w:rPr>
                <w:sz w:val="20"/>
                <w:szCs w:val="20"/>
                <w:color w:val="auto"/>
              </w:rPr>
            </w:pPr>
            <w:r>
              <w:rPr>
                <w:rFonts w:ascii="Times New Roman" w:cs="Times New Roman" w:eastAsia="Times New Roman" w:hAnsi="Times New Roman"/>
                <w:sz w:val="21"/>
                <w:szCs w:val="21"/>
                <w:color w:val="auto"/>
                <w:w w:val="99"/>
              </w:rPr>
              <w:t>Banking Days Prior</w:t>
            </w:r>
          </w:p>
        </w:tc>
      </w:tr>
      <w:tr>
        <w:trPr>
          <w:trHeight w:val="20"/>
        </w:trPr>
        <w:tc>
          <w:tcPr>
            <w:tcW w:w="37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r>
        <w:trPr>
          <w:trHeight w:val="293"/>
        </w:trPr>
        <w:tc>
          <w:tcPr>
            <w:tcW w:w="87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Elections of, Conversions into or Continuations as Base Rate Loans or RFR Loans</w:t>
            </w:r>
          </w:p>
        </w:tc>
        <w:tc>
          <w:tcPr>
            <w:tcW w:w="16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Same Banking Day</w:t>
            </w:r>
          </w:p>
        </w:tc>
      </w:tr>
      <w:tr>
        <w:trPr>
          <w:trHeight w:val="275"/>
        </w:trPr>
        <w:tc>
          <w:tcPr>
            <w:tcW w:w="87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Elections of, Conversions into or Continuations as Term Benchmark Loans</w:t>
            </w:r>
          </w:p>
        </w:tc>
        <w:tc>
          <w:tcPr>
            <w:tcW w:w="16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Three (3)</w:t>
            </w:r>
          </w:p>
        </w:tc>
      </w:tr>
    </w:tbl>
    <w:p>
      <w:pPr>
        <w:spacing w:after="0" w:line="3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Promptly following its receipt of any such notice, Administrative Agent shall so advise the Banks. Each such notice of Election shall specify the portion of the amount of the advance that is to be Term Benchmark Loans (subject to Section 2.13) and the duration of the Interest Period applicable thereto (subject to Section 2.06); each such notice of Conversion shall specify the Term Benchmark Loans, RFR Loans or Base Rate Loans to be Converted; and each such notice of Conversion or Continuation shall specify the date of Conversion or Continuation (which shall be a Banking Day), the amount thereof (subject to Section 2.13) and the duration of the Interest Period applicable thereto (subject to Section 2.06). In the event that Borrower fails to Elect to have any portion of an advance of the Ratable Loans be Term Benchmark Loans, the portion of such advance for which a Term Benchmark Loan Election is not made shall constitute Base Rate Loans. In the event that Borrower fails to Continue Term Benchmark Loans within the time period and as otherwise provided in this Section, such Term Benchmark Loans will be automatically Converted into Base Rate Loans on the last day of the then current applicable Interest Period for such Term Benchmark Loans.</w:t>
      </w:r>
    </w:p>
    <w:p>
      <w:pPr>
        <w:spacing w:after="0" w:line="179"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2.15 </w:t>
      </w:r>
      <w:r>
        <w:rPr>
          <w:rFonts w:ascii="Times New Roman" w:cs="Times New Roman" w:eastAsia="Times New Roman" w:hAnsi="Times New Roman"/>
          <w:sz w:val="21"/>
          <w:szCs w:val="21"/>
          <w:u w:val="single" w:color="auto"/>
          <w:color w:val="auto"/>
        </w:rPr>
        <w:t>Payments Generally</w:t>
      </w:r>
      <w:r>
        <w:rPr>
          <w:rFonts w:ascii="Times New Roman" w:cs="Times New Roman" w:eastAsia="Times New Roman" w:hAnsi="Times New Roman"/>
          <w:sz w:val="21"/>
          <w:szCs w:val="21"/>
          <w:color w:val="auto"/>
        </w:rPr>
        <w:t>. If any Bank shall fail to make any payment required to be made by it pursuant to Section 2.17(h) or 10.05, then the Administrative Agent may, in its discretion and notwithstanding any contrary provision hereof, (i) apply any amounts thereafter received by the Administrative Agent for the account of such Bank for the benefit of the Administrative Agent or the Fronting Bank to satisfy such Bank’s obligations to it under such Section until all such unsatisfied obligations are fully paid, and/or (ii) hold any such amounts in a segregated account as cash collateral for, and application to, any future funding obligations of such Bank under any such Section, in the case of each of clauses (i) and (ii) above, in any order as determined by the Administrative Agent in its discretion.</w:t>
      </w:r>
    </w:p>
    <w:p>
      <w:pPr>
        <w:spacing w:after="0" w:line="6"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2.16</w:t>
      </w:r>
      <w:r>
        <w:rPr>
          <w:sz w:val="20"/>
          <w:szCs w:val="20"/>
          <w:color w:val="auto"/>
        </w:rPr>
        <w:tab/>
      </w:r>
      <w:r>
        <w:rPr>
          <w:rFonts w:ascii="Times New Roman" w:cs="Times New Roman" w:eastAsia="Times New Roman" w:hAnsi="Times New Roman"/>
          <w:sz w:val="21"/>
          <w:szCs w:val="21"/>
          <w:u w:val="single" w:color="auto"/>
          <w:color w:val="auto"/>
        </w:rPr>
        <w:t>Changes of Loan Commitments</w:t>
      </w:r>
      <w:r>
        <w:rPr>
          <w:rFonts w:ascii="Times New Roman" w:cs="Times New Roman" w:eastAsia="Times New Roman" w:hAnsi="Times New Roman"/>
          <w:sz w:val="21"/>
          <w:szCs w:val="21"/>
          <w:color w:val="auto"/>
        </w:rPr>
        <w:t>.</w:t>
      </w:r>
    </w:p>
    <w:p>
      <w:pPr>
        <w:spacing w:after="0" w:line="99" w:lineRule="exact"/>
        <w:rPr>
          <w:sz w:val="20"/>
          <w:szCs w:val="20"/>
          <w:color w:val="auto"/>
        </w:rPr>
      </w:pPr>
    </w:p>
    <w:p>
      <w:pPr>
        <w:jc w:val="both"/>
        <w:ind w:firstLine="634"/>
        <w:spacing w:after="0" w:line="263" w:lineRule="auto"/>
        <w:tabs>
          <w:tab w:leader="none" w:pos="1254"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Borrower shall have the right, without premium or penalty, to terminate any unused Loan Commitments existing as of the date of such termination, in whole or in part, from time to time, provided that: (1) Borrower shall give notice of each such termination to Administrative Agent (which shall promptly notify each of the Banks) no later than 10:00 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1240"/>
          </w:cols>
          <w:pgMar w:left="320" w:top="1382" w:right="339" w:bottom="1440" w:gutter="0" w:footer="0" w:header="0"/>
        </w:sectPr>
      </w:pPr>
    </w:p>
    <w:bookmarkStart w:id="353" w:name="page354"/>
    <w:bookmarkEnd w:id="353"/>
    <w:p>
      <w:pPr>
        <w:jc w:val="both"/>
        <w:spacing w:after="0" w:line="262" w:lineRule="auto"/>
        <w:rPr>
          <w:sz w:val="20"/>
          <w:szCs w:val="20"/>
          <w:color w:val="auto"/>
        </w:rPr>
      </w:pPr>
      <w:r>
        <w:rPr>
          <w:rFonts w:ascii="Times New Roman" w:cs="Times New Roman" w:eastAsia="Times New Roman" w:hAnsi="Times New Roman"/>
          <w:sz w:val="21"/>
          <w:szCs w:val="21"/>
          <w:color w:val="auto"/>
        </w:rPr>
        <w:t>(New York time) on the date which is three (3) Banking Days prior to the effectiveness of such termination; (2) the Loan Commitments of each of the Banks must be terminated (and, in the case of a partial termination, on a pro rata basis) and simultaneously with those of the other Banks; and (3) each partial termination of the Loan Commitments in the aggregate (and corresponding reduction of the Total Loan Commitment) shall be in an integral multiple of One Million Dollars ($1,000,000).</w:t>
      </w:r>
    </w:p>
    <w:p>
      <w:pPr>
        <w:spacing w:after="0" w:line="164" w:lineRule="exact"/>
        <w:rPr>
          <w:sz w:val="20"/>
          <w:szCs w:val="20"/>
          <w:color w:val="auto"/>
        </w:rPr>
      </w:pPr>
    </w:p>
    <w:p>
      <w:pPr>
        <w:ind w:left="1260" w:hanging="626"/>
        <w:spacing w:after="0"/>
        <w:tabs>
          <w:tab w:leader="none" w:pos="126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Commitments, to the extent terminated pursuant to this Section 2.16, may not be reinstated.</w:t>
      </w:r>
    </w:p>
    <w:p>
      <w:pPr>
        <w:spacing w:after="0" w:line="216" w:lineRule="exact"/>
        <w:rPr>
          <w:rFonts w:ascii="Times New Roman" w:cs="Times New Roman" w:eastAsia="Times New Roman" w:hAnsi="Times New Roman"/>
          <w:sz w:val="21"/>
          <w:szCs w:val="21"/>
          <w:color w:val="auto"/>
        </w:rPr>
      </w:pPr>
    </w:p>
    <w:p>
      <w:pPr>
        <w:jc w:val="both"/>
        <w:ind w:firstLine="634"/>
        <w:spacing w:after="0" w:line="249" w:lineRule="auto"/>
        <w:tabs>
          <w:tab w:leader="none" w:pos="1254"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Unless a Default or an Event of Default has occurred and is continuing, Borrower, by written notice to Administrative Agent, may request on up to four (4) occasions during the term of this Agreement that (A) the Total Loan Commitment be increased (the “</w:t>
      </w:r>
      <w:r>
        <w:rPr>
          <w:rFonts w:ascii="Times New Roman" w:cs="Times New Roman" w:eastAsia="Times New Roman" w:hAnsi="Times New Roman"/>
          <w:sz w:val="21"/>
          <w:szCs w:val="21"/>
          <w:u w:val="single" w:color="auto"/>
          <w:color w:val="auto"/>
        </w:rPr>
        <w:t>New Ratable Commitments</w:t>
      </w:r>
      <w:r>
        <w:rPr>
          <w:rFonts w:ascii="Times New Roman" w:cs="Times New Roman" w:eastAsia="Times New Roman" w:hAnsi="Times New Roman"/>
          <w:sz w:val="21"/>
          <w:szCs w:val="21"/>
          <w:color w:val="auto"/>
        </w:rPr>
        <w:t>”) or (B) new term loan commitments be established (the “</w:t>
      </w:r>
      <w:r>
        <w:rPr>
          <w:rFonts w:ascii="Times New Roman" w:cs="Times New Roman" w:eastAsia="Times New Roman" w:hAnsi="Times New Roman"/>
          <w:sz w:val="21"/>
          <w:szCs w:val="21"/>
          <w:u w:val="single" w:color="auto"/>
          <w:color w:val="auto"/>
        </w:rPr>
        <w:t>New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Commitments</w:t>
      </w:r>
      <w:r>
        <w:rPr>
          <w:rFonts w:ascii="Times New Roman" w:cs="Times New Roman" w:eastAsia="Times New Roman" w:hAnsi="Times New Roman"/>
          <w:sz w:val="21"/>
          <w:szCs w:val="21"/>
          <w:color w:val="auto"/>
        </w:rPr>
        <w:t>”, and together with the New Ratable Commitments, the “</w:t>
      </w:r>
      <w:r>
        <w:rPr>
          <w:rFonts w:ascii="Times New Roman" w:cs="Times New Roman" w:eastAsia="Times New Roman" w:hAnsi="Times New Roman"/>
          <w:sz w:val="21"/>
          <w:szCs w:val="21"/>
          <w:u w:val="single" w:color="auto"/>
          <w:color w:val="auto"/>
        </w:rPr>
        <w:t>Incremental Commitments</w:t>
      </w:r>
      <w:r>
        <w:rPr>
          <w:rFonts w:ascii="Times New Roman" w:cs="Times New Roman" w:eastAsia="Times New Roman" w:hAnsi="Times New Roman"/>
          <w:sz w:val="21"/>
          <w:szCs w:val="21"/>
          <w:color w:val="auto"/>
        </w:rPr>
        <w:t>”) by an amount not less than Ten Million Dollars ($10,000,000) per request for any Incremental Commitment and not more than Eight Hundred and Thirty-Five Million Dollars ($835,000,000) in the aggregate for all Incremental Commitments (such that the sum of the Total Loan Commitment plus the initial amount of all New Term Loans (as defined below) made pursuant to the New Term Commitments after such Incremental Commitments shall never exceed One Billion Seven Hundred Fifty Million Dollars ($1,750,000,000) less any voluntary reductions in the Loan Commitments pursuant to Section 2.16(a)); provided that for any such request for an Incremental Commitment in the event that existing Banks do not elect to provide such Incremental Commitment, the Lead Arrangers shall use commercially reasonable efforts to locate additional Qualified Institutions willing to hold the requested Incremental Commitment, and Borrower may also identify additional Qualified Institutions willing to hold the requested Incremental Commitment; provided however that Administrative Agent and each Fronting Bank (in the case of a New Ratable Commitment) shall have the right to approve any such additional Qualified Institutions, which approval will not be unreasonably withheld or delayed. If (x) existing or new Banks are willing to provide such New Ratable Commitments, the Total Loan Commitment may be increased from time to time by the addition of a new Bank or the increase of the Loan Commitment of an existing Bank (each, a “</w:t>
      </w:r>
      <w:r>
        <w:rPr>
          <w:rFonts w:ascii="Times New Roman" w:cs="Times New Roman" w:eastAsia="Times New Roman" w:hAnsi="Times New Roman"/>
          <w:sz w:val="21"/>
          <w:szCs w:val="21"/>
          <w:u w:val="single" w:color="auto"/>
          <w:color w:val="auto"/>
        </w:rPr>
        <w:t>New Ratable Bank</w:t>
      </w:r>
      <w:r>
        <w:rPr>
          <w:rFonts w:ascii="Times New Roman" w:cs="Times New Roman" w:eastAsia="Times New Roman" w:hAnsi="Times New Roman"/>
          <w:sz w:val="21"/>
          <w:szCs w:val="21"/>
          <w:color w:val="auto"/>
        </w:rPr>
        <w:t>”, and the loans made pursuant to any New Ratable Commitment being referred to herein as “</w:t>
      </w:r>
      <w:r>
        <w:rPr>
          <w:rFonts w:ascii="Times New Roman" w:cs="Times New Roman" w:eastAsia="Times New Roman" w:hAnsi="Times New Roman"/>
          <w:sz w:val="21"/>
          <w:szCs w:val="21"/>
          <w:u w:val="single" w:color="auto"/>
          <w:color w:val="auto"/>
        </w:rPr>
        <w:t>New Ratable Loans</w:t>
      </w:r>
      <w:r>
        <w:rPr>
          <w:rFonts w:ascii="Times New Roman" w:cs="Times New Roman" w:eastAsia="Times New Roman" w:hAnsi="Times New Roman"/>
          <w:sz w:val="21"/>
          <w:szCs w:val="21"/>
          <w:color w:val="auto"/>
        </w:rPr>
        <w:t>”) or (y) Banks are willing to provide such New Term Commitments, term loans may be made hereunder (the “</w:t>
      </w:r>
      <w:r>
        <w:rPr>
          <w:rFonts w:ascii="Times New Roman" w:cs="Times New Roman" w:eastAsia="Times New Roman" w:hAnsi="Times New Roman"/>
          <w:sz w:val="21"/>
          <w:szCs w:val="21"/>
          <w:u w:val="single" w:color="auto"/>
          <w:color w:val="auto"/>
        </w:rPr>
        <w:t>New Term Loans</w:t>
      </w:r>
      <w:r>
        <w:rPr>
          <w:rFonts w:ascii="Times New Roman" w:cs="Times New Roman" w:eastAsia="Times New Roman" w:hAnsi="Times New Roman"/>
          <w:sz w:val="21"/>
          <w:szCs w:val="21"/>
          <w:color w:val="auto"/>
        </w:rPr>
        <w:t>”) by such Banks (each, a “</w:t>
      </w:r>
      <w:r>
        <w:rPr>
          <w:rFonts w:ascii="Times New Roman" w:cs="Times New Roman" w:eastAsia="Times New Roman" w:hAnsi="Times New Roman"/>
          <w:sz w:val="21"/>
          <w:szCs w:val="21"/>
          <w:u w:val="single" w:color="auto"/>
          <w:color w:val="auto"/>
        </w:rPr>
        <w:t>New Term Bank</w:t>
      </w:r>
      <w:r>
        <w:rPr>
          <w:rFonts w:ascii="Times New Roman" w:cs="Times New Roman" w:eastAsia="Times New Roman" w:hAnsi="Times New Roman"/>
          <w:sz w:val="21"/>
          <w:szCs w:val="21"/>
          <w:color w:val="auto"/>
        </w:rPr>
        <w:t>”). No Bank shall have any obligation to provide any Incremental Commitment.</w:t>
      </w:r>
    </w:p>
    <w:p>
      <w:pPr>
        <w:spacing w:after="0" w:line="1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(d)</w:t>
      </w:r>
    </w:p>
    <w:p>
      <w:pPr>
        <w:ind w:left="2520"/>
        <w:spacing w:after="0"/>
        <w:rPr>
          <w:sz w:val="20"/>
          <w:szCs w:val="20"/>
          <w:color w:val="auto"/>
        </w:rPr>
      </w:pPr>
      <w:r>
        <w:rPr>
          <w:rFonts w:ascii="Times New Roman" w:cs="Times New Roman" w:eastAsia="Times New Roman" w:hAnsi="Times New Roman"/>
          <w:sz w:val="21"/>
          <w:szCs w:val="21"/>
          <w:color w:val="auto"/>
        </w:rPr>
        <w:t>(i)</w:t>
      </w:r>
    </w:p>
    <w:p>
      <w:pPr>
        <w:spacing w:after="0" w:line="7" w:lineRule="exact"/>
        <w:rPr>
          <w:sz w:val="20"/>
          <w:szCs w:val="20"/>
          <w:color w:val="auto"/>
        </w:rPr>
      </w:pPr>
    </w:p>
    <w:p>
      <w:pPr>
        <w:jc w:val="both"/>
        <w:ind w:left="640" w:firstLine="622"/>
        <w:spacing w:after="0" w:line="249" w:lineRule="auto"/>
        <w:tabs>
          <w:tab w:leader="none" w:pos="1891"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Incremental Commitments hereunder shall be evidenced by the execution and delivery of an amendment to this Agreement by the Borrower, the Administrative Agent, the Fronting Banks (in the case of New Ratable Commitments) and the New Ratable Banks or New Term Banks, as applicable, providing such Incremental Commitments, a copy of which shall be forwarded to each Bank by the Administrative Agent promptly after execution thereof. Each such amendment executed in connection with an Incremental Commitment hereunder may, without the consent of</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382" w:right="339" w:bottom="1440" w:gutter="0" w:footer="0" w:header="0"/>
        </w:sectPr>
      </w:pPr>
    </w:p>
    <w:bookmarkStart w:id="354" w:name="page355"/>
    <w:bookmarkEnd w:id="354"/>
    <w:p>
      <w:pPr>
        <w:jc w:val="both"/>
        <w:spacing w:after="0" w:line="253" w:lineRule="auto"/>
        <w:rPr>
          <w:sz w:val="20"/>
          <w:szCs w:val="20"/>
          <w:color w:val="auto"/>
        </w:rPr>
      </w:pPr>
      <w:r>
        <w:rPr>
          <w:rFonts w:ascii="Times New Roman" w:cs="Times New Roman" w:eastAsia="Times New Roman" w:hAnsi="Times New Roman"/>
          <w:sz w:val="21"/>
          <w:szCs w:val="21"/>
          <w:color w:val="auto"/>
        </w:rPr>
        <w:t>any other Banks, effect such amendments to this Agreement and the other Loan Documents as may be necessary or appropriate, in the good faith judgment of Administrative Agent, to effect the provisions of this Section 2.16(c), subject to approval by the Borrower and the New Ratable Banks or New Term Banks, as applicable, including without limitation to (x) include the New Ratable Banks and/or New Term Banks as “Banks” hereunder, (y) to include the New Ratable Loans and New Term Loans as “Loans” hereunder, and (z) to include the New Ratable Banks and their Pro Rata Shares and/or the New Term Banks and their New Term Loans for purposes of the definition of “Required Banks”; provided however, that any amendments to Articles V through IX, inclusive, and Section 12.02 that adversely affect a Bank or any amendment to provisions of this Agreement other than those effecting this Section 2.16(c) shall be subject to Section 12.02. All such amendments and joinder agreements entered into with the Borrower by the Administrative Agent, the Fronting Banks (in the case of New Ratable Commitments) and the New Ratable Banks or New Term Banks, as applicable, shall be binding and conclusive on all Banks.</w:t>
      </w:r>
    </w:p>
    <w:p>
      <w:pPr>
        <w:spacing w:after="0" w:line="68" w:lineRule="exact"/>
        <w:rPr>
          <w:sz w:val="20"/>
          <w:szCs w:val="20"/>
          <w:color w:val="auto"/>
        </w:rPr>
      </w:pPr>
    </w:p>
    <w:p>
      <w:pPr>
        <w:jc w:val="both"/>
        <w:ind w:firstLine="622"/>
        <w:spacing w:after="0" w:line="253" w:lineRule="auto"/>
        <w:tabs>
          <w:tab w:leader="none" w:pos="1257"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effective date of any New Ratable Commitments, the Total Loan Commitment and the Loan Commitments of the New Ratable Banks shall be increased, the Pro Rata Shares shall be adjusted and the Borrower and the Administrative Agent shall cause the New Ratable Banks to hold their Pro Rata Share of all Ratable Loans outstanding at the close of business on such day, by either funding more than its or their Pro Rata Share of New Ratable Loans made on such date or purchasing shares of outstanding Ratable Loans held by the other Banks or a combination thereof. The Banks agree to cooperate in any required sale and purchase of outstanding Ratable Loans to achieve such result. The Borrower agrees to pay all fees associated with the New Ratable Commitments including any amounts due under Section 3.05 in connection with any reallocation of Term Benchmark Loans.</w:t>
      </w:r>
    </w:p>
    <w:p>
      <w:pPr>
        <w:spacing w:after="0" w:line="190" w:lineRule="exact"/>
        <w:rPr>
          <w:rFonts w:ascii="Times New Roman" w:cs="Times New Roman" w:eastAsia="Times New Roman" w:hAnsi="Times New Roman"/>
          <w:sz w:val="21"/>
          <w:szCs w:val="21"/>
          <w:color w:val="auto"/>
        </w:rPr>
      </w:pPr>
    </w:p>
    <w:p>
      <w:pPr>
        <w:jc w:val="both"/>
        <w:ind w:firstLine="622"/>
        <w:spacing w:after="0" w:line="255" w:lineRule="auto"/>
        <w:tabs>
          <w:tab w:leader="none" w:pos="1245"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effective date of any New Term Commitments of any Series, (a) each New Term Bank of such Series shall make a New Term Loan to the Borrower in an amount equal to its New Term Commitment of such Series, and (b) each New Term Bank of such Series shall become a Bank hereunder with respect to the New Term Commitments of such Series and the New Term Loans of such Series made pursuant thereto. Any New Term Loans made on such effective date shall be designated a separate series (a “</w:t>
      </w:r>
      <w:r>
        <w:rPr>
          <w:rFonts w:ascii="Times New Roman" w:cs="Times New Roman" w:eastAsia="Times New Roman" w:hAnsi="Times New Roman"/>
          <w:sz w:val="21"/>
          <w:szCs w:val="21"/>
          <w:u w:val="single" w:color="auto"/>
          <w:color w:val="auto"/>
        </w:rPr>
        <w:t>Series</w:t>
      </w:r>
      <w:r>
        <w:rPr>
          <w:rFonts w:ascii="Times New Roman" w:cs="Times New Roman" w:eastAsia="Times New Roman" w:hAnsi="Times New Roman"/>
          <w:sz w:val="21"/>
          <w:szCs w:val="21"/>
          <w:color w:val="auto"/>
        </w:rPr>
        <w:t>”) of New Term Loans for all purposes of this Agreement.</w:t>
      </w:r>
    </w:p>
    <w:p>
      <w:pPr>
        <w:spacing w:after="0" w:line="184" w:lineRule="exact"/>
        <w:rPr>
          <w:rFonts w:ascii="Times New Roman" w:cs="Times New Roman" w:eastAsia="Times New Roman" w:hAnsi="Times New Roman"/>
          <w:sz w:val="21"/>
          <w:szCs w:val="21"/>
          <w:color w:val="auto"/>
        </w:rPr>
      </w:pPr>
    </w:p>
    <w:p>
      <w:pPr>
        <w:jc w:val="both"/>
        <w:ind w:firstLine="622"/>
        <w:spacing w:after="0" w:line="253" w:lineRule="auto"/>
        <w:tabs>
          <w:tab w:leader="none" w:pos="1253"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and provisions of the New Ratable Loans and New Ratable Commitments shall be identical to the then existing Ratable Loans and Loan Commitments. The terms of any New Term Loans of any Series made hereunder (a) shall not provide for any amortization payments on or prior to the Maturity Date, but may permit voluntary prepayments, (b) shall provide that the applicable New Term Loan maturity date of each Series shall be no earlier than the Maturity Date, (c) shall rank pari passu to the other Loans hereunder and (d) subject to paragraph (c)(ii) above, shall include such other terms and pricing as may be agreed by the Borrower, the Administrative Agent and the New Term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0600"/>
          </w:cols>
          <w:pgMar w:left="960" w:top="1382" w:right="339" w:bottom="1440" w:gutter="0" w:footer="0" w:header="0"/>
        </w:sectPr>
      </w:pPr>
    </w:p>
    <w:bookmarkStart w:id="355" w:name="page356"/>
    <w:bookmarkEnd w:id="355"/>
    <w:p>
      <w:pPr>
        <w:jc w:val="both"/>
        <w:ind w:left="640" w:firstLine="622"/>
        <w:spacing w:after="0" w:line="251" w:lineRule="auto"/>
        <w:tabs>
          <w:tab w:leader="none" w:pos="1885"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no Incremental Commitment shall become effective under this Section 2.16(c) unless (a) on the date of such effectiveness, the conditions set forth in Section 4.02 shall be satisfied or otherwise waived by the Banks providing such Incremental Commitments and the Administrative Agent shall have received a certificate to that effect dated such date and executed by an authorized signatory of the Borrower, (b) the Administrative Agent shall have received a certificate of an authorized signatory of the Borrower as to the board resolutions evidencing authority for such Incremental Commitment and as to any changes to the formation documents of the Borrower since the Closing Date, (c) the Borrower shall be in pro forma compliance with the covenants set forth in Article VIII after giving effect to the Loans to be made on such date pursuant to such Incremental Commitments and the application of the proceeds therefrom as if made and applied on such date to the extent such Incremental Commitments are drawn and funded on such date, (d) the Borrower shall deliver any legal opinions reasonably requested by the Administrative Agent in connection with such Incremental Commitments, consistent with those delivered on the Closing Date, and (e) the Borrower shall have paid all reasonable and documented out-of-pocket costs and expenses of the Administrative Agent pursuant to Section 12.04 and all agreed-upon fees payable to the Administrative Agent and the New Ratable Banks or New Term Banks, as applicable, in connection with such Incremental Commitments.</w:t>
      </w:r>
    </w:p>
    <w:p>
      <w:pPr>
        <w:spacing w:after="0" w:line="197" w:lineRule="exact"/>
        <w:rPr>
          <w:rFonts w:ascii="Times New Roman" w:cs="Times New Roman" w:eastAsia="Times New Roman" w:hAnsi="Times New Roman"/>
          <w:sz w:val="21"/>
          <w:szCs w:val="21"/>
          <w:color w:val="auto"/>
        </w:rPr>
      </w:pPr>
    </w:p>
    <w:p>
      <w:pPr>
        <w:ind w:left="640" w:firstLine="622"/>
        <w:spacing w:after="0" w:line="280" w:lineRule="auto"/>
        <w:tabs>
          <w:tab w:leader="none" w:pos="1891"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nothing in this Section 2.16(c) shall constitute or be deemed to constitute an agreement by any Bank to provide any Incremental Commitment.</w:t>
      </w:r>
    </w:p>
    <w:p>
      <w:pPr>
        <w:spacing w:after="0" w:line="144"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2.17</w:t>
      </w:r>
      <w:r>
        <w:rPr>
          <w:sz w:val="20"/>
          <w:szCs w:val="20"/>
          <w:color w:val="auto"/>
        </w:rPr>
        <w:tab/>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jc w:val="both"/>
        <w:ind w:firstLine="634"/>
        <w:spacing w:after="0" w:line="252" w:lineRule="auto"/>
        <w:tabs>
          <w:tab w:leader="none" w:pos="1254"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 by notice to Administrative Agent and the applicable Fronting Bank, may request, in lieu of advances of proceeds of the Ratable Loans, that such Fronting Bank issue unconditional, irrevocable standby letters of credit </w:t>
      </w:r>
      <w:r>
        <w:rPr>
          <w:rFonts w:ascii="Times New Roman" w:cs="Times New Roman" w:eastAsia="Times New Roman" w:hAnsi="Times New Roman"/>
          <w:sz w:val="21"/>
          <w:szCs w:val="21"/>
          <w:u w:val="single" w:color="auto"/>
          <w:color w:val="0E32E1"/>
        </w:rPr>
        <w:t>in Dollars</w:t>
      </w:r>
      <w:r>
        <w:rPr>
          <w:rFonts w:ascii="Times New Roman" w:cs="Times New Roman" w:eastAsia="Times New Roman" w:hAnsi="Times New Roman"/>
          <w:sz w:val="21"/>
          <w:szCs w:val="21"/>
          <w:color w:val="auto"/>
        </w:rPr>
        <w:t xml:space="preserve"> (each, a “</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for the account of Borrower or its designee (which shall be an Affiliate or Subsidiary of Borrower) (it being understood that the issuance of a Letter of Credit for the account of a designee shall not in any way relieve Borrower of any of its obligations hereunder), payable by sight drafts, for such beneficiaries and with such other terms as Borrower shall specify. Unless the applicable Fronting Bank has received written notice from the Administrative Agent, not less than one (1) Banking Day prior to the requested date of issuance or amendment of the applicable Letter of Credit, that one or more applicable conditions contained in Section 4.02 shall not have been satisfied, then, subject to the terms and conditions hereof, such Fronting Bank, on the requested date, shall issue a Letter of Credit for the account of the Borrower or enter into the applicable amendment, as the case may be, in each case in a form reasonably acceptable to such Fronting Bank and in accordance with such Fronting Bank’s usual and customary business practices; provided that there shall not at any time be more than a total of 20 Letters of Credit outstanding. Promptly upon issuance of a Letter of Credit, the applicable Fronting Bank shall notify Administrative Agent and Administrative Agent shall notify each of the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6095365</wp:posOffset>
            </wp:positionH>
            <wp:positionV relativeFrom="paragraph">
              <wp:posOffset>-1792605</wp:posOffset>
            </wp:positionV>
            <wp:extent cx="412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16">
                      <a:extLst>
                        <a:ext uri="{28A0092B-C50C-407E-A947-70E740481C1C}"/>
                      </a:extLst>
                    </a:blip>
                    <a:srcRect/>
                    <a:stretch>
                      <a:fillRect/>
                    </a:stretch>
                  </pic:blipFill>
                  <pic:spPr bwMode="auto">
                    <a:xfrm>
                      <a:off x="0" y="0"/>
                      <a:ext cx="41275" cy="8255"/>
                    </a:xfrm>
                    <a:prstGeom prst="rect">
                      <a:avLst/>
                    </a:prstGeom>
                    <a:noFill/>
                  </pic:spPr>
                </pic:pic>
              </a:graphicData>
            </a:graphic>
          </wp:anchor>
        </w:drawing>
      </w:r>
    </w:p>
    <w:p>
      <w:pPr>
        <w:spacing w:after="0" w:line="16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1"/>
          <w:szCs w:val="21"/>
          <w:color w:val="auto"/>
        </w:rPr>
        <w:t>Notwithstanding anything herein to the contrary, the Fronting Banks shall have no obligation hereunder to issue, amend or extend, and shall not issue, amend or extend, any Letter of Credit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382" w:right="339" w:bottom="1440" w:gutter="0" w:footer="0" w:header="0"/>
        </w:sectPr>
      </w:pPr>
    </w:p>
    <w:bookmarkStart w:id="356" w:name="page357"/>
    <w:bookmarkEnd w:id="356"/>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the proceeds of which would be made available to any Person (i) to fund any activity or business of or with any Sanctioned Person, or in any country or territory that, at the time of such funding, is the subject of any Sanctions or (ii) in any manner that would result in a violation of any Sanctions by any party to this Agreement. In addition, a Fronting Bank shall not be under any obligation to issue, amend or extend any Letter of Credit if (x) any order, judgment or decree of any Governmental Authority or arbitrator shall by its terms purport to enjoin or restrain such Fronting Bank from issuing, amending or extending the Letter of Credit, or any Law applicable to such Fronting Bank or any request or directive (whether or not having the force of law) from any Governmental Authority with jurisdiction over such Fronting Bank shall prohibit, or request that such Fronting Bank refrain from, the issuance, amendment or extension of letters of credit generally or the Letter of Credit in particular or shall impose upon such Fronting Bank with respect to the Letter of Credit any restriction, reserve </w:t>
      </w:r>
      <w:r>
        <w:rPr>
          <w:rFonts w:ascii="Times New Roman" w:cs="Times New Roman" w:eastAsia="Times New Roman" w:hAnsi="Times New Roman"/>
          <w:sz w:val="21"/>
          <w:szCs w:val="21"/>
          <w:color w:val="EE2724"/>
          <w:strike w:val="1"/>
        </w:rPr>
        <w:t>or</w:t>
      </w:r>
      <w:r>
        <w:rPr>
          <w:rFonts w:ascii="Times New Roman" w:cs="Times New Roman" w:eastAsia="Times New Roman" w:hAnsi="Times New Roman"/>
          <w:sz w:val="21"/>
          <w:szCs w:val="21"/>
          <w:u w:val="single" w:color="auto"/>
          <w:color w:val="0A2299"/>
        </w:rPr>
        <w:t>,</w:t>
      </w:r>
      <w:r>
        <w:rPr>
          <w:rFonts w:ascii="Times New Roman" w:cs="Times New Roman" w:eastAsia="Times New Roman" w:hAnsi="Times New Roman"/>
          <w:sz w:val="21"/>
          <w:szCs w:val="21"/>
          <w:color w:val="auto"/>
        </w:rPr>
        <w:t xml:space="preserve"> capital </w:t>
      </w:r>
      <w:r>
        <w:rPr>
          <w:rFonts w:ascii="Times New Roman" w:cs="Times New Roman" w:eastAsia="Times New Roman" w:hAnsi="Times New Roman"/>
          <w:sz w:val="21"/>
          <w:szCs w:val="21"/>
          <w:u w:val="single" w:color="auto"/>
          <w:color w:val="0E32E1"/>
        </w:rPr>
        <w:t>or liquidity</w:t>
      </w:r>
      <w:r>
        <w:rPr>
          <w:rFonts w:ascii="Times New Roman" w:cs="Times New Roman" w:eastAsia="Times New Roman" w:hAnsi="Times New Roman"/>
          <w:sz w:val="21"/>
          <w:szCs w:val="21"/>
          <w:color w:val="auto"/>
        </w:rPr>
        <w:t xml:space="preserve"> requirement (for which the Fronting Bank is not otherwise compensated hereunder) not in effect on the Execution Date, or shall impose upon the Fronting Bank any unreimbursed loss, cost or expense which was not applicable on the Execution Date and which such Fronting Bank in good faith deems material to it or (y) the issuance, amendment or extension of such Letter of Credit would violate one or more policies of such Fronting Bank applicable to letters of credit generally.</w:t>
      </w:r>
    </w:p>
    <w:p>
      <w:pPr>
        <w:spacing w:after="0" w:line="149" w:lineRule="exact"/>
        <w:rPr>
          <w:sz w:val="20"/>
          <w:szCs w:val="20"/>
          <w:color w:val="auto"/>
        </w:rPr>
      </w:pPr>
    </w:p>
    <w:p>
      <w:pPr>
        <w:jc w:val="both"/>
        <w:ind w:firstLine="634"/>
        <w:spacing w:after="0" w:line="210" w:lineRule="auto"/>
        <w:tabs>
          <w:tab w:leader="none" w:pos="1253"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request the issuance of a Letter of Credit (or the amendment, renewal or extension of an outstanding Letter of Credit), Borrower shall hand deliver or telecopy (or transmit by electronic communication, if arrangements for doing so have been approved by the applicable Fronting Bank) to the Fronting Bank or Fronting Banks which are being requested to issue (or has or have issued, in the case of an amendment, renewal or extension) such Letter of Credit and the Administrative Agent (reasonably in advance of the requested date of issuance, amendment, renewal or extension, but in any event no less than three Banking Days or such shorter period as the applicable Fronting Bank shall agree to) a notice requesting the issuance of a Letter of Credit, or identifying the Letter of Credit to be amended, renewed or extended, and specifying the date of issuance, amendment, renewal or extension (which shall be a Banking Day), the identity of the Fronting Bank(s) selected to issue such Letter of Credit, the date on which such Letter of Credit is to expire (which shall comply with paragraph (e) of this Section), the amount of such Letter of Credit, the name and address of the beneficiary thereof and such other information as shall be necessary to prepare, amend, renew or extend such Letter of Credit. If requested by the Fronting Bank, Borrower also shall submit a letter of credit application on the Fronting Bank’s standard form in connection with any request for a Letter of Credit; provided that the provisions of this Agreement shall prevail if there is an inconsistency between this Agreement and such letter of credit application. The Borrower and the Fronting Banks shall use reasonable efforts, to the extent practical, to cause any Letters of Credit to be issued by the Fronting Banks on a proportionate basis in accordance with their respective Letter of Credit Commitments, although, for the avoidance of doubt, no single Letter of Credit will be required to be issued by more than one Fronting Bank unless the amount of such Letter of Credit will exceed the available Letter of Credit Commitment of the applicable Fronting Bank. A Letter of Credit shall be issued, amended, renewed or extended only if (and upon issuance, amendment, renewal or extension of each Letter of Credit Borrower shall be deemed to represent and warrant that), after giving effect to such issuance, amendment, renewal or extension (i) (x) the aggregate undrawn amount of all outstanding Letters of Credit issued by the applicable Fronting Bank at such time plus (y) the aggregate amount of all drawings under Letters of Credit issued by such Fronting Bank that have not yet been reimbursed by or on behalf of the Borrower (including, for clarity, by means of advances of Loans pursuant to this Agreement) at such time shall not exceed its Letter of Credit Commitment (unless agreed to by such Fronting Bank), (ii) the aggregate LC Exposure at such time shall not exceed $150,000,000 (as such amount may be reduced by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1240"/>
          </w:cols>
          <w:pgMar w:left="320" w:top="1382" w:right="339" w:bottom="1440" w:gutter="0" w:footer="0" w:header="0"/>
        </w:sectPr>
      </w:pPr>
    </w:p>
    <w:bookmarkStart w:id="357" w:name="page358"/>
    <w:bookmarkEnd w:id="357"/>
    <w:p>
      <w:pPr>
        <w:jc w:val="both"/>
        <w:spacing w:after="0" w:line="226" w:lineRule="auto"/>
        <w:rPr>
          <w:sz w:val="20"/>
          <w:szCs w:val="20"/>
          <w:color w:val="auto"/>
        </w:rPr>
      </w:pPr>
      <w:r>
        <w:rPr>
          <w:rFonts w:ascii="Times New Roman" w:cs="Times New Roman" w:eastAsia="Times New Roman" w:hAnsi="Times New Roman"/>
          <w:sz w:val="20"/>
          <w:szCs w:val="20"/>
          <w:color w:val="auto"/>
        </w:rPr>
        <w:t xml:space="preserve">notice from the Borrower consistent with Section 2.16(a) so long as the outstanding Letters of Credit do not exceed such reduced amount), (iii) the amount of such Letter of Credit shall not exceed the Available Total Loan Commitment, and (iv) the amount of such Letter of Credit shall not exceed the excess of the Fronting Bank’s Loan Commitment minus the sum of the outstanding principal amount of such Fronting Bank’s Ratable Loans and LC Exposure at such time. The Borrower may, at any time and from time to time, reduce the Letter of Credit Commitment of any Fronting Bank with the consent of such Fronting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reduce the Letter of Credit Commitment of any Fronting Bank if, after giving effect of such reduction, the conditions set forth in clauses (i) through (iv) of this paragraph (b) shall not be satisfied. The amount of each Letter of Credit issued and outstanding shall effect a reduction, by an equal amount, of the Available Total Loan Commitment as provided in Section 2.01(b) (such reduction to be allocated to each Bank’s Loan Commitment ratably in accordance with the Banks’ respective Pro Rata Shares).</w:t>
      </w:r>
    </w:p>
    <w:p>
      <w:pPr>
        <w:spacing w:after="0" w:line="147" w:lineRule="exact"/>
        <w:rPr>
          <w:sz w:val="20"/>
          <w:szCs w:val="20"/>
          <w:color w:val="auto"/>
        </w:rPr>
      </w:pPr>
    </w:p>
    <w:p>
      <w:pPr>
        <w:jc w:val="both"/>
        <w:ind w:firstLine="634"/>
        <w:spacing w:after="0" w:line="242" w:lineRule="auto"/>
        <w:tabs>
          <w:tab w:leader="none" w:pos="125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each Letter of Credit shall be further subject to the conditions and limitations applicable to amounts of advances set forth in Section 2.04 and except as otherwise provided in clause (b) above, the procedures for the issuance of each Letter of Credit shall be the same as the procedures applicable to the making of advances as set forth in the first sentence of Section 2.05.</w:t>
      </w:r>
    </w:p>
    <w:p>
      <w:pPr>
        <w:spacing w:after="0" w:line="142" w:lineRule="exact"/>
        <w:rPr>
          <w:rFonts w:ascii="Times New Roman" w:cs="Times New Roman" w:eastAsia="Times New Roman" w:hAnsi="Times New Roman"/>
          <w:sz w:val="20"/>
          <w:szCs w:val="20"/>
          <w:color w:val="auto"/>
        </w:rPr>
      </w:pPr>
    </w:p>
    <w:p>
      <w:pPr>
        <w:ind w:firstLine="634"/>
        <w:spacing w:after="0" w:line="241" w:lineRule="auto"/>
        <w:tabs>
          <w:tab w:leader="none" w:pos="1253"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Fronting Bank’s issuance of each Letter of Credit shall be subject to Borrower’s satisfaction of all conditions precedent to its entitlement to an advance of proceeds of the Loans.</w:t>
      </w:r>
    </w:p>
    <w:p>
      <w:pPr>
        <w:spacing w:after="0" w:line="143" w:lineRule="exact"/>
        <w:rPr>
          <w:rFonts w:ascii="Times New Roman" w:cs="Times New Roman" w:eastAsia="Times New Roman" w:hAnsi="Times New Roman"/>
          <w:sz w:val="21"/>
          <w:szCs w:val="21"/>
          <w:color w:val="auto"/>
        </w:rPr>
      </w:pPr>
    </w:p>
    <w:p>
      <w:pPr>
        <w:jc w:val="both"/>
        <w:ind w:firstLine="634"/>
        <w:spacing w:after="0" w:line="213" w:lineRule="auto"/>
        <w:tabs>
          <w:tab w:leader="none" w:pos="1254"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Letter of Credit shall (i) unless approved by the Administrative Agent and the applicable Fronting Bank, expire no later than the earlier of (x) fourteen (14) days prior to the Maturity Date or (y) one (1) year after the date of its issuance (without regard to any automatic renewal provisions thereof), and (ii) be in a minimum amount of One Hundred Thousand Dollars ($100,000), or such lesser amount approved by the Fronting Bank. In no event shall a Letter of Credit expire later than the first anniversary of the Maturity Date. Notwithstanding the foregoing, in the event that, with the approval of the Administrative Agent and the Fronting Bank, any Letters of Credit are issued and outstanding on the date that is fourteen (14) days prior to the Maturity Date, Borrower shall deliver to Administrative Agent on such date by wire transfer of immediately available funds a cash deposit in the amount of such Letters of Credit in accordance with the provisions of Section 2.17(i). Such funds shall be held by Administrative Agent and applied to repay the amount of each drawing under such Letters of Credit on or after the Maturity Date, if applicable. Such funds, with any interest earned thereon, will be returned to Borrower (and may be returned from time to time with respect to any applicable Letter of Credit) on the earlier of (a) the date that the applicable Letter of Credit or Letters of Credit expire in accordance with their terms; and (b) the date that the applicable Letter of Credit or Letters of Credit are cancelled.</w:t>
      </w:r>
    </w:p>
    <w:p>
      <w:pPr>
        <w:spacing w:after="0" w:line="152" w:lineRule="exact"/>
        <w:rPr>
          <w:rFonts w:ascii="Times New Roman" w:cs="Times New Roman" w:eastAsia="Times New Roman" w:hAnsi="Times New Roman"/>
          <w:sz w:val="21"/>
          <w:szCs w:val="21"/>
          <w:color w:val="auto"/>
        </w:rPr>
      </w:pPr>
    </w:p>
    <w:p>
      <w:pPr>
        <w:jc w:val="both"/>
        <w:ind w:firstLine="634"/>
        <w:spacing w:after="0" w:line="229" w:lineRule="auto"/>
        <w:tabs>
          <w:tab w:leader="none" w:pos="1257"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and as a further condition to the issuance of, each Letter of Credit, Borrower shall execute and deliver to the Fronting Bank an application for the Letter of Credit in such form, and together with such other documents, opinions and assurances, as the Fronting Bank shall reasonably require.</w:t>
      </w:r>
    </w:p>
    <w:p>
      <w:pPr>
        <w:spacing w:after="0" w:line="147" w:lineRule="exact"/>
        <w:rPr>
          <w:rFonts w:ascii="Times New Roman" w:cs="Times New Roman" w:eastAsia="Times New Roman" w:hAnsi="Times New Roman"/>
          <w:sz w:val="21"/>
          <w:szCs w:val="21"/>
          <w:color w:val="auto"/>
        </w:rPr>
      </w:pPr>
    </w:p>
    <w:p>
      <w:pPr>
        <w:jc w:val="both"/>
        <w:ind w:firstLine="634"/>
        <w:spacing w:after="0" w:line="219" w:lineRule="auto"/>
        <w:tabs>
          <w:tab w:leader="none" w:pos="1253"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each Letter of Credit, Borrower hereby covenants to pay (i) to Administrative Agent, quarterly in arrears (on the fifteenth day of the month following the end of each calendar quarter following the issuance of such Letter of Credit), a fee, payable to Administrative Agent for the account of the Banks, computed daily (calculated on the basis of a year of three hundred and sixty (360) days for the actual number of days elapsed) on the face amount of such Letter of Credit issued and outstanding at a rate per annum equal to the “Banks’ L/C Fee Rate” (as hereinafter defined) and (ii) to the Fronting Bank, payable quarterly in arrears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356" w:right="339" w:bottom="1440" w:gutter="0" w:footer="0" w:header="0"/>
        </w:sectPr>
      </w:pPr>
    </w:p>
    <w:bookmarkStart w:id="358" w:name="page359"/>
    <w:bookmarkEnd w:id="358"/>
    <w:p>
      <w:pPr>
        <w:jc w:val="both"/>
        <w:spacing w:after="0" w:line="214" w:lineRule="auto"/>
        <w:rPr>
          <w:sz w:val="20"/>
          <w:szCs w:val="20"/>
          <w:color w:val="auto"/>
        </w:rPr>
      </w:pPr>
      <w:r>
        <w:rPr>
          <w:rFonts w:ascii="Times New Roman" w:cs="Times New Roman" w:eastAsia="Times New Roman" w:hAnsi="Times New Roman"/>
          <w:sz w:val="21"/>
          <w:szCs w:val="21"/>
          <w:color w:val="auto"/>
        </w:rPr>
        <w:t>(on the fifteenth day of the month following the end of each calendar quarter), a fee, payable to the Fronting Bank for its own account, computed daily (calculated on the basis of a year of three hundred and sixty (360) days for the actual number of days elapsed) on the amount of such Letter of Credit issued and outstanding at a rate per annum equal to 0.125%. Administrative Agent shall have no responsibility for the collection of the fee for any Letter of Credit that is payable to the Fronting Bank. For purposes of this Agreement, the “Banks’ L/C Fee Rate” shall mean, provided no Event of Default has occurred and is continuing, a rate per annum (calculated on the basis of a year of three hundred and sixty (360) days for the actual number of days elapsed) equal to the Applicable Margin for Term Benchmark Loans minus 0.125% and, in the event an Event of Default has occurred and is continuing, a rate per annum (calculated on the basis of a year of three hundred and sixty (360) days for the actual number of days elapsed) equal to 3%. It is understood and agreed that the last installment of the fees provided for in this paragraph (g) with respect to any particular Letter of Credit shall be due and payable on the fifteenth day of the month following the end of the calendar quarter of the surrender or cancellation, of such Letter of Credit.</w:t>
      </w:r>
    </w:p>
    <w:p>
      <w:pPr>
        <w:spacing w:after="0" w:line="146" w:lineRule="exact"/>
        <w:rPr>
          <w:sz w:val="20"/>
          <w:szCs w:val="20"/>
          <w:color w:val="auto"/>
        </w:rPr>
      </w:pPr>
    </w:p>
    <w:p>
      <w:pPr>
        <w:jc w:val="both"/>
        <w:ind w:firstLine="634"/>
        <w:spacing w:after="0" w:line="212" w:lineRule="auto"/>
        <w:tabs>
          <w:tab w:leader="none" w:pos="1253"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Fronting Bank shall promptly notify Administrative Agent of any drawing under a Letter of Credit issued by such Fronting Bank. The parties hereto acknowledge and agree that, immediately upon notice from Administrative Agent of any drawing under a Letter of Credit, each Bank shall, notwithstanding the existence of a Default or Event of Default or the non-satisfaction of any conditions precedent to the making of an advance of the Loans, advance proceeds of its Ratable Loan as a Base Rate Loan, in an amount equal to its Pro Rata Share of such drawing, which advance shall be made to Administrative Agent for disbursement to the Fronting Bank issuing such Letter of Credit to reimburse the Fronting Bank, for its own account, for such drawing, all in satisfaction of Borrower’s obligation to reimburse such drawing. Each of the Banks further acknowledges that its obligation to fund its Pro Rata Share of drawings under Letters of Credit as aforesaid shall survive the Banks’ termination of this Agreement or enforcement of remedies hereunder or under the other Loan Documents. If any Ratable Loan cannot for any reason be made on the date otherwise required above (including, without limitation, as a result of the commencement of a proceeding under any applicable bankruptcy law with respect to Borrower), then Borrower shall immediately reimburse such drawing by paying to the Administrative Agent the amount of such drawing and each of the Banks shall purchase (on the date such Ratable Loan would otherwise have been made) from the Fronting Bank a participation interest in any unreimbursed drawing in an amount equal to its Pro Rata Share of such unreimbursed drawing.</w:t>
      </w:r>
    </w:p>
    <w:p>
      <w:pPr>
        <w:spacing w:after="0" w:line="157" w:lineRule="exact"/>
        <w:rPr>
          <w:rFonts w:ascii="Times New Roman" w:cs="Times New Roman" w:eastAsia="Times New Roman" w:hAnsi="Times New Roman"/>
          <w:sz w:val="21"/>
          <w:szCs w:val="21"/>
          <w:color w:val="auto"/>
        </w:rPr>
      </w:pPr>
    </w:p>
    <w:p>
      <w:pPr>
        <w:jc w:val="both"/>
        <w:ind w:firstLine="634"/>
        <w:spacing w:after="0" w:line="216" w:lineRule="auto"/>
        <w:tabs>
          <w:tab w:leader="none" w:pos="1246"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agrees, upon and during the continuance of an Event of Default and at the request of Administrative Agent or the Required Banks (or automatically upon an Event of Default under Section 9.01(5)), (x) to deposit with Administrative Agent cash collateral in the amount of all the outstanding Letters of Credit, which cash collateral is hereby pledged and shall be held by Administrative Agent for the benefit of the Banks and the Fronting Banks in an account as security for Borrower’s obligations in connection with the Letters of Credit and (y) to execute and deliver to Administrative Agent such documents as Administrative Agent requests to confirm and perfect the assignment of such cash collateral and such account to Administrative Agent for the benefit of the Banks. Any such cash collateral deposited with Administrative Agent shall be returned immediately to Borrower upon the cure of such Event of Default.</w:t>
      </w:r>
    </w:p>
    <w:p>
      <w:pPr>
        <w:spacing w:after="0" w:line="147" w:lineRule="exact"/>
        <w:rPr>
          <w:rFonts w:ascii="Times New Roman" w:cs="Times New Roman" w:eastAsia="Times New Roman" w:hAnsi="Times New Roman"/>
          <w:sz w:val="21"/>
          <w:szCs w:val="21"/>
          <w:color w:val="auto"/>
        </w:rPr>
      </w:pPr>
    </w:p>
    <w:p>
      <w:pPr>
        <w:jc w:val="both"/>
        <w:ind w:firstLine="634"/>
        <w:spacing w:after="0" w:line="221" w:lineRule="auto"/>
        <w:tabs>
          <w:tab w:leader="none" w:pos="1246"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It is hereby acknowledged and agreed by the Borrower, the Administrative Agent and all the Banks party hereto that on the Execution Date, the letters of credit previously issued by Bank of America, N.A., JPMorgan Chase Bank, N.A., Wells Fargo Bank, N.A., U.S. Bank National Association and/or PNC Bank, National Association as “Fronting Bank” under the Existing 2021 Credit Agreement and listed on </w:t>
      </w:r>
      <w:r>
        <w:rPr>
          <w:rFonts w:ascii="Times New Roman" w:cs="Times New Roman" w:eastAsia="Times New Roman" w:hAnsi="Times New Roman"/>
          <w:sz w:val="21"/>
          <w:szCs w:val="21"/>
          <w:u w:val="single" w:color="auto"/>
          <w:color w:val="auto"/>
        </w:rPr>
        <w:t>Schedule 2.17(j)</w:t>
      </w:r>
      <w:r>
        <w:rPr>
          <w:rFonts w:ascii="Times New Roman" w:cs="Times New Roman" w:eastAsia="Times New Roman" w:hAnsi="Times New Roman"/>
          <w:sz w:val="21"/>
          <w:szCs w:val="21"/>
          <w:color w:val="auto"/>
        </w:rPr>
        <w:t xml:space="preserve"> attached hereto shall be transferred to this Agreement and shall be deemed to be Letters of Credit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1240"/>
          </w:cols>
          <w:pgMar w:left="320" w:top="1356" w:right="339" w:bottom="1440" w:gutter="0" w:footer="0" w:header="0"/>
        </w:sectPr>
      </w:pPr>
    </w:p>
    <w:bookmarkStart w:id="359" w:name="page360"/>
    <w:bookmarkEnd w:id="359"/>
    <w:p>
      <w:pPr>
        <w:jc w:val="both"/>
        <w:ind w:firstLine="634"/>
        <w:spacing w:after="0" w:line="211" w:lineRule="auto"/>
        <w:tabs>
          <w:tab w:leader="none" w:pos="1253"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Fronting Bank may be replaced at any time by written agreement in a form reasonably satisfactory to the Administrative Agent among the Borrower, the Administrative Agent, the replaced Fronting Bank and the successor Fronting Bank. In addition, the Borrower, by written agreement in a form reasonably satisfactory to the Administrative Agent among Borrower, Administrative Agent and a Bank delivered to Administrative Agent, may designate such Bank as an additional Fronting Bank with such Letter of Credit Commitment as may be agreed on between such Bank and the Borrower provided that the sum of (x) all Letter of Credit Commitments plus (y) the aggregate undrawn amount of all outstanding Letters of Credit at such time plus (z) the aggregate amount of all drawings under Letters of Credit that have not yet been reimbursed by or on behalf of the Borrower (including, for clarity, by means of advances of Loans pursuant to this Agreement) shall not exceed $150,000,000 (and the Letter of Credit Commitment of each other Fronting Bank shall be reduced pro rata by the amount of the additional Fronting Bank’s Letter of Credit Commitment). The Administrative Agent shall notify the Banks of any such replacement of the Fronting Bank and any additional Fronting Bank. At the time any such replacement of a Fronting Bank shall become effective, the Borrower shall pay all unpaid fees accrued for the account of the replaced Fronting Bank pursuant to Section 2.17(g). From and after the effective date of any such replacement or addition of a Fronting Bank, (x) the successor or additional (as applicable) Fronting Bank shall have all the rights and obligations of a Fronting Bank under this Agreement with respect to Letters of Credit to be issued thereafter and (y) references herein to the term “Fronting Bank” shall be deemed to refer to such successor or additional Fronting Bank, or to any previous Fronting Bank, or to such successor or additional, and all previous, Fronting Banks and all other Fronting Banks, as the context shall require. After the replacement of a Fronting Bank hereunder, the replaced Fronting Bank shall remain a party hereto and shall continue to have all the rights and obligations of a Fronting Bank under this Agreement with respect to Letters of Credit issued by it prior to such replacement, but shall not be required to issue additional Letters of Credit. Subject to the appointment and acceptance by Administrative Agent and Borrower of a successor Fronting Bank, any Fronting Bank may resign as a Fronting Bank at any time upon thirty days’ prior written notice to the Administrative Agent, the Borrower and the Banks, in which case, such Fronting Bank shall be replaced as provided above.</w:t>
      </w:r>
    </w:p>
    <w:p>
      <w:pPr>
        <w:spacing w:after="0" w:line="149" w:lineRule="exact"/>
        <w:rPr>
          <w:rFonts w:ascii="Times New Roman" w:cs="Times New Roman" w:eastAsia="Times New Roman" w:hAnsi="Times New Roman"/>
          <w:sz w:val="21"/>
          <w:szCs w:val="21"/>
          <w:color w:val="auto"/>
        </w:rPr>
      </w:pPr>
    </w:p>
    <w:p>
      <w:pPr>
        <w:jc w:val="both"/>
        <w:ind w:firstLine="634"/>
        <w:spacing w:after="0" w:line="212" w:lineRule="auto"/>
        <w:tabs>
          <w:tab w:leader="none" w:pos="1246"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Borrower’s obligation to reimburse drawings under Letters of Credit as provided in paragraph (h)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Fronting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Banks nor the Fronting Bank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Fronting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be construed to excuse the Fronting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the Fronting Bank’s failure to exercise care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ectPr>
          <w:pgSz w:w="11900" w:h="16838" w:orient="portrait"/>
          <w:cols w:equalWidth="0" w:num="1">
            <w:col w:w="11240"/>
          </w:cols>
          <w:pgMar w:left="320" w:top="1357" w:right="339" w:bottom="1440" w:gutter="0" w:footer="0" w:header="0"/>
        </w:sectPr>
      </w:pPr>
    </w:p>
    <w:bookmarkStart w:id="360" w:name="page361"/>
    <w:bookmarkEnd w:id="360"/>
    <w:p>
      <w:pPr>
        <w:jc w:val="both"/>
        <w:spacing w:after="0" w:line="216" w:lineRule="auto"/>
        <w:rPr>
          <w:sz w:val="20"/>
          <w:szCs w:val="20"/>
          <w:color w:val="auto"/>
        </w:rPr>
      </w:pPr>
      <w:r>
        <w:rPr>
          <w:rFonts w:ascii="Times New Roman" w:cs="Times New Roman" w:eastAsia="Times New Roman" w:hAnsi="Times New Roman"/>
          <w:sz w:val="21"/>
          <w:szCs w:val="21"/>
          <w:color w:val="auto"/>
        </w:rPr>
        <w:t>determining whether drafts and other documents presented under a Letter of Credit comply with the terms thereof. The parties hereto expressly agree that, in the absence of gross negligence or willful misconduct on the part of the Fronting Bank (as finally determined by a court of competent jurisdiction), the Fronting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Fronting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u w:val="single" w:color="auto"/>
          <w:color w:val="0E32E1"/>
        </w:rPr>
        <w:t>Without limiting the foregoing, each Fronting Bank may:</w:t>
      </w:r>
    </w:p>
    <w:p>
      <w:pPr>
        <w:spacing w:after="0" w:line="191" w:lineRule="exact"/>
        <w:rPr>
          <w:sz w:val="20"/>
          <w:szCs w:val="20"/>
          <w:color w:val="auto"/>
        </w:rPr>
      </w:pPr>
    </w:p>
    <w:p>
      <w:pPr>
        <w:ind w:left="640" w:firstLine="622"/>
        <w:spacing w:after="0" w:line="241" w:lineRule="auto"/>
        <w:tabs>
          <w:tab w:leader="none" w:pos="1885" w:val="left"/>
        </w:tabs>
        <w:numPr>
          <w:ilvl w:val="0"/>
          <w:numId w:val="241"/>
        </w:numPr>
        <w:rPr>
          <w:rFonts w:ascii="Times New Roman" w:cs="Times New Roman" w:eastAsia="Times New Roman" w:hAnsi="Times New Roman"/>
          <w:sz w:val="21"/>
          <w:szCs w:val="21"/>
          <w:u w:val="single" w:color="auto"/>
          <w:color w:val="0E32E1"/>
        </w:rPr>
      </w:pPr>
      <w:r>
        <w:rPr>
          <w:rFonts w:ascii="Times New Roman" w:cs="Times New Roman" w:eastAsia="Times New Roman" w:hAnsi="Times New Roman"/>
          <w:sz w:val="21"/>
          <w:szCs w:val="21"/>
          <w:u w:val="single" w:color="auto"/>
          <w:color w:val="0E32E1"/>
        </w:rPr>
        <w:t>replace a purportedly lost, stolen, or destroyed original Letter of Credit or amendment thereto with a replacement marked as such or waive a requirement for its presentation;</w:t>
      </w:r>
    </w:p>
    <w:p>
      <w:pPr>
        <w:spacing w:after="0" w:line="143" w:lineRule="exact"/>
        <w:rPr>
          <w:rFonts w:ascii="Times New Roman" w:cs="Times New Roman" w:eastAsia="Times New Roman" w:hAnsi="Times New Roman"/>
          <w:sz w:val="21"/>
          <w:szCs w:val="21"/>
          <w:u w:val="single" w:color="auto"/>
          <w:color w:val="0E32E1"/>
        </w:rPr>
      </w:pPr>
    </w:p>
    <w:p>
      <w:pPr>
        <w:jc w:val="both"/>
        <w:ind w:left="640" w:firstLine="622"/>
        <w:spacing w:after="0" w:line="221" w:lineRule="auto"/>
        <w:tabs>
          <w:tab w:leader="none" w:pos="1891" w:val="left"/>
        </w:tabs>
        <w:numPr>
          <w:ilvl w:val="0"/>
          <w:numId w:val="241"/>
        </w:numPr>
        <w:rPr>
          <w:rFonts w:ascii="Times New Roman" w:cs="Times New Roman" w:eastAsia="Times New Roman" w:hAnsi="Times New Roman"/>
          <w:sz w:val="21"/>
          <w:szCs w:val="21"/>
          <w:u w:val="single" w:color="auto"/>
          <w:color w:val="0E32E1"/>
        </w:rPr>
      </w:pPr>
      <w:r>
        <w:rPr>
          <w:rFonts w:ascii="Times New Roman" w:cs="Times New Roman" w:eastAsia="Times New Roman" w:hAnsi="Times New Roman"/>
          <w:sz w:val="21"/>
          <w:szCs w:val="21"/>
          <w:u w:val="single" w:color="auto"/>
          <w:color w:val="0E32E1"/>
        </w:rPr>
        <w:t>accept documents that appear on their face to be in substantial compliance with a Letter of Credit without responsibility for further investigation, regardless of any notice or information to the contrary, and make payment upon presentation of documents that appear on their face to be in substantial compliance with such Letter of Credit (even if not in strict compliance with such Letter of Credit) and without regard to any non-documentary condition in such Letter of Credit; and</w:t>
      </w:r>
    </w:p>
    <w:p>
      <w:pPr>
        <w:spacing w:after="0" w:line="145" w:lineRule="exact"/>
        <w:rPr>
          <w:rFonts w:ascii="Times New Roman" w:cs="Times New Roman" w:eastAsia="Times New Roman" w:hAnsi="Times New Roman"/>
          <w:sz w:val="21"/>
          <w:szCs w:val="21"/>
          <w:u w:val="single" w:color="auto"/>
          <w:color w:val="0E32E1"/>
        </w:rPr>
      </w:pPr>
    </w:p>
    <w:p>
      <w:pPr>
        <w:ind w:left="640" w:firstLine="622"/>
        <w:spacing w:after="0" w:line="241" w:lineRule="auto"/>
        <w:tabs>
          <w:tab w:leader="none" w:pos="1897" w:val="left"/>
        </w:tabs>
        <w:numPr>
          <w:ilvl w:val="0"/>
          <w:numId w:val="241"/>
        </w:numPr>
        <w:rPr>
          <w:rFonts w:ascii="Times New Roman" w:cs="Times New Roman" w:eastAsia="Times New Roman" w:hAnsi="Times New Roman"/>
          <w:sz w:val="21"/>
          <w:szCs w:val="21"/>
          <w:u w:val="single" w:color="auto"/>
          <w:color w:val="0E32E1"/>
        </w:rPr>
      </w:pPr>
      <w:r>
        <w:rPr>
          <w:rFonts w:ascii="Times New Roman" w:cs="Times New Roman" w:eastAsia="Times New Roman" w:hAnsi="Times New Roman"/>
          <w:sz w:val="21"/>
          <w:szCs w:val="21"/>
          <w:u w:val="single" w:color="auto"/>
          <w:color w:val="0E32E1"/>
        </w:rPr>
        <w:t>in its sole discretion decline to accept documents presented under a Letter of Credit and to make such payment if such documents are not in strict compliance with such Letter of Credit.</w:t>
      </w:r>
    </w:p>
    <w:p>
      <w:pPr>
        <w:spacing w:after="0" w:line="170"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u w:val="single" w:color="auto"/>
          <w:color w:val="0E32E1"/>
        </w:rPr>
        <w:t>This Section 2.17(l) shall establish the standard of care to be exercised by a Fronting Bank when determining whether drafts and other documents presented under a Letter of Credit comply with the terms thereof (and the parties hereto hereby waive, to the extent permitted by applicable Law, any standard of care stricter than the foregoing). Without limiting the foregoing, none of the Administrative Agent, the Banks, the Fronting Banks, or any Affiliates, directors, officers, employees, agents and advisors of any of the foregoing Persons shall have any liability or responsibility by reason of (x) any presentation that includes forged or fraudulent documents or that is otherwise affected by the fraudulent, bad faith, or illegal conduct of the beneficiary or any other Person, (y) a Fronting Bank declining to take up documents and make payment (A) against documents that are fraudulent or forged or for other reasons by which the Fronting Bank is entitled not to honor a Letter of Credit or (B) following the Borrower’s waiver of discrepancies with respect to such documents or request for honor of such documents, or (z) a Fronting Bank retaining proceeds of a Letter of Credit based on an apparently applicable attachment order, blocking regulation, or third-party claim notified to such Fronting Bank. No Fronting Bank shall be responsible to the Borrower for, and no Fronting Bank’s rights and remedies against the Borrower shall be impaired by, any action or inaction of such Fronting Bank required or permitted under any Law, order, or practice that is required or permitted to be applied to any Letter of Credit or this Agreement, including (I) the Laws or any order of a jurisdiction where such Fronting Bank or the beneficiary is located or (II) the practice stated in the International Standby Practices, International Chamber of Commerce Publication No. 590 (or such later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57</w:t>
      </w:r>
    </w:p>
    <w:p>
      <w:pPr>
        <w:sectPr>
          <w:pgSz w:w="11900" w:h="16838" w:orient="portrait"/>
          <w:cols w:equalWidth="0" w:num="1">
            <w:col w:w="11240"/>
          </w:cols>
          <w:pgMar w:left="320" w:top="1356" w:right="339" w:bottom="1440" w:gutter="0" w:footer="0" w:header="0"/>
        </w:sectPr>
      </w:pPr>
    </w:p>
    <w:bookmarkStart w:id="361" w:name="page362"/>
    <w:bookmarkEnd w:id="361"/>
    <w:p>
      <w:pPr>
        <w:jc w:val="both"/>
        <w:spacing w:after="0" w:line="263" w:lineRule="auto"/>
        <w:rPr>
          <w:sz w:val="20"/>
          <w:szCs w:val="20"/>
          <w:color w:val="auto"/>
        </w:rPr>
      </w:pPr>
      <w:r>
        <w:rPr>
          <w:rFonts w:ascii="Times New Roman" w:cs="Times New Roman" w:eastAsia="Times New Roman" w:hAnsi="Times New Roman"/>
          <w:sz w:val="21"/>
          <w:szCs w:val="21"/>
          <w:u w:val="single" w:color="auto"/>
          <w:color w:val="0E32E1"/>
        </w:rPr>
        <w:t>version thereof as may be in effect at the applicable time),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spacing w:after="0" w:line="202"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u w:val="single" w:color="auto"/>
          <w:color w:val="0E32E1"/>
        </w:rPr>
        <w:t>Each Fronting Bank shall have all of the benefits and immunities (but not the obligations) provided to the Administrative Agent in Article X with respect to any acts taken or omissions suffered by such Fronting Bank in connection with Letters of Credit issued by it or proposed to be issued by it and all applications and other documents delivered pursuant to Section 2.17(f) pertaining to such Letters of Credit as fully as if the term “Administrative Agent” as used in Article X included such Fronting Bank with respect to such acts or omissions.</w:t>
      </w:r>
    </w:p>
    <w:p>
      <w:pPr>
        <w:spacing w:after="0" w:line="158" w:lineRule="exact"/>
        <w:rPr>
          <w:sz w:val="20"/>
          <w:szCs w:val="20"/>
          <w:color w:val="auto"/>
        </w:rPr>
      </w:pPr>
    </w:p>
    <w:p>
      <w:pPr>
        <w:jc w:val="both"/>
        <w:ind w:firstLine="634"/>
        <w:spacing w:after="0" w:line="214" w:lineRule="auto"/>
        <w:tabs>
          <w:tab w:leader="none" w:pos="1246"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that a Letter of Credit issued or outstanding hereunder supports any obligations of, or is for the account of, a Subsidiary or Affiliate of the Borrower, or states that a Subsidiary or Affiliate of the Borrower is the “account party,” “applicant,” “customer,” “instructing party,” or the like of or for such Letter of Credit, and without derogating from any rights of the applicable Fronting Bank (whether arising by contract, at law, in equity or otherwise) against such Subsidiary or Affiliate in respect of such Letter of Credit, the Borrower (i) shall reimburse, indemnify and compensate the applicable Fronting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or Affiliate in respect of such Letter of Credit. The Borrower hereby acknowledges that the issuance of such Letters of Credit for its Subsidiaries and Affiliates inures to the benefit of the Borrower, and that the Borrower’s business derives substantial benefits from the businesses of such Subsidiaries and Affiliates.</w:t>
      </w:r>
    </w:p>
    <w:p>
      <w:pPr>
        <w:spacing w:after="0" w:line="178"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u w:val="single" w:color="auto"/>
          <w:color w:val="0E32E1"/>
        </w:rPr>
        <w:t>The Borrower further agrees that (i) such Subsidiary has no rights against the Fronting Bank, the Administrative Agent, or any Bank, (ii) the Borrower is responsible for the obligations in respect of such Letter of Credit under the Loan Documents and any relevant application or reimbursement agreement, (iii) the Borrower has sole right to give instructions and make agreements with respect to the Letter of Credit and the disposition of documents related thereto, and (iv) the Borrower has all powers and rights in respect of any security arising in connection with the Letter of Credit and the transaction related thereto. The Borrower shall, at the request of the relevant Fronting Bank, cause such Subsidiary to execute and deliver an agreement confirming the immediately preceding sentence and acknowledging that such Subsidiary is bound thereby.</w:t>
      </w:r>
    </w:p>
    <w:p>
      <w:pPr>
        <w:spacing w:after="0" w:line="169"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2.18 </w:t>
      </w:r>
      <w:r>
        <w:rPr>
          <w:rFonts w:ascii="Times New Roman" w:cs="Times New Roman" w:eastAsia="Times New Roman" w:hAnsi="Times New Roman"/>
          <w:sz w:val="21"/>
          <w:szCs w:val="21"/>
          <w:u w:val="single" w:color="auto"/>
          <w:color w:val="auto"/>
        </w:rPr>
        <w:t>Extension Option</w:t>
      </w:r>
      <w:r>
        <w:rPr>
          <w:rFonts w:ascii="Times New Roman" w:cs="Times New Roman" w:eastAsia="Times New Roman" w:hAnsi="Times New Roman"/>
          <w:sz w:val="21"/>
          <w:szCs w:val="21"/>
          <w:color w:val="auto"/>
        </w:rPr>
        <w:t>. Borrower may extend the Maturity Date two (2) times only for a period of six (6) months per extension upon satisfaction of the following terms and conditions for each extension: (i) delivery by Borrower of a written notice to Administrative Agent (an “</w:t>
      </w:r>
      <w:r>
        <w:rPr>
          <w:rFonts w:ascii="Times New Roman" w:cs="Times New Roman" w:eastAsia="Times New Roman" w:hAnsi="Times New Roman"/>
          <w:sz w:val="21"/>
          <w:szCs w:val="21"/>
          <w:u w:val="single" w:color="auto"/>
          <w:color w:val="auto"/>
        </w:rPr>
        <w:t>Extension Notice</w:t>
      </w:r>
      <w:r>
        <w:rPr>
          <w:rFonts w:ascii="Times New Roman" w:cs="Times New Roman" w:eastAsia="Times New Roman" w:hAnsi="Times New Roman"/>
          <w:sz w:val="21"/>
          <w:szCs w:val="21"/>
          <w:color w:val="auto"/>
        </w:rPr>
        <w:t>”) on or before a date that is not more than one hundred twenty (120) days nor less than one (1) month prior to the then-scheduled Maturity Date, which Extension Notice Administrative Agent shall promptly deliver to the Banks, which Extension Notice shall include a certification dated as of the date of such Extension Notice signed by a duly authorized signatory of Borrower, stating, to the best of the certifying party’s knowledge, (x) all representations and warranties contained in this Agreement and in each of the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ectPr>
          <w:pgSz w:w="11900" w:h="16838" w:orient="portrait"/>
          <w:cols w:equalWidth="0" w:num="1">
            <w:col w:w="11240"/>
          </w:cols>
          <w:pgMar w:left="320" w:top="1383" w:right="339" w:bottom="1440" w:gutter="0" w:footer="0" w:header="0"/>
        </w:sectPr>
      </w:pPr>
    </w:p>
    <w:bookmarkStart w:id="362" w:name="page363"/>
    <w:bookmarkEnd w:id="362"/>
    <w:p>
      <w:pPr>
        <w:jc w:val="both"/>
        <w:spacing w:after="0" w:line="266" w:lineRule="auto"/>
        <w:rPr>
          <w:sz w:val="20"/>
          <w:szCs w:val="20"/>
          <w:color w:val="auto"/>
        </w:rPr>
      </w:pPr>
      <w:r>
        <w:rPr>
          <w:rFonts w:ascii="Times New Roman" w:cs="Times New Roman" w:eastAsia="Times New Roman" w:hAnsi="Times New Roman"/>
          <w:sz w:val="20"/>
          <w:szCs w:val="20"/>
          <w:color w:val="auto"/>
        </w:rPr>
        <w:t>other Loan Documents are true and correct on and as of the date of such Extension Notice (except in those cases where such representation or warranty expressly relates to an earlier date, in which case such representations and warranties were true and correct as of such date, and except for changes in factual circumstances not prohibited under the Loan Documents), and (y) no Event of Default has occurred and is continuing; (ii) no Event of Default shall have occurred and be continuing on the original Maturity Date (an “</w:t>
      </w:r>
      <w:r>
        <w:rPr>
          <w:rFonts w:ascii="Times New Roman" w:cs="Times New Roman" w:eastAsia="Times New Roman" w:hAnsi="Times New Roman"/>
          <w:sz w:val="20"/>
          <w:szCs w:val="20"/>
          <w:u w:val="single" w:color="auto"/>
          <w:color w:val="auto"/>
        </w:rPr>
        <w:t>Extension Date</w:t>
      </w:r>
      <w:r>
        <w:rPr>
          <w:rFonts w:ascii="Times New Roman" w:cs="Times New Roman" w:eastAsia="Times New Roman" w:hAnsi="Times New Roman"/>
          <w:sz w:val="20"/>
          <w:szCs w:val="20"/>
          <w:color w:val="auto"/>
        </w:rPr>
        <w:t>”); and (iii) Borrower shall pay to Administrative Agent on or before such Extension Date a fee equal to 0.075% of the Total Loan Commitment on such Extension Date for each extension, which fee shall be distributed by Administrative Agent</w:t>
      </w:r>
    </w:p>
    <w:p>
      <w:pPr>
        <w:spacing w:after="0" w:line="1" w:lineRule="exact"/>
        <w:rPr>
          <w:sz w:val="20"/>
          <w:szCs w:val="20"/>
          <w:color w:val="auto"/>
        </w:rPr>
      </w:pPr>
    </w:p>
    <w:p>
      <w:pPr>
        <w:jc w:val="center"/>
        <w:ind w:right="140"/>
        <w:spacing w:after="0" w:line="235" w:lineRule="auto"/>
        <w:rPr>
          <w:sz w:val="20"/>
          <w:szCs w:val="20"/>
          <w:color w:val="auto"/>
        </w:rPr>
      </w:pPr>
      <w:r>
        <w:rPr>
          <w:rFonts w:ascii="Times New Roman" w:cs="Times New Roman" w:eastAsia="Times New Roman" w:hAnsi="Times New Roman"/>
          <w:sz w:val="21"/>
          <w:szCs w:val="21"/>
          <w:color w:val="auto"/>
        </w:rPr>
        <w:t>pro rata to each of the Banks based on each Bank’s Pro Rata Share. Borrower’s delivery of an Extension Notice shall be irrevocable. ARTICLE III</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YIELD PROTECTION; ILLEGALITY; ETC.</w:t>
      </w:r>
    </w:p>
    <w:p>
      <w:pPr>
        <w:spacing w:after="0" w:line="204"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3.01 </w:t>
      </w:r>
      <w:r>
        <w:rPr>
          <w:rFonts w:ascii="Times New Roman" w:cs="Times New Roman" w:eastAsia="Times New Roman" w:hAnsi="Times New Roman"/>
          <w:sz w:val="21"/>
          <w:szCs w:val="21"/>
          <w:u w:val="single" w:color="auto"/>
          <w:color w:val="auto"/>
        </w:rPr>
        <w:t>Additional Costs</w:t>
      </w:r>
      <w:r>
        <w:rPr>
          <w:rFonts w:ascii="Times New Roman" w:cs="Times New Roman" w:eastAsia="Times New Roman" w:hAnsi="Times New Roman"/>
          <w:sz w:val="21"/>
          <w:szCs w:val="21"/>
          <w:color w:val="auto"/>
        </w:rPr>
        <w:t>. Borrower shall pay directly to each Bank and Fronting Bank from time to time on demand such amounts as such Bank or Fronting Bank may reasonably determine to be necessary to compensate it for any increased costs which such Bank or Fronting Bank determines are attributable to its making or maintaining any Loan, or its obligation to issue, maintain or participate in any Letter of Credit, or its obligation to make or maintain any Loan, or its obligation to Convert any Loan hereunder, or any reduction in any amount receivable by such Bank or Fronting Bank hereunder in respect of its Loan(s) or such obligations (such increases in costs and reductions in amounts receivable being herein called “</w:t>
      </w:r>
      <w:r>
        <w:rPr>
          <w:rFonts w:ascii="Times New Roman" w:cs="Times New Roman" w:eastAsia="Times New Roman" w:hAnsi="Times New Roman"/>
          <w:sz w:val="21"/>
          <w:szCs w:val="21"/>
          <w:u w:val="single" w:color="auto"/>
          <w:color w:val="auto"/>
        </w:rPr>
        <w:t>Additional Costs</w:t>
      </w:r>
      <w:r>
        <w:rPr>
          <w:rFonts w:ascii="Times New Roman" w:cs="Times New Roman" w:eastAsia="Times New Roman" w:hAnsi="Times New Roman"/>
          <w:sz w:val="21"/>
          <w:szCs w:val="21"/>
          <w:color w:val="auto"/>
        </w:rPr>
        <w:t>”), in each case resulting from any Regulatory Change which:</w:t>
      </w:r>
    </w:p>
    <w:p>
      <w:pPr>
        <w:spacing w:after="0" w:line="77" w:lineRule="exact"/>
        <w:rPr>
          <w:sz w:val="20"/>
          <w:szCs w:val="20"/>
          <w:color w:val="auto"/>
        </w:rPr>
      </w:pPr>
    </w:p>
    <w:p>
      <w:pPr>
        <w:jc w:val="both"/>
        <w:ind w:left="640" w:firstLine="622"/>
        <w:spacing w:after="0" w:line="263" w:lineRule="auto"/>
        <w:tabs>
          <w:tab w:leader="none" w:pos="1893"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any Recipient to any Taxes (other than (A) Indemnified Taxes, and (B) Excluded Taxes) on its loans, loan principal, letters of credit, commitments, or other obligations, or its deposits, reserves, other liabilities or capital attributable thereto; or</w:t>
      </w:r>
    </w:p>
    <w:p>
      <w:pPr>
        <w:spacing w:after="0" w:line="162" w:lineRule="exact"/>
        <w:rPr>
          <w:rFonts w:ascii="Times New Roman" w:cs="Times New Roman" w:eastAsia="Times New Roman" w:hAnsi="Times New Roman"/>
          <w:sz w:val="21"/>
          <w:szCs w:val="21"/>
          <w:color w:val="auto"/>
        </w:rPr>
      </w:pPr>
    </w:p>
    <w:p>
      <w:pPr>
        <w:jc w:val="both"/>
        <w:ind w:left="640" w:firstLine="622"/>
        <w:spacing w:after="0" w:line="258" w:lineRule="auto"/>
        <w:tabs>
          <w:tab w:leader="none" w:pos="1893"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to the extent any reserve requirement is taken into account in determining the Adjusted Term SOFR Rate at the commencement of the applicable Interest Period) imposes or modifies any reserve, special deposit, liquidity, deposit insurance or assessment, minimum capital, capital ratio or similar requirements relating to any extensions of credit or other assets of, or any deposits with or other liabilities of, such Bank (including any Term Benchmark Loan or RFR Loan), or any commitment of such Bank (including such Bank’s Loan Commitment hereunder); or</w:t>
      </w:r>
    </w:p>
    <w:p>
      <w:pPr>
        <w:spacing w:after="0" w:line="169" w:lineRule="exact"/>
        <w:rPr>
          <w:rFonts w:ascii="Times New Roman" w:cs="Times New Roman" w:eastAsia="Times New Roman" w:hAnsi="Times New Roman"/>
          <w:sz w:val="21"/>
          <w:szCs w:val="21"/>
          <w:color w:val="auto"/>
        </w:rPr>
      </w:pPr>
    </w:p>
    <w:p>
      <w:pPr>
        <w:ind w:left="640" w:firstLine="622"/>
        <w:spacing w:after="0" w:line="280" w:lineRule="auto"/>
        <w:tabs>
          <w:tab w:leader="none" w:pos="1893" w:val="left"/>
        </w:tabs>
        <w:numPr>
          <w:ilvl w:val="0"/>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imposes any other condition, cost or expense (other than Taxes) affecting this Agreement or the Notes (or any of such extensions of credit or liabilities).</w:t>
      </w:r>
    </w:p>
    <w:p>
      <w:pPr>
        <w:spacing w:after="0" w:line="157"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Without limiting the effect of the provisions of the first paragraph of this Section, in the event that, by reason of any Regulatory Change, any Bank becomes subject to restrictions on the amount of such a category of liabilities or assets which it may hold, then, if such Bank so elects by notice to Borrower (with a copy to Administrative Agent), the obligation of such Bank to permit Elections of, to Continue, or to Convert Loans shall be suspended (in which case the provisions of Section 3.04 shall be applicable) until such Regulatory Change ceases to be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ectPr>
          <w:pgSz w:w="11900" w:h="16838" w:orient="portrait"/>
          <w:cols w:equalWidth="0" w:num="1">
            <w:col w:w="11240"/>
          </w:cols>
          <w:pgMar w:left="320" w:top="1382" w:right="339" w:bottom="1440" w:gutter="0" w:footer="0" w:header="0"/>
        </w:sectPr>
      </w:pPr>
    </w:p>
    <w:bookmarkStart w:id="363" w:name="page364"/>
    <w:bookmarkEnd w:id="363"/>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The obligations of Borrower under this Section shall survive the repayment of all amounts due under or in connection with any of the Loan Documents and the termination of the Loan Commitments in respect of the period prior to such termination.</w:t>
      </w:r>
    </w:p>
    <w:p>
      <w:pPr>
        <w:spacing w:after="0" w:line="14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Determinations and allocations by a Bank for purposes of this Section of the effect of any Regulatory Change pursuant to the first or second paragraph of this Section, on its costs or rate of return of making or maintaining its Loan or portions thereof or on amounts receivable by it in respect of its Loan or portions thereof, and the amounts required to compensate such Bank under this Section, shall be included in a calculation of such amounts given to Borrower and shall be conclusive absent manifest error.</w:t>
      </w:r>
    </w:p>
    <w:p>
      <w:pPr>
        <w:spacing w:after="0" w:line="164"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Notwithstanding anything contained in this Article III to the contrary, Borrower shall only be obligated to pay any amounts due under this Section 3.01 or under Section 3.06 if, and a Bank shall not exercise any right under this Section 3.01 or Sections 3.02, 3.03, 3.04 or 3.06 unless, the applicable Bank has certified that it is generally imposing a similar charge on, or otherwise similarly enforcing its agreements with, its other similarly situated borrowers. In addition, Borrower shall not be obligated to compensate any Bank under any such provision for any amounts attributable to any period which is more than nine (9) months prior to such Bank’s delivery of notice thereof to Borrower (except that if a Regulatory Change is retroactive, then such period shall be extended to include the period of retroactive effect, provided that such Bank delivered notice thereof to Borrower no later than nine (9) months after the date on which the Regulatory Change with such retroactive effect was made).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purposes of this Section 3.01, the term “Bank” includes any Fronting Bank.</w:t>
      </w:r>
    </w:p>
    <w:p>
      <w:pPr>
        <w:spacing w:after="0" w:line="217"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3.02</w:t>
      </w:r>
      <w:r>
        <w:rPr>
          <w:sz w:val="20"/>
          <w:szCs w:val="20"/>
          <w:color w:val="auto"/>
        </w:rPr>
        <w:tab/>
      </w:r>
      <w:r>
        <w:rPr>
          <w:rFonts w:ascii="Times New Roman" w:cs="Times New Roman" w:eastAsia="Times New Roman" w:hAnsi="Times New Roman"/>
          <w:sz w:val="20"/>
          <w:szCs w:val="20"/>
          <w:u w:val="single" w:color="auto"/>
          <w:color w:val="auto"/>
        </w:rPr>
        <w:t>Alternate Rate of Interest</w:t>
      </w:r>
      <w:r>
        <w:rPr>
          <w:rFonts w:ascii="Times New Roman" w:cs="Times New Roman" w:eastAsia="Times New Roman" w:hAnsi="Times New Roman"/>
          <w:sz w:val="20"/>
          <w:szCs w:val="20"/>
          <w:color w:val="auto"/>
        </w:rPr>
        <w:t>. (a) Subject to clauses (b), (c), (d), (e) and (f) of this Section 3.02, if:</w:t>
      </w:r>
    </w:p>
    <w:p>
      <w:pPr>
        <w:spacing w:after="0" w:line="31" w:lineRule="exact"/>
        <w:rPr>
          <w:sz w:val="20"/>
          <w:szCs w:val="20"/>
          <w:color w:val="auto"/>
        </w:rPr>
      </w:pPr>
    </w:p>
    <w:p>
      <w:pPr>
        <w:jc w:val="both"/>
        <w:ind w:left="640" w:firstLine="622"/>
        <w:spacing w:after="0" w:line="252" w:lineRule="auto"/>
        <w:tabs>
          <w:tab w:leader="none" w:pos="1885"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determines (which determination shall be conclusive absent manifest error) (A) prior to the commencement of any Interest Period for a Term Benchmark Loan, that adequate and reasonable means do not exist for ascertaining the Adjusted Term SOFR Rate or the Term SOFR Rate (including because the Term SOFR Reference Rate is not available or published on a current basis), for such Interest Period or (B) at any time, that adequate and reasonable means do not exist for ascertaining the applicable Daily Effective SOFR </w:t>
      </w:r>
      <w:r>
        <w:rPr>
          <w:rFonts w:ascii="Times New Roman" w:cs="Times New Roman" w:eastAsia="Times New Roman" w:hAnsi="Times New Roman"/>
          <w:sz w:val="21"/>
          <w:szCs w:val="21"/>
          <w:u w:val="single" w:color="auto"/>
          <w:color w:val="0E32E1"/>
        </w:rPr>
        <w:t>Rate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color w:val="EE2724"/>
          <w:strike w:val="1"/>
        </w:rPr>
        <w:t>the</w:t>
      </w:r>
      <w:r>
        <w:rPr>
          <w:rFonts w:ascii="Times New Roman" w:cs="Times New Roman" w:eastAsia="Times New Roman" w:hAnsi="Times New Roman"/>
          <w:sz w:val="21"/>
          <w:szCs w:val="21"/>
          <w:color w:val="auto"/>
        </w:rPr>
        <w:t xml:space="preserve"> Adjusted Daily Effective SOFR Rate; or</w:t>
      </w:r>
    </w:p>
    <w:p>
      <w:pPr>
        <w:spacing w:after="0" w:line="175" w:lineRule="exact"/>
        <w:rPr>
          <w:rFonts w:ascii="Times New Roman" w:cs="Times New Roman" w:eastAsia="Times New Roman" w:hAnsi="Times New Roman"/>
          <w:sz w:val="21"/>
          <w:szCs w:val="21"/>
          <w:color w:val="auto"/>
        </w:rPr>
      </w:pPr>
    </w:p>
    <w:p>
      <w:pPr>
        <w:jc w:val="both"/>
        <w:ind w:left="640" w:firstLine="622"/>
        <w:spacing w:after="0" w:line="258" w:lineRule="auto"/>
        <w:tabs>
          <w:tab w:leader="none" w:pos="1891"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is advised by the Required Banks that (A) prior to the commencement of any Interest Period for a Term Benchmark Loan, the Adjusted Term SOFR Rate for such Interest Period will not adequately and fairly reflect the cost to such Banks (or Bank) of making or maintaining their Loans (or its Loan) for such Interest Period or (B) at any time, the Adjusted Daily Effective SOFR Rate will not adequately and fairly reflect the cost to such Banks (or Bank) of making or maintaining their Loans (or its Loan);</w:t>
      </w:r>
    </w:p>
    <w:p>
      <w:pPr>
        <w:spacing w:after="0" w:line="16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1"/>
          <w:szCs w:val="21"/>
          <w:color w:val="auto"/>
        </w:rPr>
        <w:t>then the Administrative Agent shall give notice thereof to the Borrower and the Banks by telephone, telecopy or electronic mail as promptly as practicable thereafter and, until (x) the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ectPr>
          <w:pgSz w:w="11900" w:h="16838" w:orient="portrait"/>
          <w:cols w:equalWidth="0" w:num="1">
            <w:col w:w="11240"/>
          </w:cols>
          <w:pgMar w:left="320" w:top="1382" w:right="339" w:bottom="1440" w:gutter="0" w:footer="0" w:header="0"/>
        </w:sectPr>
      </w:pPr>
    </w:p>
    <w:bookmarkStart w:id="364" w:name="page365"/>
    <w:bookmarkEnd w:id="364"/>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Administrative Agent notifies the Borrower and the Banks that the circumstances giving rise to such notice no longer exist with respect to the relevant Benchmark and (y) the Borrower delivers a new notice of Election, Conversion or Continuation in accordance with the terms of Section 2.14 or a new borrowing request in accordance with the terms of Section 2.05, (1) any notice of Election, Conversion or Continuation that requests the conversion of any Loan to, or continuation of any Loan as, a Term Benchmark Loan and any borrowing request that requests a Term Benchmark Loan shall instead be deemed to be a notice of Election, Conversion or Continuation or a borrowing request, as applicable, for (x) an RFR Loan so long as the Adjusted Daily Effective SOFR Rate is not also the subject of Section 3.02(a)(i) or (ii) above or (y) a Base Rate Loan if the Adjusted Daily Effective SOFR Rate also is the subject of Section 3.02(a)(i)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and (2) any borrowing request that requests an RFR Loan shall instead be deemed to be a borrowing request, as applicable, for a Base Rate Loan; provided that if the circumstances giving rise to such notice affect only one Type of Loan, then all other Types of Loans shall be permitted. Furthermore, if any Term Benchmark Loan or RFR Loan is outstanding on the date of the Borrower’s receipt of the notice from the Administrative Agent referred to in this Section 3.02(a) with respect to a Relevant Rate applicable to such Term Benchmark Loan or RFR Loan, then until (x) the Administrative Agent notifies the Borrower and the Banks that the circumstances giving rise to such notice no longer exist with respect to the relevant Benchmark and (y) the Borrower delivers a new notice of Election, Conversion or Continuation in accordance with the terms of Section 2.14 or a new borrowing request in accordance with the terms of Section 2.05, (1) any Term Benchmark Loan shall on the last day of the Interest Period applicable to such Loan (or the next succeeding Banking Day if such day is not a Banking Day), be converted by the Administrative Agent to, and shall constitute, (x) an RFR Loan so long as the Adjusted Daily Effective SOFR Rate is not also the subject of Section 3.02(a)(i) or (ii) above or (y) a Base Rate Loan if the Adjusted Daily Effective SOFR Rate also is the subject of Section 3.02(a)(i) or (ii) above, on such day, and (2) any RFR Loan shall on and from such day be converted by the Administrative Agent to, and shall constitute a Base Rate Loan.</w:t>
      </w:r>
    </w:p>
    <w:p>
      <w:pPr>
        <w:spacing w:after="0" w:line="162" w:lineRule="exact"/>
        <w:rPr>
          <w:sz w:val="20"/>
          <w:szCs w:val="20"/>
          <w:color w:val="auto"/>
        </w:rPr>
      </w:pPr>
    </w:p>
    <w:p>
      <w:pPr>
        <w:jc w:val="both"/>
        <w:ind w:firstLine="634"/>
        <w:spacing w:after="0" w:line="217" w:lineRule="auto"/>
        <w:tabs>
          <w:tab w:leader="none" w:pos="1253"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Banking Day after the date notice of such Benchmark Replacement is provided to the Banks without any amendment to, or further action or consent of any other party to, this Agreement or any other Loan Document so long as the Administrative Agent has not received, by such time, written notice of objection to such Benchmark Replacement from Banks comprising the Required Banks.</w:t>
      </w:r>
    </w:p>
    <w:p>
      <w:pPr>
        <w:spacing w:after="0" w:line="148" w:lineRule="exact"/>
        <w:rPr>
          <w:rFonts w:ascii="Times New Roman" w:cs="Times New Roman" w:eastAsia="Times New Roman" w:hAnsi="Times New Roman"/>
          <w:sz w:val="21"/>
          <w:szCs w:val="21"/>
          <w:color w:val="auto"/>
        </w:rPr>
      </w:pPr>
    </w:p>
    <w:p>
      <w:pPr>
        <w:jc w:val="both"/>
        <w:ind w:firstLine="634"/>
        <w:spacing w:after="0" w:line="224" w:lineRule="auto"/>
        <w:tabs>
          <w:tab w:leader="none" w:pos="1254"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46" w:lineRule="exact"/>
        <w:rPr>
          <w:rFonts w:ascii="Times New Roman" w:cs="Times New Roman" w:eastAsia="Times New Roman" w:hAnsi="Times New Roman"/>
          <w:sz w:val="21"/>
          <w:szCs w:val="21"/>
          <w:color w:val="auto"/>
        </w:rPr>
      </w:pPr>
    </w:p>
    <w:p>
      <w:pPr>
        <w:ind w:firstLine="634"/>
        <w:spacing w:after="0" w:line="241" w:lineRule="auto"/>
        <w:tabs>
          <w:tab w:leader="none" w:pos="1253"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will promptly notify the Borrower and the Banks of (i) any occurrence of a Benchmark Transition Event, (ii) the implementation of any Benchmark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61</w:t>
      </w:r>
    </w:p>
    <w:p>
      <w:pPr>
        <w:sectPr>
          <w:pgSz w:w="11900" w:h="16838" w:orient="portrait"/>
          <w:cols w:equalWidth="0" w:num="1">
            <w:col w:w="11240"/>
          </w:cols>
          <w:pgMar w:left="320" w:top="1382" w:right="339" w:bottom="1440" w:gutter="0" w:footer="0" w:header="0"/>
        </w:sectPr>
      </w:pPr>
    </w:p>
    <w:bookmarkStart w:id="365" w:name="page366"/>
    <w:bookmarkEnd w:id="365"/>
    <w:p>
      <w:pPr>
        <w:jc w:val="both"/>
        <w:spacing w:after="0" w:line="217" w:lineRule="auto"/>
        <w:rPr>
          <w:sz w:val="20"/>
          <w:szCs w:val="20"/>
          <w:color w:val="auto"/>
        </w:rPr>
      </w:pPr>
      <w:r>
        <w:rPr>
          <w:rFonts w:ascii="Times New Roman" w:cs="Times New Roman" w:eastAsia="Times New Roman" w:hAnsi="Times New Roman"/>
          <w:sz w:val="21"/>
          <w:szCs w:val="21"/>
          <w:color w:val="auto"/>
        </w:rPr>
        <w:t>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Bank (or group of Banks) pursuant to this Section 3.02,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3.02.</w:t>
      </w:r>
    </w:p>
    <w:p>
      <w:pPr>
        <w:spacing w:after="0" w:line="148" w:lineRule="exact"/>
        <w:rPr>
          <w:sz w:val="20"/>
          <w:szCs w:val="20"/>
          <w:color w:val="auto"/>
        </w:rPr>
      </w:pPr>
    </w:p>
    <w:p>
      <w:pPr>
        <w:jc w:val="both"/>
        <w:ind w:firstLine="634"/>
        <w:spacing w:after="0" w:line="214" w:lineRule="auto"/>
        <w:tabs>
          <w:tab w:leader="none" w:pos="1254"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at any time (including in connection with the implementation of a Benchmark Replacement), (i) if the then-current Benchmark is a term rate (including the Term SOFR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46" w:lineRule="exact"/>
        <w:rPr>
          <w:rFonts w:ascii="Times New Roman" w:cs="Times New Roman" w:eastAsia="Times New Roman" w:hAnsi="Times New Roman"/>
          <w:sz w:val="21"/>
          <w:szCs w:val="21"/>
          <w:color w:val="auto"/>
        </w:rPr>
      </w:pPr>
    </w:p>
    <w:p>
      <w:pPr>
        <w:jc w:val="both"/>
        <w:ind w:firstLine="634"/>
        <w:spacing w:after="0" w:line="212" w:lineRule="auto"/>
        <w:tabs>
          <w:tab w:leader="none" w:pos="1257"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Borrower’s receipt of notice of the commencement of a Benchmark Unavailability Period, the Borrower may revoke any request for (i) a Term Benchmark Loan conversion to or continuation of Term Benchmark Loans to be made, converted or continued or (ii) an RFR Loan or conversion to RFR Loans during any Benchmark Unavailability Period and, failing that, the Borrower will be deemed to have converted any request for a (1) Term Benchmark Loan into a request for a borrowing of or conversion to (A) an RFR Loan so long as the Adjusted Daily Effective SOFR Rate is not the subject of a Benchmark Transition Event or (B) a Base Rate Loan if the Adjusted Daily Effective SOFR Rate is the subject of a Benchmark Transition Event or (2) an RFR Loan into a request for a Base Rate Loan.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3.02, (1) any Term Benchmark Loan shall on the last day of the Interest Period applicable to such Loan (or the next succeeding Banking Day if such day is not a Banking Day), be converted by the Administrative Agent to, and shall constitute, (x) an RFR Loan so long as the Adjusted Daily Effective SOFR Rate is not the subject of a Benchmark Transition Event or (y) a Base Rate Loan if the Adjusted Daily Effective SOFR Rate is the subject of a Benchmark Transition Event, and (2) any RFR Loan shall on and from such day be converted by the Administrative Agent to, and shall constitute a Base Rate Loan.</w:t>
      </w:r>
    </w:p>
    <w:p>
      <w:pPr>
        <w:spacing w:after="0" w:line="172" w:lineRule="exact"/>
        <w:rPr>
          <w:sz w:val="20"/>
          <w:szCs w:val="20"/>
          <w:color w:val="auto"/>
        </w:rPr>
      </w:pPr>
    </w:p>
    <w:p>
      <w:pPr>
        <w:ind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u w:val="single" w:color="auto"/>
          <w:color w:val="auto"/>
        </w:rPr>
        <w:t>Illegality</w:t>
      </w:r>
      <w:r>
        <w:rPr>
          <w:rFonts w:ascii="Times New Roman" w:cs="Times New Roman" w:eastAsia="Times New Roman" w:hAnsi="Times New Roman"/>
          <w:sz w:val="21"/>
          <w:szCs w:val="21"/>
          <w:color w:val="auto"/>
        </w:rPr>
        <w:t>. Notwithstanding any other provision of this Agreement, in the event that it becomes unlawful for any Bank or its Applicable Lending Office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ectPr>
          <w:pgSz w:w="11900" w:h="16838" w:orient="portrait"/>
          <w:cols w:equalWidth="0" w:num="1">
            <w:col w:w="11240"/>
          </w:cols>
          <w:pgMar w:left="320" w:top="1356" w:right="339" w:bottom="1440" w:gutter="0" w:footer="0" w:header="0"/>
        </w:sectPr>
      </w:pPr>
    </w:p>
    <w:bookmarkStart w:id="366" w:name="page367"/>
    <w:bookmarkEnd w:id="366"/>
    <w:p>
      <w:pPr>
        <w:jc w:val="both"/>
        <w:spacing w:after="0" w:line="271" w:lineRule="auto"/>
        <w:rPr>
          <w:sz w:val="20"/>
          <w:szCs w:val="20"/>
          <w:color w:val="auto"/>
        </w:rPr>
      </w:pPr>
      <w:r>
        <w:rPr>
          <w:rFonts w:ascii="Times New Roman" w:cs="Times New Roman" w:eastAsia="Times New Roman" w:hAnsi="Times New Roman"/>
          <w:sz w:val="20"/>
          <w:szCs w:val="20"/>
          <w:color w:val="auto"/>
        </w:rPr>
        <w:t>to honor its obligation to make or maintain a Term Benchmark Loan or a RFR Loan hereunder, to allow Elections or Continuations of a Term Benchmark Loan or a RFR Loan or to Convert a Base Rate Loan into a Term Benchmark Loan or a RFR Loan, or to Convert a RFR Loan into a Term Benchmark Loan, then such Bank shall promptly notify Administrative Agent and Borrower thereof and such Bank’s obligation to make or maintain a Term Benchmark Loan or a RFR Loan, or to permit Elections of, to Continue, or to Convert its Base Rate Loan into, a Term Benchmark Loan or a RFR Loan shall be suspended (in which case the provisions of Section 3.04 shall be applicable) until such time as such Bank may again make and maintain a Term Benchmark Loan or a RFR Loan.</w:t>
      </w:r>
    </w:p>
    <w:p>
      <w:pPr>
        <w:spacing w:after="0" w:line="53"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3.04 </w:t>
      </w:r>
      <w:r>
        <w:rPr>
          <w:rFonts w:ascii="Times New Roman" w:cs="Times New Roman" w:eastAsia="Times New Roman" w:hAnsi="Times New Roman"/>
          <w:sz w:val="21"/>
          <w:szCs w:val="21"/>
          <w:u w:val="single" w:color="auto"/>
          <w:color w:val="auto"/>
        </w:rPr>
        <w:t>Treatment of Affected Loans</w:t>
      </w:r>
      <w:r>
        <w:rPr>
          <w:rFonts w:ascii="Times New Roman" w:cs="Times New Roman" w:eastAsia="Times New Roman" w:hAnsi="Times New Roman"/>
          <w:sz w:val="21"/>
          <w:szCs w:val="21"/>
          <w:color w:val="auto"/>
        </w:rPr>
        <w:t>. If the obligations of any Bank to make or maintain a Term Benchmark Loan or a RFR Loan, or to permit an Election of a Term Benchmark Loan or a RFR Loan, to Continue its Term Benchmark Loan, or to Convert its Base Rate Loan into a Term Benchmark Loan or a RFR Loan, are suspended pursuant to Section 3.01 or 3.03 (each Term Benchmark Loan or RFR Loan so affected being herein called an “</w:t>
      </w:r>
      <w:r>
        <w:rPr>
          <w:rFonts w:ascii="Times New Roman" w:cs="Times New Roman" w:eastAsia="Times New Roman" w:hAnsi="Times New Roman"/>
          <w:sz w:val="21"/>
          <w:szCs w:val="21"/>
          <w:u w:val="single" w:color="auto"/>
          <w:color w:val="auto"/>
        </w:rPr>
        <w:t>Affected Loan</w:t>
      </w:r>
      <w:r>
        <w:rPr>
          <w:rFonts w:ascii="Times New Roman" w:cs="Times New Roman" w:eastAsia="Times New Roman" w:hAnsi="Times New Roman"/>
          <w:sz w:val="21"/>
          <w:szCs w:val="21"/>
          <w:color w:val="auto"/>
        </w:rPr>
        <w:t>”), such Bank’s Affected Loan shall be automatically Converted into a Base Rate on the last day of the then current Interest Period for the Affected Loan (or, in the case of a Conversion or conversion resulting from Section 3.03 or a Conversion of a RFR Loan, on such earlier date as such Bank may specify to Borrower).</w:t>
      </w:r>
    </w:p>
    <w:p>
      <w:pPr>
        <w:spacing w:after="0" w:line="1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To the extent that such Bank’s Affected Loan has been so Converted, all payments and prepayments of principal which would otherwise be applied to such Bank’s Affected Loan shall be applied instead to its Base Rate Loan and such Bank shall have no obligation to Convert its Base Rate Loan into a Term Benchmark Loan or a RFR Loan.</w:t>
      </w:r>
    </w:p>
    <w:p>
      <w:pPr>
        <w:spacing w:after="0" w:line="49" w:lineRule="exact"/>
        <w:rPr>
          <w:sz w:val="20"/>
          <w:szCs w:val="20"/>
          <w:color w:val="auto"/>
        </w:rPr>
      </w:pPr>
    </w:p>
    <w:p>
      <w:pPr>
        <w:jc w:val="both"/>
        <w:ind w:firstLine="629"/>
        <w:spacing w:after="0" w:line="250" w:lineRule="auto"/>
        <w:rPr>
          <w:sz w:val="20"/>
          <w:szCs w:val="20"/>
          <w:color w:val="auto"/>
        </w:rPr>
      </w:pPr>
      <w:r>
        <w:rPr>
          <w:rFonts w:ascii="Times New Roman" w:cs="Times New Roman" w:eastAsia="Times New Roman" w:hAnsi="Times New Roman"/>
          <w:sz w:val="21"/>
          <w:szCs w:val="21"/>
          <w:color w:val="auto"/>
        </w:rPr>
        <w:t xml:space="preserve">SECTION 3.05 </w:t>
      </w:r>
      <w:r>
        <w:rPr>
          <w:rFonts w:ascii="Times New Roman" w:cs="Times New Roman" w:eastAsia="Times New Roman" w:hAnsi="Times New Roman"/>
          <w:sz w:val="21"/>
          <w:szCs w:val="21"/>
          <w:u w:val="single" w:color="auto"/>
          <w:color w:val="auto"/>
        </w:rPr>
        <w:t>Certain Compensation</w:t>
      </w:r>
      <w:r>
        <w:rPr>
          <w:rFonts w:ascii="Times New Roman" w:cs="Times New Roman" w:eastAsia="Times New Roman" w:hAnsi="Times New Roman"/>
          <w:sz w:val="21"/>
          <w:szCs w:val="21"/>
          <w:color w:val="auto"/>
        </w:rPr>
        <w:t>. Other than in connection with a Conversion of an Affected Loan, Borrower shall pay to Administrative Agent for the account of the applicable Bank, upon the request of such Bank through Administrative Agent which request includes a calculation of the amount(s) due, such amount or amounts as shall be sufficient (in the reasonable opinion of such Bank) to compensate it for any loss, cost or expense which such Bank reasonably determines is attributable to:</w:t>
      </w:r>
    </w:p>
    <w:p>
      <w:pPr>
        <w:jc w:val="both"/>
        <w:ind w:left="640" w:firstLine="622"/>
        <w:spacing w:after="0" w:line="221" w:lineRule="auto"/>
        <w:tabs>
          <w:tab w:leader="none" w:pos="1893"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or prepayment of a Term Benchmark Loan made by such Bank, or any Conversion of a Term Benchmark Loan made by such Bank, in any such case on a date other than the last day of an applicable Interest Period, whether by reason of acceleration or otherwise;</w:t>
      </w:r>
    </w:p>
    <w:p>
      <w:pPr>
        <w:spacing w:after="0" w:line="147" w:lineRule="exact"/>
        <w:rPr>
          <w:rFonts w:ascii="Times New Roman" w:cs="Times New Roman" w:eastAsia="Times New Roman" w:hAnsi="Times New Roman"/>
          <w:sz w:val="21"/>
          <w:szCs w:val="21"/>
          <w:color w:val="auto"/>
        </w:rPr>
      </w:pPr>
    </w:p>
    <w:p>
      <w:pPr>
        <w:jc w:val="both"/>
        <w:ind w:left="640" w:firstLine="622"/>
        <w:spacing w:after="0" w:line="229" w:lineRule="auto"/>
        <w:tabs>
          <w:tab w:leader="none" w:pos="1893"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by Borrower for any reason to Convert a Term Benchmark Loan, a RFR Loan or a Base Rate Loan or to Continue a Term Benchmark Loan, as the case may be, to be Converted or Continued by such Bank on the date specified therefor in the relevant notice under Section 2.14;</w:t>
      </w:r>
    </w:p>
    <w:p>
      <w:pPr>
        <w:spacing w:after="0" w:line="147" w:lineRule="exact"/>
        <w:rPr>
          <w:rFonts w:ascii="Times New Roman" w:cs="Times New Roman" w:eastAsia="Times New Roman" w:hAnsi="Times New Roman"/>
          <w:sz w:val="21"/>
          <w:szCs w:val="21"/>
          <w:color w:val="auto"/>
        </w:rPr>
      </w:pPr>
    </w:p>
    <w:p>
      <w:pPr>
        <w:ind w:left="640" w:firstLine="622"/>
        <w:spacing w:after="0" w:line="241" w:lineRule="auto"/>
        <w:tabs>
          <w:tab w:leader="none" w:pos="1893"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by Borrower to borrow a Term Benchmark Loan which would otherwise be made hereunder on the date specified in the relevant Election notice under Section 2.14 given or submitted by Borrower; or</w:t>
      </w:r>
    </w:p>
    <w:p>
      <w:pPr>
        <w:spacing w:after="0" w:line="143"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by Borrower to prepay a Term Benchmark Loan on the date specified in a notice of prepayment.</w:t>
      </w:r>
    </w:p>
    <w:p>
      <w:pPr>
        <w:spacing w:after="0" w:line="204" w:lineRule="exact"/>
        <w:rPr>
          <w:sz w:val="20"/>
          <w:szCs w:val="20"/>
          <w:color w:val="auto"/>
        </w:rPr>
      </w:pPr>
    </w:p>
    <w:p>
      <w:pPr>
        <w:ind w:firstLine="629"/>
        <w:spacing w:after="0" w:line="280" w:lineRule="auto"/>
        <w:rPr>
          <w:sz w:val="20"/>
          <w:szCs w:val="20"/>
          <w:color w:val="auto"/>
        </w:rPr>
      </w:pPr>
      <w:r>
        <w:rPr>
          <w:rFonts w:ascii="Times New Roman" w:cs="Times New Roman" w:eastAsia="Times New Roman" w:hAnsi="Times New Roman"/>
          <w:sz w:val="21"/>
          <w:szCs w:val="21"/>
          <w:color w:val="auto"/>
        </w:rPr>
        <w:t>A certificate of any Bank as to the determination of the amounts payable pursuant to this Section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63</w:t>
      </w:r>
    </w:p>
    <w:p>
      <w:pPr>
        <w:sectPr>
          <w:pgSz w:w="11900" w:h="16838" w:orient="portrait"/>
          <w:cols w:equalWidth="0" w:num="1">
            <w:col w:w="11240"/>
          </w:cols>
          <w:pgMar w:left="320" w:top="1382" w:right="339" w:bottom="1440" w:gutter="0" w:footer="0" w:header="0"/>
        </w:sectPr>
      </w:pPr>
    </w:p>
    <w:bookmarkStart w:id="367" w:name="page368"/>
    <w:bookmarkEnd w:id="367"/>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The obligations of Borrower under this Section shall survive the repayment of all amounts due under or in connection with any of the Loan Documents and the termination of the Loan Commitments in respect of the period prior to such termination.</w:t>
      </w:r>
    </w:p>
    <w:p>
      <w:pPr>
        <w:spacing w:after="0" w:line="144"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3.06 </w:t>
      </w:r>
      <w:r>
        <w:rPr>
          <w:rFonts w:ascii="Times New Roman" w:cs="Times New Roman" w:eastAsia="Times New Roman" w:hAnsi="Times New Roman"/>
          <w:sz w:val="21"/>
          <w:szCs w:val="21"/>
          <w:u w:val="single" w:color="auto"/>
          <w:color w:val="auto"/>
        </w:rPr>
        <w:t>Capital Adequacy</w:t>
      </w:r>
      <w:r>
        <w:rPr>
          <w:rFonts w:ascii="Times New Roman" w:cs="Times New Roman" w:eastAsia="Times New Roman" w:hAnsi="Times New Roman"/>
          <w:sz w:val="21"/>
          <w:szCs w:val="21"/>
          <w:color w:val="auto"/>
        </w:rPr>
        <w:t>. If any Bank or Fronting Bank shall have determined that, after the date hereof, due to any Regulatory Change or the adoption of, or any change in, any applicable law, rule or regulation regarding capital adequacy or liquidity requirements, or any change in the interpretation or administration thereof by any Governmental Authority, central bank or comparable agency charged with the interpretation or administration thereof, or any request or directive regarding capital adequacy or liquidity requirements (whether or not having the force of law) of any such Governmental Authority, central bank or comparable agency, has or would have the effect of reducing the rate of return on capital of such Bank or Fronting Bank (or its Parent) as a consequence of such Bank’s or Fronting Bank’s obligations hereunder to a level below that which such Bank or Fronting Bank (or its Parent) could have achieved but for such adoption, change, request or directive (taking into consideration its policies with respect to capital adequacy and liquidity) by an amount deemed by such Bank or Fronting Bank to be material, then from time to time, within thirty (30) days after demand by such Bank or Fronting Bank (with a copy to Administrative Agent), Borrower shall pay to such Bank or Fronting Bank such additional amount or amounts as will compensate such Bank or Fronting Bank (or its Parent) for such reduction. Each Bank and Fronting Bank shall allocate such cost increases and reductions among its customers in its discretion reasonably exercised in good faith; provided that in no event shall any Bank or Fronting Bank be obligated to disclose any information relating to its costs that it deems confidential. A certificate of any Bank or Fronting Bank claiming compensation under this Section, setting forth in reasonable detail the basis therefor, shall be conclusive absent manifest error. The obligations of Borrower under this Section shall survive the repayment of all amounts due under or in connection with any of the Loan Documents and the termination of the Loan Commitments in respect of the period prior to such termination.</w:t>
      </w:r>
    </w:p>
    <w:p>
      <w:pPr>
        <w:spacing w:after="0" w:line="95"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3.07 </w:t>
      </w:r>
      <w:r>
        <w:rPr>
          <w:rFonts w:ascii="Times New Roman" w:cs="Times New Roman" w:eastAsia="Times New Roman" w:hAnsi="Times New Roman"/>
          <w:sz w:val="21"/>
          <w:szCs w:val="21"/>
          <w:u w:val="single" w:color="auto"/>
          <w:color w:val="auto"/>
        </w:rPr>
        <w:t>Substitution of Banks</w:t>
      </w:r>
      <w:r>
        <w:rPr>
          <w:rFonts w:ascii="Times New Roman" w:cs="Times New Roman" w:eastAsia="Times New Roman" w:hAnsi="Times New Roman"/>
          <w:sz w:val="21"/>
          <w:szCs w:val="21"/>
          <w:color w:val="auto"/>
        </w:rPr>
        <w:t>. If any Bank (an “</w:t>
      </w:r>
      <w:r>
        <w:rPr>
          <w:rFonts w:ascii="Times New Roman" w:cs="Times New Roman" w:eastAsia="Times New Roman" w:hAnsi="Times New Roman"/>
          <w:sz w:val="21"/>
          <w:szCs w:val="21"/>
          <w:u w:val="single" w:color="auto"/>
          <w:color w:val="auto"/>
        </w:rPr>
        <w:t>Affected Bank</w:t>
      </w:r>
      <w:r>
        <w:rPr>
          <w:rFonts w:ascii="Times New Roman" w:cs="Times New Roman" w:eastAsia="Times New Roman" w:hAnsi="Times New Roman"/>
          <w:sz w:val="21"/>
          <w:szCs w:val="21"/>
          <w:color w:val="auto"/>
        </w:rPr>
        <w:t>”) (i) makes demand upon Borrower for (or if Borrower is otherwise required to pay) Additional Costs pursuant to Section 3.01, (ii) is unable to make or maintain a Term Benchmark Loan or RFR Loan as a result of a condition described in Section 3.03 or clause (2) of Section 3.02, (iii) has any increased costs as described in Section 3.06, (iv) requires the Borrower to pay any Indemnified Taxes or other amounts to such Bank or any Governmental Authority pursuant to Section 10.13, or (v) becomes a Defaulting Lender, Borrower may, within ninety (90) days of receipt of such demand or notice of the occurrence of an event described above in this Section 3.07 (provided (A) such 90-day limit shall not be applicable for a Defaulting Lender and (B) such 90-day period shall be extended for an additional period of 60 days if Borrower shall have attempted during such 90-day period to secure a Replacement Bank (as defined below) and shall be diligently pursuing such attempt), give written notice (a “</w:t>
      </w:r>
      <w:r>
        <w:rPr>
          <w:rFonts w:ascii="Times New Roman" w:cs="Times New Roman" w:eastAsia="Times New Roman" w:hAnsi="Times New Roman"/>
          <w:sz w:val="21"/>
          <w:szCs w:val="21"/>
          <w:u w:val="single" w:color="auto"/>
          <w:color w:val="auto"/>
        </w:rPr>
        <w:t>Replacement Notice</w:t>
      </w:r>
      <w:r>
        <w:rPr>
          <w:rFonts w:ascii="Times New Roman" w:cs="Times New Roman" w:eastAsia="Times New Roman" w:hAnsi="Times New Roman"/>
          <w:sz w:val="21"/>
          <w:szCs w:val="21"/>
          <w:color w:val="auto"/>
        </w:rPr>
        <w:t>”) to Administrative Agent and to each Bank of Borrower’s intention either (x) to prepay in full the Affected Bank’s Loans and to terminate the Affected Bank’s entire Loan Commitment or (y) to replace the Affected Bank with another financial institution (the “</w:t>
      </w:r>
      <w:r>
        <w:rPr>
          <w:rFonts w:ascii="Times New Roman" w:cs="Times New Roman" w:eastAsia="Times New Roman" w:hAnsi="Times New Roman"/>
          <w:sz w:val="21"/>
          <w:szCs w:val="21"/>
          <w:u w:val="single" w:color="auto"/>
          <w:color w:val="auto"/>
        </w:rPr>
        <w:t>Replacement Bank</w:t>
      </w:r>
      <w:r>
        <w:rPr>
          <w:rFonts w:ascii="Times New Roman" w:cs="Times New Roman" w:eastAsia="Times New Roman" w:hAnsi="Times New Roman"/>
          <w:sz w:val="21"/>
          <w:szCs w:val="21"/>
          <w:color w:val="auto"/>
        </w:rPr>
        <w:t>”) designated in such Replacement Notice. After its replacement, an Affected Bank shall remain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ectPr>
          <w:pgSz w:w="11900" w:h="16838" w:orient="portrait"/>
          <w:cols w:equalWidth="0" w:num="1">
            <w:col w:w="11240"/>
          </w:cols>
          <w:pgMar w:left="320" w:top="1382" w:right="33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21"/>
          <w:szCs w:val="21"/>
          <w:color w:val="auto"/>
        </w:rPr>
        <w:t>entitled to the benefits of Sections 3.01, 3.06, 10.13 and 12.04 in respect of the period prior to its replacement.</w:t>
      </w:r>
    </w:p>
    <w:p>
      <w:pPr>
        <w:spacing w:after="0" w:line="60"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 xml:space="preserve">In the event Borrower opts to give the Replacement Notice described in clause (x) above, and if the Affected Bank shall not agree within thirty (30) days of its receipt thereof to waive the payment of the Additional Costs, Indemnified Taxes or other amounts in question or the effect of the circumstances described in Section 3.03, in clause (2) of Section 3.02 or in Section 3.06 or the Affected Bank shall continue to be a Defaulting Lender, then, so long as no Event of Default shall exist, Borrower may (notwithstanding the provisions of clause (2) of Section 2.16(a)) terminate the Affected Bank’s entire Loan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connection therewith it pays to the Affected Bank all outstanding principal and accrued and unpaid interest under the Affected Bank’s Loans, together with all other amounts, if any, due from Borrower to the Affected Bank, including all amounts properly demanded and unreimbursed under Sections 3.01, 3.05 or 10.13. After any termination as provided in this paragraph, an Affected Bank shall remain entitled to the benefits of Sections 3.01, 3.06, 10.13 and 12.04 in respect of the period prior to such termination.</w:t>
      </w:r>
    </w:p>
    <w:p>
      <w:pPr>
        <w:spacing w:after="0" w:line="175"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In the event Borrower opts to give the Replacement Notice described in clause (y) above, and if Administrative Agent shall promptly (and in any event, within thirty (30) days of its receipt of the Replacement Notice), notify Borrower and each Bank in writing that the Replacement Bank is reasonably satisfactory to Administrative Agent, then the Affected Bank shall, so long as no Event of Default shall exist, assign its Loans and all of its rights and obligations under this Agreement to the Replacement Bank, and the Replacement Bank shall assume all of the Affected Bank’s rights and obligations, pursuant to an agreement, substantially in the form of an Assignment and Assumption Agreement, executed by the Affected Bank and the Replacement Bank. In connection with such assignment and assumption, the Replacement Bank shall pay to the Affected Bank an amount equal to the outstanding principal amount of the Affected Bank’s Loans plus all interest accrued thereon, plus all other amounts, if any (other than the Additional Costs in question), then due and payable to the Affected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prior to or simultaneously with any such assignment and assumption, Borrower shall have paid to such Affected Bank all amounts properly demanded and unreimbursed under Sections 3.01, 3.05 and 10.13. Upon the effective date of such assignment and assumption, the Replacement Bank shall become a Bank Party to this Agreement and shall have all the rights and obligations of a Bank as set forth in such Assignment and Assumption Agreement, and the Affected Bank shall be released from its obligations hereunder, and no further consent or action by any party shall be required. Upon the consummation of any assignment pursuant to this Section, a substitute Ratable Loan Note shall be issued to the Replacement Bank by Borrower, in exchange for the return of the Affected Bank’s Ratable Loan Note. The obligations evidenced by such substitute note shall constitute “Obligations” for all purposes of this Agreement and the other Loan Documents. If the Replacement Bank is not incorporated under the laws of the United States of America or a state thereof, it shall, prior to the first date on which interest or fees are payable hereunder for its account, deliver to Borrower and Administrative Agent a certification as to exemption from, or reduction of, deduction or withholding of any United States federal income taxes in accordance with Section 10.13. Each Replacement Bank shall be deemed to have made the representations contained in, and shall be bound by the provisions of, Section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65</w:t>
      </w:r>
    </w:p>
    <w:p>
      <w:pPr>
        <w:sectPr>
          <w:pgSz w:w="11900" w:h="16838" w:orient="portrait"/>
          <w:cols w:equalWidth="0" w:num="1">
            <w:col w:w="11240"/>
          </w:cols>
          <w:pgMar w:left="320" w:top="1382" w:right="339" w:bottom="1440" w:gutter="0" w:footer="0" w:header="0"/>
        </w:sectPr>
      </w:pPr>
    </w:p>
    <w:bookmarkStart w:id="369" w:name="page370"/>
    <w:bookmarkEnd w:id="369"/>
    <w:p>
      <w:pPr>
        <w:jc w:val="both"/>
        <w:spacing w:after="0" w:line="280" w:lineRule="auto"/>
        <w:rPr>
          <w:sz w:val="20"/>
          <w:szCs w:val="20"/>
          <w:color w:val="auto"/>
        </w:rPr>
      </w:pPr>
      <w:r>
        <w:rPr>
          <w:rFonts w:ascii="Times New Roman" w:cs="Times New Roman" w:eastAsia="Times New Roman" w:hAnsi="Times New Roman"/>
          <w:sz w:val="21"/>
          <w:szCs w:val="21"/>
          <w:color w:val="auto"/>
        </w:rPr>
        <w:t>After any assignment as provided in this paragraph, an Affected Bank shall remain entitled to the benefits of Sections 3.01, 3.06, 10.13 and 12.04 in respect of the period prior to such assignment.</w:t>
      </w:r>
    </w:p>
    <w:p>
      <w:pPr>
        <w:spacing w:after="0" w:line="144"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Borrower, Administrative Agent and the Banks shall execute such modifications to the Loan Documents as shall be reasonably required in connection with and to effectuate the foregoing.</w:t>
      </w:r>
    </w:p>
    <w:p>
      <w:pPr>
        <w:spacing w:after="0" w:line="131"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3.08 </w:t>
      </w:r>
      <w:r>
        <w:rPr>
          <w:rFonts w:ascii="Times New Roman" w:cs="Times New Roman" w:eastAsia="Times New Roman" w:hAnsi="Times New Roman"/>
          <w:sz w:val="21"/>
          <w:szCs w:val="21"/>
          <w:u w:val="single" w:color="auto"/>
          <w:color w:val="auto"/>
        </w:rPr>
        <w:t>Obligation of Banks to Mitigate</w:t>
      </w:r>
      <w:r>
        <w:rPr>
          <w:rFonts w:ascii="Times New Roman" w:cs="Times New Roman" w:eastAsia="Times New Roman" w:hAnsi="Times New Roman"/>
          <w:sz w:val="21"/>
          <w:szCs w:val="21"/>
          <w:color w:val="auto"/>
        </w:rPr>
        <w:t>. Each Bank agrees that, as promptly as practicable after such Bank has actual knowledge of the occurrence of an event or the existence of a condition that would cause such Bank to become an Affected Bank or that would entitle such Bank to receive payments under Sections 3.01, 3.02, 3.03, 3.06 or 10.13, it will, to the extent not inconsistent with any applicable legal or regulatory restrictions, use reasonable efforts at the cost and expense of the Borrower (i) to make, issue, fund, or maintain the Loan Commitment of such Bank or the affected Loans of such Bank through another lending office of such Bank, or (ii) to assign its rights and obligations hereunder to another of its offices, branches or Affiliates, if as a result thereof the circumstances that would cause such Bank to be an Affected Bank would cease to exist or the additional amounts that would otherwise be required to be paid to such Bank pursuant to Sections 3.01, 3.02, 3.03, 3.06 or 10.13 would be reduced and if, as reasonably determined by such Bank in its sole discretion, the making, issuing, funding, or maintaining of such Loan Commitment or Loans through such other lending office or in accordance with such other measures, as the case may be, would not otherwise adversely affect such Loan Commitment or Loans or would not be otherwise disadvantageous to the interests of such Bank.</w:t>
      </w:r>
    </w:p>
    <w:p>
      <w:pPr>
        <w:spacing w:after="0" w:line="200" w:lineRule="exact"/>
        <w:rPr>
          <w:sz w:val="20"/>
          <w:szCs w:val="20"/>
          <w:color w:val="auto"/>
        </w:rPr>
      </w:pPr>
    </w:p>
    <w:p>
      <w:pPr>
        <w:spacing w:after="0" w:line="31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1"/>
          <w:szCs w:val="21"/>
          <w:color w:val="auto"/>
        </w:rPr>
        <w:t>ARTICLE IV</w:t>
      </w:r>
    </w:p>
    <w:p>
      <w:pPr>
        <w:spacing w:after="0" w:line="6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color w:val="auto"/>
        </w:rPr>
        <w:t>CONDITION PRECEDENT</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FFFFFF"/>
        </w:rPr>
        <w:t>ARTICLE IV</w:t>
      </w:r>
    </w:p>
    <w:p>
      <w:pPr>
        <w:spacing w:after="0" w:line="31"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4.01 </w:t>
      </w:r>
      <w:r>
        <w:rPr>
          <w:rFonts w:ascii="Times New Roman" w:cs="Times New Roman" w:eastAsia="Times New Roman" w:hAnsi="Times New Roman"/>
          <w:sz w:val="21"/>
          <w:szCs w:val="21"/>
          <w:u w:val="single" w:color="auto"/>
          <w:color w:val="auto"/>
        </w:rPr>
        <w:t>Conditions Precedent to the Loans</w:t>
      </w:r>
      <w:r>
        <w:rPr>
          <w:rFonts w:ascii="Times New Roman" w:cs="Times New Roman" w:eastAsia="Times New Roman" w:hAnsi="Times New Roman"/>
          <w:sz w:val="21"/>
          <w:szCs w:val="21"/>
          <w:color w:val="auto"/>
        </w:rPr>
        <w:t>. The obligations of the Banks hereunder and the obligation of each Bank to make the Initial Advance are subject to the condition precedent that Administrative Agent shall have received on or before the Execution Date (other than with respect to paragraphs (11) and (14) below, which shall be required by the Closing Date) each of the following documents, and each of the following requirements shall have been fulfilled:</w:t>
      </w:r>
    </w:p>
    <w:p>
      <w:pPr>
        <w:spacing w:after="0" w:line="1" w:lineRule="exact"/>
        <w:rPr>
          <w:sz w:val="20"/>
          <w:szCs w:val="20"/>
          <w:color w:val="auto"/>
        </w:rPr>
      </w:pPr>
    </w:p>
    <w:p>
      <w:pPr>
        <w:jc w:val="both"/>
        <w:ind w:left="640" w:firstLine="622"/>
        <w:spacing w:after="0" w:line="229" w:lineRule="auto"/>
        <w:tabs>
          <w:tab w:leader="none" w:pos="1893"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Fees and Expenses</w:t>
      </w:r>
      <w:r>
        <w:rPr>
          <w:rFonts w:ascii="Times New Roman" w:cs="Times New Roman" w:eastAsia="Times New Roman" w:hAnsi="Times New Roman"/>
          <w:sz w:val="21"/>
          <w:szCs w:val="21"/>
          <w:color w:val="auto"/>
        </w:rPr>
        <w:t>. The payment of all fees and expenses owed to or incurred by Administrative Agent in connection with the origination of the Loans (including, without limitation, the reasonable fees and expenses of legal counsel);</w:t>
      </w:r>
    </w:p>
    <w:p>
      <w:pPr>
        <w:spacing w:after="0" w:line="147"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A Ratable Loan Note for each Bank, unless not requested by such Bank, duly executed by Borrower;</w:t>
      </w:r>
    </w:p>
    <w:p>
      <w:pPr>
        <w:spacing w:after="0" w:line="177" w:lineRule="exact"/>
        <w:rPr>
          <w:rFonts w:ascii="Times New Roman" w:cs="Times New Roman" w:eastAsia="Times New Roman" w:hAnsi="Times New Roman"/>
          <w:sz w:val="21"/>
          <w:szCs w:val="21"/>
          <w:color w:val="auto"/>
        </w:rPr>
      </w:pPr>
    </w:p>
    <w:p>
      <w:pPr>
        <w:ind w:left="640" w:firstLine="622"/>
        <w:spacing w:after="0" w:line="241" w:lineRule="auto"/>
        <w:tabs>
          <w:tab w:leader="none" w:pos="1893"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Audited Borrower’s Consolidated Financial Statements as of and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66</w:t>
      </w:r>
    </w:p>
    <w:p>
      <w:pPr>
        <w:sectPr>
          <w:pgSz w:w="11900" w:h="16838" w:orient="portrait"/>
          <w:cols w:equalWidth="0" w:num="1">
            <w:col w:w="11240"/>
          </w:cols>
          <w:pgMar w:left="320" w:top="1382" w:right="339" w:bottom="1440" w:gutter="0" w:footer="0" w:header="0"/>
        </w:sectPr>
      </w:pPr>
    </w:p>
    <w:bookmarkStart w:id="370" w:name="page371"/>
    <w:bookmarkEnd w:id="370"/>
    <w:p>
      <w:pPr>
        <w:ind w:left="-480" w:firstLine="622"/>
        <w:spacing w:after="0" w:line="241" w:lineRule="auto"/>
        <w:tabs>
          <w:tab w:leader="none" w:pos="773"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Certificates of Limited Partnership/Trust</w:t>
      </w:r>
      <w:r>
        <w:rPr>
          <w:rFonts w:ascii="Times New Roman" w:cs="Times New Roman" w:eastAsia="Times New Roman" w:hAnsi="Times New Roman"/>
          <w:sz w:val="21"/>
          <w:szCs w:val="21"/>
          <w:color w:val="auto"/>
        </w:rPr>
        <w:t>. A copy of the Certificate of Limited Partnership for Borrower and a copy of the articles of trust of General Partner, each certified by the appropriate Secretary of State or equivalent state official;</w:t>
      </w:r>
    </w:p>
    <w:p>
      <w:pPr>
        <w:spacing w:after="0" w:line="143" w:lineRule="exact"/>
        <w:rPr>
          <w:rFonts w:ascii="Times New Roman" w:cs="Times New Roman" w:eastAsia="Times New Roman" w:hAnsi="Times New Roman"/>
          <w:sz w:val="21"/>
          <w:szCs w:val="21"/>
          <w:color w:val="auto"/>
        </w:rPr>
      </w:pPr>
    </w:p>
    <w:p>
      <w:pPr>
        <w:jc w:val="both"/>
        <w:ind w:left="-480" w:firstLine="622"/>
        <w:spacing w:after="0" w:line="229" w:lineRule="auto"/>
        <w:tabs>
          <w:tab w:leader="none" w:pos="773"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Agreements of Limited Partnership/Bylaws</w:t>
      </w:r>
      <w:r>
        <w:rPr>
          <w:rFonts w:ascii="Times New Roman" w:cs="Times New Roman" w:eastAsia="Times New Roman" w:hAnsi="Times New Roman"/>
          <w:sz w:val="21"/>
          <w:szCs w:val="21"/>
          <w:color w:val="auto"/>
        </w:rPr>
        <w:t>. A copy of the Agreement of Limited Partnership for Borrower and a copy of the bylaws of General Partner, including all amendments thereto, each certified by the Secretary or an Assistant Secretary of General Partner as being in full force and effect on the Execution Date;</w:t>
      </w:r>
    </w:p>
    <w:p>
      <w:pPr>
        <w:spacing w:after="0" w:line="147" w:lineRule="exact"/>
        <w:rPr>
          <w:rFonts w:ascii="Times New Roman" w:cs="Times New Roman" w:eastAsia="Times New Roman" w:hAnsi="Times New Roman"/>
          <w:sz w:val="21"/>
          <w:szCs w:val="21"/>
          <w:color w:val="auto"/>
        </w:rPr>
      </w:pPr>
    </w:p>
    <w:p>
      <w:pPr>
        <w:jc w:val="both"/>
        <w:ind w:left="-480" w:firstLine="622"/>
        <w:spacing w:after="0" w:line="229" w:lineRule="auto"/>
        <w:tabs>
          <w:tab w:leader="none" w:pos="773"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Standing Certificates</w:t>
      </w:r>
      <w:r>
        <w:rPr>
          <w:rFonts w:ascii="Times New Roman" w:cs="Times New Roman" w:eastAsia="Times New Roman" w:hAnsi="Times New Roman"/>
          <w:sz w:val="21"/>
          <w:szCs w:val="21"/>
          <w:color w:val="auto"/>
        </w:rPr>
        <w:t>. A certified copy of a certificate from the Secretary of State or equivalent state official of the states where Borrower and General Partner are organized, dated as of the most recent practicable date, showing the good standing or partnership qualification of (i) Borrower and (ii) General Partner;</w:t>
      </w:r>
    </w:p>
    <w:p>
      <w:pPr>
        <w:spacing w:after="0" w:line="147" w:lineRule="exact"/>
        <w:rPr>
          <w:rFonts w:ascii="Times New Roman" w:cs="Times New Roman" w:eastAsia="Times New Roman" w:hAnsi="Times New Roman"/>
          <w:sz w:val="21"/>
          <w:szCs w:val="21"/>
          <w:color w:val="auto"/>
        </w:rPr>
      </w:pPr>
    </w:p>
    <w:p>
      <w:pPr>
        <w:jc w:val="both"/>
        <w:ind w:left="-480" w:firstLine="622"/>
        <w:spacing w:after="0" w:line="224" w:lineRule="auto"/>
        <w:tabs>
          <w:tab w:leader="none" w:pos="773"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Foreign Qualification Certificates</w:t>
      </w:r>
      <w:r>
        <w:rPr>
          <w:rFonts w:ascii="Times New Roman" w:cs="Times New Roman" w:eastAsia="Times New Roman" w:hAnsi="Times New Roman"/>
          <w:sz w:val="21"/>
          <w:szCs w:val="21"/>
          <w:color w:val="auto"/>
        </w:rPr>
        <w:t>. A certified copy of a certificate from the Secretary of State or equivalent state official of the state where Borrower and General Partner maintain their principal places of business, dated as of the most recent practicable date, showing the qualification to transact business in such state as a foreign limited partnership or foreign trust, as the case may be, for (i) Borrower and (ii) General Partner;</w:t>
      </w:r>
    </w:p>
    <w:p>
      <w:pPr>
        <w:spacing w:after="0" w:line="146" w:lineRule="exact"/>
        <w:rPr>
          <w:rFonts w:ascii="Times New Roman" w:cs="Times New Roman" w:eastAsia="Times New Roman" w:hAnsi="Times New Roman"/>
          <w:sz w:val="21"/>
          <w:szCs w:val="21"/>
          <w:color w:val="auto"/>
        </w:rPr>
      </w:pPr>
    </w:p>
    <w:p>
      <w:pPr>
        <w:jc w:val="both"/>
        <w:ind w:left="-480" w:firstLine="622"/>
        <w:spacing w:after="0" w:line="224" w:lineRule="auto"/>
        <w:tabs>
          <w:tab w:leader="none" w:pos="773"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Resolutions</w:t>
      </w:r>
      <w:r>
        <w:rPr>
          <w:rFonts w:ascii="Times New Roman" w:cs="Times New Roman" w:eastAsia="Times New Roman" w:hAnsi="Times New Roman"/>
          <w:sz w:val="21"/>
          <w:szCs w:val="21"/>
          <w:color w:val="auto"/>
        </w:rPr>
        <w:t>. A copy of a resolution or resolutions adopted by the Board of Trustees of General Partner, certified by the Secretary or an Assistant Secretary of General Partner as being in full force and effect on the Execution Date, authorizing the Loans provided for herein and the execution, delivery and performance of the Loan Documents to be executed and delivered by General Partner hereunder on behalf Borrower;</w:t>
      </w:r>
    </w:p>
    <w:p>
      <w:pPr>
        <w:spacing w:after="0" w:line="146" w:lineRule="exact"/>
        <w:rPr>
          <w:rFonts w:ascii="Times New Roman" w:cs="Times New Roman" w:eastAsia="Times New Roman" w:hAnsi="Times New Roman"/>
          <w:sz w:val="21"/>
          <w:szCs w:val="21"/>
          <w:color w:val="auto"/>
        </w:rPr>
      </w:pPr>
    </w:p>
    <w:p>
      <w:pPr>
        <w:jc w:val="both"/>
        <w:ind w:left="-480" w:firstLine="622"/>
        <w:spacing w:after="0" w:line="229" w:lineRule="auto"/>
        <w:tabs>
          <w:tab w:leader="none" w:pos="773"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Incumbency Certificate</w:t>
      </w:r>
      <w:r>
        <w:rPr>
          <w:rFonts w:ascii="Times New Roman" w:cs="Times New Roman" w:eastAsia="Times New Roman" w:hAnsi="Times New Roman"/>
          <w:sz w:val="21"/>
          <w:szCs w:val="21"/>
          <w:color w:val="auto"/>
        </w:rPr>
        <w:t>. A certificate, signed by the Secretary or an Assistant Secretary of General Partner and dated the Execution Date, as to the incumbency, and containing the specimen signature or signatures, of the Persons authorized to execute and deliver the Loan Documents to be executed and delivered by it and Borrower hereunder;</w:t>
      </w:r>
    </w:p>
    <w:p>
      <w:pPr>
        <w:spacing w:after="0" w:line="147" w:lineRule="exact"/>
        <w:rPr>
          <w:rFonts w:ascii="Times New Roman" w:cs="Times New Roman" w:eastAsia="Times New Roman" w:hAnsi="Times New Roman"/>
          <w:sz w:val="21"/>
          <w:szCs w:val="21"/>
          <w:color w:val="auto"/>
        </w:rPr>
      </w:pPr>
    </w:p>
    <w:p>
      <w:pPr>
        <w:ind w:left="760" w:hanging="618"/>
        <w:spacing w:after="0"/>
        <w:tabs>
          <w:tab w:leader="none" w:pos="760"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Solvency Certificate</w:t>
      </w:r>
      <w:r>
        <w:rPr>
          <w:rFonts w:ascii="Times New Roman" w:cs="Times New Roman" w:eastAsia="Times New Roman" w:hAnsi="Times New Roman"/>
          <w:sz w:val="21"/>
          <w:szCs w:val="21"/>
          <w:color w:val="auto"/>
        </w:rPr>
        <w:t>. A Solvency Certificate, duly executed, from Borrower;</w:t>
      </w:r>
    </w:p>
    <w:p>
      <w:pPr>
        <w:spacing w:after="0" w:line="177" w:lineRule="exact"/>
        <w:rPr>
          <w:rFonts w:ascii="Times New Roman" w:cs="Times New Roman" w:eastAsia="Times New Roman" w:hAnsi="Times New Roman"/>
          <w:sz w:val="21"/>
          <w:szCs w:val="21"/>
          <w:color w:val="auto"/>
        </w:rPr>
      </w:pPr>
    </w:p>
    <w:p>
      <w:pPr>
        <w:ind w:left="-480" w:firstLine="622"/>
        <w:spacing w:after="0" w:line="241" w:lineRule="auto"/>
        <w:tabs>
          <w:tab w:leader="none" w:pos="765"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Opinion of Counsel for Borrower</w:t>
      </w:r>
      <w:r>
        <w:rPr>
          <w:rFonts w:ascii="Times New Roman" w:cs="Times New Roman" w:eastAsia="Times New Roman" w:hAnsi="Times New Roman"/>
          <w:sz w:val="21"/>
          <w:szCs w:val="21"/>
          <w:color w:val="auto"/>
        </w:rPr>
        <w:t>. Favorable opinions, dated as of the Closing Date, from counsels for Borrower and General Partner, as to such matters as Administrative Agent may reasonably request;</w:t>
      </w:r>
    </w:p>
    <w:p>
      <w:pPr>
        <w:spacing w:after="0" w:line="143" w:lineRule="exact"/>
        <w:rPr>
          <w:rFonts w:ascii="Times New Roman" w:cs="Times New Roman" w:eastAsia="Times New Roman" w:hAnsi="Times New Roman"/>
          <w:sz w:val="21"/>
          <w:szCs w:val="21"/>
          <w:color w:val="auto"/>
        </w:rPr>
      </w:pPr>
    </w:p>
    <w:p>
      <w:pPr>
        <w:ind w:left="760" w:hanging="618"/>
        <w:spacing w:after="0"/>
        <w:tabs>
          <w:tab w:leader="none" w:pos="760"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Authorization Letter</w:t>
      </w:r>
      <w:r>
        <w:rPr>
          <w:rFonts w:ascii="Times New Roman" w:cs="Times New Roman" w:eastAsia="Times New Roman" w:hAnsi="Times New Roman"/>
          <w:sz w:val="21"/>
          <w:szCs w:val="21"/>
          <w:color w:val="auto"/>
        </w:rPr>
        <w:t>. The Authorization Letter, duly executed by Borrower;</w:t>
      </w:r>
    </w:p>
    <w:p>
      <w:pPr>
        <w:spacing w:after="0" w:line="177" w:lineRule="exact"/>
        <w:rPr>
          <w:rFonts w:ascii="Times New Roman" w:cs="Times New Roman" w:eastAsia="Times New Roman" w:hAnsi="Times New Roman"/>
          <w:sz w:val="21"/>
          <w:szCs w:val="21"/>
          <w:color w:val="auto"/>
        </w:rPr>
      </w:pPr>
    </w:p>
    <w:p>
      <w:pPr>
        <w:ind w:left="760" w:hanging="618"/>
        <w:spacing w:after="0"/>
        <w:tabs>
          <w:tab w:leader="none" w:pos="760"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ind w:left="760" w:hanging="618"/>
        <w:spacing w:after="0"/>
        <w:tabs>
          <w:tab w:leader="none" w:pos="760"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Request for Advance</w:t>
      </w:r>
      <w:r>
        <w:rPr>
          <w:rFonts w:ascii="Times New Roman" w:cs="Times New Roman" w:eastAsia="Times New Roman" w:hAnsi="Times New Roman"/>
          <w:sz w:val="21"/>
          <w:szCs w:val="21"/>
          <w:color w:val="auto"/>
        </w:rPr>
        <w:t>. A request for an advance in accordance with Section 2.05;</w:t>
      </w:r>
    </w:p>
    <w:p>
      <w:pPr>
        <w:spacing w:after="0" w:line="177" w:lineRule="exact"/>
        <w:rPr>
          <w:rFonts w:ascii="Times New Roman" w:cs="Times New Roman" w:eastAsia="Times New Roman" w:hAnsi="Times New Roman"/>
          <w:sz w:val="21"/>
          <w:szCs w:val="21"/>
          <w:color w:val="auto"/>
        </w:rPr>
      </w:pPr>
    </w:p>
    <w:p>
      <w:pPr>
        <w:jc w:val="both"/>
        <w:ind w:left="-480" w:firstLine="622"/>
        <w:spacing w:after="0" w:line="229" w:lineRule="auto"/>
        <w:tabs>
          <w:tab w:leader="none" w:pos="773" w:val="left"/>
        </w:tabs>
        <w:numPr>
          <w:ilvl w:val="0"/>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w:t>
      </w:r>
      <w:r>
        <w:rPr>
          <w:rFonts w:ascii="Times New Roman" w:cs="Times New Roman" w:eastAsia="Times New Roman" w:hAnsi="Times New Roman"/>
          <w:sz w:val="21"/>
          <w:szCs w:val="21"/>
          <w:color w:val="auto"/>
        </w:rPr>
        <w:t>. The following statements shall be true and Administrative Agent shall have received a certificate dated as of the Execution Date signed by a duly authorized signatory of Borrower stating, to the best of the certifying party’s knowledge,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67</w:t>
      </w:r>
    </w:p>
    <w:p>
      <w:pPr>
        <w:sectPr>
          <w:pgSz w:w="11900" w:h="16838" w:orient="portrait"/>
          <w:cols w:equalWidth="0" w:num="1">
            <w:col w:w="10120"/>
          </w:cols>
          <w:pgMar w:left="1440" w:top="1356" w:right="339" w:bottom="1440" w:gutter="0" w:footer="0" w:header="0"/>
        </w:sectPr>
      </w:pPr>
    </w:p>
    <w:bookmarkStart w:id="371" w:name="page372"/>
    <w:bookmarkEnd w:id="371"/>
    <w:p>
      <w:pPr>
        <w:ind w:left="1260" w:firstLine="631"/>
        <w:spacing w:after="0" w:line="241" w:lineRule="auto"/>
        <w:tabs>
          <w:tab w:leader="none" w:pos="2514"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representations and warranties contained in this Agreement and in each of the other Loan Documents are true and correct on and as of the Execution Date as though made on and as of such date, and</w:t>
      </w:r>
    </w:p>
    <w:p>
      <w:pPr>
        <w:spacing w:after="0" w:line="143" w:lineRule="exact"/>
        <w:rPr>
          <w:rFonts w:ascii="Times New Roman" w:cs="Times New Roman" w:eastAsia="Times New Roman" w:hAnsi="Times New Roman"/>
          <w:sz w:val="21"/>
          <w:szCs w:val="21"/>
          <w:color w:val="auto"/>
        </w:rPr>
      </w:pPr>
    </w:p>
    <w:p>
      <w:pPr>
        <w:ind w:left="2520" w:hanging="629"/>
        <w:spacing w:after="0"/>
        <w:tabs>
          <w:tab w:leader="none" w:pos="2520" w:val="left"/>
        </w:tabs>
        <w:numPr>
          <w:ilvl w:val="1"/>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has occurred and is continuing;</w:t>
      </w:r>
    </w:p>
    <w:p>
      <w:pPr>
        <w:spacing w:after="0" w:line="177"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Certificate</w:t>
      </w:r>
      <w:r>
        <w:rPr>
          <w:rFonts w:ascii="Times New Roman" w:cs="Times New Roman" w:eastAsia="Times New Roman" w:hAnsi="Times New Roman"/>
          <w:sz w:val="21"/>
          <w:szCs w:val="21"/>
          <w:color w:val="auto"/>
        </w:rPr>
        <w:t>. A certificate of the sort required by paragraph (3) of Section 6.09;</w:t>
      </w:r>
    </w:p>
    <w:p>
      <w:pPr>
        <w:spacing w:after="0" w:line="177"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Evidence of the insurance described in Section 5.17; and</w:t>
      </w:r>
    </w:p>
    <w:p>
      <w:pPr>
        <w:spacing w:after="0" w:line="177" w:lineRule="exact"/>
        <w:rPr>
          <w:rFonts w:ascii="Times New Roman" w:cs="Times New Roman" w:eastAsia="Times New Roman" w:hAnsi="Times New Roman"/>
          <w:sz w:val="21"/>
          <w:szCs w:val="21"/>
          <w:color w:val="auto"/>
        </w:rPr>
      </w:pPr>
    </w:p>
    <w:p>
      <w:pPr>
        <w:jc w:val="both"/>
        <w:ind w:left="640" w:firstLine="622"/>
        <w:spacing w:after="0" w:line="216" w:lineRule="auto"/>
        <w:tabs>
          <w:tab w:leader="none" w:pos="1893"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KYC Information</w:t>
      </w:r>
      <w:r>
        <w:rPr>
          <w:rFonts w:ascii="Times New Roman" w:cs="Times New Roman" w:eastAsia="Times New Roman" w:hAnsi="Times New Roman"/>
          <w:sz w:val="21"/>
          <w:szCs w:val="21"/>
          <w:color w:val="auto"/>
        </w:rPr>
        <w:t>. (A) The Administrative Agent and the Banks shall have received all documentation and other information about the Borrower as shall have been reasonably requested by the Administrative Agent or such Bank that it shall have reasonably determined is required by regulatory authorities under applicable “know your customer” and anti-money laundering rules and regulations and (B) to the extent the Borrower qualifies as a “legal entity customer” under the Beneficial Ownership Regulation, at least five days prior to the Closing Date, any Bank that has requested, in a written notice to the Borrower at least 10 days prior to the Closing Date, a Beneficial Ownership Certification in relation to the Borrower shall have received such Beneficial Ownership Certification (provided that, upon the execution and delivery by such Bank of its signature page to this Agreement, the condition set forth in this clause (B) shall be deemed to be satisfied).</w:t>
      </w:r>
    </w:p>
    <w:p>
      <w:pPr>
        <w:spacing w:after="0" w:line="174"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4.02</w:t>
      </w:r>
      <w:r>
        <w:rPr>
          <w:sz w:val="20"/>
          <w:szCs w:val="20"/>
          <w:color w:val="auto"/>
        </w:rPr>
        <w:tab/>
      </w:r>
      <w:r>
        <w:rPr>
          <w:rFonts w:ascii="Times New Roman" w:cs="Times New Roman" w:eastAsia="Times New Roman" w:hAnsi="Times New Roman"/>
          <w:sz w:val="21"/>
          <w:szCs w:val="21"/>
          <w:u w:val="single" w:color="auto"/>
          <w:color w:val="auto"/>
        </w:rPr>
        <w:t>Conditions Precedent to Advances After the Initial Advance</w:t>
      </w:r>
      <w:r>
        <w:rPr>
          <w:rFonts w:ascii="Times New Roman" w:cs="Times New Roman" w:eastAsia="Times New Roman" w:hAnsi="Times New Roman"/>
          <w:sz w:val="21"/>
          <w:szCs w:val="21"/>
          <w:color w:val="auto"/>
        </w:rPr>
        <w:t>. The obligation of each Bank to make any</w:t>
      </w:r>
    </w:p>
    <w:p>
      <w:pPr>
        <w:spacing w:after="0" w:line="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1"/>
          <w:szCs w:val="21"/>
          <w:color w:val="auto"/>
        </w:rPr>
        <w:t>advance of the Loans or issue, renew or increase the amount of any Letter of Credit subsequent to the Initial Advance shall be subject to satisfaction of the following conditions precedent:</w:t>
      </w:r>
    </w:p>
    <w:p>
      <w:pPr>
        <w:spacing w:after="0" w:line="2" w:lineRule="exact"/>
        <w:rPr>
          <w:sz w:val="20"/>
          <w:szCs w:val="20"/>
          <w:color w:val="auto"/>
        </w:rPr>
      </w:pPr>
    </w:p>
    <w:p>
      <w:pPr>
        <w:ind w:left="1880" w:hanging="618"/>
        <w:spacing w:after="0"/>
        <w:tabs>
          <w:tab w:leader="none" w:pos="1880"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have occurred and be continuing;</w:t>
      </w:r>
    </w:p>
    <w:p>
      <w:pPr>
        <w:spacing w:after="0" w:line="177" w:lineRule="exact"/>
        <w:rPr>
          <w:rFonts w:ascii="Times New Roman" w:cs="Times New Roman" w:eastAsia="Times New Roman" w:hAnsi="Times New Roman"/>
          <w:sz w:val="21"/>
          <w:szCs w:val="21"/>
          <w:color w:val="auto"/>
        </w:rPr>
      </w:pPr>
    </w:p>
    <w:p>
      <w:pPr>
        <w:jc w:val="both"/>
        <w:ind w:left="640" w:firstLine="622"/>
        <w:spacing w:after="0" w:line="216" w:lineRule="auto"/>
        <w:tabs>
          <w:tab w:leader="none" w:pos="1893"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representations and warranties of Borrower contained in this Agreement and in each of the other Loan Documents shall be true and correct in all material respects (or in the case of any representation or warranty that is qualified as to “materiality”, “Material Adverse Change” or similar language, in all respects) as of the date of the advance, issuance, renewal or increase, except (i) for any representation or warranty that expressly relates to an earlier date, in which case such representation or warranty was true and correct in all material respects (or, in the case of any representation or warranty that is qualified as to “materiality”, “Material Adverse Change” or similar language, in all respects) as of such earlier date and (ii) to the extent of any changes (x) resulting from transactions contemplated by this Agreement, (y) resulting from transactions and occurrences not prohibited by this Agreement and (z) occurring in the ordinary course of business; and</w:t>
      </w:r>
    </w:p>
    <w:p>
      <w:pPr>
        <w:spacing w:after="0" w:line="147"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Administrative Agent shall have received a request for an advance in accordance with Section 2.05.</w:t>
      </w:r>
    </w:p>
    <w:p>
      <w:pPr>
        <w:spacing w:after="0" w:line="204"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4.03 </w:t>
      </w:r>
      <w:r>
        <w:rPr>
          <w:rFonts w:ascii="Times New Roman" w:cs="Times New Roman" w:eastAsia="Times New Roman" w:hAnsi="Times New Roman"/>
          <w:sz w:val="21"/>
          <w:szCs w:val="21"/>
          <w:u w:val="single" w:color="auto"/>
          <w:color w:val="auto"/>
        </w:rPr>
        <w:t>Deemed Representations</w:t>
      </w:r>
      <w:r>
        <w:rPr>
          <w:rFonts w:ascii="Times New Roman" w:cs="Times New Roman" w:eastAsia="Times New Roman" w:hAnsi="Times New Roman"/>
          <w:sz w:val="21"/>
          <w:szCs w:val="21"/>
          <w:color w:val="auto"/>
        </w:rPr>
        <w:t>. Each request by Borrower for, and acceptance by Borrower of, an advance of proceeds of the Loans or the issuance, renewal or increase of any Letter of Credit, shall constitute a representation and warranty by Borrower that, as of both the date of such request and the date of such advance, issuance, renewal or increase (1) no Default or Event of Default has occurred and is continuing as of the date of such advance, issuance, renewal or increase, and (2) each of the representations and warranties by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68</w:t>
      </w:r>
    </w:p>
    <w:p>
      <w:pPr>
        <w:sectPr>
          <w:pgSz w:w="11900" w:h="16838" w:orient="portrait"/>
          <w:cols w:equalWidth="0" w:num="1">
            <w:col w:w="11240"/>
          </w:cols>
          <w:pgMar w:left="320" w:top="1356" w:right="339" w:bottom="1440" w:gutter="0" w:footer="0" w:header="0"/>
        </w:sectPr>
      </w:pPr>
    </w:p>
    <w:bookmarkStart w:id="372" w:name="page373"/>
    <w:bookmarkEnd w:id="372"/>
    <w:p>
      <w:pPr>
        <w:jc w:val="both"/>
        <w:spacing w:after="0" w:line="254" w:lineRule="auto"/>
        <w:rPr>
          <w:sz w:val="20"/>
          <w:szCs w:val="20"/>
          <w:color w:val="auto"/>
        </w:rPr>
      </w:pPr>
      <w:r>
        <w:rPr>
          <w:rFonts w:ascii="Times New Roman" w:cs="Times New Roman" w:eastAsia="Times New Roman" w:hAnsi="Times New Roman"/>
          <w:sz w:val="21"/>
          <w:szCs w:val="21"/>
          <w:color w:val="auto"/>
        </w:rPr>
        <w:t>contained in this Agreement and in each of the other Loan Documents is true and correct in all material respects (or in the case of any representation or warranty that is qualified as to “materiality”, “Material Adverse Change” or similar language, in all respects) on and as of such date with the same effect as if made on and as of such date, except (i) for any representation or warranty that expressly relates to an earlier date, in which case such representation or warranty was true and correct in all material respects (or, in the case of any representation or warranty that is qualified as to “materiality”, “Material Adverse Change” or similar language, in all respects) as of such earlier date and (ii) to the extent of any changes (x) resulting from transactions contemplated by this Agreement, (y) resulting from transactions and occurrences not prohibited by this Agreement and (z) occurring in the ordinary course of business. In addition, the request by Borrower for, and acceptance by Borrower of, the Initial Advance shall constitute a representation and warranty by Borrower that, as of the Closing Date, each certificate delivered pursuant to Section 4.01 is true and correct in all material respects.</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color w:val="auto"/>
        </w:rPr>
        <w:t>ARTICLE V</w:t>
      </w:r>
    </w:p>
    <w:p>
      <w:pPr>
        <w:spacing w:after="0" w:line="17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REPRESENTATIONS AND WARRANTIES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Borrower represents and warrants to Administrative Agent and each Bank as follows:</w:t>
      </w:r>
    </w:p>
    <w:p>
      <w:pPr>
        <w:spacing w:after="0" w:line="217"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5.01 </w:t>
      </w:r>
      <w:r>
        <w:rPr>
          <w:rFonts w:ascii="Times New Roman" w:cs="Times New Roman" w:eastAsia="Times New Roman" w:hAnsi="Times New Roman"/>
          <w:sz w:val="21"/>
          <w:szCs w:val="21"/>
          <w:u w:val="single" w:color="auto"/>
          <w:color w:val="auto"/>
        </w:rPr>
        <w:t>Existence</w:t>
      </w:r>
      <w:r>
        <w:rPr>
          <w:rFonts w:ascii="Times New Roman" w:cs="Times New Roman" w:eastAsia="Times New Roman" w:hAnsi="Times New Roman"/>
          <w:sz w:val="21"/>
          <w:szCs w:val="21"/>
          <w:color w:val="auto"/>
        </w:rPr>
        <w:t>. Borrower is a limited partnership duly organized and existing under the laws of the State of Delaware, with its principal executive office in the State of New York, and is duly qualified as a foreign limited partnership, properly licensed, in good standing and has all requisite authority to conduct its business in each jurisdiction in which it owns properties or conducts business except where the failure to be so qualified or to obtain such authority would not constitute a Material Adverse Change. Each of its Consolidated Businesses is duly organized, validly existing and in good standing under the laws of its jurisdiction of organization and has all requisite authority to conduct its business in each jurisdiction in which it owns property or conducts business, except where the failure to be so qualified or to obtain such authority would not constitute a Material Adverse Change. General Partner is a REIT duly organized and existing under the laws of the State of Maryland, with its principal executive office in the State of New York, is duly qualified as a foreign corporation or trust and properly licensed and in good standing in each jurisdiction where the failure to qualify or be licensed would constitute a Material Adverse Change. The common shares of beneficial interest of General Partner are listed on the New York Stock Exchange.</w:t>
      </w:r>
    </w:p>
    <w:p>
      <w:pPr>
        <w:spacing w:after="0" w:line="68"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5.02 </w:t>
      </w:r>
      <w:r>
        <w:rPr>
          <w:rFonts w:ascii="Times New Roman" w:cs="Times New Roman" w:eastAsia="Times New Roman" w:hAnsi="Times New Roman"/>
          <w:sz w:val="21"/>
          <w:szCs w:val="21"/>
          <w:u w:val="single" w:color="auto"/>
          <w:color w:val="auto"/>
        </w:rPr>
        <w:t>Corporate/Partnership Powers</w:t>
      </w:r>
      <w:r>
        <w:rPr>
          <w:rFonts w:ascii="Times New Roman" w:cs="Times New Roman" w:eastAsia="Times New Roman" w:hAnsi="Times New Roman"/>
          <w:sz w:val="21"/>
          <w:szCs w:val="21"/>
          <w:color w:val="auto"/>
        </w:rPr>
        <w:t>. The execution, delivery and performance of this Agreement and the other Loan Documents required to be delivered by Borrower hereunder are within its partnership authority, have been duly authorized by all requisite action, and are not in conflict with the terms of any organizational documents of such entity, or any instrument or agreement to which Borrower or General Partner is a party or by which Borrower, General Partner or any of their respective assets may be bound or affected (which conflict with any such instrument or agreement would likely cause a Material Adverse Change).</w:t>
      </w:r>
    </w:p>
    <w:p>
      <w:pPr>
        <w:spacing w:after="0" w:line="6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5.03 </w:t>
      </w:r>
      <w:r>
        <w:rPr>
          <w:rFonts w:ascii="Times New Roman" w:cs="Times New Roman" w:eastAsia="Times New Roman" w:hAnsi="Times New Roman"/>
          <w:sz w:val="21"/>
          <w:szCs w:val="21"/>
          <w:u w:val="single" w:color="auto"/>
          <w:color w:val="auto"/>
        </w:rPr>
        <w:t>Power of Officers</w:t>
      </w:r>
      <w:r>
        <w:rPr>
          <w:rFonts w:ascii="Times New Roman" w:cs="Times New Roman" w:eastAsia="Times New Roman" w:hAnsi="Times New Roman"/>
          <w:sz w:val="21"/>
          <w:szCs w:val="21"/>
          <w:color w:val="auto"/>
        </w:rPr>
        <w:t>. The officers of General Partner executing the Loan Documents required to be delivered by it on behalf of Borrower hereunder have been duly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69</w:t>
      </w:r>
    </w:p>
    <w:p>
      <w:pPr>
        <w:sectPr>
          <w:pgSz w:w="11900" w:h="16838" w:orient="portrait"/>
          <w:cols w:equalWidth="0" w:num="1">
            <w:col w:w="11240"/>
          </w:cols>
          <w:pgMar w:left="320" w:top="1382" w:right="33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21"/>
          <w:szCs w:val="21"/>
          <w:color w:val="auto"/>
        </w:rPr>
        <w:t>elected or appointed and were fully authorized to execute the same at the time each such Loan Document was executed.</w:t>
      </w:r>
    </w:p>
    <w:p>
      <w:pPr>
        <w:spacing w:after="0" w:line="112"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5.04 </w:t>
      </w:r>
      <w:r>
        <w:rPr>
          <w:rFonts w:ascii="Times New Roman" w:cs="Times New Roman" w:eastAsia="Times New Roman" w:hAnsi="Times New Roman"/>
          <w:sz w:val="21"/>
          <w:szCs w:val="21"/>
          <w:u w:val="single" w:color="auto"/>
          <w:color w:val="auto"/>
        </w:rPr>
        <w:t>Power and Authority; No Conflicts: Compliance With Laws</w:t>
      </w:r>
      <w:r>
        <w:rPr>
          <w:rFonts w:ascii="Times New Roman" w:cs="Times New Roman" w:eastAsia="Times New Roman" w:hAnsi="Times New Roman"/>
          <w:sz w:val="21"/>
          <w:szCs w:val="21"/>
          <w:color w:val="auto"/>
        </w:rPr>
        <w:t>. The execution and delivery of, and the performance of the obligations required to be performed by Borrower under, the Loan Documents do not and will not (a) violate any provision of, or, except for those which have been made or obtained, require any filing (other than SEC disclosure filings), registration, consent or approval under, any Law (including, without limitation, Regulation U), order, writ, judgment, injunction, decree, determination or award presently in effect having applicability to it, except for such violations, or filings, registrations, consents and approvals which if not done or obtained would not likely cause a Material Adverse Change to occur, (b) result in a breach of or constitute a default under or require any consent under any indenture or loan or credit agreement or any other agreement, lease or instrument to which it may be a party or by which it or its properties may be bound or affected except for consents which have been obtained or which if not obtained are not likely to cause a Material Adverse Change to occur, (c) result in, or require, the creation or imposition of any Lien, upon or with respect to any of its properties now owned or hereafter acquired which would likely cause a Material Adverse Change to occur, or (d) cause it to be in default under any such Law, order, writ, judgment, injunction, decree, determination or award or any such indenture, agreement, lease or instrument which would likely cause a Material Adverse Change to occur; to the best of its knowledge, Borrower is in compliance with all Laws applicable to it and its properties where the failure to be in compliance would cause a Material Adverse Change to occur.</w:t>
      </w:r>
    </w:p>
    <w:p>
      <w:pPr>
        <w:spacing w:after="0" w:line="78"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5.05 </w:t>
      </w:r>
      <w:r>
        <w:rPr>
          <w:rFonts w:ascii="Times New Roman" w:cs="Times New Roman" w:eastAsia="Times New Roman" w:hAnsi="Times New Roman"/>
          <w:sz w:val="21"/>
          <w:szCs w:val="21"/>
          <w:u w:val="single" w:color="auto"/>
          <w:color w:val="auto"/>
        </w:rPr>
        <w:t>Legally Enforceable Agreements</w:t>
      </w:r>
      <w:r>
        <w:rPr>
          <w:rFonts w:ascii="Times New Roman" w:cs="Times New Roman" w:eastAsia="Times New Roman" w:hAnsi="Times New Roman"/>
          <w:sz w:val="21"/>
          <w:szCs w:val="21"/>
          <w:color w:val="auto"/>
        </w:rPr>
        <w:t>. Each Loan Document is a legal, valid and binding obligation of Borrower, enforceable in accordance with its terms, except to the extent that such enforcement may be limited by applicable bankruptcy, insolvency and other similar laws affecting creditors’ rights generally, as well as general principles of equity and an implied covenant of good faith and fair dealing.</w:t>
      </w:r>
    </w:p>
    <w:p>
      <w:pPr>
        <w:spacing w:after="0" w:line="75"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5.06 </w:t>
      </w: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Except as disclosed in General Partner’s SEC Reports existing as of the date hereof, there are no investigations, actions, suits or proceedings pending or, to its knowledge, threatened against Borrower, General Partner or any of their Affiliates before any court or arbitrator or any Governmental Authority reasonably likely to (i) have a material effect on Borrower’s ability to repay the Loans, (ii) result in a Material Adverse Change, or (iii) affect the validity or enforceability of any Loan Document.</w:t>
      </w:r>
    </w:p>
    <w:p>
      <w:pPr>
        <w:spacing w:after="0" w:line="79"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5.07 </w:t>
      </w:r>
      <w:r>
        <w:rPr>
          <w:rFonts w:ascii="Times New Roman" w:cs="Times New Roman" w:eastAsia="Times New Roman" w:hAnsi="Times New Roman"/>
          <w:sz w:val="21"/>
          <w:szCs w:val="21"/>
          <w:u w:val="single" w:color="auto"/>
          <w:color w:val="auto"/>
        </w:rPr>
        <w:t>Good Title to Properties</w:t>
      </w:r>
      <w:r>
        <w:rPr>
          <w:rFonts w:ascii="Times New Roman" w:cs="Times New Roman" w:eastAsia="Times New Roman" w:hAnsi="Times New Roman"/>
          <w:sz w:val="21"/>
          <w:szCs w:val="21"/>
          <w:color w:val="auto"/>
        </w:rPr>
        <w:t>. Borrower and each of its Material Affiliates have good, marketable and legal title to all of the properties and assets each of them purports to own (including, without limitation, those reflected in the financial statements referred to in Sections 4.01(3) and 5.15 and only with exceptions which do not materially detract from the value of such property or assets or the use thereof in Borrower’s and such Affiliate’s businesses, and except to the extent that any such properties and assets have been encumbered or disposed of since the date of such financial statements without violating any of the covenants contained in Article VII or elsewhere in this Agreement) except where failure to comply with the foregoing would not likely result in a Material Adverse Change. Borrower and its Material Affiliates enjoy peaceful and undisturbed possession of all leased property under leases which are valid and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70</w:t>
      </w:r>
    </w:p>
    <w:p>
      <w:pPr>
        <w:sectPr>
          <w:pgSz w:w="11900" w:h="16838" w:orient="portrait"/>
          <w:cols w:equalWidth="0" w:num="1">
            <w:col w:w="11240"/>
          </w:cols>
          <w:pgMar w:left="320" w:top="1382" w:right="339" w:bottom="1440" w:gutter="0" w:footer="0" w:header="0"/>
        </w:sectPr>
      </w:pPr>
    </w:p>
    <w:bookmarkStart w:id="374" w:name="page375"/>
    <w:bookmarkEnd w:id="374"/>
    <w:p>
      <w:pPr>
        <w:jc w:val="both"/>
        <w:spacing w:after="0" w:line="280" w:lineRule="auto"/>
        <w:rPr>
          <w:sz w:val="20"/>
          <w:szCs w:val="20"/>
          <w:color w:val="auto"/>
        </w:rPr>
      </w:pPr>
      <w:r>
        <w:rPr>
          <w:rFonts w:ascii="Times New Roman" w:cs="Times New Roman" w:eastAsia="Times New Roman" w:hAnsi="Times New Roman"/>
          <w:sz w:val="21"/>
          <w:szCs w:val="21"/>
          <w:color w:val="auto"/>
        </w:rPr>
        <w:t>subsisting and are in full force and effect, except to the extent that the failure to be so would not likely result in a Material Adverse Change.</w:t>
      </w:r>
    </w:p>
    <w:p>
      <w:pPr>
        <w:spacing w:after="0" w:line="39"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5.08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Borrower has filed all tax returns (federal, state and local) required to be filed and has paid all taxes, assessments and governmental charges and levies due and payable without the imposition of a penalty, including interest and penalties, except to the extent they are the subject of a Good Faith Contest or where the failure to comply with the foregoing would not likely result in a Material Adverse Change.</w:t>
      </w:r>
    </w:p>
    <w:p>
      <w:pPr>
        <w:spacing w:after="0" w:line="59"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5.09 </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To the knowledge of Borrower, each Plan is in compliance in all material respects with its terms and all applicable provisions of ERISA. Neither a Reportable Event nor a Prohibited Transaction has occurred with respect to any Plan that, assuming the taxable period of the transaction expired as of the date hereof, could subject Borrower, General Partner or any ERISA Affiliate to a tax or penalty imposed under Section 4975 of the Code or Section 502(i) of ERISA in an amount that would reasonably be expected to result in a Material Adverse Change; except as would not likely result in a Material Adverse Change, no Reportable Event has occurred with respect to any Plan within the last six (6) years; except as would not likely result in a Material Adverse Change, no notice of intent to terminate a Plan has been filed nor has any Plan been terminated within the past five (5) years; to the knowledge of Borrower, there are no circumstances which constitute grounds under Section 4042 of ERISA entitling the PBGC to institute proceedings to terminate, or appoint a trustee to administer, a Plan, nor has the PBGC instituted any such proceedings; except as would not likely result in a Material Adverse Change, Borrower, General Partner and the ERISA Affiliates have met the minimum funding requirements of Section 412 of the Code and Section 302 of ERISA with respect to the Plans of each and except as disclosed in the Borrower’s Consolidated Financial Statements there was no Unfunded Current Liability with respect to any Plan established or maintained by each as of the last day of the most recent plan year of each Plan; and except as would not likely result in a Material Adverse Change, Borrower, General Partner and the ERISA Affiliates have not incurred any liability to the PBGC under ERISA (other than for the payment of premiums under Section 4007 of ERISA) which is due and payable for more than 45 days and has not been reserved against. None of the assets of Borrower or General Partner under this Agreement constitute “plan assets” (within the meaning of C.F.R. §2510.3-101, as modified by Section 3(42) of ERISA) of any “employee benefit plan” within the meaning of ERISA or of any “plan” within the meaning of Section 4975(e)(1) of the Code.</w:t>
      </w:r>
    </w:p>
    <w:p>
      <w:pPr>
        <w:spacing w:after="0" w:line="91"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5.10 </w:t>
      </w:r>
      <w:r>
        <w:rPr>
          <w:rFonts w:ascii="Times New Roman" w:cs="Times New Roman" w:eastAsia="Times New Roman" w:hAnsi="Times New Roman"/>
          <w:sz w:val="21"/>
          <w:szCs w:val="21"/>
          <w:u w:val="single" w:color="auto"/>
          <w:color w:val="auto"/>
        </w:rPr>
        <w:t>No Default on Outstanding Judgments or Orders</w:t>
      </w:r>
      <w:r>
        <w:rPr>
          <w:rFonts w:ascii="Times New Roman" w:cs="Times New Roman" w:eastAsia="Times New Roman" w:hAnsi="Times New Roman"/>
          <w:sz w:val="21"/>
          <w:szCs w:val="21"/>
          <w:color w:val="auto"/>
        </w:rPr>
        <w:t>. Borrower has satisfied all judgments which are not being appealed and is not in default with respect to any rule or regulation or any judgment, order, writ, injunction or decree applicable to Borrower, of any court, arbitrator or federal, state, municipal or other Governmental Authority, commission, board, bureau, agency or instrumentality, domestic or foreign, in each case which failure to satisfy or which being in default is likely to result in a Material Adverse Change.</w:t>
      </w:r>
    </w:p>
    <w:p>
      <w:pPr>
        <w:spacing w:after="0" w:line="66"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5.11 </w:t>
      </w:r>
      <w:r>
        <w:rPr>
          <w:rFonts w:ascii="Times New Roman" w:cs="Times New Roman" w:eastAsia="Times New Roman" w:hAnsi="Times New Roman"/>
          <w:sz w:val="21"/>
          <w:szCs w:val="21"/>
          <w:u w:val="single" w:color="auto"/>
          <w:color w:val="auto"/>
        </w:rPr>
        <w:t>No Defaults on Other Agreements</w:t>
      </w:r>
      <w:r>
        <w:rPr>
          <w:rFonts w:ascii="Times New Roman" w:cs="Times New Roman" w:eastAsia="Times New Roman" w:hAnsi="Times New Roman"/>
          <w:sz w:val="21"/>
          <w:szCs w:val="21"/>
          <w:color w:val="auto"/>
        </w:rPr>
        <w:t>. Except as disclosed to the Bank Parties in writing or as disclosed in General Partner’s SEC Reports existing as of the date hereof, Borrower, to the best of its knowledge, is not a party to any indenture, loan or credit agreement or any lease or other agreement or instrument or subject to any partnership, trust or other restriction which is likely to result in a Material Adverse Change. To the best of its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71</w:t>
      </w:r>
    </w:p>
    <w:p>
      <w:pPr>
        <w:sectPr>
          <w:pgSz w:w="11900" w:h="16838" w:orient="portrait"/>
          <w:cols w:equalWidth="0" w:num="1">
            <w:col w:w="11240"/>
          </w:cols>
          <w:pgMar w:left="320" w:top="1382" w:right="339" w:bottom="1440" w:gutter="0" w:footer="0" w:header="0"/>
        </w:sectPr>
      </w:pPr>
    </w:p>
    <w:bookmarkStart w:id="375" w:name="page376"/>
    <w:bookmarkEnd w:id="375"/>
    <w:p>
      <w:pPr>
        <w:jc w:val="both"/>
        <w:spacing w:after="0" w:line="259" w:lineRule="auto"/>
        <w:rPr>
          <w:sz w:val="20"/>
          <w:szCs w:val="20"/>
          <w:color w:val="auto"/>
        </w:rPr>
      </w:pPr>
      <w:r>
        <w:rPr>
          <w:rFonts w:ascii="Times New Roman" w:cs="Times New Roman" w:eastAsia="Times New Roman" w:hAnsi="Times New Roman"/>
          <w:sz w:val="21"/>
          <w:szCs w:val="21"/>
          <w:color w:val="auto"/>
        </w:rPr>
        <w:t>knowledge, Borrower is not in default in any respect in the performance, observance or fulfillment of any of the obligations, covenants or conditions contained in any agreement or instrument which is likely to result in a Material Adverse Change.</w:t>
      </w:r>
    </w:p>
    <w:p>
      <w:pPr>
        <w:spacing w:after="0" w:line="1" w:lineRule="exact"/>
        <w:rPr>
          <w:sz w:val="20"/>
          <w:szCs w:val="20"/>
          <w:color w:val="auto"/>
        </w:rPr>
      </w:pPr>
    </w:p>
    <w:p>
      <w:pPr>
        <w:jc w:val="both"/>
        <w:ind w:firstLine="629"/>
        <w:spacing w:after="0" w:line="269" w:lineRule="auto"/>
        <w:rPr>
          <w:sz w:val="20"/>
          <w:szCs w:val="20"/>
          <w:color w:val="auto"/>
        </w:rPr>
      </w:pPr>
      <w:r>
        <w:rPr>
          <w:rFonts w:ascii="Times New Roman" w:cs="Times New Roman" w:eastAsia="Times New Roman" w:hAnsi="Times New Roman"/>
          <w:sz w:val="21"/>
          <w:szCs w:val="21"/>
          <w:color w:val="auto"/>
        </w:rPr>
        <w:t xml:space="preserve">SECTION 5.12 </w:t>
      </w:r>
      <w:r>
        <w:rPr>
          <w:rFonts w:ascii="Times New Roman" w:cs="Times New Roman" w:eastAsia="Times New Roman" w:hAnsi="Times New Roman"/>
          <w:sz w:val="21"/>
          <w:szCs w:val="21"/>
          <w:u w:val="single" w:color="auto"/>
          <w:color w:val="auto"/>
        </w:rPr>
        <w:t>Government Regulation</w:t>
      </w:r>
      <w:r>
        <w:rPr>
          <w:rFonts w:ascii="Times New Roman" w:cs="Times New Roman" w:eastAsia="Times New Roman" w:hAnsi="Times New Roman"/>
          <w:sz w:val="21"/>
          <w:szCs w:val="21"/>
          <w:color w:val="auto"/>
        </w:rPr>
        <w:t>. Neither Borrower nor General Partner is or is required to be registered as an “investment company”, or subject to regulation, under the Investment Company Act of 1940.</w:t>
      </w:r>
    </w:p>
    <w:p>
      <w:pPr>
        <w:spacing w:after="0" w:line="50"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5.13 </w:t>
      </w:r>
      <w:r>
        <w:rPr>
          <w:rFonts w:ascii="Times New Roman" w:cs="Times New Roman" w:eastAsia="Times New Roman" w:hAnsi="Times New Roman"/>
          <w:sz w:val="21"/>
          <w:szCs w:val="21"/>
          <w:u w:val="single" w:color="auto"/>
          <w:color w:val="auto"/>
        </w:rPr>
        <w:t>Environmental Protection</w:t>
      </w:r>
      <w:r>
        <w:rPr>
          <w:rFonts w:ascii="Times New Roman" w:cs="Times New Roman" w:eastAsia="Times New Roman" w:hAnsi="Times New Roman"/>
          <w:sz w:val="21"/>
          <w:szCs w:val="21"/>
          <w:color w:val="auto"/>
        </w:rPr>
        <w:t>. To Borrower’s knowledge, except as disclosed in General Partner’s SEC Reports existing as of the date hereof, none of Borrower’s or its Affiliates’ properties contains any Hazardous Materials that, under any Environmental Law currently in effect, (1) would impose liability on Borrower that is likely to result in a Material Adverse Change, or (2) is likely to result in the imposition of a Lien on any assets of Borrower or any Material Affiliates that is likely to result in a Material Adverse Change. To Borrower’s knowledge, neither it nor any Material Affiliates are in violation of, or subject to any existing, pending or threatened investigation or proceeding by any Governmental Authority under any Environmental Law that is likely to result in a Material Adverse Change.</w:t>
      </w:r>
    </w:p>
    <w:p>
      <w:pPr>
        <w:spacing w:after="0" w:line="6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5.14 </w:t>
      </w:r>
      <w:r>
        <w:rPr>
          <w:rFonts w:ascii="Times New Roman" w:cs="Times New Roman" w:eastAsia="Times New Roman" w:hAnsi="Times New Roman"/>
          <w:sz w:val="21"/>
          <w:szCs w:val="21"/>
          <w:u w:val="single" w:color="auto"/>
          <w:color w:val="auto"/>
        </w:rPr>
        <w:t>Solvency</w:t>
      </w:r>
      <w:r>
        <w:rPr>
          <w:rFonts w:ascii="Times New Roman" w:cs="Times New Roman" w:eastAsia="Times New Roman" w:hAnsi="Times New Roman"/>
          <w:sz w:val="21"/>
          <w:szCs w:val="21"/>
          <w:color w:val="auto"/>
        </w:rPr>
        <w:t>. Borrower is, and upon consummation of the transactions contemplated by this Agreement, the other Loan Documents and any other documents, instruments or agreements relating thereto, will be, Solvent.</w:t>
      </w:r>
    </w:p>
    <w:p>
      <w:pPr>
        <w:spacing w:after="0" w:line="39"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21"/>
          <w:szCs w:val="21"/>
          <w:color w:val="auto"/>
        </w:rPr>
        <w:t xml:space="preserve">SECTION 5.15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Borrower’s Consolidated Financial Statements most recently delivered to the Banks prior to the date of this Agreement are in all material respects complete and fairly present the financial condition and results of operations of the subjects thereof as of the dates of and for the periods covered by such statements, all in accordance with GAAP. There has been no Material Adverse Change since the date of such most recently delivered Borrower’s Consolidated Financial Statements or if any of Borrower’s Consolidated Financial Statements have been delivered pursuant to Section 6.09(1) or (2) subsequent to the date of this Agreement, there has been no Material Adverse Change since the date of Borrower’s Consolidated Financial Statements most recently delivered pursuant to one of such sections.</w:t>
      </w:r>
    </w:p>
    <w:p>
      <w:pPr>
        <w:spacing w:after="0" w:line="63"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5.16 </w:t>
      </w:r>
      <w:r>
        <w:rPr>
          <w:rFonts w:ascii="Times New Roman" w:cs="Times New Roman" w:eastAsia="Times New Roman" w:hAnsi="Times New Roman"/>
          <w:sz w:val="21"/>
          <w:szCs w:val="21"/>
          <w:u w:val="single" w:color="auto"/>
          <w:color w:val="auto"/>
        </w:rPr>
        <w:t>Valid Existence of Affiliates</w:t>
      </w:r>
      <w:r>
        <w:rPr>
          <w:rFonts w:ascii="Times New Roman" w:cs="Times New Roman" w:eastAsia="Times New Roman" w:hAnsi="Times New Roman"/>
          <w:sz w:val="21"/>
          <w:szCs w:val="21"/>
          <w:color w:val="auto"/>
        </w:rPr>
        <w:t>. Each Material Affiliate is an entity duly organized and existing in good standing under the laws of the jurisdiction of its formation. As to each Material Affiliate, its correct name, the jurisdiction of its formation, Borrower’s direct or indirect percentage of beneficial interest therein, and the type of business in which it is primarily engaged, are set forth on EXHIBIT F. Borrower and each of its Material Affiliates have the power to own their respective properties and to carry on their respective businesses now being conducted. Each Material Affiliate is duly qualified as a foreign corporation to do business and is in good standing in every jurisdiction in which the nature of the respective businesses conducted by it or its respective properties, owned or held under lease, make such qualification necessary and where the failure to be so qualified would likely cause a Material Adverse Change to occur.</w:t>
      </w:r>
    </w:p>
    <w:p>
      <w:pPr>
        <w:spacing w:after="0" w:line="7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 xml:space="preserve">SECTION 5.17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Each of Borrower and each of its Material Affiliates has in force paid insurance with financially sound and reputable insurance companies or associations in such amounts and covering such risks as are usually carried by companies engaged in the same or a similar business and similarly situated.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72</w:t>
      </w:r>
    </w:p>
    <w:p>
      <w:pPr>
        <w:sectPr>
          <w:pgSz w:w="11900" w:h="16838" w:orient="portrait"/>
          <w:cols w:equalWidth="0" w:num="1">
            <w:col w:w="11240"/>
          </w:cols>
          <w:pgMar w:left="320" w:top="1382" w:right="339" w:bottom="1440" w:gutter="0" w:footer="0" w:header="0"/>
        </w:sectPr>
      </w:pPr>
    </w:p>
    <w:bookmarkStart w:id="376" w:name="page377"/>
    <w:bookmarkEnd w:id="376"/>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5.18 </w:t>
      </w:r>
      <w:r>
        <w:rPr>
          <w:rFonts w:ascii="Times New Roman" w:cs="Times New Roman" w:eastAsia="Times New Roman" w:hAnsi="Times New Roman"/>
          <w:sz w:val="21"/>
          <w:szCs w:val="21"/>
          <w:u w:val="single" w:color="auto"/>
          <w:color w:val="auto"/>
        </w:rPr>
        <w:t>Accuracy of Information; Full Disclosure</w:t>
      </w:r>
      <w:r>
        <w:rPr>
          <w:rFonts w:ascii="Times New Roman" w:cs="Times New Roman" w:eastAsia="Times New Roman" w:hAnsi="Times New Roman"/>
          <w:sz w:val="21"/>
          <w:szCs w:val="21"/>
          <w:color w:val="auto"/>
        </w:rPr>
        <w:t>. (a) Neither this Agreement nor any documents, financial statements, reports, notices, schedules, certificates, statements or other writings furnished by or on behalf of Borrower to Administrative Agent or any Bank in connection with the negotiation of this Agreement or the consummation of the transactions contemplated hereby, required herein to be furnished by or on behalf of Borrower (other than projections which are made by Borrower in good faith) or certified as being true and correct by or on behalf of the Borrower to the Administrative Agent or any Bank in connection with the negotiation of this Agreement or delivered hereunder (as modified or supplemented by other information so certified) contains any untrue statement of a material fact or omits to state any material fact necessary to make the statements herein or therein, in the light of the circumstances under which they were made, not misleading in any material respect; provided that, with respect to projected financial information, the Borrower represents only that such information was prepared in good faith based upon assumptions believed to be reasonable at the time. There is no fact which Borrower has not disclosed to Administrative Agent and the Banks in writing or that is not included in General Partner’s SEC Reports that materially affects adversely or, so far as Borrower can now reasonably foresee, will materially affect adversely the business or financial condition of Borrower or the ability of Borrower to perform this Agreement and the other Loan Documents.</w:t>
      </w:r>
    </w:p>
    <w:p>
      <w:pPr>
        <w:spacing w:after="0" w:line="44" w:lineRule="exact"/>
        <w:rPr>
          <w:sz w:val="20"/>
          <w:szCs w:val="20"/>
          <w:color w:val="auto"/>
        </w:rPr>
      </w:pPr>
    </w:p>
    <w:p>
      <w:pPr>
        <w:jc w:val="both"/>
        <w:ind w:firstLine="634"/>
        <w:spacing w:after="0" w:line="229" w:lineRule="auto"/>
        <w:tabs>
          <w:tab w:leader="none" w:pos="1253"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Closing Date, to the best knowledge of the Borrower, the information included in the Beneficial Ownership Certification provided on or prior to the Closing Date (if any) to any Bank in connection with this Agreement is true and correct in all respects.</w:t>
      </w:r>
    </w:p>
    <w:p>
      <w:pPr>
        <w:spacing w:after="0" w:line="173"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5.19 </w:t>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All proceeds of the Loans will be used by Borrower for any purpose permitted by law, including, without limitation, working capital and other general corporate purposes. Neither the making of any Loan nor the use of the proceeds thereof nor any other extension of credit hereunder will violate the provisions of Regulations T, U, or X of the Federal Reserve Board. None of the General Partner, the Borrower or their Subsidiaries is engaged principally or as one of its important activities in the business of extending credit for the purposes of “purchasing” or “carrying” any “margin stock” within the respective meanings of such terms under Regulations T, U and X of the Federal Reserve Board.</w:t>
      </w:r>
    </w:p>
    <w:p>
      <w:pPr>
        <w:spacing w:after="0" w:line="79"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5.20 </w:t>
      </w:r>
      <w:r>
        <w:rPr>
          <w:rFonts w:ascii="Times New Roman" w:cs="Times New Roman" w:eastAsia="Times New Roman" w:hAnsi="Times New Roman"/>
          <w:sz w:val="21"/>
          <w:szCs w:val="21"/>
          <w:u w:val="single" w:color="auto"/>
          <w:color w:val="auto"/>
        </w:rPr>
        <w:t>Governmental Approvals</w:t>
      </w:r>
      <w:r>
        <w:rPr>
          <w:rFonts w:ascii="Times New Roman" w:cs="Times New Roman" w:eastAsia="Times New Roman" w:hAnsi="Times New Roman"/>
          <w:sz w:val="21"/>
          <w:szCs w:val="21"/>
          <w:color w:val="auto"/>
        </w:rPr>
        <w:t>. No order, consent, approval, license, authorization, or validation of, or filing, recording or registration with, or exemption by, any governmental or public body or authority, or any subdivision thereof, is required to authorize, or is required in connection with the execution, delivery and performance of any Loan Document or the consummation of any of the transactions contemplated thereby other than those that have already been duly made or obtained and remain in full force and effect or those which, if not made or obtained, would not likely result in a Material Adverse Change and those which will be made in due course as SEC disclosure filings.</w:t>
      </w:r>
    </w:p>
    <w:p>
      <w:pPr>
        <w:spacing w:after="0" w:line="66"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5.21 </w:t>
      </w:r>
      <w:r>
        <w:rPr>
          <w:rFonts w:ascii="Times New Roman" w:cs="Times New Roman" w:eastAsia="Times New Roman" w:hAnsi="Times New Roman"/>
          <w:sz w:val="21"/>
          <w:szCs w:val="21"/>
          <w:u w:val="single" w:color="auto"/>
          <w:color w:val="auto"/>
        </w:rPr>
        <w:t>Principal Offices</w:t>
      </w:r>
      <w:r>
        <w:rPr>
          <w:rFonts w:ascii="Times New Roman" w:cs="Times New Roman" w:eastAsia="Times New Roman" w:hAnsi="Times New Roman"/>
          <w:sz w:val="21"/>
          <w:szCs w:val="21"/>
          <w:color w:val="auto"/>
        </w:rPr>
        <w:t>. As of the Execution Date, the principal office, chief executive office and principal place of business of Borrower is 888 Seventh Avenue, New York, New York 10106.</w:t>
      </w:r>
    </w:p>
    <w:p>
      <w:pPr>
        <w:spacing w:after="0" w:line="39"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5.22</w:t>
      </w:r>
      <w:r>
        <w:rPr>
          <w:sz w:val="20"/>
          <w:szCs w:val="20"/>
          <w:color w:val="auto"/>
        </w:rPr>
        <w:tab/>
      </w:r>
      <w:r>
        <w:rPr>
          <w:rFonts w:ascii="Times New Roman" w:cs="Times New Roman" w:eastAsia="Times New Roman" w:hAnsi="Times New Roman"/>
          <w:sz w:val="21"/>
          <w:szCs w:val="21"/>
          <w:u w:val="single" w:color="auto"/>
          <w:color w:val="auto"/>
        </w:rPr>
        <w:t>General Partner Status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73</w:t>
      </w:r>
    </w:p>
    <w:p>
      <w:pPr>
        <w:sectPr>
          <w:pgSz w:w="11900" w:h="16838" w:orient="portrait"/>
          <w:cols w:equalWidth="0" w:num="1">
            <w:col w:w="11240"/>
          </w:cols>
          <w:pgMar w:left="320" w:top="1382" w:right="339" w:bottom="1440" w:gutter="0" w:footer="0" w:header="0"/>
        </w:sectPr>
      </w:pPr>
    </w:p>
    <w:bookmarkStart w:id="377" w:name="page378"/>
    <w:bookmarkEnd w:id="377"/>
    <w:p>
      <w:pPr>
        <w:ind w:left="1880" w:hanging="618"/>
        <w:spacing w:after="0"/>
        <w:tabs>
          <w:tab w:leader="none" w:pos="1880"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 Partner is qualified and General Partner intends to continue to qualify as a REIT.</w:t>
      </w:r>
    </w:p>
    <w:p>
      <w:pPr>
        <w:spacing w:after="0" w:line="72" w:lineRule="exact"/>
        <w:rPr>
          <w:rFonts w:ascii="Times New Roman" w:cs="Times New Roman" w:eastAsia="Times New Roman" w:hAnsi="Times New Roman"/>
          <w:sz w:val="21"/>
          <w:szCs w:val="21"/>
          <w:color w:val="auto"/>
        </w:rPr>
      </w:pPr>
    </w:p>
    <w:p>
      <w:pPr>
        <w:ind w:left="640" w:firstLine="622"/>
        <w:spacing w:after="0" w:line="241" w:lineRule="auto"/>
        <w:tabs>
          <w:tab w:leader="none" w:pos="1893"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of the date hereof, the General Partner owns no assets other than ownership interests in Borrower or as disclosed on </w:t>
      </w:r>
      <w:r>
        <w:rPr>
          <w:rFonts w:ascii="Times New Roman" w:cs="Times New Roman" w:eastAsia="Times New Roman" w:hAnsi="Times New Roman"/>
          <w:sz w:val="21"/>
          <w:szCs w:val="21"/>
          <w:u w:val="single" w:color="auto"/>
          <w:color w:val="auto"/>
        </w:rPr>
        <w:t>Schedule 2A</w:t>
      </w:r>
      <w:r>
        <w:rPr>
          <w:rFonts w:ascii="Times New Roman" w:cs="Times New Roman" w:eastAsia="Times New Roman" w:hAnsi="Times New Roman"/>
          <w:sz w:val="21"/>
          <w:szCs w:val="21"/>
          <w:color w:val="auto"/>
        </w:rPr>
        <w:t xml:space="preserve"> attached hereto.</w:t>
      </w:r>
    </w:p>
    <w:p>
      <w:pPr>
        <w:spacing w:after="0" w:line="143" w:lineRule="exact"/>
        <w:rPr>
          <w:rFonts w:ascii="Times New Roman" w:cs="Times New Roman" w:eastAsia="Times New Roman" w:hAnsi="Times New Roman"/>
          <w:sz w:val="21"/>
          <w:szCs w:val="21"/>
          <w:color w:val="auto"/>
        </w:rPr>
      </w:pPr>
    </w:p>
    <w:p>
      <w:pPr>
        <w:ind w:left="640" w:firstLine="622"/>
        <w:spacing w:after="0" w:line="241" w:lineRule="auto"/>
        <w:tabs>
          <w:tab w:leader="none" w:pos="1893"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General Partner is neither the borrower nor guarantor of any Debt except as disclosed on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attached hereto.</w:t>
      </w:r>
    </w:p>
    <w:p>
      <w:pPr>
        <w:spacing w:after="0" w:line="170"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5.23 </w:t>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 Except for collective bargaining agreements disclosed on EXHIBIT G and Multiemployer Plans named in such collective bargaining agreements, (i) as of the date hereof, there are no collective bargaining agreements or Multiemployer Plans covering the employees of Borrower, General Partner, or any ERISA Affiliate and (ii) neither Borrower, General Partner, nor any ERISA Affiliate has suffered any strikes, walkouts, work stoppages or other material labor difficulty within the last five years which would likely result in a Material Adverse Change.</w:t>
      </w:r>
    </w:p>
    <w:p>
      <w:pPr>
        <w:spacing w:after="0" w:line="6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5.24 </w:t>
      </w:r>
      <w:r>
        <w:rPr>
          <w:rFonts w:ascii="Times New Roman" w:cs="Times New Roman" w:eastAsia="Times New Roman" w:hAnsi="Times New Roman"/>
          <w:sz w:val="21"/>
          <w:szCs w:val="21"/>
          <w:u w:val="single" w:color="auto"/>
          <w:color w:val="auto"/>
        </w:rPr>
        <w:t>Organizational Documents</w:t>
      </w:r>
      <w:r>
        <w:rPr>
          <w:rFonts w:ascii="Times New Roman" w:cs="Times New Roman" w:eastAsia="Times New Roman" w:hAnsi="Times New Roman"/>
          <w:sz w:val="21"/>
          <w:szCs w:val="21"/>
          <w:color w:val="auto"/>
        </w:rPr>
        <w:t>. The documents delivered pursuant to Section 4.01(4) and (5) constitute, as of the Execution Date, all of the organizational documents of the Borrower and General Partner. Borrower represents that it has delivered to Administrative Agent true, correct and complete copies of each such documents. General Partner is the general partner of the Borrower. General Partner holds (directly or indirectly) not less than ninety percent (90%) of the ownership interests in Borrower as of the Execution Date.</w:t>
      </w:r>
    </w:p>
    <w:p>
      <w:pPr>
        <w:spacing w:after="0" w:line="64"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5.25 </w:t>
      </w:r>
      <w:r>
        <w:rPr>
          <w:rFonts w:ascii="Times New Roman" w:cs="Times New Roman" w:eastAsia="Times New Roman" w:hAnsi="Times New Roman"/>
          <w:sz w:val="21"/>
          <w:szCs w:val="21"/>
          <w:u w:val="single" w:color="auto"/>
          <w:color w:val="auto"/>
        </w:rPr>
        <w:t>Anti-Corruption Laws and Sanctions</w:t>
      </w:r>
      <w:r>
        <w:rPr>
          <w:rFonts w:ascii="Times New Roman" w:cs="Times New Roman" w:eastAsia="Times New Roman" w:hAnsi="Times New Roman"/>
          <w:sz w:val="21"/>
          <w:szCs w:val="21"/>
          <w:color w:val="auto"/>
        </w:rPr>
        <w:t>. The Borrower has implemented and maintains in effect policies and procedures designed to attain compliance by the General Partner, the Borrower, its Subsidiaries and their respective directors, trustees, officers, employees and agents with Anti-Corruption Laws and applicable Sanctions, and the Borrower, its Subsidiaries and their respective directors, officers and employees and to the knowledge of the Borrower its agents, are in compliance with Anti-Corruption Laws and applicable Sanctions in all material respects. None of (a) the General Partner, the Borrower, any Subsidiary or any of their respective directors, trustees, officers or employees, or (b) to the knowledge of the Borrower, any agent of the Borrower or any Subsidiary that will act in any capacity in connection with or benefit from the credit facility established hereby, is a Sanctioned Person. No Loan or Letter of Credit, use of proceeds or other transaction contemplated by this Agreement will violate any Anti-Corruption Law or applicable Sanctions.</w:t>
      </w:r>
    </w:p>
    <w:p>
      <w:pPr>
        <w:spacing w:after="0" w:line="80"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5.26 </w:t>
      </w:r>
      <w:r>
        <w:rPr>
          <w:rFonts w:ascii="Times New Roman" w:cs="Times New Roman" w:eastAsia="Times New Roman" w:hAnsi="Times New Roman"/>
          <w:sz w:val="21"/>
          <w:szCs w:val="21"/>
          <w:u w:val="single" w:color="auto"/>
          <w:color w:val="auto"/>
        </w:rPr>
        <w:t>Affected Financial Institutions</w:t>
      </w:r>
      <w:r>
        <w:rPr>
          <w:rFonts w:ascii="Times New Roman" w:cs="Times New Roman" w:eastAsia="Times New Roman" w:hAnsi="Times New Roman"/>
          <w:sz w:val="21"/>
          <w:szCs w:val="21"/>
          <w:color w:val="auto"/>
        </w:rPr>
        <w:t>. Neither Borrower nor any of its Subsidiaries is an Affected Financial Institution.</w:t>
      </w:r>
    </w:p>
    <w:p>
      <w:pPr>
        <w:spacing w:after="0" w:line="39"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u w:val="single" w:color="auto"/>
          <w:color w:val="0E32E1"/>
        </w:rPr>
        <w:t>SECTION 5.27 Outbound Investment Rules.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Bank to be in violation of</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74</w:t>
      </w:r>
    </w:p>
    <w:p>
      <w:pPr>
        <w:sectPr>
          <w:pgSz w:w="11900" w:h="16838" w:orient="portrait"/>
          <w:cols w:equalWidth="0" w:num="1">
            <w:col w:w="11240"/>
          </w:cols>
          <w:pgMar w:left="320" w:top="1356" w:right="339" w:bottom="1440" w:gutter="0" w:footer="0" w:header="0"/>
        </w:sectPr>
      </w:pPr>
    </w:p>
    <w:bookmarkStart w:id="378" w:name="page379"/>
    <w:bookmarkEnd w:id="378"/>
    <w:p>
      <w:pPr>
        <w:jc w:val="both"/>
        <w:spacing w:after="0" w:line="246" w:lineRule="auto"/>
        <w:rPr>
          <w:sz w:val="20"/>
          <w:szCs w:val="20"/>
          <w:color w:val="auto"/>
        </w:rPr>
      </w:pPr>
      <w:r>
        <w:rPr>
          <w:rFonts w:ascii="Times New Roman" w:cs="Times New Roman" w:eastAsia="Times New Roman" w:hAnsi="Times New Roman"/>
          <w:sz w:val="21"/>
          <w:szCs w:val="21"/>
          <w:u w:val="single" w:color="auto"/>
          <w:color w:val="0E32E1"/>
        </w:rPr>
        <w:t>the Outbound Investment Rules or cause the Administrative Agent or any Bank to be legally prohibited by the Outbound Investment Rules from performing under this Agreement.</w:t>
      </w:r>
    </w:p>
    <w:p>
      <w:pPr>
        <w:spacing w:after="0" w:line="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VI</w:t>
      </w:r>
    </w:p>
    <w:p>
      <w:pPr>
        <w:spacing w:after="0" w:line="15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AFFIRMATIVE COVENANTS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So long as any of the Loans shall remain unpaid or the Loan Commitments remain in effect, or any other amount is owing by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Borrower to any Bank hereunder or under any other Loan Document or any Letter of Credit remains outstanding, Borrower shall:</w:t>
      </w:r>
    </w:p>
    <w:p>
      <w:pPr>
        <w:spacing w:after="0" w:line="20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 xml:space="preserve">SECTION 6.01 </w:t>
      </w:r>
      <w:r>
        <w:rPr>
          <w:rFonts w:ascii="Times New Roman" w:cs="Times New Roman" w:eastAsia="Times New Roman" w:hAnsi="Times New Roman"/>
          <w:sz w:val="21"/>
          <w:szCs w:val="21"/>
          <w:u w:val="single" w:color="auto"/>
          <w:color w:val="auto"/>
        </w:rPr>
        <w:t>Maintenance of Existence</w:t>
      </w:r>
      <w:r>
        <w:rPr>
          <w:rFonts w:ascii="Times New Roman" w:cs="Times New Roman" w:eastAsia="Times New Roman" w:hAnsi="Times New Roman"/>
          <w:sz w:val="21"/>
          <w:szCs w:val="21"/>
          <w:color w:val="auto"/>
        </w:rPr>
        <w:t>. Preserve and maintain its legal existence and, if applicable, good standing in its jurisdiction of organization and, if applicable, qualify and remain qualified as a foreign entity in each jurisdiction in which such qualification is required, except to the extent that failure to so qualify would not likely result in a Material Adverse Change.</w:t>
      </w:r>
    </w:p>
    <w:p>
      <w:pPr>
        <w:spacing w:after="0" w:line="58"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 xml:space="preserve">SECTION 6.02 </w:t>
      </w:r>
      <w:r>
        <w:rPr>
          <w:rFonts w:ascii="Times New Roman" w:cs="Times New Roman" w:eastAsia="Times New Roman" w:hAnsi="Times New Roman"/>
          <w:sz w:val="21"/>
          <w:szCs w:val="21"/>
          <w:u w:val="single" w:color="auto"/>
          <w:color w:val="auto"/>
        </w:rPr>
        <w:t>Maintenance of Records</w:t>
      </w:r>
      <w:r>
        <w:rPr>
          <w:rFonts w:ascii="Times New Roman" w:cs="Times New Roman" w:eastAsia="Times New Roman" w:hAnsi="Times New Roman"/>
          <w:sz w:val="21"/>
          <w:szCs w:val="21"/>
          <w:color w:val="auto"/>
        </w:rPr>
        <w:t>. Keep adequate records and books of account, in which entries will be made in accordance with GAAP in all material respects, except as disclosed in Borrower’s financial statements.</w:t>
      </w:r>
    </w:p>
    <w:p>
      <w:pPr>
        <w:spacing w:after="0" w:line="26"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6.03 </w:t>
      </w:r>
      <w:r>
        <w:rPr>
          <w:rFonts w:ascii="Times New Roman" w:cs="Times New Roman" w:eastAsia="Times New Roman" w:hAnsi="Times New Roman"/>
          <w:sz w:val="21"/>
          <w:szCs w:val="21"/>
          <w:u w:val="single" w:color="auto"/>
          <w:color w:val="auto"/>
        </w:rPr>
        <w:t>Maintenance of Insurance</w:t>
      </w:r>
      <w:r>
        <w:rPr>
          <w:rFonts w:ascii="Times New Roman" w:cs="Times New Roman" w:eastAsia="Times New Roman" w:hAnsi="Times New Roman"/>
          <w:sz w:val="21"/>
          <w:szCs w:val="21"/>
          <w:color w:val="auto"/>
        </w:rPr>
        <w:t>. At all times, maintain and keep in force, and cause each of its Material Affiliates to maintain and keep in force, insurance with financially sound and reputable insurance companies or associations in such amounts and covering such risks as are usually carried by companies engaged in the same or a similar business and similarly situated, which insurance may provide for reasonable deductibles from coverage thereof.</w:t>
      </w:r>
    </w:p>
    <w:p>
      <w:pPr>
        <w:spacing w:after="0" w:line="62" w:lineRule="exact"/>
        <w:rPr>
          <w:sz w:val="20"/>
          <w:szCs w:val="20"/>
          <w:color w:val="auto"/>
        </w:rPr>
      </w:pPr>
    </w:p>
    <w:p>
      <w:pPr>
        <w:jc w:val="both"/>
        <w:ind w:firstLine="629"/>
        <w:spacing w:after="0" w:line="257" w:lineRule="auto"/>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u w:val="single" w:color="auto"/>
          <w:color w:val="auto"/>
        </w:rPr>
        <w:t>Compliance with Laws: Payment of Taxes</w:t>
      </w:r>
      <w:r>
        <w:rPr>
          <w:rFonts w:ascii="Times New Roman" w:cs="Times New Roman" w:eastAsia="Times New Roman" w:hAnsi="Times New Roman"/>
          <w:sz w:val="21"/>
          <w:szCs w:val="21"/>
          <w:color w:val="auto"/>
        </w:rPr>
        <w:t>. Comply in all material respects with all Laws applicable to it or to any of its properties or any part thereof, such compliance to include, without limitation, paying before the same become delinquent all taxes, assessments and governmental charges imposed upon it or upon any of its property, except to the extent they are the subject of a Good Faith Contest or the failure to so comply would not cause a Material Adverse Change. The Borrower will maintain in effect and enforce policies and procedures designed to attain compliance by the General Partner, the Borrower, its Subsidiaries and their respective directors, trustees, officers, employees and agents with Anti-Corruption Laws and applicable Sanctions.</w:t>
      </w:r>
    </w:p>
    <w:p>
      <w:pPr>
        <w:spacing w:after="0" w:line="322"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6.05 </w:t>
      </w:r>
      <w:r>
        <w:rPr>
          <w:rFonts w:ascii="Times New Roman" w:cs="Times New Roman" w:eastAsia="Times New Roman" w:hAnsi="Times New Roman"/>
          <w:sz w:val="21"/>
          <w:szCs w:val="21"/>
          <w:u w:val="single" w:color="auto"/>
          <w:color w:val="auto"/>
        </w:rPr>
        <w:t>Right of Inspection</w:t>
      </w:r>
      <w:r>
        <w:rPr>
          <w:rFonts w:ascii="Times New Roman" w:cs="Times New Roman" w:eastAsia="Times New Roman" w:hAnsi="Times New Roman"/>
          <w:sz w:val="21"/>
          <w:szCs w:val="21"/>
          <w:color w:val="auto"/>
        </w:rPr>
        <w:t>. At any reasonable time and from time to time upon reasonable notice, but not more frequently than twice in any 12-month period provided that no Event of Default shall have occurred and be continuing, permit Administrative Agent or any Bank or any agent or representative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Borrower’s request, Administrative Agent or such Bank, or such representative, must be accompanied by a representative of Borrower), to examine and make copies and abstracts from the records and books of account of, and visit the properties of, Borrower and to discuss the affairs, finances and accounts of Borrower with the independent accountants of Borrower. The request by any Bank or agent or representative thereof for such an inspection shall be made to the Administrative Agent and the Administrative Agent promptly shall notify all the Banks of such request (or if the Administrative Agent shall have requested the same on its behalf, the Administrative Agent shall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75</w:t>
      </w:r>
    </w:p>
    <w:p>
      <w:pPr>
        <w:sectPr>
          <w:pgSz w:w="11900" w:h="16838" w:orient="portrait"/>
          <w:cols w:equalWidth="0" w:num="1">
            <w:col w:w="11240"/>
          </w:cols>
          <w:pgMar w:left="320" w:top="1383" w:right="339" w:bottom="1440" w:gutter="0" w:footer="0" w:header="0"/>
        </w:sectPr>
      </w:pPr>
    </w:p>
    <w:bookmarkStart w:id="379" w:name="page380"/>
    <w:bookmarkEnd w:id="379"/>
    <w:p>
      <w:pPr>
        <w:jc w:val="both"/>
        <w:spacing w:after="0" w:line="280" w:lineRule="auto"/>
        <w:rPr>
          <w:sz w:val="20"/>
          <w:szCs w:val="20"/>
          <w:color w:val="auto"/>
        </w:rPr>
      </w:pPr>
      <w:r>
        <w:rPr>
          <w:rFonts w:ascii="Times New Roman" w:cs="Times New Roman" w:eastAsia="Times New Roman" w:hAnsi="Times New Roman"/>
          <w:sz w:val="21"/>
          <w:szCs w:val="21"/>
          <w:color w:val="auto"/>
        </w:rPr>
        <w:t>notify all the Banks thereof) and any Bank that shall so desire may accompany Administrative Agent or such Bank, or such representative on such examination.</w:t>
      </w:r>
    </w:p>
    <w:p>
      <w:pPr>
        <w:spacing w:after="0" w:line="39"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 xml:space="preserve">SECTION 6.06 </w:t>
      </w:r>
      <w:r>
        <w:rPr>
          <w:rFonts w:ascii="Times New Roman" w:cs="Times New Roman" w:eastAsia="Times New Roman" w:hAnsi="Times New Roman"/>
          <w:sz w:val="21"/>
          <w:szCs w:val="21"/>
          <w:u w:val="single" w:color="auto"/>
          <w:color w:val="auto"/>
        </w:rPr>
        <w:t>Compliance With Environmental Laws</w:t>
      </w:r>
      <w:r>
        <w:rPr>
          <w:rFonts w:ascii="Times New Roman" w:cs="Times New Roman" w:eastAsia="Times New Roman" w:hAnsi="Times New Roman"/>
          <w:sz w:val="21"/>
          <w:szCs w:val="21"/>
          <w:color w:val="auto"/>
        </w:rPr>
        <w:t>. Comply in all material respects with all applicable Environmental Laws and immediately pay or cause to be paid all costs and expenses incurred in connection with such compliance, except to the extent there is a Good Faith Contest or the failure to so comply would not likely cause a Material Adverse Change.</w:t>
      </w:r>
    </w:p>
    <w:p>
      <w:pPr>
        <w:spacing w:after="0" w:line="49"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6.07</w:t>
      </w:r>
      <w:r>
        <w:rPr>
          <w:sz w:val="20"/>
          <w:szCs w:val="20"/>
          <w:color w:val="auto"/>
        </w:rPr>
        <w:tab/>
      </w:r>
      <w:r>
        <w:rPr>
          <w:rFonts w:ascii="Times New Roman" w:cs="Times New Roman" w:eastAsia="Times New Roman" w:hAnsi="Times New Roman"/>
          <w:sz w:val="20"/>
          <w:szCs w:val="20"/>
          <w:u w:val="single" w:color="auto"/>
          <w:color w:val="auto"/>
        </w:rPr>
        <w:t>Payment of Costs</w:t>
      </w:r>
      <w:r>
        <w:rPr>
          <w:rFonts w:ascii="Times New Roman" w:cs="Times New Roman" w:eastAsia="Times New Roman" w:hAnsi="Times New Roman"/>
          <w:sz w:val="20"/>
          <w:szCs w:val="20"/>
          <w:color w:val="auto"/>
        </w:rPr>
        <w:t>. Pay all fees and expenses of the Administrative Agent required by this Agreement.</w:t>
      </w:r>
    </w:p>
    <w:p>
      <w:pPr>
        <w:spacing w:after="0" w:line="11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 xml:space="preserve">SECTION 6.08 </w:t>
      </w:r>
      <w:r>
        <w:rPr>
          <w:rFonts w:ascii="Times New Roman" w:cs="Times New Roman" w:eastAsia="Times New Roman" w:hAnsi="Times New Roman"/>
          <w:sz w:val="21"/>
          <w:szCs w:val="21"/>
          <w:u w:val="single" w:color="auto"/>
          <w:color w:val="auto"/>
        </w:rPr>
        <w:t>Maintenance of Properties</w:t>
      </w:r>
      <w:r>
        <w:rPr>
          <w:rFonts w:ascii="Times New Roman" w:cs="Times New Roman" w:eastAsia="Times New Roman" w:hAnsi="Times New Roman"/>
          <w:sz w:val="21"/>
          <w:szCs w:val="21"/>
          <w:color w:val="auto"/>
        </w:rPr>
        <w:t>. Do all things reasonably necessary to maintain, preserve, protect and keep its and its Affiliates’ properties in good repair, working order and condition except where the failure to do so would not result in a Material Adverse Change.</w:t>
      </w:r>
    </w:p>
    <w:p>
      <w:pPr>
        <w:spacing w:after="0" w:line="49"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6.09 </w:t>
      </w:r>
      <w:r>
        <w:rPr>
          <w:rFonts w:ascii="Times New Roman" w:cs="Times New Roman" w:eastAsia="Times New Roman" w:hAnsi="Times New Roman"/>
          <w:sz w:val="21"/>
          <w:szCs w:val="21"/>
          <w:u w:val="single" w:color="auto"/>
          <w:color w:val="auto"/>
        </w:rPr>
        <w:t>Reporting and Miscellaneous Document Requirements</w:t>
      </w:r>
      <w:r>
        <w:rPr>
          <w:rFonts w:ascii="Times New Roman" w:cs="Times New Roman" w:eastAsia="Times New Roman" w:hAnsi="Times New Roman"/>
          <w:sz w:val="21"/>
          <w:szCs w:val="21"/>
          <w:color w:val="auto"/>
        </w:rPr>
        <w:t>. Furnish to Administrative Agent (which shall promptly distribute to each of the Banks):</w:t>
      </w:r>
    </w:p>
    <w:p>
      <w:pPr>
        <w:spacing w:after="0" w:line="39" w:lineRule="exact"/>
        <w:rPr>
          <w:sz w:val="20"/>
          <w:szCs w:val="20"/>
          <w:color w:val="auto"/>
        </w:rPr>
      </w:pPr>
    </w:p>
    <w:p>
      <w:pPr>
        <w:jc w:val="both"/>
        <w:ind w:left="640" w:firstLine="622"/>
        <w:spacing w:after="0" w:line="258" w:lineRule="auto"/>
        <w:tabs>
          <w:tab w:leader="none" w:pos="1893"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Financial Statements</w:t>
      </w:r>
      <w:r>
        <w:rPr>
          <w:rFonts w:ascii="Times New Roman" w:cs="Times New Roman" w:eastAsia="Times New Roman" w:hAnsi="Times New Roman"/>
          <w:sz w:val="21"/>
          <w:szCs w:val="21"/>
          <w:color w:val="auto"/>
        </w:rPr>
        <w:t>. As soon as available and in any event within ninety-five (95) days after the end of each Fiscal Year, commencing with the Fiscal Year ended December 31, 2024, the Borrower’s Consolidated Financial Statements as of the end of and for such Fiscal Year, audited by Borrower’s Accountants; provided, however, that such Consolidated Financial Statements need not be separately furnished to Administrative Agent if they are publicly filed and available prior to the end of such 95-day period as part of the annual form 10-K filings with the SEC of Borrower;</w:t>
      </w:r>
    </w:p>
    <w:p>
      <w:pPr>
        <w:spacing w:after="0" w:line="64" w:lineRule="exact"/>
        <w:rPr>
          <w:rFonts w:ascii="Times New Roman" w:cs="Times New Roman" w:eastAsia="Times New Roman" w:hAnsi="Times New Roman"/>
          <w:sz w:val="21"/>
          <w:szCs w:val="21"/>
          <w:color w:val="auto"/>
        </w:rPr>
      </w:pPr>
    </w:p>
    <w:p>
      <w:pPr>
        <w:jc w:val="both"/>
        <w:ind w:left="640" w:firstLine="622"/>
        <w:spacing w:after="0" w:line="256" w:lineRule="auto"/>
        <w:tabs>
          <w:tab w:leader="none" w:pos="1893"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Quarterly Financial Statements</w:t>
      </w:r>
      <w:r>
        <w:rPr>
          <w:rFonts w:ascii="Times New Roman" w:cs="Times New Roman" w:eastAsia="Times New Roman" w:hAnsi="Times New Roman"/>
          <w:sz w:val="21"/>
          <w:szCs w:val="21"/>
          <w:color w:val="auto"/>
        </w:rPr>
        <w:t xml:space="preserve">. As soon as available and in any event within fifty (50) days after the end of each calendar quarter (other than the last quarter of the Fiscal Year), commencing with the </w:t>
      </w:r>
      <w:r>
        <w:rPr>
          <w:rFonts w:ascii="Times New Roman" w:cs="Times New Roman" w:eastAsia="Times New Roman" w:hAnsi="Times New Roman"/>
          <w:sz w:val="21"/>
          <w:szCs w:val="21"/>
          <w:color w:val="EE2724"/>
          <w:strike w:val="1"/>
        </w:rPr>
        <w:t>fiscal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calendar</w:t>
      </w:r>
      <w:r>
        <w:rPr>
          <w:rFonts w:ascii="Times New Roman" w:cs="Times New Roman" w:eastAsia="Times New Roman" w:hAnsi="Times New Roman"/>
          <w:sz w:val="21"/>
          <w:szCs w:val="21"/>
          <w:color w:val="auto"/>
        </w:rPr>
        <w:t xml:space="preserve"> quarter ending March 31, 2024, the unaudited Borrower’s Consolidated Financial Statements as of the end of and for such calendar quarter, reviewed by Borrower’s Accountants; provided, however, that such Consolidated Financial Statements need not be separately furnished to Administrative Agent if they are publicly filed and available prior to the end of such 50-day period as part of the annual form 10-Q filings with the SEC of Borrower for the applicable calendar quarter;</w:t>
      </w:r>
    </w:p>
    <w:p>
      <w:pPr>
        <w:spacing w:after="0" w:line="170" w:lineRule="exact"/>
        <w:rPr>
          <w:rFonts w:ascii="Times New Roman" w:cs="Times New Roman" w:eastAsia="Times New Roman" w:hAnsi="Times New Roman"/>
          <w:sz w:val="21"/>
          <w:szCs w:val="21"/>
          <w:color w:val="auto"/>
        </w:rPr>
      </w:pPr>
    </w:p>
    <w:p>
      <w:pPr>
        <w:jc w:val="both"/>
        <w:ind w:left="640" w:firstLine="622"/>
        <w:spacing w:after="0" w:line="253" w:lineRule="auto"/>
        <w:tabs>
          <w:tab w:leader="none" w:pos="1893"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 of No Default and Financial Compliance</w:t>
      </w:r>
      <w:r>
        <w:rPr>
          <w:rFonts w:ascii="Times New Roman" w:cs="Times New Roman" w:eastAsia="Times New Roman" w:hAnsi="Times New Roman"/>
          <w:sz w:val="21"/>
          <w:szCs w:val="21"/>
          <w:color w:val="auto"/>
        </w:rPr>
        <w:t>. Within fifty (50) days after the end of each of the first three quarters of each Fiscal Year and within ninety-five (95) days after the end of each Fiscal Year, a certificate of the chief financial officer or other appropriate financial officer of General Partner (a) stating that, to the best of his or her knowledge, no Default or Event of Default has occurred and is continuing, or if a Default or Event of Default has occurred and is continuing, specifying the nature thereof and the action which is being taken with respect thereto; (b) stating that the covenants contained in Article VIII have been complied with (or specifying those that have not been complied with) and including computations demonstrating such compliance (or non-compliance); (c) setting forth all items comprising Total Outstanding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76</w:t>
      </w:r>
    </w:p>
    <w:p>
      <w:pPr>
        <w:sectPr>
          <w:pgSz w:w="11900" w:h="16838" w:orient="portrait"/>
          <w:cols w:equalWidth="0" w:num="1">
            <w:col w:w="11240"/>
          </w:cols>
          <w:pgMar w:left="320" w:top="1383" w:right="339" w:bottom="1440" w:gutter="0" w:footer="0" w:header="0"/>
        </w:sectPr>
      </w:pPr>
    </w:p>
    <w:bookmarkStart w:id="380" w:name="page381"/>
    <w:bookmarkEnd w:id="380"/>
    <w:p>
      <w:pPr>
        <w:jc w:val="both"/>
        <w:spacing w:after="0" w:line="263" w:lineRule="auto"/>
        <w:rPr>
          <w:sz w:val="20"/>
          <w:szCs w:val="20"/>
          <w:color w:val="auto"/>
        </w:rPr>
      </w:pPr>
      <w:r>
        <w:rPr>
          <w:rFonts w:ascii="Times New Roman" w:cs="Times New Roman" w:eastAsia="Times New Roman" w:hAnsi="Times New Roman"/>
          <w:sz w:val="21"/>
          <w:szCs w:val="21"/>
          <w:color w:val="auto"/>
        </w:rPr>
        <w:t>(including amount, maturity, interest rate and amortization requirements), Capitalization Value, Secured Indebtedness, Combined EBITDA, Unencumbered Combined EBITDA, Interest Expense, Unsecured Interest Expense and Unsecured Indebtedness; and (d) only at the end of each Fiscal Year an estimate of Borrower’s taxable income;</w:t>
      </w:r>
    </w:p>
    <w:p>
      <w:pPr>
        <w:spacing w:after="0" w:line="175" w:lineRule="exact"/>
        <w:rPr>
          <w:sz w:val="20"/>
          <w:szCs w:val="20"/>
          <w:color w:val="auto"/>
        </w:rPr>
      </w:pPr>
    </w:p>
    <w:p>
      <w:pPr>
        <w:jc w:val="both"/>
        <w:ind w:firstLine="622"/>
        <w:spacing w:after="0" w:line="252" w:lineRule="auto"/>
        <w:tabs>
          <w:tab w:leader="none" w:pos="1253"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 of Borrower’s Accountants</w:t>
      </w:r>
      <w:r>
        <w:rPr>
          <w:rFonts w:ascii="Times New Roman" w:cs="Times New Roman" w:eastAsia="Times New Roman" w:hAnsi="Times New Roman"/>
          <w:sz w:val="21"/>
          <w:szCs w:val="21"/>
          <w:color w:val="auto"/>
        </w:rPr>
        <w:t>. Within ninety-five (95) days after the end of each Fiscal Year, a report with respect thereto of Borrower’s Accountants, which report shall be unqualified, except as provided in the second sentence of this clause (4), and shall state that such financial statements fairly present the consolidated financial position of each of the Borrower and its Subsidiaries as at the dates indicated and the consolidated results of their operations and cash flows for the periods indicated, in conformity with GAAP applied on a basis consistent with prior years (except for changes which shall have been disclosed in the notes to the financial statements). In the event that such report is qualified, a copy of the Borrower’s Accountants’ communications with those charged with governance or any similar report delivered to the General Partner or to any officer or employee thereof by Borrower’s Accountants in connection with such financial statements (which letter or report shall be subject to the confidentiality limitations set forth herein), as well as a statement of Borrower’s Accountants to the effect that in connection with their audit, nothing came to their attention that caused them to believe that the Borrower failed to comply with the terms, covenants, provisions or conditions of Article VIII, insofar as they relate to financial and accounting matters.</w:t>
      </w:r>
    </w:p>
    <w:p>
      <w:pPr>
        <w:spacing w:after="0" w:line="179" w:lineRule="exact"/>
        <w:rPr>
          <w:rFonts w:ascii="Times New Roman" w:cs="Times New Roman" w:eastAsia="Times New Roman" w:hAnsi="Times New Roman"/>
          <w:sz w:val="21"/>
          <w:szCs w:val="21"/>
          <w:color w:val="auto"/>
        </w:rPr>
      </w:pPr>
    </w:p>
    <w:p>
      <w:pPr>
        <w:jc w:val="both"/>
        <w:ind w:firstLine="622"/>
        <w:spacing w:after="0" w:line="263" w:lineRule="auto"/>
        <w:tabs>
          <w:tab w:leader="none" w:pos="1253"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Litigation</w:t>
      </w:r>
      <w:r>
        <w:rPr>
          <w:rFonts w:ascii="Times New Roman" w:cs="Times New Roman" w:eastAsia="Times New Roman" w:hAnsi="Times New Roman"/>
          <w:sz w:val="21"/>
          <w:szCs w:val="21"/>
          <w:color w:val="auto"/>
        </w:rPr>
        <w:t>. Promptly after the commencement and knowledge thereof, notice of all actions, suits, and proceedings before any court or arbitrator, affecting Borrower which, if determined adversely to Borrower is likely to result in a Material Adverse Change and which would be required to be reported in Borrower’s SEC Reports;</w:t>
      </w:r>
    </w:p>
    <w:p>
      <w:pPr>
        <w:spacing w:after="0" w:line="162" w:lineRule="exact"/>
        <w:rPr>
          <w:rFonts w:ascii="Times New Roman" w:cs="Times New Roman" w:eastAsia="Times New Roman" w:hAnsi="Times New Roman"/>
          <w:sz w:val="21"/>
          <w:szCs w:val="21"/>
          <w:color w:val="auto"/>
        </w:rPr>
      </w:pPr>
    </w:p>
    <w:p>
      <w:pPr>
        <w:ind w:firstLine="622"/>
        <w:spacing w:after="0" w:line="293" w:lineRule="auto"/>
        <w:tabs>
          <w:tab w:leader="none" w:pos="1253"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ERISA Events</w:t>
      </w:r>
      <w:r>
        <w:rPr>
          <w:rFonts w:ascii="Times New Roman" w:cs="Times New Roman" w:eastAsia="Times New Roman" w:hAnsi="Times New Roman"/>
          <w:sz w:val="21"/>
          <w:szCs w:val="21"/>
          <w:color w:val="auto"/>
        </w:rPr>
        <w:t>. Promptly after the occurrence thereof, notice of any action or event described in clauses (c) or (d) of Section 9.01(7);</w:t>
      </w:r>
    </w:p>
    <w:p>
      <w:pPr>
        <w:spacing w:after="0" w:line="130" w:lineRule="exact"/>
        <w:rPr>
          <w:rFonts w:ascii="Times New Roman" w:cs="Times New Roman" w:eastAsia="Times New Roman" w:hAnsi="Times New Roman"/>
          <w:sz w:val="21"/>
          <w:szCs w:val="21"/>
          <w:color w:val="auto"/>
        </w:rPr>
      </w:pPr>
    </w:p>
    <w:p>
      <w:pPr>
        <w:jc w:val="both"/>
        <w:ind w:firstLine="622"/>
        <w:spacing w:after="0" w:line="263" w:lineRule="auto"/>
        <w:tabs>
          <w:tab w:leader="none" w:pos="1253"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of Defaults and Events of Default</w:t>
      </w:r>
      <w:r>
        <w:rPr>
          <w:rFonts w:ascii="Times New Roman" w:cs="Times New Roman" w:eastAsia="Times New Roman" w:hAnsi="Times New Roman"/>
          <w:sz w:val="21"/>
          <w:szCs w:val="21"/>
          <w:color w:val="auto"/>
        </w:rPr>
        <w:t>. As soon as possible and in any event within fifteen (15) days after Borrower becomes aware of the occurrence of a material Default or any Event of Default a written notice setting forth the details of such Default or Event of Default and the action which is proposed to be taken with respect thereto;</w:t>
      </w:r>
    </w:p>
    <w:p>
      <w:pPr>
        <w:spacing w:after="0" w:line="162" w:lineRule="exact"/>
        <w:rPr>
          <w:rFonts w:ascii="Times New Roman" w:cs="Times New Roman" w:eastAsia="Times New Roman" w:hAnsi="Times New Roman"/>
          <w:sz w:val="21"/>
          <w:szCs w:val="21"/>
          <w:color w:val="auto"/>
        </w:rPr>
      </w:pPr>
    </w:p>
    <w:p>
      <w:pPr>
        <w:jc w:val="both"/>
        <w:ind w:firstLine="622"/>
        <w:spacing w:after="0" w:line="262" w:lineRule="auto"/>
        <w:tabs>
          <w:tab w:leader="none" w:pos="1253"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Sales or Acquisitions of Assets</w:t>
      </w:r>
      <w:r>
        <w:rPr>
          <w:rFonts w:ascii="Times New Roman" w:cs="Times New Roman" w:eastAsia="Times New Roman" w:hAnsi="Times New Roman"/>
          <w:sz w:val="21"/>
          <w:szCs w:val="21"/>
          <w:color w:val="auto"/>
        </w:rPr>
        <w:t>. Promptly after the occurrence thereof, written notice of any Disposition or acquisition of an individual asset (other than acquisitions or Dispositions of investments such as certificates of deposit, Treasury securities and money market deposits in the ordinary course of Borrower’s cash management) in excess of One Billion Dollars ($1,000,000,000);</w:t>
      </w:r>
    </w:p>
    <w:p>
      <w:pPr>
        <w:spacing w:after="0" w:line="163" w:lineRule="exact"/>
        <w:rPr>
          <w:rFonts w:ascii="Times New Roman" w:cs="Times New Roman" w:eastAsia="Times New Roman" w:hAnsi="Times New Roman"/>
          <w:sz w:val="21"/>
          <w:szCs w:val="21"/>
          <w:color w:val="auto"/>
        </w:rPr>
      </w:pPr>
    </w:p>
    <w:p>
      <w:pPr>
        <w:ind w:firstLine="622"/>
        <w:spacing w:after="0" w:line="280" w:lineRule="auto"/>
        <w:tabs>
          <w:tab w:leader="none" w:pos="1253"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Material Adverse Change</w:t>
      </w:r>
      <w:r>
        <w:rPr>
          <w:rFonts w:ascii="Times New Roman" w:cs="Times New Roman" w:eastAsia="Times New Roman" w:hAnsi="Times New Roman"/>
          <w:sz w:val="21"/>
          <w:szCs w:val="21"/>
          <w:color w:val="auto"/>
        </w:rPr>
        <w:t>. As soon as is practicable and in any event within five (5) days after knowledge of the occurrence of any event or circumstance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77</w:t>
      </w:r>
    </w:p>
    <w:p>
      <w:pPr>
        <w:sectPr>
          <w:pgSz w:w="11900" w:h="16838" w:orient="portrait"/>
          <w:cols w:equalWidth="0" w:num="1">
            <w:col w:w="10600"/>
          </w:cols>
          <w:pgMar w:left="960" w:top="1383" w:right="339" w:bottom="1440" w:gutter="0" w:footer="0" w:header="0"/>
        </w:sectPr>
      </w:pPr>
    </w:p>
    <w:bookmarkStart w:id="381" w:name="page382"/>
    <w:bookmarkEnd w:id="381"/>
    <w:p>
      <w:pPr>
        <w:spacing w:after="0" w:line="280" w:lineRule="auto"/>
        <w:rPr>
          <w:sz w:val="20"/>
          <w:szCs w:val="20"/>
          <w:color w:val="auto"/>
        </w:rPr>
      </w:pPr>
      <w:r>
        <w:rPr>
          <w:rFonts w:ascii="Times New Roman" w:cs="Times New Roman" w:eastAsia="Times New Roman" w:hAnsi="Times New Roman"/>
          <w:sz w:val="21"/>
          <w:szCs w:val="21"/>
          <w:color w:val="auto"/>
        </w:rPr>
        <w:t>which is likely to result in or has resulted in a Material Adverse Change and which would be required to be reported in Borrower’s SEC Reports, written notice thereof;</w:t>
      </w:r>
    </w:p>
    <w:p>
      <w:pPr>
        <w:spacing w:after="0" w:line="144" w:lineRule="exact"/>
        <w:rPr>
          <w:sz w:val="20"/>
          <w:szCs w:val="20"/>
          <w:color w:val="auto"/>
        </w:rPr>
      </w:pPr>
    </w:p>
    <w:p>
      <w:pPr>
        <w:jc w:val="both"/>
        <w:ind w:firstLine="622"/>
        <w:spacing w:after="0" w:line="262" w:lineRule="auto"/>
        <w:tabs>
          <w:tab w:leader="none" w:pos="1253"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Bankruptcy of Tenants</w:t>
      </w:r>
      <w:r>
        <w:rPr>
          <w:rFonts w:ascii="Times New Roman" w:cs="Times New Roman" w:eastAsia="Times New Roman" w:hAnsi="Times New Roman"/>
          <w:sz w:val="21"/>
          <w:szCs w:val="21"/>
          <w:color w:val="auto"/>
        </w:rPr>
        <w:t>. Promptly after becoming aware of the same, written notice of the bankruptcy, insolvency or cessation of operations of any tenant in any Real Property Asset of Borrower or in which Borrower has an interest to which four percent (4%) or more of aggregate annual minimum rent payable to Borrower directly or through its Consolidated Businesses or UJVs is attributable;</w:t>
      </w:r>
    </w:p>
    <w:p>
      <w:pPr>
        <w:spacing w:after="0" w:line="163"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Offices</w:t>
      </w:r>
      <w:r>
        <w:rPr>
          <w:rFonts w:ascii="Times New Roman" w:cs="Times New Roman" w:eastAsia="Times New Roman" w:hAnsi="Times New Roman"/>
          <w:sz w:val="21"/>
          <w:szCs w:val="21"/>
          <w:color w:val="auto"/>
        </w:rPr>
        <w:t>. Thirty (30) days’ prior written notice of any change in the principal executive office of Borrower;</w:t>
      </w:r>
    </w:p>
    <w:p>
      <w:pPr>
        <w:spacing w:after="0" w:line="216" w:lineRule="exact"/>
        <w:rPr>
          <w:rFonts w:ascii="Times New Roman" w:cs="Times New Roman" w:eastAsia="Times New Roman" w:hAnsi="Times New Roman"/>
          <w:sz w:val="21"/>
          <w:szCs w:val="21"/>
          <w:color w:val="auto"/>
        </w:rPr>
      </w:pPr>
    </w:p>
    <w:p>
      <w:pPr>
        <w:jc w:val="both"/>
        <w:ind w:firstLine="622"/>
        <w:spacing w:after="0" w:line="270" w:lineRule="auto"/>
        <w:tabs>
          <w:tab w:leader="none" w:pos="1253"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Environmental and Other Notices</w:t>
      </w:r>
      <w:r>
        <w:rPr>
          <w:rFonts w:ascii="Times New Roman" w:cs="Times New Roman" w:eastAsia="Times New Roman" w:hAnsi="Times New Roman"/>
          <w:sz w:val="21"/>
          <w:szCs w:val="21"/>
          <w:color w:val="auto"/>
        </w:rPr>
        <w:t>. As soon as possible and in any event within thirty (30) days after receipt, copies of all Environmental Notices received by Borrower which are not received in the ordinary course of business and which relate to a previously undisclosed situation which is likely to result in a Material Adverse Change;</w:t>
      </w:r>
    </w:p>
    <w:p>
      <w:pPr>
        <w:spacing w:after="0" w:line="154" w:lineRule="exact"/>
        <w:rPr>
          <w:rFonts w:ascii="Times New Roman" w:cs="Times New Roman" w:eastAsia="Times New Roman" w:hAnsi="Times New Roman"/>
          <w:sz w:val="21"/>
          <w:szCs w:val="21"/>
          <w:color w:val="auto"/>
        </w:rPr>
      </w:pPr>
    </w:p>
    <w:p>
      <w:pPr>
        <w:ind w:firstLine="622"/>
        <w:spacing w:after="0" w:line="280" w:lineRule="auto"/>
        <w:tabs>
          <w:tab w:leader="none" w:pos="1253"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Insurance Coverage. Promptly</w:t>
      </w:r>
      <w:r>
        <w:rPr>
          <w:rFonts w:ascii="Times New Roman" w:cs="Times New Roman" w:eastAsia="Times New Roman" w:hAnsi="Times New Roman"/>
          <w:sz w:val="21"/>
          <w:szCs w:val="21"/>
          <w:color w:val="auto"/>
        </w:rPr>
        <w:t>, such information concerning Borrower’s insurance coverage as Administrative Agent may reasonably request;</w:t>
      </w:r>
    </w:p>
    <w:p>
      <w:pPr>
        <w:spacing w:after="0" w:line="143" w:lineRule="exact"/>
        <w:rPr>
          <w:rFonts w:ascii="Times New Roman" w:cs="Times New Roman" w:eastAsia="Times New Roman" w:hAnsi="Times New Roman"/>
          <w:sz w:val="21"/>
          <w:szCs w:val="21"/>
          <w:color w:val="auto"/>
        </w:rPr>
      </w:pPr>
    </w:p>
    <w:p>
      <w:pPr>
        <w:jc w:val="both"/>
        <w:ind w:firstLine="622"/>
        <w:spacing w:after="0" w:line="256" w:lineRule="auto"/>
        <w:tabs>
          <w:tab w:leader="none" w:pos="1253"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Proxy Statements, Etc</w:t>
      </w:r>
      <w:r>
        <w:rPr>
          <w:rFonts w:ascii="Times New Roman" w:cs="Times New Roman" w:eastAsia="Times New Roman" w:hAnsi="Times New Roman"/>
          <w:sz w:val="21"/>
          <w:szCs w:val="21"/>
          <w:color w:val="auto"/>
        </w:rPr>
        <w:t>. Promptly after the sending or filing thereof, copies of all proxy statements, financial statements and reports which Borrower or General Partner sends to its respective shareholders, and copies of all regular, periodic and special reports, and all registration statements, which Borrower or General Partner files with the SEC or any Governmental Authority which may be substituted therefor, or with any national securities exchange; provided, however, that such statements and reports need not be separately furnished to Administrative Agent if they are publicly filed and available with the SEC;</w:t>
      </w:r>
    </w:p>
    <w:p>
      <w:pPr>
        <w:spacing w:after="0" w:line="170" w:lineRule="exact"/>
        <w:rPr>
          <w:rFonts w:ascii="Times New Roman" w:cs="Times New Roman" w:eastAsia="Times New Roman" w:hAnsi="Times New Roman"/>
          <w:sz w:val="21"/>
          <w:szCs w:val="21"/>
          <w:color w:val="auto"/>
        </w:rPr>
      </w:pPr>
    </w:p>
    <w:p>
      <w:pPr>
        <w:jc w:val="both"/>
        <w:ind w:firstLine="622"/>
        <w:spacing w:after="0" w:line="270" w:lineRule="auto"/>
        <w:tabs>
          <w:tab w:leader="none" w:pos="1253"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 Expenditures</w:t>
      </w:r>
      <w:r>
        <w:rPr>
          <w:rFonts w:ascii="Times New Roman" w:cs="Times New Roman" w:eastAsia="Times New Roman" w:hAnsi="Times New Roman"/>
          <w:sz w:val="21"/>
          <w:szCs w:val="21"/>
          <w:color w:val="auto"/>
        </w:rPr>
        <w:t>. If reasonably requested by the Administrative Agent, a schedule of such Fiscal Year’s capital expenditures and a budget for the next Fiscal Year’s planned capital expenditures for each Consolidated Business that is a Real Property Business;</w:t>
      </w:r>
    </w:p>
    <w:p>
      <w:pPr>
        <w:spacing w:after="0" w:line="154" w:lineRule="exact"/>
        <w:rPr>
          <w:rFonts w:ascii="Times New Roman" w:cs="Times New Roman" w:eastAsia="Times New Roman" w:hAnsi="Times New Roman"/>
          <w:sz w:val="21"/>
          <w:szCs w:val="21"/>
          <w:color w:val="auto"/>
        </w:rPr>
      </w:pPr>
    </w:p>
    <w:p>
      <w:pPr>
        <w:jc w:val="both"/>
        <w:ind w:firstLine="622"/>
        <w:spacing w:after="0" w:line="262" w:lineRule="auto"/>
        <w:tabs>
          <w:tab w:leader="none" w:pos="1253"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Borrower’s Credit Rating or Beneficial Ownership</w:t>
      </w:r>
      <w:r>
        <w:rPr>
          <w:rFonts w:ascii="Times New Roman" w:cs="Times New Roman" w:eastAsia="Times New Roman" w:hAnsi="Times New Roman"/>
          <w:sz w:val="21"/>
          <w:szCs w:val="21"/>
          <w:color w:val="auto"/>
        </w:rPr>
        <w:t>. Within two (2) Banking Days after Borrower’s receipt of notice of any change in Borrower’s Credit Rating, written notice of such change, and prompt notice of any change in the information provided in any Beneficial Ownership Certification delivered to any Bank that would result in a change to the list of beneficial owners identified in such certification; and</w:t>
      </w:r>
    </w:p>
    <w:p>
      <w:pPr>
        <w:spacing w:after="0" w:line="163" w:lineRule="exact"/>
        <w:rPr>
          <w:rFonts w:ascii="Times New Roman" w:cs="Times New Roman" w:eastAsia="Times New Roman" w:hAnsi="Times New Roman"/>
          <w:sz w:val="21"/>
          <w:szCs w:val="21"/>
          <w:color w:val="auto"/>
        </w:rPr>
      </w:pPr>
    </w:p>
    <w:p>
      <w:pPr>
        <w:ind w:firstLine="622"/>
        <w:spacing w:after="0" w:line="280" w:lineRule="auto"/>
        <w:tabs>
          <w:tab w:leader="none" w:pos="1253"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Pricing Certificate Inaccuracy</w:t>
      </w:r>
      <w:r>
        <w:rPr>
          <w:rFonts w:ascii="Times New Roman" w:cs="Times New Roman" w:eastAsia="Times New Roman" w:hAnsi="Times New Roman"/>
          <w:sz w:val="21"/>
          <w:szCs w:val="21"/>
          <w:color w:val="auto"/>
        </w:rPr>
        <w:t>. Promptly following obtaining actual knowledge thereof, notice of a Pricing Certificate Inaccuracy;</w:t>
      </w:r>
    </w:p>
    <w:p>
      <w:pPr>
        <w:spacing w:after="0" w:line="143" w:lineRule="exact"/>
        <w:rPr>
          <w:rFonts w:ascii="Times New Roman" w:cs="Times New Roman" w:eastAsia="Times New Roman" w:hAnsi="Times New Roman"/>
          <w:sz w:val="21"/>
          <w:szCs w:val="21"/>
          <w:color w:val="auto"/>
        </w:rPr>
      </w:pPr>
    </w:p>
    <w:p>
      <w:pPr>
        <w:ind w:firstLine="622"/>
        <w:spacing w:after="0" w:line="280" w:lineRule="auto"/>
        <w:tabs>
          <w:tab w:leader="none" w:pos="1253"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Information</w:t>
      </w:r>
      <w:r>
        <w:rPr>
          <w:rFonts w:ascii="Times New Roman" w:cs="Times New Roman" w:eastAsia="Times New Roman" w:hAnsi="Times New Roman"/>
          <w:sz w:val="21"/>
          <w:szCs w:val="21"/>
          <w:color w:val="auto"/>
        </w:rPr>
        <w:t>. Promptly, (a) such other information respecting the condition or operations, financial or otherwise (including information and documentation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78</w:t>
      </w:r>
    </w:p>
    <w:p>
      <w:pPr>
        <w:sectPr>
          <w:pgSz w:w="11900" w:h="16838" w:orient="portrait"/>
          <w:cols w:equalWidth="0" w:num="1">
            <w:col w:w="10600"/>
          </w:cols>
          <w:pgMar w:left="960" w:top="1382" w:right="339" w:bottom="1440" w:gutter="0" w:footer="0" w:header="0"/>
        </w:sectPr>
      </w:pPr>
    </w:p>
    <w:bookmarkStart w:id="382" w:name="page383"/>
    <w:bookmarkEnd w:id="382"/>
    <w:p>
      <w:pPr>
        <w:jc w:val="both"/>
        <w:ind w:left="640"/>
        <w:spacing w:after="0" w:line="255" w:lineRule="auto"/>
        <w:rPr>
          <w:sz w:val="20"/>
          <w:szCs w:val="20"/>
          <w:color w:val="auto"/>
        </w:rPr>
      </w:pPr>
      <w:r>
        <w:rPr>
          <w:rFonts w:ascii="Times New Roman" w:cs="Times New Roman" w:eastAsia="Times New Roman" w:hAnsi="Times New Roman"/>
          <w:sz w:val="21"/>
          <w:szCs w:val="21"/>
          <w:color w:val="auto"/>
        </w:rPr>
        <w:t>reasonably requested by the Administrative Agent or any Bank for purposes of compliance with applicable “know-your-customer” requirements, Anti-Corruption Laws, including the Patriot Act, and the Beneficial Ownership Regulation), of Borrower or any properties of Borrower as Administrative Agent or any Bank may from time to time reasonably request and</w:t>
      </w:r>
    </w:p>
    <w:p>
      <w:pPr>
        <w:spacing w:after="0" w:line="3" w:lineRule="exact"/>
        <w:rPr>
          <w:sz w:val="20"/>
          <w:szCs w:val="20"/>
          <w:color w:val="auto"/>
        </w:rPr>
      </w:pPr>
    </w:p>
    <w:p>
      <w:pPr>
        <w:jc w:val="both"/>
        <w:ind w:left="640" w:hanging="6"/>
        <w:spacing w:after="0" w:line="254" w:lineRule="auto"/>
        <w:tabs>
          <w:tab w:leader="none" w:pos="942" w:val="left"/>
        </w:tabs>
        <w:numPr>
          <w:ilvl w:val="0"/>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non-confidential and non-privileged information regarding sustainability matters and practices of the Borrower (including with respect to sustainability initiatives or strategy, corporate governance, environmental, social and employee matters, respect for human rights, anti-corruption and anti-bribery) as the Administrative Agent or any Bank may reasonably request for purposes of compliance with any legal or regulatory requirement or internal policies applicable to it.</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ARTICLE VII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NEGATIVE COVENANTS</w:t>
      </w:r>
    </w:p>
    <w:p>
      <w:pPr>
        <w:spacing w:after="0" w:line="20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So long as any of the Loans shall remain unpaid, or the Loan Commitments remain in effect, or any other amount is owing by Borrower to Administrative Agent or any Bank hereunder or under any other Loan Document or any Letter of Credit remains outstanding, Borrower shall not do any or all of the following:</w:t>
      </w:r>
    </w:p>
    <w:p>
      <w:pPr>
        <w:spacing w:after="0" w:line="154"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7.01 </w:t>
      </w:r>
      <w:r>
        <w:rPr>
          <w:rFonts w:ascii="Times New Roman" w:cs="Times New Roman" w:eastAsia="Times New Roman" w:hAnsi="Times New Roman"/>
          <w:sz w:val="21"/>
          <w:szCs w:val="21"/>
          <w:u w:val="single" w:color="auto"/>
          <w:color w:val="auto"/>
        </w:rPr>
        <w:t>Mergers, Etc</w:t>
      </w:r>
      <w:r>
        <w:rPr>
          <w:rFonts w:ascii="Times New Roman" w:cs="Times New Roman" w:eastAsia="Times New Roman" w:hAnsi="Times New Roman"/>
          <w:sz w:val="21"/>
          <w:szCs w:val="21"/>
          <w:color w:val="auto"/>
        </w:rPr>
        <w:t>. Without the Required Banks’ consent (which shall not be unreasonably withheld) merge or consolidate with (except where Borrower or General Partner is the surviving entity, or in a transaction of which the purpose is to redomesticate such entity in another United States jurisdiction, and no Default or Event of Default has occurred and is continuing (except where such Default or Event of Default shall be cured concurrently with the effectuation of such merger, consolidation or transaction)), or sell, assign, lease or otherwise dispose of (whether in one transaction or in a series of transactions, including pursuant to a limited liability company division described below) Borrower’s or General Partner’s assets substantially as an entirety (whether now owned or hereafter acquired), or if Borrower or General Partner changes its form of organization to a limited liability company, divide itself into two or more limited liability companies or series thereof (pursuant to a “plan of division” as contemplated under the Delaware Limited Liability Company Act or otherwise), or enter into any agreement to do any of the foregoing (unless Borrower’s obligation to close thereunder is conditioned on obtaining the Required Banks’ consent). Without the Required Banks’ consent (which shall not be unreasonably withheld) neither Borrower nor General Partner shall liquidate, wind up or dissolve (or suffer any liquidation or dissolution) or discontinue its business.</w:t>
      </w:r>
    </w:p>
    <w:p>
      <w:pPr>
        <w:spacing w:after="0" w:line="75"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7.02</w:t>
      </w:r>
      <w:r>
        <w:rPr>
          <w:sz w:val="20"/>
          <w:szCs w:val="20"/>
          <w:color w:val="auto"/>
        </w:rPr>
        <w:tab/>
      </w:r>
      <w:r>
        <w:rPr>
          <w:rFonts w:ascii="Times New Roman" w:cs="Times New Roman" w:eastAsia="Times New Roman" w:hAnsi="Times New Roman"/>
          <w:sz w:val="21"/>
          <w:szCs w:val="21"/>
          <w:u w:val="single" w:color="auto"/>
          <w:color w:val="auto"/>
        </w:rPr>
        <w:t>Distributions</w:t>
      </w:r>
      <w:r>
        <w:rPr>
          <w:rFonts w:ascii="Times New Roman" w:cs="Times New Roman" w:eastAsia="Times New Roman" w:hAnsi="Times New Roman"/>
          <w:sz w:val="21"/>
          <w:szCs w:val="21"/>
          <w:color w:val="auto"/>
        </w:rPr>
        <w:t>.</w:t>
      </w:r>
    </w:p>
    <w:p>
      <w:pPr>
        <w:spacing w:after="0" w:line="31" w:lineRule="exact"/>
        <w:rPr>
          <w:sz w:val="20"/>
          <w:szCs w:val="20"/>
          <w:color w:val="auto"/>
        </w:rPr>
      </w:pPr>
    </w:p>
    <w:p>
      <w:pPr>
        <w:jc w:val="both"/>
        <w:ind w:firstLine="629"/>
        <w:spacing w:after="0" w:line="269" w:lineRule="auto"/>
        <w:rPr>
          <w:sz w:val="20"/>
          <w:szCs w:val="20"/>
          <w:color w:val="auto"/>
        </w:rPr>
      </w:pPr>
      <w:r>
        <w:rPr>
          <w:rFonts w:ascii="Times New Roman" w:cs="Times New Roman" w:eastAsia="Times New Roman" w:hAnsi="Times New Roman"/>
          <w:sz w:val="21"/>
          <w:szCs w:val="21"/>
          <w:color w:val="auto"/>
        </w:rPr>
        <w:t>Distribute cash and other property to the General Partner except only in anticipation of payment by the General Partner of dividends to its shareholders.</w:t>
      </w:r>
    </w:p>
    <w:p>
      <w:pPr>
        <w:spacing w:after="0" w:line="155"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7.03</w:t>
      </w:r>
      <w:r>
        <w:rPr>
          <w:sz w:val="20"/>
          <w:szCs w:val="20"/>
          <w:color w:val="auto"/>
        </w:rPr>
        <w:tab/>
      </w:r>
      <w:r>
        <w:rPr>
          <w:rFonts w:ascii="Times New Roman" w:cs="Times New Roman" w:eastAsia="Times New Roman" w:hAnsi="Times New Roman"/>
          <w:sz w:val="21"/>
          <w:szCs w:val="21"/>
          <w:u w:val="single" w:color="auto"/>
          <w:color w:val="auto"/>
        </w:rPr>
        <w:t>Amendments to Organizational Documents</w:t>
      </w:r>
      <w:r>
        <w:rPr>
          <w:rFonts w:ascii="Times New Roman" w:cs="Times New Roman" w:eastAsia="Times New Roman" w:hAnsi="Times New Roman"/>
          <w:sz w:val="21"/>
          <w:szCs w:val="21"/>
          <w:color w:val="auto"/>
        </w:rPr>
        <w:t>.</w:t>
      </w:r>
    </w:p>
    <w:p>
      <w:pPr>
        <w:spacing w:after="0" w:line="86" w:lineRule="exact"/>
        <w:rPr>
          <w:sz w:val="20"/>
          <w:szCs w:val="20"/>
          <w:color w:val="auto"/>
        </w:rPr>
      </w:pPr>
    </w:p>
    <w:p>
      <w:pPr>
        <w:jc w:val="both"/>
        <w:ind w:firstLine="634"/>
        <w:spacing w:after="0" w:line="229" w:lineRule="auto"/>
        <w:tabs>
          <w:tab w:leader="none" w:pos="1254"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 Borrower’s agreement of limited partnership or other organizational documents in any manner that would result in a Material Adverse Change without the Required Banks’ consent, which consent shall not be unreasonably withheld. Without limitation of the foregoing, no Person shall be admitted as a general partner of the Borrower other than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79</w:t>
      </w:r>
    </w:p>
    <w:p>
      <w:pPr>
        <w:sectPr>
          <w:pgSz w:w="11900" w:h="16838" w:orient="portrait"/>
          <w:cols w:equalWidth="0" w:num="1">
            <w:col w:w="11240"/>
          </w:cols>
          <w:pgMar w:left="320" w:top="1382" w:right="339" w:bottom="1440" w:gutter="0" w:footer="0" w:header="0"/>
        </w:sectPr>
      </w:pPr>
    </w:p>
    <w:bookmarkStart w:id="383" w:name="page384"/>
    <w:bookmarkEnd w:id="383"/>
    <w:p>
      <w:pPr>
        <w:jc w:val="both"/>
        <w:ind w:firstLine="634"/>
        <w:spacing w:after="0" w:line="229" w:lineRule="auto"/>
        <w:tabs>
          <w:tab w:leader="none" w:pos="1253"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“in-kind” transfer of any of Borrower’s property or assets to any of Borrower’s constituent partners if such transfer would result in an Event of Default, without, in each case, the Required Banks’ consent, which consent shall not be unreasonably withheld.</w:t>
      </w:r>
    </w:p>
    <w:p>
      <w:pPr>
        <w:spacing w:after="0" w:line="173"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7.04 </w:t>
      </w:r>
      <w:r>
        <w:rPr>
          <w:rFonts w:ascii="Times New Roman" w:cs="Times New Roman" w:eastAsia="Times New Roman" w:hAnsi="Times New Roman"/>
          <w:sz w:val="21"/>
          <w:szCs w:val="21"/>
          <w:u w:val="single" w:color="auto"/>
          <w:color w:val="auto"/>
        </w:rPr>
        <w:t>Use of Proceeds and Letters of Credit</w:t>
      </w:r>
      <w:r>
        <w:rPr>
          <w:rFonts w:ascii="Times New Roman" w:cs="Times New Roman" w:eastAsia="Times New Roman" w:hAnsi="Times New Roman"/>
          <w:sz w:val="21"/>
          <w:szCs w:val="21"/>
          <w:color w:val="auto"/>
        </w:rPr>
        <w:t>. Request any Loan or Letter of Credit, and the Borrower shall not use, and shall procure that its Subsidiaries and its or their respective directors, trustees, officers, employees and agents shall not use, the proceeds of any Loan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66" w:lineRule="exact"/>
        <w:rPr>
          <w:sz w:val="20"/>
          <w:szCs w:val="20"/>
          <w:color w:val="auto"/>
        </w:rPr>
      </w:pPr>
    </w:p>
    <w:p>
      <w:pPr>
        <w:jc w:val="both"/>
        <w:ind w:firstLine="629"/>
        <w:spacing w:after="0" w:line="248" w:lineRule="auto"/>
        <w:rPr>
          <w:sz w:val="20"/>
          <w:szCs w:val="20"/>
          <w:color w:val="auto"/>
        </w:rPr>
      </w:pPr>
      <w:r>
        <w:rPr>
          <w:rFonts w:ascii="Times New Roman" w:cs="Times New Roman" w:eastAsia="Times New Roman" w:hAnsi="Times New Roman"/>
          <w:sz w:val="21"/>
          <w:szCs w:val="21"/>
          <w:u w:val="single" w:color="auto"/>
          <w:color w:val="0E32E1"/>
        </w:rPr>
        <w:t>SECTION 7.05 Outbound Investment Rules. 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Bank to be in violation of the Outbound Investment Rules or cause the Administrative Agent or any Bank to be legally prohibited by the Outbound Investment Rules from performing under this Agreement.</w:t>
      </w:r>
    </w:p>
    <w:p>
      <w:pPr>
        <w:spacing w:after="0" w:line="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ARTICLE VIII</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FINANCIAL COVENANTS</w:t>
      </w:r>
    </w:p>
    <w:p>
      <w:pPr>
        <w:spacing w:after="0" w:line="18"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So long as any of the Loans shall remain unpaid, or the Loan Commitments remain in effect, or any other amount is owing by Borrower to Administrative Agent or any Bank under this Agreement or under any other Loan Document or any Letter of Credit remains outstanding, Borrower shall not permit or suffer:</w:t>
      </w:r>
    </w:p>
    <w:p>
      <w:pPr>
        <w:spacing w:after="0" w:line="167"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8.01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112"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8.02 </w:t>
      </w:r>
      <w:r>
        <w:rPr>
          <w:rFonts w:ascii="Times New Roman" w:cs="Times New Roman" w:eastAsia="Times New Roman" w:hAnsi="Times New Roman"/>
          <w:sz w:val="21"/>
          <w:szCs w:val="21"/>
          <w:u w:val="single" w:color="auto"/>
          <w:color w:val="auto"/>
        </w:rPr>
        <w:t>Ratio of Total Outstanding Indebtedness to Capitalization Value</w:t>
      </w:r>
      <w:r>
        <w:rPr>
          <w:rFonts w:ascii="Times New Roman" w:cs="Times New Roman" w:eastAsia="Times New Roman" w:hAnsi="Times New Roman"/>
          <w:sz w:val="21"/>
          <w:szCs w:val="21"/>
          <w:color w:val="auto"/>
        </w:rPr>
        <w:t>. Total Outstanding Indebtedness to exceed sixty percent (60%) of Capitalization Value, each measured as of the most recently ended calendar quarter; for purposes of this covenant, (i) Total Outstanding Indebtedness shall be adjusted by deducting therefrom an amount equal to the lesser of (x) Total Outstanding Indebtedness that by its terms is either (1) scheduled to mature (including by reason of the election of the borrower of such debt to redeem such debt prior to its maturity) on or before the date that is 24 months from the date of calculation, or (2) convertible Debt with the right to put all or a portion thereof on or before the date that is 24 months from the date of calculation, and</w:t>
      </w:r>
    </w:p>
    <w:p>
      <w:pPr>
        <w:spacing w:after="0" w:line="3" w:lineRule="exact"/>
        <w:rPr>
          <w:sz w:val="20"/>
          <w:szCs w:val="20"/>
          <w:color w:val="auto"/>
        </w:rPr>
      </w:pPr>
    </w:p>
    <w:p>
      <w:pPr>
        <w:jc w:val="both"/>
        <w:ind w:firstLine="5"/>
        <w:spacing w:after="0" w:line="254" w:lineRule="auto"/>
        <w:tabs>
          <w:tab w:leader="none" w:pos="317"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Unrestricted Cash and Cash Equivalents, and (ii) Capitalization Value shall be adjusted by deducting therefrom the amount by which Total Outstanding Indebtedness is adjusted under clause (i); for purposes of determining Capitalization Value for this covenant only, (A) costs and expenses incurred during the applicable period with respect to acquisitions and lending transactions that failed to close and were abandoned during such period shall not be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80</w:t>
      </w:r>
    </w:p>
    <w:p>
      <w:pPr>
        <w:sectPr>
          <w:pgSz w:w="11900" w:h="16838" w:orient="portrait"/>
          <w:cols w:equalWidth="0" w:num="1">
            <w:col w:w="11240"/>
          </w:cols>
          <w:pgMar w:left="320" w:top="1356" w:right="339" w:bottom="1440" w:gutter="0" w:footer="0" w:header="0"/>
        </w:sectPr>
      </w:pPr>
    </w:p>
    <w:bookmarkStart w:id="384" w:name="page385"/>
    <w:bookmarkEnd w:id="384"/>
    <w:p>
      <w:pPr>
        <w:jc w:val="both"/>
        <w:spacing w:after="0" w:line="263" w:lineRule="auto"/>
        <w:rPr>
          <w:sz w:val="20"/>
          <w:szCs w:val="20"/>
          <w:color w:val="auto"/>
        </w:rPr>
      </w:pPr>
      <w:r>
        <w:rPr>
          <w:rFonts w:ascii="Times New Roman" w:cs="Times New Roman" w:eastAsia="Times New Roman" w:hAnsi="Times New Roman"/>
          <w:sz w:val="21"/>
          <w:szCs w:val="21"/>
          <w:color w:val="auto"/>
        </w:rPr>
        <w:t>deducted in determining EBITDA, and (B) Unrestricted Cash and Cash Equivalents shall be adjusted to deduct therefrom $35,000,000; and for purposes of clause (i)(y) above, Unrestricted Cash and Cash Equivalents shall be without inclusion of Borrower’s Pro Rata Share of any Cash or Cash Equivalents owned by any UJV.</w:t>
      </w:r>
    </w:p>
    <w:p>
      <w:pPr>
        <w:spacing w:after="0" w:line="71"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8.03</w:t>
      </w:r>
      <w:r>
        <w:rPr>
          <w:sz w:val="20"/>
          <w:szCs w:val="20"/>
          <w:color w:val="auto"/>
        </w:rPr>
        <w:tab/>
      </w:r>
      <w:r>
        <w:rPr>
          <w:rFonts w:ascii="Times New Roman" w:cs="Times New Roman" w:eastAsia="Times New Roman" w:hAnsi="Times New Roman"/>
          <w:sz w:val="21"/>
          <w:szCs w:val="21"/>
          <w:u w:val="single" w:color="auto"/>
          <w:color w:val="auto"/>
        </w:rPr>
        <w:t>Intentionally Omitted</w:t>
      </w:r>
    </w:p>
    <w:p>
      <w:pPr>
        <w:spacing w:after="0" w:line="112"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8.04 </w:t>
      </w:r>
      <w:r>
        <w:rPr>
          <w:rFonts w:ascii="Times New Roman" w:cs="Times New Roman" w:eastAsia="Times New Roman" w:hAnsi="Times New Roman"/>
          <w:sz w:val="21"/>
          <w:szCs w:val="21"/>
          <w:u w:val="single" w:color="auto"/>
          <w:color w:val="auto"/>
        </w:rPr>
        <w:t>Ratio of Combined EBITDA to Fixed Charges</w:t>
      </w:r>
      <w:r>
        <w:rPr>
          <w:rFonts w:ascii="Times New Roman" w:cs="Times New Roman" w:eastAsia="Times New Roman" w:hAnsi="Times New Roman"/>
          <w:sz w:val="21"/>
          <w:szCs w:val="21"/>
          <w:color w:val="auto"/>
        </w:rPr>
        <w:t xml:space="preserve">. The ratio of Combined EBITDA </w:t>
      </w:r>
      <w:r>
        <w:rPr>
          <w:rFonts w:ascii="Times New Roman" w:cs="Times New Roman" w:eastAsia="Times New Roman" w:hAnsi="Times New Roman"/>
          <w:sz w:val="21"/>
          <w:szCs w:val="21"/>
          <w:u w:val="single" w:color="auto"/>
          <w:color w:val="0E32E1"/>
        </w:rPr>
        <w:t>for the period of four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calendar quarters then ended</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to Fixed Charges</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u w:val="single" w:color="auto"/>
          <w:color w:val="0E32E1"/>
        </w:rPr>
        <w:t>for such period</w:t>
      </w:r>
      <w:r>
        <w:rPr>
          <w:rFonts w:ascii="Times New Roman" w:cs="Times New Roman" w:eastAsia="Times New Roman" w:hAnsi="Times New Roman"/>
          <w:sz w:val="21"/>
          <w:szCs w:val="21"/>
          <w:color w:val="000000"/>
        </w:rPr>
        <w:t>, each measured as of the most recently ended calendar quarter, to be</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less than 1.40 to 1.00.</w:t>
      </w:r>
    </w:p>
    <w:p>
      <w:pPr>
        <w:spacing w:after="0" w:line="1"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8.05 </w:t>
      </w:r>
      <w:r>
        <w:rPr>
          <w:rFonts w:ascii="Times New Roman" w:cs="Times New Roman" w:eastAsia="Times New Roman" w:hAnsi="Times New Roman"/>
          <w:sz w:val="21"/>
          <w:szCs w:val="21"/>
          <w:u w:val="single" w:color="auto"/>
          <w:color w:val="auto"/>
        </w:rPr>
        <w:t>Ratio of Unencumbered Combined EBITDA to Unsecured Interest Expense</w:t>
      </w:r>
      <w:r>
        <w:rPr>
          <w:rFonts w:ascii="Times New Roman" w:cs="Times New Roman" w:eastAsia="Times New Roman" w:hAnsi="Times New Roman"/>
          <w:sz w:val="21"/>
          <w:szCs w:val="21"/>
          <w:color w:val="auto"/>
        </w:rPr>
        <w:t xml:space="preserve">. The ratio of Unencumbered Combined EBITDA </w:t>
      </w:r>
      <w:r>
        <w:rPr>
          <w:rFonts w:ascii="Times New Roman" w:cs="Times New Roman" w:eastAsia="Times New Roman" w:hAnsi="Times New Roman"/>
          <w:sz w:val="21"/>
          <w:szCs w:val="21"/>
          <w:u w:val="single" w:color="auto"/>
          <w:color w:val="0E32E1"/>
        </w:rPr>
        <w:t>for the period of four calendar quarters then ended</w:t>
      </w:r>
      <w:r>
        <w:rPr>
          <w:rFonts w:ascii="Times New Roman" w:cs="Times New Roman" w:eastAsia="Times New Roman" w:hAnsi="Times New Roman"/>
          <w:sz w:val="21"/>
          <w:szCs w:val="21"/>
          <w:color w:val="auto"/>
        </w:rPr>
        <w:t xml:space="preserve"> to Unsecured Interest Expense </w:t>
      </w:r>
      <w:r>
        <w:rPr>
          <w:rFonts w:ascii="Times New Roman" w:cs="Times New Roman" w:eastAsia="Times New Roman" w:hAnsi="Times New Roman"/>
          <w:sz w:val="21"/>
          <w:szCs w:val="21"/>
          <w:u w:val="single" w:color="auto"/>
          <w:color w:val="0E32E1"/>
        </w:rPr>
        <w:t>for such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period</w:t>
      </w:r>
      <w:r>
        <w:rPr>
          <w:rFonts w:ascii="Times New Roman" w:cs="Times New Roman" w:eastAsia="Times New Roman" w:hAnsi="Times New Roman"/>
          <w:sz w:val="21"/>
          <w:szCs w:val="21"/>
          <w:color w:val="000000"/>
        </w:rPr>
        <w:t>, each measured as of the most recently ended calendar quarter, to be less than 1.75 to 1.00.</w:t>
      </w:r>
    </w:p>
    <w:p>
      <w:pPr>
        <w:spacing w:after="0" w:line="9"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8.06 </w:t>
      </w:r>
      <w:r>
        <w:rPr>
          <w:rFonts w:ascii="Times New Roman" w:cs="Times New Roman" w:eastAsia="Times New Roman" w:hAnsi="Times New Roman"/>
          <w:sz w:val="21"/>
          <w:szCs w:val="21"/>
          <w:u w:val="single" w:color="auto"/>
          <w:color w:val="auto"/>
        </w:rPr>
        <w:t>Ratio of Unsecured Indebtedness to Capitalization Value of Unencumbered Assets</w:t>
      </w:r>
      <w:r>
        <w:rPr>
          <w:rFonts w:ascii="Times New Roman" w:cs="Times New Roman" w:eastAsia="Times New Roman" w:hAnsi="Times New Roman"/>
          <w:sz w:val="21"/>
          <w:szCs w:val="21"/>
          <w:color w:val="auto"/>
        </w:rPr>
        <w:t>. Unsecured Indebtedness to exceed sixty percent (60%) of Capitalization Value of Unencumbered Assets, each measured as of the most recently ended calendar quarter for purposes of this covenant, (i) Unsecured Indebtedness shall be adjusted by deducting therefrom an amount equal to the lesser of (x) Unsecured Indebtedness that by its terms is either (1) scheduled to mature (including by reason of the election of the borrower of such debt to redeem such debt prior to its maturity) on or before the date that is 24 months from the date of calculation, or (2) convertible Debt with the right to put all or a portion thereof on or before the date that is 24 months from the date of calculation, and (y) Unrestricted Cash and Cash Equivalents or such lesser amount of Unrestricted Cash and Cash Equivalents as Borrower shall specify for this purpose (the “</w:t>
      </w:r>
      <w:r>
        <w:rPr>
          <w:rFonts w:ascii="Times New Roman" w:cs="Times New Roman" w:eastAsia="Times New Roman" w:hAnsi="Times New Roman"/>
          <w:sz w:val="21"/>
          <w:szCs w:val="21"/>
          <w:u w:val="single" w:color="auto"/>
          <w:color w:val="auto"/>
        </w:rPr>
        <w:t>Unsecured Indebtedness Adjustment</w:t>
      </w:r>
      <w:r>
        <w:rPr>
          <w:rFonts w:ascii="Times New Roman" w:cs="Times New Roman" w:eastAsia="Times New Roman" w:hAnsi="Times New Roman"/>
          <w:sz w:val="21"/>
          <w:szCs w:val="21"/>
          <w:color w:val="auto"/>
        </w:rPr>
        <w:t>”), and (ii) Capitalization Value shall be adjusted by deducting therefrom the Unsecured Indebtedness Adjustment; for purposes of determining Capitalization Value of Unencumbered Assets for this covenant only, (A) costs and expenses incurred during the applicable period with respect to acquisitions and lending transactions that failed to close and were abandoned during such period shall not be deducted in determining EBITDA; and (B) Unrestricted Cash and Cash Equivalents shall be adjusted to deduct therefrom $35,000,000; and for purposes of clause (i)(y) above, Unrestricted Cash and Cash Equivalents shall be adjusted to deduct therefrom any Unrestricted Cash and Cash Equivalents used to determine the Secured Indebtedness Adjustment in Section 8.07 and be without inclusion of Borrower’s Pro Rata Share of any Cash or Cash Equivalents owned by any UJV.</w:t>
      </w:r>
    </w:p>
    <w:p>
      <w:pPr>
        <w:spacing w:after="0" w:line="8" w:lineRule="exact"/>
        <w:rPr>
          <w:sz w:val="20"/>
          <w:szCs w:val="20"/>
          <w:color w:val="auto"/>
        </w:rPr>
      </w:pPr>
    </w:p>
    <w:p>
      <w:pPr>
        <w:jc w:val="both"/>
        <w:ind w:firstLine="629"/>
        <w:spacing w:after="0" w:line="250" w:lineRule="auto"/>
        <w:rPr>
          <w:sz w:val="20"/>
          <w:szCs w:val="20"/>
          <w:color w:val="auto"/>
        </w:rPr>
      </w:pPr>
      <w:r>
        <w:rPr>
          <w:rFonts w:ascii="Times New Roman" w:cs="Times New Roman" w:eastAsia="Times New Roman" w:hAnsi="Times New Roman"/>
          <w:sz w:val="21"/>
          <w:szCs w:val="21"/>
          <w:color w:val="auto"/>
        </w:rPr>
        <w:t xml:space="preserve">SECTION 8.07 </w:t>
      </w:r>
      <w:r>
        <w:rPr>
          <w:rFonts w:ascii="Times New Roman" w:cs="Times New Roman" w:eastAsia="Times New Roman" w:hAnsi="Times New Roman"/>
          <w:sz w:val="21"/>
          <w:szCs w:val="21"/>
          <w:u w:val="single" w:color="auto"/>
          <w:color w:val="auto"/>
        </w:rPr>
        <w:t>Ratio of Secured Indebtedness to Capitalization Value</w:t>
      </w:r>
      <w:r>
        <w:rPr>
          <w:rFonts w:ascii="Times New Roman" w:cs="Times New Roman" w:eastAsia="Times New Roman" w:hAnsi="Times New Roman"/>
          <w:sz w:val="21"/>
          <w:szCs w:val="21"/>
          <w:color w:val="auto"/>
        </w:rPr>
        <w:t>. The ratio of Secured Indebtedness to Capitalization Value, each measured as of the most recently ended calendar quarter, to exceed 50%; for purposes of this covenant, (i) Secured Indebtedness shall be adjusted by deducting therefrom an amount equal to the lesser of (x) Secured Indebtedness that by its terms is either (1) scheduled to mature on (including by reason of the election of the borrower of such debt to redeem such debt prior to its maturity) or before the date that is 24 months from the date of calculation, or (2) convertible Debt with the right to put all or a portion thereof on or before the date that is 24 months from the date of calculation, and (y) Unrestricted Cash and Cash Equivalents or such lesser amount of Unrestricted Cash and Cash Equivalents as Borrower shall specify for this purpose (the “</w:t>
      </w:r>
      <w:r>
        <w:rPr>
          <w:rFonts w:ascii="Times New Roman" w:cs="Times New Roman" w:eastAsia="Times New Roman" w:hAnsi="Times New Roman"/>
          <w:sz w:val="21"/>
          <w:szCs w:val="21"/>
          <w:u w:val="single" w:color="auto"/>
          <w:color w:val="auto"/>
        </w:rPr>
        <w:t>Secured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Indebtedness Adjustment</w:t>
      </w:r>
      <w:r>
        <w:rPr>
          <w:rFonts w:ascii="Times New Roman" w:cs="Times New Roman" w:eastAsia="Times New Roman" w:hAnsi="Times New Roman"/>
          <w:sz w:val="21"/>
          <w:szCs w:val="21"/>
          <w:color w:val="auto"/>
        </w:rPr>
        <w:t>”), and (ii)</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81</w:t>
      </w:r>
    </w:p>
    <w:p>
      <w:pPr>
        <w:sectPr>
          <w:pgSz w:w="11900" w:h="16838" w:orient="portrait"/>
          <w:cols w:equalWidth="0" w:num="1">
            <w:col w:w="11240"/>
          </w:cols>
          <w:pgMar w:left="320" w:top="1383" w:right="339" w:bottom="1440" w:gutter="0" w:footer="0" w:header="0"/>
        </w:sectPr>
      </w:pPr>
    </w:p>
    <w:bookmarkStart w:id="385" w:name="page386"/>
    <w:bookmarkEnd w:id="385"/>
    <w:p>
      <w:pPr>
        <w:jc w:val="both"/>
        <w:spacing w:after="0" w:line="252" w:lineRule="auto"/>
        <w:rPr>
          <w:sz w:val="20"/>
          <w:szCs w:val="20"/>
          <w:color w:val="auto"/>
        </w:rPr>
      </w:pPr>
      <w:r>
        <w:rPr>
          <w:rFonts w:ascii="Times New Roman" w:cs="Times New Roman" w:eastAsia="Times New Roman" w:hAnsi="Times New Roman"/>
          <w:sz w:val="21"/>
          <w:szCs w:val="21"/>
          <w:color w:val="auto"/>
        </w:rPr>
        <w:t>Capitalization Value shall be adjusted by deducting therefrom the Secured Indebtedness Adjustment; for purposes of determining Capitalization Value for this covenant only, (A) costs and expenses incurred during the applicable period with respect to acquisitions and lending transactions that failed to close and were abandoned during such period shall not be deducted in determining EBITDA; and (B) Unrestricted Cash and Cash Equivalents shall be adjusted to deduct therefrom $35,000,000; and for purposes of clause (i)(y) above, Unrestricted Cash and Cash Equivalents shall be adjusted to deduct therefrom any Unrestricted Cash and Cash Equivalents used to determine the Unsecured Indebtedness Adjustment in Section 8.06 and be without inclusion of Borrower’s Pro Rata Share of any Cash or Cash Equivalents owned by any UJV.</w:t>
      </w:r>
    </w:p>
    <w:p>
      <w:pPr>
        <w:spacing w:after="0" w:line="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8.08 </w:t>
      </w:r>
      <w:r>
        <w:rPr>
          <w:rFonts w:ascii="Times New Roman" w:cs="Times New Roman" w:eastAsia="Times New Roman" w:hAnsi="Times New Roman"/>
          <w:sz w:val="21"/>
          <w:szCs w:val="21"/>
          <w:u w:val="single" w:color="auto"/>
          <w:color w:val="auto"/>
        </w:rPr>
        <w:t>Debt of the General Partner</w:t>
      </w:r>
      <w:r>
        <w:rPr>
          <w:rFonts w:ascii="Times New Roman" w:cs="Times New Roman" w:eastAsia="Times New Roman" w:hAnsi="Times New Roman"/>
          <w:sz w:val="21"/>
          <w:szCs w:val="21"/>
          <w:color w:val="auto"/>
        </w:rPr>
        <w:t>. Notwithstanding anything contained herein to the contrary, any Debt of the General Partner shall be deemed to be Debt of the Borrower (provided that the same shall be without duplication), for purposes of calculating the financial covenants set forth in this Article VIII.</w:t>
      </w:r>
    </w:p>
    <w:p>
      <w:pPr>
        <w:spacing w:after="0" w:line="14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IX</w:t>
      </w:r>
    </w:p>
    <w:p>
      <w:pPr>
        <w:spacing w:after="0" w:line="17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EVENTS OF DEFAULT</w:t>
      </w:r>
    </w:p>
    <w:p>
      <w:pPr>
        <w:spacing w:after="0" w:line="204"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9.01</w:t>
      </w:r>
      <w:r>
        <w:rPr>
          <w:sz w:val="20"/>
          <w:szCs w:val="20"/>
          <w:color w:val="auto"/>
        </w:rPr>
        <w:tab/>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Any of the following events shall be an “Event of Default”:</w:t>
      </w:r>
    </w:p>
    <w:p>
      <w:pPr>
        <w:spacing w:after="0" w:line="5" w:lineRule="exact"/>
        <w:rPr>
          <w:sz w:val="20"/>
          <w:szCs w:val="20"/>
          <w:color w:val="auto"/>
        </w:rPr>
      </w:pPr>
    </w:p>
    <w:p>
      <w:pPr>
        <w:jc w:val="both"/>
        <w:ind w:left="640" w:firstLine="622"/>
        <w:spacing w:after="0" w:line="216" w:lineRule="auto"/>
        <w:tabs>
          <w:tab w:leader="none" w:pos="1893"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Borrower shall fail to pay the principal of any Loans or reimburse any drawing on a Letter of Credit as and when due; or fail to pay interest accruing on any Loans as and when due and such failure to pay shall continue unremedied for five (5) days after the due date of such amount; or fail to pay any fee or any other amount due under this Agreement or any other Loan Document as and when due and such failure to pay shall continue unremedied for five (5) days after notice by Administrative Agent of such failure to pay;</w:t>
      </w:r>
    </w:p>
    <w:p>
      <w:pPr>
        <w:spacing w:after="0" w:line="146" w:lineRule="exact"/>
        <w:rPr>
          <w:rFonts w:ascii="Times New Roman" w:cs="Times New Roman" w:eastAsia="Times New Roman" w:hAnsi="Times New Roman"/>
          <w:sz w:val="21"/>
          <w:szCs w:val="21"/>
          <w:color w:val="auto"/>
        </w:rPr>
      </w:pPr>
    </w:p>
    <w:p>
      <w:pPr>
        <w:jc w:val="both"/>
        <w:ind w:left="640" w:firstLine="622"/>
        <w:spacing w:after="0" w:line="224" w:lineRule="auto"/>
        <w:tabs>
          <w:tab w:leader="none" w:pos="1893"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representation or warranty made or deemed made by Borrower in this Agreement or in any other Loan Document or which is contained in any certificate, document, opinion, financial or other statement furnished at any time under or in connection with a Loan Document shall prove to have been incorrect in any material respect on or as of the date made or deemed made;</w:t>
      </w:r>
    </w:p>
    <w:p>
      <w:pPr>
        <w:spacing w:after="0" w:line="146" w:lineRule="exact"/>
        <w:rPr>
          <w:rFonts w:ascii="Times New Roman" w:cs="Times New Roman" w:eastAsia="Times New Roman" w:hAnsi="Times New Roman"/>
          <w:sz w:val="21"/>
          <w:szCs w:val="21"/>
          <w:color w:val="auto"/>
        </w:rPr>
      </w:pPr>
    </w:p>
    <w:p>
      <w:pPr>
        <w:jc w:val="both"/>
        <w:ind w:left="640" w:firstLine="622"/>
        <w:spacing w:after="0" w:line="215" w:lineRule="auto"/>
        <w:tabs>
          <w:tab w:leader="none" w:pos="1893"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Borrower shall fail (a) to perform or observe any term, covenant or agreement contained in Section 6.01 (with respect to the legal existence of the Borrower), Section 6.09(7), Article VII or Article VIII; or (b) to perform or observe any term, covenant or agreement contained in this Agreement (other than obligations specifically referred to elsewhere in this Section 9.01) and such failure shall remain unremedied for thirty (30) consecutive calendar days after notice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any such default under clause (b) above cannot by its nature be cured within such thirty (30) day grace period and so long as Borrower shall have commenced cure within such thirty (30) day grace period and shall, at all times thereafter, diligently prosecute the same to completion, Borrower shall have an additional period </w:t>
      </w:r>
      <w:r>
        <w:rPr>
          <w:rFonts w:ascii="Times New Roman" w:cs="Times New Roman" w:eastAsia="Times New Roman" w:hAnsi="Times New Roman"/>
          <w:sz w:val="21"/>
          <w:szCs w:val="21"/>
          <w:u w:val="single" w:color="auto"/>
          <w:color w:val="0E32E1"/>
        </w:rPr>
        <w:t>of forty-five (45) days</w:t>
      </w:r>
      <w:r>
        <w:rPr>
          <w:rFonts w:ascii="Times New Roman" w:cs="Times New Roman" w:eastAsia="Times New Roman" w:hAnsi="Times New Roman"/>
          <w:sz w:val="21"/>
          <w:szCs w:val="21"/>
          <w:color w:val="auto"/>
        </w:rPr>
        <w:t xml:space="preserve"> to cure such default;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is the foregoing intended to effect an extension of the Maturity Date;</w:t>
      </w:r>
    </w:p>
    <w:p>
      <w:pPr>
        <w:spacing w:after="0" w:line="148" w:lineRule="exact"/>
        <w:rPr>
          <w:rFonts w:ascii="Times New Roman" w:cs="Times New Roman" w:eastAsia="Times New Roman" w:hAnsi="Times New Roman"/>
          <w:sz w:val="21"/>
          <w:szCs w:val="21"/>
          <w:color w:val="auto"/>
        </w:rPr>
      </w:pPr>
    </w:p>
    <w:p>
      <w:pPr>
        <w:ind w:left="640" w:firstLine="622"/>
        <w:spacing w:after="0" w:line="241" w:lineRule="auto"/>
        <w:tabs>
          <w:tab w:leader="none" w:pos="1893"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Borrower shall fail (a) to pay any Debt (other than the payment obligations described in paragraph (1) of this Section 9.01 or obligations that are recourse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82</w:t>
      </w:r>
    </w:p>
    <w:p>
      <w:pPr>
        <w:sectPr>
          <w:pgSz w:w="11900" w:h="16838" w:orient="portrait"/>
          <w:cols w:equalWidth="0" w:num="1">
            <w:col w:w="11240"/>
          </w:cols>
          <w:pgMar w:left="320" w:top="1382" w:right="339" w:bottom="1440" w:gutter="0" w:footer="0" w:header="0"/>
        </w:sectPr>
      </w:pPr>
    </w:p>
    <w:bookmarkStart w:id="386" w:name="page387"/>
    <w:bookmarkEnd w:id="386"/>
    <w:p>
      <w:pPr>
        <w:jc w:val="both"/>
        <w:ind w:left="6"/>
        <w:spacing w:after="0" w:line="213" w:lineRule="auto"/>
        <w:rPr>
          <w:sz w:val="20"/>
          <w:szCs w:val="20"/>
          <w:color w:val="auto"/>
        </w:rPr>
      </w:pPr>
      <w:r>
        <w:rPr>
          <w:rFonts w:ascii="Times New Roman" w:cs="Times New Roman" w:eastAsia="Times New Roman" w:hAnsi="Times New Roman"/>
          <w:sz w:val="21"/>
          <w:szCs w:val="21"/>
          <w:color w:val="auto"/>
        </w:rPr>
        <w:t>to Borrower solely for fraud, misappropriation, environmental liability and other normal and customary bad-act carveouts to nonrecourse obligations) the Recourse portion of which to Borrower is an amount equal to or greater than Fifty Million Dollars ($50,000,000) when due (whether by scheduled maturity, required prepayment, acceleration, demand or otherwise) after the expiration of any applicable grace period, or (b) to perform or observe any material term, covenant, or condition under any agreement or instrument relating to any such Debt, when required to be performed or observed, if the effect of such failure to perform or observe is to accelerate, or to permit the acceleration of, after the giving of notice or the lapse of time, or both (other than in cases where, in the judgment of the Required Banks, meaningful discussions likely to result in (i) a waiver or cure of the failure to perform or observe, or (ii) otherwise averting such acceleration are in progress between Borrower and the obligee of such Debt; it being understood with respect to the foregoing clauses (i) and (ii) that a waiver or cure of the failure to perform or observe under any other credit facility (or any amendment related thereto) that has been acknowledged or agreed by the obligee of such Debt shall not result in an Event of Default being outstanding pursuant to this Agreement), the maturity of such Debt, or any such Debt shall be declared to be due and payable, or required to be prepaid (other than by a regularly scheduled or otherwise required prepayment, repurchase or defeasance), prior to the stated maturity thereof;</w:t>
      </w:r>
    </w:p>
    <w:p>
      <w:pPr>
        <w:spacing w:after="0" w:line="148" w:lineRule="exact"/>
        <w:rPr>
          <w:sz w:val="20"/>
          <w:szCs w:val="20"/>
          <w:color w:val="auto"/>
        </w:rPr>
      </w:pPr>
    </w:p>
    <w:p>
      <w:pPr>
        <w:jc w:val="both"/>
        <w:ind w:left="6" w:firstLine="622"/>
        <w:spacing w:after="0" w:line="211" w:lineRule="auto"/>
        <w:tabs>
          <w:tab w:leader="none" w:pos="1259" w:val="left"/>
        </w:tabs>
        <w:numPr>
          <w:ilvl w:val="1"/>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either Borrower or General Partner shall (a) generally not, or be unable to, or shall admit in writing its inability to, pay its debts as such debts become due; (b) make an assignment for the benefit of creditors, petition or apply to any tribunal for the appointment of a custodian, receiver or trustee for it or a substantial part of its assets; (c) commence any proceeding under any bankruptcy, reorganization, arrangement, readjustment of debt, dissolution or liquidation law or statute of any jurisdiction, whether now or hereafter in effect; (d) have had any such petition or application filed or any such proceeding shall have been commenced, against it, in which an adjudication or appointment is made or order for relief is entered, or which petition, application or proceeding remains undismissed or unstayed for a period of sixty (60) days or more;</w:t>
      </w:r>
    </w:p>
    <w:p>
      <w:pPr>
        <w:spacing w:after="0" w:line="4" w:lineRule="exact"/>
        <w:rPr>
          <w:rFonts w:ascii="Times New Roman" w:cs="Times New Roman" w:eastAsia="Times New Roman" w:hAnsi="Times New Roman"/>
          <w:sz w:val="21"/>
          <w:szCs w:val="21"/>
          <w:color w:val="auto"/>
        </w:rPr>
      </w:pPr>
    </w:p>
    <w:p>
      <w:pPr>
        <w:jc w:val="both"/>
        <w:ind w:left="6" w:hanging="6"/>
        <w:spacing w:after="0" w:line="216" w:lineRule="auto"/>
        <w:tabs>
          <w:tab w:leader="none" w:pos="302"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the subject of any proceeding under which all or a substantial part of its assets may be subject to seizure, forfeiture or divestiture by any governmental entity; (f) by any act or omission indicate its consent to, approval of or acquiescence in any such petition, application or proceeding or order for relief or the appointment of a custodian, receiver or trustee for all or any substantial part of its property; or (g) suffer any such custodianship, receivership or trusteeship for all or any substantial part of its property, to continue undischarged for a period of sixty (60) days or more;</w:t>
      </w:r>
    </w:p>
    <w:p>
      <w:pPr>
        <w:spacing w:after="0" w:line="146" w:lineRule="exact"/>
        <w:rPr>
          <w:rFonts w:ascii="Times New Roman" w:cs="Times New Roman" w:eastAsia="Times New Roman" w:hAnsi="Times New Roman"/>
          <w:sz w:val="21"/>
          <w:szCs w:val="21"/>
          <w:color w:val="auto"/>
        </w:rPr>
      </w:pPr>
    </w:p>
    <w:p>
      <w:pPr>
        <w:jc w:val="both"/>
        <w:ind w:left="6" w:firstLine="622"/>
        <w:spacing w:after="0" w:line="224" w:lineRule="auto"/>
        <w:tabs>
          <w:tab w:leader="none" w:pos="1259" w:val="left"/>
        </w:tabs>
        <w:numPr>
          <w:ilvl w:val="1"/>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one or more judgments, decrees or orders for the payment of money in excess of Fifty Million Dollars ($50,000,000) in the aggregate shall be rendered against Borrower or General Partner, and any such judgments, decrees or orders shall continue unsatisfied and in effect for a period of thirty (30) consecutive days without being vacated, discharged, satisfied or stayed or bonded pending appeal;</w:t>
      </w:r>
    </w:p>
    <w:p>
      <w:pPr>
        <w:spacing w:after="0" w:line="146" w:lineRule="exact"/>
        <w:rPr>
          <w:rFonts w:ascii="Times New Roman" w:cs="Times New Roman" w:eastAsia="Times New Roman" w:hAnsi="Times New Roman"/>
          <w:sz w:val="21"/>
          <w:szCs w:val="21"/>
          <w:color w:val="auto"/>
        </w:rPr>
      </w:pPr>
    </w:p>
    <w:p>
      <w:pPr>
        <w:jc w:val="both"/>
        <w:ind w:left="6" w:firstLine="622"/>
        <w:spacing w:after="0" w:line="228" w:lineRule="auto"/>
        <w:tabs>
          <w:tab w:leader="none" w:pos="1259" w:val="left"/>
        </w:tabs>
        <w:numPr>
          <w:ilvl w:val="1"/>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of the following events shall occur or exist with respect to any Plan: (a) any Prohibited Transaction; (b) any Reportable Event; (c) the filing under Section 4041 of ERISA of a notice of intent to terminate any Plan or the termination of any Plan; (d) receipt of notice of an application by the PBGC to institute proceedings under Section 4042 of ERISA for the termination of, or for the appointment of a trustee to administer, any Plan, or the institution by the PBGC of any such proceedings; (e) a condition exists which gives rise to imposition of a lien under Section 412(n) or (f) of the Code on Borrower, General Partner or any ERISA Affiliate, and in each case above, if either (1) such event or conditions, if any, result in Borrower, General Partner or any ERISA Affiliate being subject to any tax, penalty or other liability to a Plan, the PBGC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86"/>
        <w:spacing w:after="0"/>
        <w:rPr>
          <w:sz w:val="20"/>
          <w:szCs w:val="20"/>
          <w:color w:val="auto"/>
        </w:rPr>
      </w:pPr>
      <w:r>
        <w:rPr>
          <w:rFonts w:ascii="Times New Roman" w:cs="Times New Roman" w:eastAsia="Times New Roman" w:hAnsi="Times New Roman"/>
          <w:sz w:val="21"/>
          <w:szCs w:val="21"/>
          <w:color w:val="auto"/>
        </w:rPr>
        <w:t>83</w:t>
      </w:r>
    </w:p>
    <w:p>
      <w:pPr>
        <w:sectPr>
          <w:pgSz w:w="11900" w:h="16838" w:orient="portrait"/>
          <w:cols w:equalWidth="0" w:num="1">
            <w:col w:w="10606"/>
          </w:cols>
          <w:pgMar w:left="954" w:top="1356" w:right="339" w:bottom="1440" w:gutter="0" w:footer="0" w:header="0"/>
        </w:sectPr>
      </w:pPr>
    </w:p>
    <w:bookmarkStart w:id="387" w:name="page388"/>
    <w:bookmarkEnd w:id="387"/>
    <w:p>
      <w:pPr>
        <w:jc w:val="both"/>
        <w:ind w:left="640"/>
        <w:spacing w:after="0" w:line="227" w:lineRule="auto"/>
        <w:rPr>
          <w:sz w:val="20"/>
          <w:szCs w:val="20"/>
          <w:color w:val="auto"/>
        </w:rPr>
      </w:pPr>
      <w:r>
        <w:rPr>
          <w:rFonts w:ascii="Times New Roman" w:cs="Times New Roman" w:eastAsia="Times New Roman" w:hAnsi="Times New Roman"/>
          <w:sz w:val="20"/>
          <w:szCs w:val="20"/>
          <w:color w:val="auto"/>
        </w:rPr>
        <w:t>otherwise (or any combination thereof), which in the aggregate exceeds or is reasonably likely to exceed Twenty Million Dollars ($20,000,000), and the same continues unremedied or unpaid for a period of forty-five (45) consecutive days after the date upon which such amount became due and payable or (2) such event or conditions, if any, is reasonably likely to result in Borrower, General Partner or any ERISA Affiliate being subject to any tax, penalty or other liability to a Plan, the PBGC or otherwise (or any combination thereof), which in the aggregate exceeds or may exceed Twenty Million Dollars ($20,000,000) and such event or condition is unremedied, or such tax, penalty or other liability is not reserved against or the payment thereof otherwise secured to the reasonable satisfaction of the Administrative Agent, for a period of forty-five (45) consecutive days after the later of (x) the date upon which such amount became due and payable and (y) notice from the Administrative Agent;</w:t>
      </w:r>
    </w:p>
    <w:p>
      <w:pPr>
        <w:spacing w:after="0" w:line="146" w:lineRule="exact"/>
        <w:rPr>
          <w:sz w:val="20"/>
          <w:szCs w:val="20"/>
          <w:color w:val="auto"/>
        </w:rPr>
      </w:pPr>
    </w:p>
    <w:p>
      <w:pPr>
        <w:jc w:val="both"/>
        <w:ind w:left="640" w:firstLine="622"/>
        <w:spacing w:after="0" w:line="216" w:lineRule="auto"/>
        <w:tabs>
          <w:tab w:leader="none" w:pos="1893" w:val="left"/>
        </w:tabs>
        <w:numPr>
          <w:ilvl w:val="1"/>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General Partner shall fail at any time to (i) maintain at least one class of its common shares which has trading privileges on the New York Stock Exchange or the American Stock Exchange or is the subject of price quotations in the over-the-counter market as reported by the National Association of Securities Dealers Automated Quotation System, or</w:t>
      </w:r>
    </w:p>
    <w:p>
      <w:pPr>
        <w:ind w:left="640" w:hanging="6"/>
        <w:spacing w:after="0" w:line="228" w:lineRule="auto"/>
        <w:tabs>
          <w:tab w:leader="none" w:pos="961" w:val="left"/>
        </w:tabs>
        <w:numPr>
          <w:ilvl w:val="0"/>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its status as a self-directed and self-administered REIT, and in either case such failure shall remain unremedied for thirty (30) consecutive calendar days after notice thereof;</w:t>
      </w:r>
    </w:p>
    <w:p>
      <w:pPr>
        <w:spacing w:after="0" w:line="145" w:lineRule="exact"/>
        <w:rPr>
          <w:rFonts w:ascii="Times New Roman" w:cs="Times New Roman" w:eastAsia="Times New Roman" w:hAnsi="Times New Roman"/>
          <w:sz w:val="21"/>
          <w:szCs w:val="21"/>
          <w:color w:val="auto"/>
        </w:rPr>
      </w:pPr>
    </w:p>
    <w:p>
      <w:pPr>
        <w:jc w:val="both"/>
        <w:ind w:left="640" w:firstLine="622"/>
        <w:spacing w:after="0" w:line="229" w:lineRule="auto"/>
        <w:tabs>
          <w:tab w:leader="none" w:pos="1893" w:val="left"/>
        </w:tabs>
        <w:numPr>
          <w:ilvl w:val="1"/>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General Partner acquires any material assets other than additional interests in Borrower or as permitted by Borrower’s partnership agreement and shall fail to dispose of any such material asset for thirty (30) consecutive calendar days after notice thereof;</w:t>
      </w:r>
    </w:p>
    <w:p>
      <w:pPr>
        <w:spacing w:after="0" w:line="147" w:lineRule="exact"/>
        <w:rPr>
          <w:rFonts w:ascii="Times New Roman" w:cs="Times New Roman" w:eastAsia="Times New Roman" w:hAnsi="Times New Roman"/>
          <w:sz w:val="21"/>
          <w:szCs w:val="21"/>
          <w:color w:val="auto"/>
        </w:rPr>
      </w:pPr>
    </w:p>
    <w:p>
      <w:pPr>
        <w:ind w:left="640" w:firstLine="622"/>
        <w:spacing w:after="0" w:line="241" w:lineRule="auto"/>
        <w:tabs>
          <w:tab w:leader="none" w:pos="1893" w:val="left"/>
        </w:tabs>
        <w:numPr>
          <w:ilvl w:val="1"/>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assets of the Borrower or General Partner constitute plan assets for ERISA purposes (within the meaning of C.F.R. § 2510.3-101, as modified by Section 3(42) of ERISA); </w:t>
      </w:r>
      <w:r>
        <w:rPr>
          <w:rFonts w:ascii="Times New Roman" w:cs="Times New Roman" w:eastAsia="Times New Roman" w:hAnsi="Times New Roman"/>
          <w:sz w:val="21"/>
          <w:szCs w:val="21"/>
          <w:color w:val="EE2724"/>
          <w:strike w:val="1"/>
        </w:rPr>
        <w:t>or</w:t>
      </w:r>
    </w:p>
    <w:p>
      <w:pPr>
        <w:spacing w:after="0" w:line="143"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1"/>
          <w:numId w:val="2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default beyond applicable notice and grace periods (if any) under any of the other Loan Documents; </w:t>
      </w:r>
      <w:r>
        <w:rPr>
          <w:rFonts w:ascii="Times New Roman" w:cs="Times New Roman" w:eastAsia="Times New Roman" w:hAnsi="Times New Roman"/>
          <w:sz w:val="21"/>
          <w:szCs w:val="21"/>
          <w:u w:val="single" w:color="auto"/>
          <w:color w:val="0E32E1"/>
        </w:rPr>
        <w:t>or</w:t>
      </w:r>
    </w:p>
    <w:p>
      <w:pPr>
        <w:spacing w:after="0" w:line="177" w:lineRule="exact"/>
        <w:rPr>
          <w:rFonts w:ascii="Times New Roman" w:cs="Times New Roman" w:eastAsia="Times New Roman" w:hAnsi="Times New Roman"/>
          <w:sz w:val="21"/>
          <w:szCs w:val="21"/>
          <w:color w:val="auto"/>
        </w:rPr>
      </w:pPr>
    </w:p>
    <w:p>
      <w:pPr>
        <w:jc w:val="both"/>
        <w:ind w:left="640" w:firstLine="622"/>
        <w:spacing w:after="0" w:line="221" w:lineRule="auto"/>
        <w:tabs>
          <w:tab w:leader="none" w:pos="1893" w:val="left"/>
        </w:tabs>
        <w:numPr>
          <w:ilvl w:val="1"/>
          <w:numId w:val="266"/>
        </w:numPr>
        <w:rPr>
          <w:rFonts w:ascii="Times New Roman" w:cs="Times New Roman" w:eastAsia="Times New Roman" w:hAnsi="Times New Roman"/>
          <w:sz w:val="21"/>
          <w:szCs w:val="21"/>
          <w:u w:val="single" w:color="auto"/>
          <w:color w:val="0E32E1"/>
        </w:rPr>
      </w:pPr>
      <w:r>
        <w:rPr>
          <w:rFonts w:ascii="Times New Roman" w:cs="Times New Roman" w:eastAsia="Times New Roman" w:hAnsi="Times New Roman"/>
          <w:sz w:val="21"/>
          <w:szCs w:val="21"/>
          <w:u w:val="single" w:color="auto"/>
          <w:color w:val="0E32E1"/>
        </w:rPr>
        <w:t>any material provision of any Loan Document (other than any Refinancing Mortgage), at any time after its execution and delivery and for any reason other than as expressly permitted hereunder or thereunder or satisfactions in full of all Obligations or with the express prior written agreement, consent or approval of the Required Banks, ceases to be in full force and effect, or any action at law, suit or in equity or other legal proceeding to make unenforceable, cancel, revoke or rescind any of the Loan Documents shall be commenced by or on behalf of the Borrower.</w:t>
      </w:r>
    </w:p>
    <w:p>
      <w:pPr>
        <w:spacing w:after="0" w:line="172"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9.02 </w:t>
      </w: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If any Event of Default shall occur and be continuing, Administrative Agent shall, upon request of the Required Banks, by notice to Borrower, (1) terminate the Loan Commitments, whereupon the Loan Commitments shall terminate and the Banks shall have no further obligation to extend credit hereunder; and/or (2) declare the unpaid balance of the Loans, all interest thereon, and all other Obligations payable under this Agreement to be forthwith due and payable, whereupon such balance, all such interest, and all such Obligations due under this Agreement shall become and be forthwith due and payable, without presentment, demand, protest, or further notice of any kind, all of which are hereby expressly waived by Borrower; (3) require that the Borrower provide cash collateral for Letters of Credit as required by Section 2.17(i); and/or (4) exercise any remedies provided in any of the Loan Documents or by law; provided, however, that upon the occurrence of any Event of Default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84</w:t>
      </w:r>
    </w:p>
    <w:p>
      <w:pPr>
        <w:sectPr>
          <w:pgSz w:w="11900" w:h="16838" w:orient="portrait"/>
          <w:cols w:equalWidth="0" w:num="1">
            <w:col w:w="11240"/>
          </w:cols>
          <w:pgMar w:left="320" w:top="1356" w:right="339" w:bottom="1440" w:gutter="0" w:footer="0" w:header="0"/>
        </w:sectPr>
      </w:pPr>
    </w:p>
    <w:bookmarkStart w:id="388" w:name="page389"/>
    <w:bookmarkEnd w:id="388"/>
    <w:p>
      <w:pPr>
        <w:jc w:val="both"/>
        <w:spacing w:after="0" w:line="258" w:lineRule="auto"/>
        <w:rPr>
          <w:sz w:val="20"/>
          <w:szCs w:val="20"/>
          <w:color w:val="auto"/>
        </w:rPr>
      </w:pPr>
      <w:r>
        <w:rPr>
          <w:rFonts w:ascii="Times New Roman" w:cs="Times New Roman" w:eastAsia="Times New Roman" w:hAnsi="Times New Roman"/>
          <w:sz w:val="21"/>
          <w:szCs w:val="21"/>
          <w:color w:val="auto"/>
        </w:rPr>
        <w:t>specified in Section 9.01(5), the Loan Commitments shall automatically terminate (and the Banks shall have no further obligation to extend credit hereunder) and the unpaid balance of the Loans, all interest thereon, and all other Obligations payable under this Agreement shall automatically be and become forthwith due and payable and the obligation to provide cash collateral for Letters of Credit as provided in Section 2.17(i) shall automatically become effective, in each case, without presentment, demand, protest, or further notice of any kind, all of which are hereby expressly waived by Borrower.</w:t>
      </w:r>
    </w:p>
    <w:p>
      <w:pPr>
        <w:spacing w:after="0" w:line="64"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21"/>
          <w:szCs w:val="21"/>
          <w:color w:val="auto"/>
        </w:rPr>
        <w:t xml:space="preserve">SECTION 9.03 </w:t>
      </w:r>
      <w:r>
        <w:rPr>
          <w:rFonts w:ascii="Times New Roman" w:cs="Times New Roman" w:eastAsia="Times New Roman" w:hAnsi="Times New Roman"/>
          <w:sz w:val="21"/>
          <w:szCs w:val="21"/>
          <w:u w:val="single" w:color="auto"/>
          <w:color w:val="auto"/>
        </w:rPr>
        <w:t>Application of Payments</w:t>
      </w:r>
      <w:r>
        <w:rPr>
          <w:rFonts w:ascii="Times New Roman" w:cs="Times New Roman" w:eastAsia="Times New Roman" w:hAnsi="Times New Roman"/>
          <w:sz w:val="21"/>
          <w:szCs w:val="21"/>
          <w:color w:val="auto"/>
        </w:rPr>
        <w:t>. Notwithstanding anything herein to the contrary, following the occurrence and during the continuance of an Event of Default, and notice thereof to the Administrative Agent by the Borrower or the Required Banks:</w:t>
      </w:r>
    </w:p>
    <w:p>
      <w:pPr>
        <w:spacing w:after="0" w:line="1" w:lineRule="exact"/>
        <w:rPr>
          <w:sz w:val="20"/>
          <w:szCs w:val="20"/>
          <w:color w:val="auto"/>
        </w:rPr>
      </w:pPr>
    </w:p>
    <w:p>
      <w:pPr>
        <w:ind w:firstLine="634"/>
        <w:spacing w:after="0" w:line="241" w:lineRule="auto"/>
        <w:tabs>
          <w:tab w:leader="none" w:pos="1254"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payments received on account of the Obligations shall, subject to Section 12.20, be applied by the Administrative Agent as follows:</w:t>
      </w:r>
    </w:p>
    <w:p>
      <w:pPr>
        <w:spacing w:after="0" w:line="143" w:lineRule="exact"/>
        <w:rPr>
          <w:rFonts w:ascii="Times New Roman" w:cs="Times New Roman" w:eastAsia="Times New Roman" w:hAnsi="Times New Roman"/>
          <w:sz w:val="21"/>
          <w:szCs w:val="21"/>
          <w:color w:val="auto"/>
        </w:rPr>
      </w:pPr>
    </w:p>
    <w:p>
      <w:pPr>
        <w:jc w:val="both"/>
        <w:ind w:left="640" w:firstLine="622"/>
        <w:spacing w:after="0" w:line="224" w:lineRule="auto"/>
        <w:tabs>
          <w:tab w:leader="none" w:pos="1885" w:val="left"/>
        </w:tabs>
        <w:numPr>
          <w:ilvl w:val="1"/>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to payment of that portion of the Obligations constituting fees, indemnities, expenses and other amounts payable to the Administrative Agent (including fees and disbursements and other charges of counsel to the Administrative Agent payable under Section 12.04 and amounts pursuant to any separate fee letter payable to the Administrative Agent in its capacity as such);</w:t>
      </w:r>
    </w:p>
    <w:p>
      <w:pPr>
        <w:spacing w:after="0" w:line="146" w:lineRule="exact"/>
        <w:rPr>
          <w:rFonts w:ascii="Times New Roman" w:cs="Times New Roman" w:eastAsia="Times New Roman" w:hAnsi="Times New Roman"/>
          <w:sz w:val="21"/>
          <w:szCs w:val="21"/>
          <w:color w:val="auto"/>
        </w:rPr>
      </w:pPr>
    </w:p>
    <w:p>
      <w:pPr>
        <w:jc w:val="both"/>
        <w:ind w:left="640" w:firstLine="622"/>
        <w:spacing w:after="0" w:line="221" w:lineRule="auto"/>
        <w:tabs>
          <w:tab w:leader="none" w:pos="1891" w:val="left"/>
        </w:tabs>
        <w:numPr>
          <w:ilvl w:val="1"/>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second, to payment of that portion of the Obligations constituting fees, expenses, indemnities and other amounts (other than principal, reimbursement obligations in respect of Letters of Credit, interest and Letter of Credit fees) payable to the Banks and the Fronting Banks (including fees and disbursements and other charges of counsel to the Banks and the Fronting Banks payable under Section 12.04) arising under the Loan Documents, ratably among them in proportion to the respective amounts described in this clause (ii) payable to them;</w:t>
      </w:r>
    </w:p>
    <w:p>
      <w:pPr>
        <w:spacing w:after="0" w:line="145" w:lineRule="exact"/>
        <w:rPr>
          <w:rFonts w:ascii="Times New Roman" w:cs="Times New Roman" w:eastAsia="Times New Roman" w:hAnsi="Times New Roman"/>
          <w:sz w:val="21"/>
          <w:szCs w:val="21"/>
          <w:color w:val="auto"/>
        </w:rPr>
      </w:pPr>
    </w:p>
    <w:p>
      <w:pPr>
        <w:jc w:val="both"/>
        <w:ind w:left="640" w:firstLine="622"/>
        <w:spacing w:after="0" w:line="224" w:lineRule="auto"/>
        <w:tabs>
          <w:tab w:leader="none" w:pos="1897" w:val="left"/>
        </w:tabs>
        <w:numPr>
          <w:ilvl w:val="1"/>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third, to payment of that portion of the Obligations constituting accrued and unpaid Letter of Credit fees and charges and interest on the Loans and unreimbursed payments made by a Fronting Bank pursuant to a Letter of Credit, ratably among the Banks and the Fronting Banks in proportion to the respective amounts described in this clause (iii) payable to them;</w:t>
      </w:r>
    </w:p>
    <w:p>
      <w:pPr>
        <w:spacing w:after="0" w:line="146" w:lineRule="exact"/>
        <w:rPr>
          <w:rFonts w:ascii="Times New Roman" w:cs="Times New Roman" w:eastAsia="Times New Roman" w:hAnsi="Times New Roman"/>
          <w:sz w:val="21"/>
          <w:szCs w:val="21"/>
          <w:color w:val="auto"/>
        </w:rPr>
      </w:pPr>
    </w:p>
    <w:p>
      <w:pPr>
        <w:jc w:val="both"/>
        <w:ind w:left="640" w:firstLine="622"/>
        <w:spacing w:after="0" w:line="214" w:lineRule="auto"/>
        <w:tabs>
          <w:tab w:leader="none" w:pos="1885" w:val="left"/>
        </w:tabs>
        <w:numPr>
          <w:ilvl w:val="1"/>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fourth, (a) to payment of that portion of the Obligations constituting unpaid principal of the Loans and unreimbursed payments made by a Fronting Bank pursuant to a Letter of Credit and (b) to cash collateralize that portion of LC Exposure comprising the undrawn amount of Letters of Credit to the extent not otherwise cash collateralized by the Borrower pursuant to Section 2.17(i) or Section 12.20, ratably among the Banks and the Fronting Banks in proportion to the respective amounts described in this clause (iv) payable to them; provided that (x) any such amounts applied pursuant to subclause (B) above shall be paid to the Administrative Agent for the ratable account of the applicable Fronting Banks to cash collateralize Obligations in respect of Letters of Credit, (y) subject to Section 2.17(i) or Section 12.20, amounts used to cash collateralize the aggregate amount of Letters of Credit pursuant to this clause (iv) shall be used to satisfy drawings under such Letters of Credit as they occur and (z) upon the expiration of any Letter of Credit (without any pending drawings), the pro rata share of cash collateral shall be distributed to the other Obligations, if any, in the order set forth in this Section 9.03;</w:t>
      </w:r>
    </w:p>
    <w:p>
      <w:pPr>
        <w:spacing w:after="0" w:line="152" w:lineRule="exact"/>
        <w:rPr>
          <w:rFonts w:ascii="Times New Roman" w:cs="Times New Roman" w:eastAsia="Times New Roman" w:hAnsi="Times New Roman"/>
          <w:sz w:val="21"/>
          <w:szCs w:val="21"/>
          <w:color w:val="auto"/>
        </w:rPr>
      </w:pPr>
    </w:p>
    <w:p>
      <w:pPr>
        <w:ind w:left="640" w:firstLine="622"/>
        <w:spacing w:after="0" w:line="241" w:lineRule="auto"/>
        <w:tabs>
          <w:tab w:leader="none" w:pos="1893" w:val="left"/>
        </w:tabs>
        <w:numPr>
          <w:ilvl w:val="1"/>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fifth, to the payment in full of all other Obligations, in each case ratably among the Administrative Agent, the Banks and the Fronting Banks based upon the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85</w:t>
      </w:r>
    </w:p>
    <w:p>
      <w:pPr>
        <w:sectPr>
          <w:pgSz w:w="11900" w:h="16838" w:orient="portrait"/>
          <w:cols w:equalWidth="0" w:num="1">
            <w:col w:w="11240"/>
          </w:cols>
          <w:pgMar w:left="320" w:top="1382" w:right="339" w:bottom="1440" w:gutter="0" w:footer="0" w:header="0"/>
        </w:sectPr>
      </w:pPr>
    </w:p>
    <w:bookmarkStart w:id="389" w:name="page390"/>
    <w:bookmarkEnd w:id="389"/>
    <w:p>
      <w:pPr>
        <w:ind w:left="640"/>
        <w:spacing w:after="0" w:line="241" w:lineRule="auto"/>
        <w:rPr>
          <w:sz w:val="20"/>
          <w:szCs w:val="20"/>
          <w:color w:val="auto"/>
        </w:rPr>
      </w:pPr>
      <w:r>
        <w:rPr>
          <w:rFonts w:ascii="Times New Roman" w:cs="Times New Roman" w:eastAsia="Times New Roman" w:hAnsi="Times New Roman"/>
          <w:sz w:val="21"/>
          <w:szCs w:val="21"/>
          <w:color w:val="auto"/>
        </w:rPr>
        <w:t>respective aggregate amounts of all such Obligations owing to them in accordance with the respective amounts thereof then due and payable; and</w:t>
      </w:r>
    </w:p>
    <w:p>
      <w:pPr>
        <w:spacing w:after="0" w:line="144" w:lineRule="exact"/>
        <w:rPr>
          <w:sz w:val="20"/>
          <w:szCs w:val="20"/>
          <w:color w:val="auto"/>
        </w:rPr>
      </w:pPr>
    </w:p>
    <w:p>
      <w:pPr>
        <w:ind w:left="640" w:firstLine="622"/>
        <w:spacing w:after="0" w:line="241" w:lineRule="auto"/>
        <w:tabs>
          <w:tab w:leader="none" w:pos="1885"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finally, the balance, if any, after all Obligations have been indefeasibly paid in full, to the Borrower or as otherwise required by law; and</w:t>
      </w:r>
    </w:p>
    <w:p>
      <w:pPr>
        <w:spacing w:after="0" w:line="143" w:lineRule="exact"/>
        <w:rPr>
          <w:rFonts w:ascii="Times New Roman" w:cs="Times New Roman" w:eastAsia="Times New Roman" w:hAnsi="Times New Roman"/>
          <w:sz w:val="21"/>
          <w:szCs w:val="21"/>
          <w:color w:val="auto"/>
        </w:rPr>
      </w:pPr>
    </w:p>
    <w:p>
      <w:pPr>
        <w:jc w:val="both"/>
        <w:ind w:firstLine="634"/>
        <w:spacing w:after="0" w:line="241" w:lineRule="auto"/>
        <w:tabs>
          <w:tab w:leader="none" w:pos="1253"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amount remains on deposit as cash collateral after all Letters of Credit have either been fully drawn or expired (without any pending drawings), such remaining amount shall be applied to the other Obligations, if any, in the order set forth above.</w:t>
      </w:r>
    </w:p>
    <w:p>
      <w:pPr>
        <w:spacing w:after="0" w:line="14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ARTICLE X</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ADMINISTRATIVE AGENT; RELATIONS AMONG BANKS</w:t>
      </w:r>
    </w:p>
    <w:p>
      <w:pPr>
        <w:spacing w:after="0" w:line="204"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10.01 </w:t>
      </w:r>
      <w:r>
        <w:rPr>
          <w:rFonts w:ascii="Times New Roman" w:cs="Times New Roman" w:eastAsia="Times New Roman" w:hAnsi="Times New Roman"/>
          <w:sz w:val="21"/>
          <w:szCs w:val="21"/>
          <w:u w:val="single" w:color="auto"/>
          <w:color w:val="auto"/>
        </w:rPr>
        <w:t>Appointment, Powers and Immunities of Administrative Agent</w:t>
      </w:r>
      <w:r>
        <w:rPr>
          <w:rFonts w:ascii="Times New Roman" w:cs="Times New Roman" w:eastAsia="Times New Roman" w:hAnsi="Times New Roman"/>
          <w:sz w:val="21"/>
          <w:szCs w:val="21"/>
          <w:color w:val="auto"/>
        </w:rPr>
        <w:t>. Each Bank and each Fronting Bank hereby irrevocably appoints and authorizes Administrative Agent to act as its agent hereunder and under any other Loan Document with such powers as are specifically delegated to Administrative Agent by the terms of this Agreement and any other Loan Document, together with such other powers as are reasonably incidental thereto. Administrative Agent shall have no duties or responsibilities except those expressly set forth in this Agreement and any other Loan Document or required by law and its duties are entirely mechanical and administrative in nature. The motivations of the Administrative Agent are commercial in nature and not to invest in the general performance or operations of the Borrower. Administrative Agent shall not by reason of this Agreement be a fiduciary or trustee for any Bank except to the extent that Administrative Agent acts as an agent with respect to the receipt or payment of funds (nor shall Administrative Agent have any fiduciary duty to Borrower nor shall any Bank have any fiduciary duty to Borrower or to any other Bank)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Bank agrees that it will not assert any claim against the Administrative Agent based on an alleged breach of fiduciary duty by the Administrative Agent in connection with this Agreement and the transactions contemplated hereby. Administrative Agent shall not be responsible to the Banks for any recitals, statements, representations or warranties made by Borrower or any officer, partner or official of Borrower or any other Person contained in this Agreement or any other Loan Document, or in any certificate or other document or instrument referred to or provided for in, or received by any of them under, this Agreement or any other Loan Document, or for the value, legality, validity, effectiveness, genuineness, enforceability or sufficiency of this Agreement or any other Loan Document or any other document or instrument referred to or provided for herein or therein (including, for the avoidance of doubt, in connection with the Administrative Agent’s reliance on any Electronic Signature transmitted by telecopy, emailed pdf. or any other electronic means that reproduces an image of an actual executed signature page), for the perfection or priority of any Lien securing the Obligations or for any failure by Borrower to perform any of its obligations hereunder or thereunder. Administrative Agent may employ agents and attorneys-in-fact and shall not be responsible, except as to money or securities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86</w:t>
      </w:r>
    </w:p>
    <w:p>
      <w:pPr>
        <w:sectPr>
          <w:pgSz w:w="11900" w:h="16838" w:orient="portrait"/>
          <w:cols w:equalWidth="0" w:num="1">
            <w:col w:w="11240"/>
          </w:cols>
          <w:pgMar w:left="320" w:top="1356" w:right="339" w:bottom="1440" w:gutter="0" w:footer="0" w:header="0"/>
        </w:sectPr>
      </w:pPr>
    </w:p>
    <w:bookmarkStart w:id="390" w:name="page391"/>
    <w:bookmarkEnd w:id="390"/>
    <w:p>
      <w:pPr>
        <w:jc w:val="both"/>
        <w:spacing w:after="0" w:line="255" w:lineRule="auto"/>
        <w:rPr>
          <w:sz w:val="20"/>
          <w:szCs w:val="20"/>
          <w:color w:val="auto"/>
        </w:rPr>
      </w:pPr>
      <w:r>
        <w:rPr>
          <w:rFonts w:ascii="Times New Roman" w:cs="Times New Roman" w:eastAsia="Times New Roman" w:hAnsi="Times New Roman"/>
          <w:sz w:val="21"/>
          <w:szCs w:val="21"/>
          <w:color w:val="auto"/>
        </w:rPr>
        <w:t>received by it or its authorized agents, for the negligence or misconduct of any such agents or attorneys-in-fact except to the extent that a court of competent jurisdiction determines in a final and nonappealable judgment that the Administrative Agent acted with gross negligence or willful misconduct in the selection of such agent or attorney-in-fact. Neither Administrative Agent nor any of its directors, officers, employees or agents shall be liable or responsible for any action taken or omitted to be taken by it or them hereunder or under any other Loan Document or in connection herewith or therewith, except for its or their own gross negligence or willful misconduct as determined by a court of competent jurisdiction in a final and non-appealable judgment. Borrower shall pay any fee agreed to by Borrower and Administrative Agent with respect to Administrative Agent’s services hereunder.</w:t>
      </w:r>
    </w:p>
    <w:p>
      <w:pPr>
        <w:spacing w:after="0" w:line="64"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10.02 </w:t>
      </w:r>
      <w:r>
        <w:rPr>
          <w:rFonts w:ascii="Times New Roman" w:cs="Times New Roman" w:eastAsia="Times New Roman" w:hAnsi="Times New Roman"/>
          <w:sz w:val="21"/>
          <w:szCs w:val="21"/>
          <w:u w:val="single" w:color="auto"/>
          <w:color w:val="auto"/>
        </w:rPr>
        <w:t>Reliance by Administrative Agent</w:t>
      </w:r>
      <w:r>
        <w:rPr>
          <w:rFonts w:ascii="Times New Roman" w:cs="Times New Roman" w:eastAsia="Times New Roman" w:hAnsi="Times New Roman"/>
          <w:sz w:val="21"/>
          <w:szCs w:val="21"/>
          <w:color w:val="auto"/>
        </w:rPr>
        <w:t xml:space="preserve">. Administrative Agent shall be entitled to rely upon any certification, notice or other communication (including any thereof by telephone, telefax or cable) believed by it to be genuine and correct and to have been signed or sent by or on behalf of the proper Person or Persons, and upon advice and statements of legal counsel, independent accountants and other experts selected by Administrative Agent. Administrative Agent may deem and treat each Bank as the holder of the Loan made by it for all purposes hereof and shall not be required to deal with any Person who has acquired a participation in any Loan or participation from a Bank. As to any matters not expressly provided for by this Agreement or any other Loan Document, Administrative Agent shall not be required to exercise any discretion or take any action, but shall be required to act or refrain from acting (and shall in all cases be fully protected in acting, or in refraining from acting) hereunder in accordance with instructions signed by the Required Banks (or such other number or percentage of Banks required hereunder), and such instructions and any action taken or failure to act pursuant thereto shall be binding on all of the Banks and any other holder of all or any portion of any Loan or participation;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Administrative Agent may seek clarification or direction from the Required Banks prior to the exercise of any such instructed action and may refrain from acting until such clarification or direction has been provided.</w:t>
      </w:r>
    </w:p>
    <w:p>
      <w:pPr>
        <w:spacing w:after="0" w:line="73"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Article IV or elsewhere in any Loan Document, other than to confirm</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87</w:t>
      </w:r>
    </w:p>
    <w:p>
      <w:pPr>
        <w:sectPr>
          <w:pgSz w:w="11900" w:h="16838" w:orient="portrait"/>
          <w:cols w:equalWidth="0" w:num="1">
            <w:col w:w="11240"/>
          </w:cols>
          <w:pgMar w:left="320" w:top="1382" w:right="339" w:bottom="1440" w:gutter="0" w:footer="0" w:header="0"/>
        </w:sectPr>
      </w:pPr>
    </w:p>
    <w:bookmarkStart w:id="391" w:name="page392"/>
    <w:bookmarkEnd w:id="391"/>
    <w:p>
      <w:pPr>
        <w:jc w:val="both"/>
        <w:spacing w:after="0" w:line="263" w:lineRule="auto"/>
        <w:rPr>
          <w:sz w:val="20"/>
          <w:szCs w:val="20"/>
          <w:color w:val="auto"/>
        </w:rPr>
      </w:pPr>
      <w:r>
        <w:rPr>
          <w:rFonts w:ascii="Times New Roman" w:cs="Times New Roman" w:eastAsia="Times New Roman" w:hAnsi="Times New Roman"/>
          <w:sz w:val="21"/>
          <w:szCs w:val="21"/>
          <w:color w:val="auto"/>
        </w:rPr>
        <w:t>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175"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Without limiting the foregoing, the Administrative Agent (i) may treat the payee of any promissory note as its holder until such promissory note has been assigned in accordance with Section 12.05, (ii) may rely on the Register to the extent set forth in Section 12.05(c),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Bank and shall not be responsible to any Bank for any statements, warranties or representations made by or on behalf of the Borrower in connection with this Agreement or any other Loan Document, (v) in determining compliance with any condition hereunder to the making of a Loan, or the issuance of a Letter of Credit, that by its terms must be fulfilled to the satisfaction of a Bank, may presume that such condition is satisfactory to such Bank unless the Administrative Agent shall have received notice to the contrary from such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81"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10.03 </w:t>
      </w:r>
      <w:r>
        <w:rPr>
          <w:rFonts w:ascii="Times New Roman" w:cs="Times New Roman" w:eastAsia="Times New Roman" w:hAnsi="Times New Roman"/>
          <w:sz w:val="21"/>
          <w:szCs w:val="21"/>
          <w:u w:val="single" w:color="auto"/>
          <w:color w:val="auto"/>
        </w:rPr>
        <w:t>Defaults</w:t>
      </w:r>
      <w:r>
        <w:rPr>
          <w:rFonts w:ascii="Times New Roman" w:cs="Times New Roman" w:eastAsia="Times New Roman" w:hAnsi="Times New Roman"/>
          <w:sz w:val="21"/>
          <w:szCs w:val="21"/>
          <w:color w:val="auto"/>
        </w:rPr>
        <w:t xml:space="preserve">. Administrative Agent shall not be deemed to have knowledge of the occurrence of a Default or Event of Default (other than an Event of Default pursuant to Section 9.01(1)) unless Administrative Agent has received notice from a Bank or Borrower specifying such Default or Event of Default and stating that such notice is a “Notice of Default.” In the event that Administrative Agent receives a Notice of Default, Administrative Agent shall give prompt notice thereof to the Banks. Administrative Agent, following consultation with the Banks, shall (subject to Section 10.07 and Section 12.02) take such action with respect to such Default or Event of Default which is continuing as shall be directed by the Required Banks;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unless and until Administrative Agent shall have received such directions, Administrative Agent may take such action, or refrain from taking such action, with respect to such Default or Event of Default as it shall deem advisable in the best interest of the Banks;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Administrative Agent shall not send a notice of Default, Event of Default or acceleration to Borrower without the approval of the Required Banks. In no event shall Administrative Agent be required to take any such action which it determines to be contrary to law.</w:t>
      </w:r>
    </w:p>
    <w:p>
      <w:pPr>
        <w:spacing w:after="0" w:line="16"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10.04 </w:t>
      </w:r>
      <w:r>
        <w:rPr>
          <w:rFonts w:ascii="Times New Roman" w:cs="Times New Roman" w:eastAsia="Times New Roman" w:hAnsi="Times New Roman"/>
          <w:sz w:val="21"/>
          <w:szCs w:val="21"/>
          <w:u w:val="single" w:color="auto"/>
          <w:color w:val="auto"/>
        </w:rPr>
        <w:t>Rights of Agent as a Bank</w:t>
      </w:r>
      <w:r>
        <w:rPr>
          <w:rFonts w:ascii="Times New Roman" w:cs="Times New Roman" w:eastAsia="Times New Roman" w:hAnsi="Times New Roman"/>
          <w:sz w:val="21"/>
          <w:szCs w:val="21"/>
          <w:color w:val="auto"/>
        </w:rPr>
        <w:t>. With respect to its Loan Commitment and the Loan provided by it, each Person serving as an Agent in its capacity as a Bank hereunder shall have the same rights and powers hereunder as any other Bank and may exercise the same as though it were not acting as such Agent, and the term any “Bank” or “Banks” shall include each Person serving as an Agent in its capacity as a Bank. Each Person serving as an Agent and its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88</w:t>
      </w:r>
    </w:p>
    <w:p>
      <w:pPr>
        <w:sectPr>
          <w:pgSz w:w="11900" w:h="16838" w:orient="portrait"/>
          <w:cols w:equalWidth="0" w:num="1">
            <w:col w:w="11240"/>
          </w:cols>
          <w:pgMar w:left="320" w:top="1382" w:right="339" w:bottom="1440" w:gutter="0" w:footer="0" w:header="0"/>
        </w:sectPr>
      </w:pPr>
    </w:p>
    <w:bookmarkStart w:id="392" w:name="page393"/>
    <w:bookmarkEnd w:id="392"/>
    <w:p>
      <w:pPr>
        <w:jc w:val="both"/>
        <w:spacing w:after="0" w:line="263" w:lineRule="auto"/>
        <w:rPr>
          <w:sz w:val="20"/>
          <w:szCs w:val="20"/>
          <w:color w:val="auto"/>
        </w:rPr>
      </w:pPr>
      <w:r>
        <w:rPr>
          <w:rFonts w:ascii="Times New Roman" w:cs="Times New Roman" w:eastAsia="Times New Roman" w:hAnsi="Times New Roman"/>
          <w:sz w:val="21"/>
          <w:szCs w:val="21"/>
          <w:color w:val="auto"/>
        </w:rPr>
        <w:t>Affiliates may (without having to account therefor to any Bank) accept deposits from, lend money to (on a secured or unsecured basis), and generally engage in any kind of banking, trust or other business with, Borrower (and any Affiliates of Borrower) as if it were not acting as such Agent.</w:t>
      </w:r>
    </w:p>
    <w:p>
      <w:pPr>
        <w:spacing w:after="0" w:line="71"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10.05 </w:t>
      </w:r>
      <w:r>
        <w:rPr>
          <w:rFonts w:ascii="Times New Roman" w:cs="Times New Roman" w:eastAsia="Times New Roman" w:hAnsi="Times New Roman"/>
          <w:sz w:val="21"/>
          <w:szCs w:val="21"/>
          <w:u w:val="single" w:color="auto"/>
          <w:color w:val="auto"/>
        </w:rPr>
        <w:t>Indemnification of Agents</w:t>
      </w:r>
      <w:r>
        <w:rPr>
          <w:rFonts w:ascii="Times New Roman" w:cs="Times New Roman" w:eastAsia="Times New Roman" w:hAnsi="Times New Roman"/>
          <w:sz w:val="21"/>
          <w:szCs w:val="21"/>
          <w:color w:val="auto"/>
        </w:rPr>
        <w:t xml:space="preserve">. Each Bank agrees to indemnify each Agent (to the extent not reimbursed under Section 12.04 or under the applicable provisions of any other Loan Document, but without limiting the obligations of Borrower under Section 12.04 or such provisions), for its Pro Rata Share of any and all liabilities, obligations, losses, damages, penalties, actions, judgments, suits, costs, expenses or disbursements of any kind and nature whatsoever which may be imposed on, incurred by or asserted against such Agent in any way relating to or arising out of this Agreement, any other Loan Document or any other documents contemplated by or referred to herein or the transactions contemplated hereby or thereby (including, without limitation, the costs and expenses which Borrower is obligated to pay under Section 12.04) or under the applicable provisions of any other Loan Document or the enforcement of any of the terms hereof or thereof or of any such other documents or instruments; provided that no Bank shall be liable for (1) any of the foregoing to the extent they arise from the gross negligence or willful misconduct </w:t>
      </w:r>
      <w:r>
        <w:rPr>
          <w:rFonts w:ascii="Times New Roman" w:cs="Times New Roman" w:eastAsia="Times New Roman" w:hAnsi="Times New Roman"/>
          <w:sz w:val="21"/>
          <w:szCs w:val="21"/>
          <w:u w:val="single" w:color="auto"/>
          <w:color w:val="0E32E1"/>
        </w:rPr>
        <w:t>(as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determined by a court of competent jurisdiction in a final and non-appealable judgment)</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of the party to be indemnified, (2) any loss</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of principal or interest with respect to the Loan of any Bank serving as an Agent or (3) any loss suffered by such Agent in connection with a swap or other interest rate hedging arrangement entered into with Borrower.</w:t>
      </w:r>
    </w:p>
    <w:p>
      <w:pPr>
        <w:spacing w:after="0" w:line="75"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10.06 </w:t>
      </w:r>
      <w:r>
        <w:rPr>
          <w:rFonts w:ascii="Times New Roman" w:cs="Times New Roman" w:eastAsia="Times New Roman" w:hAnsi="Times New Roman"/>
          <w:sz w:val="21"/>
          <w:szCs w:val="21"/>
          <w:u w:val="single" w:color="auto"/>
          <w:color w:val="auto"/>
        </w:rPr>
        <w:t>Non-Reliance on Agents and Other Banks</w:t>
      </w:r>
      <w:r>
        <w:rPr>
          <w:rFonts w:ascii="Times New Roman" w:cs="Times New Roman" w:eastAsia="Times New Roman" w:hAnsi="Times New Roman"/>
          <w:sz w:val="21"/>
          <w:szCs w:val="21"/>
          <w:color w:val="auto"/>
        </w:rPr>
        <w:t xml:space="preserve">. Each Bank represents and warrants that (i) the Loan Documents set forth the terms of a commercial lending facility, (ii) </w:t>
      </w:r>
      <w:r>
        <w:rPr>
          <w:rFonts w:ascii="Times New Roman" w:cs="Times New Roman" w:eastAsia="Times New Roman" w:hAnsi="Times New Roman"/>
          <w:sz w:val="21"/>
          <w:szCs w:val="21"/>
          <w:u w:val="single" w:color="auto"/>
          <w:color w:val="0E32E1"/>
        </w:rPr>
        <w:t>in participating as a Bank,</w:t>
      </w:r>
      <w:r>
        <w:rPr>
          <w:rFonts w:ascii="Times New Roman" w:cs="Times New Roman" w:eastAsia="Times New Roman" w:hAnsi="Times New Roman"/>
          <w:sz w:val="21"/>
          <w:szCs w:val="21"/>
          <w:color w:val="auto"/>
        </w:rPr>
        <w:t xml:space="preserve"> it is engaged in making, acquiring or holding commercial loans and in providing other facilities set forth herein as may be applicable to such Bank, in each case in the ordinary course of business, and </w:t>
      </w:r>
      <w:r>
        <w:rPr>
          <w:rFonts w:ascii="Times New Roman" w:cs="Times New Roman" w:eastAsia="Times New Roman" w:hAnsi="Times New Roman"/>
          <w:sz w:val="21"/>
          <w:szCs w:val="21"/>
          <w:color w:val="EE2724"/>
          <w:strike w:val="1"/>
        </w:rPr>
        <w:t>is making the loans hereunder as commercial loans in the ordinary course of its business and not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not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for the purpose of investing in the general performance or operations of the Borrower, or</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for the purpose of purchasing, acquiring or</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 xml:space="preserve">holding any other type of financial instrument </w:t>
      </w:r>
      <w:r>
        <w:rPr>
          <w:rFonts w:ascii="Times New Roman" w:cs="Times New Roman" w:eastAsia="Times New Roman" w:hAnsi="Times New Roman"/>
          <w:sz w:val="21"/>
          <w:szCs w:val="21"/>
          <w:u w:val="single" w:color="auto"/>
          <w:color w:val="0E32E1"/>
        </w:rPr>
        <w:t>such as a security (and each Bank agrees not to assert a claim in contravention of the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E32E1"/>
        </w:rPr>
        <w:t>foregoing, such as a claim under the federal or state securities laws)</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and (iii) it is sophisticated with respect to decisions to make,</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acquire and/or hold commercial loans and to provide other facilities set forth herein</w:t>
      </w:r>
      <w:r>
        <w:rPr>
          <w:rFonts w:ascii="Times New Roman" w:cs="Times New Roman" w:eastAsia="Times New Roman" w:hAnsi="Times New Roman"/>
          <w:sz w:val="21"/>
          <w:szCs w:val="21"/>
          <w:u w:val="single" w:color="auto"/>
          <w:color w:val="0E32E1"/>
        </w:rPr>
        <w:t>, and either it, or the Person exercising discretion</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E32E1"/>
        </w:rPr>
        <w:t>in making its decision to make, acquire and/or hold such commercial loans or to provide such other facilities, is experienced in making, acquiring or holding such commercial loans or providing such other facilities</w:t>
      </w:r>
      <w:r>
        <w:rPr>
          <w:rFonts w:ascii="Times New Roman" w:cs="Times New Roman" w:eastAsia="Times New Roman" w:hAnsi="Times New Roman"/>
          <w:sz w:val="21"/>
          <w:szCs w:val="21"/>
          <w:color w:val="000000"/>
        </w:rPr>
        <w:t>. Each Bank agrees that it has, independently</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 xml:space="preserve">and without reliance on any Agent or any other Bank, and based on such documents and information as it has deemed appropriate, made its own credit analysis of Borrower and the decision to enter into this Agreement </w:t>
      </w:r>
      <w:r>
        <w:rPr>
          <w:rFonts w:ascii="Times New Roman" w:cs="Times New Roman" w:eastAsia="Times New Roman" w:hAnsi="Times New Roman"/>
          <w:sz w:val="21"/>
          <w:szCs w:val="21"/>
          <w:u w:val="single" w:color="auto"/>
          <w:color w:val="0E32E1"/>
        </w:rPr>
        <w:t>as a Bank and to make, acquire or hold Loans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E32E1"/>
        </w:rPr>
        <w:t>hereunder</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and that it will, independently and without reliance upon any Agent or any other Bank, and based on such documents and</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information as it shall deem appropriate at the time, continue to make its own analysis and decisions in taking or not taking action under this Agreement or any other Loan Document. Each Agent shall not be required to keep itself informed as to the performance or observance by Borrower of this Agreement or any other Loan Document or any other document referred to or provided for herein or therein or to inspect the properties or books of Borrower.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89</w:t>
      </w:r>
    </w:p>
    <w:p>
      <w:pPr>
        <w:sectPr>
          <w:pgSz w:w="11900" w:h="16838" w:orient="portrait"/>
          <w:cols w:equalWidth="0" w:num="1">
            <w:col w:w="11240"/>
          </w:cols>
          <w:pgMar w:left="320" w:top="1382" w:right="339" w:bottom="1440" w:gutter="0" w:footer="0" w:header="0"/>
        </w:sectPr>
      </w:pPr>
    </w:p>
    <w:bookmarkStart w:id="393" w:name="page394"/>
    <w:bookmarkEnd w:id="393"/>
    <w:p>
      <w:pPr>
        <w:jc w:val="both"/>
        <w:spacing w:after="0" w:line="253" w:lineRule="auto"/>
        <w:rPr>
          <w:sz w:val="20"/>
          <w:szCs w:val="20"/>
          <w:color w:val="auto"/>
        </w:rPr>
      </w:pPr>
      <w:r>
        <w:rPr>
          <w:rFonts w:ascii="Times New Roman" w:cs="Times New Roman" w:eastAsia="Times New Roman" w:hAnsi="Times New Roman"/>
          <w:sz w:val="21"/>
          <w:szCs w:val="21"/>
          <w:color w:val="auto"/>
        </w:rPr>
        <w:t>Except for notices, reports and other documents and information expressly required to be furnished to the Banks by any Agent hereunder, each Agent shall not have any duty or responsibility to provide any Bank with any credit or other information concerning the affairs, financial condition or business of Borrower (or any Affiliate of Borrower) which may come into the possession of such Agent or any of its Affiliates. Each Agent shall not be required to file this Agreement, any other Loan Document or any document or instrument referred to herein or therein for record, or give notice of this Agreement, any other Loan Document or any document or instrument referred to herein or therein, to anyone. Each Bank, by delivering its signature page to this Agreement on the Closing Date, or delivering its signature page to an Assignment and Assumption Agreement or any other Loan Document pursuant to which it shall become a Bank hereunder, shall be deemed to have acknowledged receipt of, and consented to and approved, each Loan Document and each other document required to be delivered to, or be approved by or satisfactory to, the Administrative Agent or the Banks on the Closing Date.</w:t>
      </w:r>
    </w:p>
    <w:p>
      <w:pPr>
        <w:spacing w:after="0" w:line="22"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Each Bank and each Fronting Bank also acknowledges and agrees that </w:t>
      </w:r>
      <w:r>
        <w:rPr>
          <w:rFonts w:ascii="Times New Roman" w:cs="Times New Roman" w:eastAsia="Times New Roman" w:hAnsi="Times New Roman"/>
          <w:sz w:val="21"/>
          <w:szCs w:val="21"/>
          <w:u w:val="single" w:color="auto"/>
          <w:color w:val="0E32E1"/>
        </w:rPr>
        <w:t>(a)</w:t>
      </w:r>
      <w:r>
        <w:rPr>
          <w:rFonts w:ascii="Times New Roman" w:cs="Times New Roman" w:eastAsia="Times New Roman" w:hAnsi="Times New Roman"/>
          <w:sz w:val="21"/>
          <w:szCs w:val="21"/>
          <w:color w:val="auto"/>
        </w:rPr>
        <w:t xml:space="preserve"> none of the Administrative Agent, any Joint Lead Arranger, any Co-Syndication Agent, any Documentation Agent, or any Sustainability Structuring Agent acting in such capacities have made any assurances as to (i) whether the credit facility evidenced by this Agreement meet such Bank’s or Fronting Bank’s criteria or expectations with regard to environmental impact and sustainability performance, (ii) whether any characteristics of the credit facility evidenced by this Agreement, including the characteristics of the relevant key performance indicators to which the Borrower will link a potential margin and/or facility fee adjustment, including their environmental and sustainability criteria, meet any industry standards or market expectations for sustainability-linked credit facilities or (iii) whether the relevant KPI or targets with respect thereto will be attainable or able to be maintained by the Borrower, and (b) each Bank and Fronting Bank has performed its own independent investigation and analysis of the credit facility evidenced by this Agreement and whether such credit facility meet its own criteria or expectations with regard to environmental impact and/or sustainability performance.</w:t>
      </w:r>
    </w:p>
    <w:p>
      <w:pPr>
        <w:spacing w:after="0" w:line="179"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u w:val="single" w:color="auto"/>
          <w:color w:val="0E32E1"/>
        </w:rPr>
        <w:t>The Banks acknowledge that there may be a constant flow of information (including information which may be subject to confidentiality obligations in favor of the Borrower) between the Borrower and its Affiliates, on the one hand, and JPMorgan Chase Bank, N.A. and its Affiliates, on the other hand. Without limiting the foregoing, the Borrower or its Affiliates may provide information, including updates to previously provided information to JPMorgan Chase Bank, N.A. and/or its Affiliates acting in different capacities, including as Bank, lead bank, arranger or potential securities investor, independent of such entity’s role as administrative agent hereunder. The Banks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Banks by the Administrative Agent herein, the Administrative Agent shall not have any duty or responsibility to provide, and shall not be liable for the failure to provide, any Bank with any credit or other information concerning the Loans, the Banks, the business, prospects, operations, property, financial and other condition or creditworthiness of any of the Borrower or any of its Affiliates that is communicated to, obtained by, or in the possession of, the Administrative Agent or any of its Affiliates in any capacity, including any information obtained by the Administrative Agent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90</w:t>
      </w:r>
    </w:p>
    <w:p>
      <w:pPr>
        <w:sectPr>
          <w:pgSz w:w="11900" w:h="16838" w:orient="portrait"/>
          <w:cols w:equalWidth="0" w:num="1">
            <w:col w:w="11240"/>
          </w:cols>
          <w:pgMar w:left="320" w:top="1382" w:right="339" w:bottom="1440" w:gutter="0" w:footer="0" w:header="0"/>
        </w:sectPr>
      </w:pPr>
    </w:p>
    <w:bookmarkStart w:id="394" w:name="page395"/>
    <w:bookmarkEnd w:id="394"/>
    <w:p>
      <w:pPr>
        <w:jc w:val="both"/>
        <w:spacing w:after="0" w:line="256" w:lineRule="auto"/>
        <w:rPr>
          <w:sz w:val="20"/>
          <w:szCs w:val="20"/>
          <w:color w:val="auto"/>
        </w:rPr>
      </w:pPr>
      <w:r>
        <w:rPr>
          <w:rFonts w:ascii="Times New Roman" w:cs="Times New Roman" w:eastAsia="Times New Roman" w:hAnsi="Times New Roman"/>
          <w:sz w:val="21"/>
          <w:szCs w:val="21"/>
          <w:u w:val="single" w:color="auto"/>
          <w:color w:val="0E32E1"/>
        </w:rPr>
        <w:t>the course of communications among the Administrative Agent and Borrower, any Affiliate thereof or any other Person. Notwithstanding the foregoing, any such information may (but shall not be required to) be shared by the Administrative Agent with one or more Banks, or any formal or informal committee or ad hoc group of such Banks, including at the direction of the Borrower; provided that the foregoing shall not be construed to modify any obligation the Administrative Agent has to Borrower or its Affiliates to maintain the confidentiality of information provided to the Administrative Agent or its Affiliates in connection with any other agreement or engagement.</w:t>
      </w:r>
    </w:p>
    <w:p>
      <w:pPr>
        <w:spacing w:after="0" w:line="170"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10.07 </w:t>
      </w:r>
      <w:r>
        <w:rPr>
          <w:rFonts w:ascii="Times New Roman" w:cs="Times New Roman" w:eastAsia="Times New Roman" w:hAnsi="Times New Roman"/>
          <w:sz w:val="21"/>
          <w:szCs w:val="21"/>
          <w:u w:val="single" w:color="auto"/>
          <w:color w:val="auto"/>
        </w:rPr>
        <w:t>Failure of Administrative Agent to Act</w:t>
      </w:r>
      <w:r>
        <w:rPr>
          <w:rFonts w:ascii="Times New Roman" w:cs="Times New Roman" w:eastAsia="Times New Roman" w:hAnsi="Times New Roman"/>
          <w:sz w:val="21"/>
          <w:szCs w:val="21"/>
          <w:color w:val="auto"/>
        </w:rPr>
        <w:t>. Except for action expressly required of Administrative Agent hereunder, Administrative Agent shall in all cases be fully justified in failing or refusing to act hereunder unless it shall have received further assurances (which may include cash collateral) of the indemnification obligations of the Banks under Section 10.05 in respect of any and all liability and expense which may be incurred by it by reason of taking or continuing to take any such action.</w:t>
      </w:r>
    </w:p>
    <w:p>
      <w:pPr>
        <w:spacing w:after="0" w:line="59"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10.08 </w:t>
      </w:r>
      <w:r>
        <w:rPr>
          <w:rFonts w:ascii="Times New Roman" w:cs="Times New Roman" w:eastAsia="Times New Roman" w:hAnsi="Times New Roman"/>
          <w:sz w:val="21"/>
          <w:szCs w:val="21"/>
          <w:u w:val="single" w:color="auto"/>
          <w:color w:val="auto"/>
        </w:rPr>
        <w:t>Resignation or Removal of Administrative Agent</w:t>
      </w:r>
      <w:r>
        <w:rPr>
          <w:rFonts w:ascii="Times New Roman" w:cs="Times New Roman" w:eastAsia="Times New Roman" w:hAnsi="Times New Roman"/>
          <w:sz w:val="21"/>
          <w:szCs w:val="21"/>
          <w:color w:val="auto"/>
        </w:rPr>
        <w:t xml:space="preserve">. Administrative Agent shall have the right to resign at any time. Administrative Agent may be removed at any time with cause by the Required Banks as a result of its gross negligence or willful misconduct as determined by a court of competent jurisdiction by a final and non-appealable judgment,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Borrower and the other Banks shall be promptly notified in writing thereof. Upon any such removal or resignation, the Required Banks shall have the right to appoint a successor Administrative Agent which successor Administrative Agent, so long as it is reasonably acceptable both to the Required Banks and, provided that no Default or Event of Default shall then exist, the Borrower, shall be that Bank then having the greatest Loan Commitment (other than the Bank resigning or being removed as Administrative Agent). If such Bank then having the greatest Loan Commitment (other than the Bank resigning or being removed as Administrative Agent) shall not have accepted such appointment within thirty (30) days after the Required Banks’ removal or resignation of the retiring Administrative Agent, then the retiring Administrative Agent may, on behalf of the Banks, appoint a successor Administrative Agent, which shall be the Bank with the then greatest Loan Commitment willing to serve as such (other than the Bank resigning or being removed as Administrative Agent). The Required Banks or the retiring Administrative Agent, as the case may be, shall upon the appointment of a successor Administrative Agent promptly so notify in writing Borrower and the other Banks.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hereunder. After any retiring Administrative Agent’s resignation or removal hereunder as Administrative Agent, the provisions of this Article X and Section 12.04 shall continue in effect for its benefit in respect of any actions taken or omitted to be taken by it while it was acting as Administrative Agent.</w:t>
      </w:r>
    </w:p>
    <w:p>
      <w:pPr>
        <w:spacing w:after="0" w:line="7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10.09 </w:t>
      </w:r>
      <w:r>
        <w:rPr>
          <w:rFonts w:ascii="Times New Roman" w:cs="Times New Roman" w:eastAsia="Times New Roman" w:hAnsi="Times New Roman"/>
          <w:sz w:val="21"/>
          <w:szCs w:val="21"/>
          <w:u w:val="single" w:color="auto"/>
          <w:color w:val="auto"/>
        </w:rPr>
        <w:t>Amendments Concerning Agency Function</w:t>
      </w:r>
      <w:r>
        <w:rPr>
          <w:rFonts w:ascii="Times New Roman" w:cs="Times New Roman" w:eastAsia="Times New Roman" w:hAnsi="Times New Roman"/>
          <w:sz w:val="21"/>
          <w:szCs w:val="21"/>
          <w:color w:val="auto"/>
        </w:rPr>
        <w:t>. Notwithstanding anything to the contrary contained in this Agreement, no Agent shall be bound by any waiver, amendment, supplement or modification of this Agreement or any other Loan Document which affects its duties, rights, and/or function hereunder or thereunder unless it shall have given its prior written consent thereto.</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91</w:t>
      </w:r>
    </w:p>
    <w:p>
      <w:pPr>
        <w:sectPr>
          <w:pgSz w:w="11900" w:h="16838" w:orient="portrait"/>
          <w:cols w:equalWidth="0" w:num="1">
            <w:col w:w="11240"/>
          </w:cols>
          <w:pgMar w:left="320" w:top="1382" w:right="339" w:bottom="1440" w:gutter="0" w:footer="0" w:header="0"/>
        </w:sectPr>
      </w:pPr>
    </w:p>
    <w:bookmarkStart w:id="395" w:name="page396"/>
    <w:bookmarkEnd w:id="395"/>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 xml:space="preserve">SECTION 10.10 </w:t>
      </w:r>
      <w:r>
        <w:rPr>
          <w:rFonts w:ascii="Times New Roman" w:cs="Times New Roman" w:eastAsia="Times New Roman" w:hAnsi="Times New Roman"/>
          <w:sz w:val="21"/>
          <w:szCs w:val="21"/>
          <w:u w:val="single" w:color="auto"/>
          <w:color w:val="auto"/>
        </w:rPr>
        <w:t>Liability of Administrative Agent</w:t>
      </w:r>
      <w:r>
        <w:rPr>
          <w:rFonts w:ascii="Times New Roman" w:cs="Times New Roman" w:eastAsia="Times New Roman" w:hAnsi="Times New Roman"/>
          <w:sz w:val="21"/>
          <w:szCs w:val="21"/>
          <w:color w:val="auto"/>
        </w:rPr>
        <w:t>. Administrative Agent shall not have any liabilities or responsibilities to Borrower on account of the failure of any Bank to perform its obligations hereunder or to any Bank on account of the failure of Borrower to perform its obligations hereunder or under any other Loan Document.</w:t>
      </w:r>
    </w:p>
    <w:p>
      <w:pPr>
        <w:spacing w:after="0" w:line="123"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 xml:space="preserve">SECTION 10.11 </w:t>
      </w:r>
      <w:r>
        <w:rPr>
          <w:rFonts w:ascii="Times New Roman" w:cs="Times New Roman" w:eastAsia="Times New Roman" w:hAnsi="Times New Roman"/>
          <w:sz w:val="21"/>
          <w:szCs w:val="21"/>
          <w:u w:val="single" w:color="auto"/>
          <w:color w:val="auto"/>
        </w:rPr>
        <w:t>Transfer of Agency Function</w:t>
      </w:r>
      <w:r>
        <w:rPr>
          <w:rFonts w:ascii="Times New Roman" w:cs="Times New Roman" w:eastAsia="Times New Roman" w:hAnsi="Times New Roman"/>
          <w:sz w:val="21"/>
          <w:szCs w:val="21"/>
          <w:color w:val="auto"/>
        </w:rPr>
        <w:t xml:space="preserve">. Without the consent of Borrower or any Bank, Administrative Agent may at any time or from time to time transfer its functions as Administrative Agent hereunder to any of its offices wherever located in the United States,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Administrative Agent shall promptly notify in writing Borrower and the Banks thereof.</w:t>
      </w:r>
    </w:p>
    <w:p>
      <w:pPr>
        <w:spacing w:after="0" w:line="58" w:lineRule="exact"/>
        <w:rPr>
          <w:sz w:val="20"/>
          <w:szCs w:val="20"/>
          <w:color w:val="auto"/>
        </w:rPr>
      </w:pPr>
    </w:p>
    <w:p>
      <w:pPr>
        <w:ind w:left="640"/>
        <w:spacing w:after="0"/>
        <w:tabs>
          <w:tab w:leader="none" w:pos="2620" w:val="left"/>
        </w:tabs>
        <w:rPr>
          <w:sz w:val="20"/>
          <w:szCs w:val="20"/>
          <w:color w:val="auto"/>
        </w:rPr>
      </w:pPr>
      <w:r>
        <w:rPr>
          <w:rFonts w:ascii="Times New Roman" w:cs="Times New Roman" w:eastAsia="Times New Roman" w:hAnsi="Times New Roman"/>
          <w:sz w:val="21"/>
          <w:szCs w:val="21"/>
          <w:color w:val="auto"/>
        </w:rPr>
        <w:t>SECTION 10.12</w:t>
      </w:r>
      <w:r>
        <w:rPr>
          <w:sz w:val="20"/>
          <w:szCs w:val="20"/>
          <w:color w:val="auto"/>
        </w:rPr>
        <w:tab/>
      </w:r>
      <w:r>
        <w:rPr>
          <w:rFonts w:ascii="Times New Roman" w:cs="Times New Roman" w:eastAsia="Times New Roman" w:hAnsi="Times New Roman"/>
          <w:sz w:val="21"/>
          <w:szCs w:val="21"/>
          <w:u w:val="single" w:color="auto"/>
          <w:color w:val="auto"/>
        </w:rPr>
        <w:t>Non-Receipt of Funds by Administrative Agent; Erroneous Payments</w:t>
      </w:r>
      <w:r>
        <w:rPr>
          <w:rFonts w:ascii="Times New Roman" w:cs="Times New Roman" w:eastAsia="Times New Roman" w:hAnsi="Times New Roman"/>
          <w:sz w:val="21"/>
          <w:szCs w:val="21"/>
          <w:color w:val="auto"/>
        </w:rPr>
        <w:t>. (a) Unless Administrative</w:t>
      </w:r>
    </w:p>
    <w:p>
      <w:pPr>
        <w:spacing w:after="0" w:line="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Agent shall have received notice from a Bank or Borrower (either one as appropriate being the “</w:t>
      </w:r>
      <w:r>
        <w:rPr>
          <w:rFonts w:ascii="Times New Roman" w:cs="Times New Roman" w:eastAsia="Times New Roman" w:hAnsi="Times New Roman"/>
          <w:sz w:val="21"/>
          <w:szCs w:val="21"/>
          <w:u w:val="single" w:color="auto"/>
          <w:color w:val="auto"/>
        </w:rPr>
        <w:t>Payor</w:t>
      </w:r>
      <w:r>
        <w:rPr>
          <w:rFonts w:ascii="Times New Roman" w:cs="Times New Roman" w:eastAsia="Times New Roman" w:hAnsi="Times New Roman"/>
          <w:sz w:val="21"/>
          <w:szCs w:val="21"/>
          <w:color w:val="auto"/>
        </w:rPr>
        <w:t>”) prior to the date on which such Bank is to make payment hereunder to Administrative Agent of the proceeds of a Loan or Borrower is to make payment to Administrative Agent, as the case may be (either such payment being a “</w:t>
      </w:r>
      <w:r>
        <w:rPr>
          <w:rFonts w:ascii="Times New Roman" w:cs="Times New Roman" w:eastAsia="Times New Roman" w:hAnsi="Times New Roman"/>
          <w:sz w:val="21"/>
          <w:szCs w:val="21"/>
          <w:u w:val="single" w:color="auto"/>
          <w:color w:val="auto"/>
        </w:rPr>
        <w:t>Required Payment</w:t>
      </w:r>
      <w:r>
        <w:rPr>
          <w:rFonts w:ascii="Times New Roman" w:cs="Times New Roman" w:eastAsia="Times New Roman" w:hAnsi="Times New Roman"/>
          <w:sz w:val="21"/>
          <w:szCs w:val="21"/>
          <w:color w:val="auto"/>
        </w:rPr>
        <w:t>”), which notice shall be effective upon receipt, that the Payor will not make the Required Payment in full to Administrative Agent, Administrative Agent may assume that the Required Payment has been made in full to Administrative Agent on such date, and Administrative Agent in its sole discretion may, but shall not be obligated to, in reliance upon such assumption, make the amount thereof available to the intended recipient on such date. If and to the extent the Payor shall not have in fact so made the Required Payment in full to Administrative Agent, the recipient of such payment shall repay to Administrative Agent forthwith on demand such amount made available to it together with interest thereon, for each day from the date such amount was so made available by Administrative Agent until the date Administrative Agent recovers such amount, at the customary rate set by Administrative Agent for the correction of errors among Banks for three (3) Banking Days and thereafter at the Base Rate.</w:t>
      </w:r>
    </w:p>
    <w:p>
      <w:pPr>
        <w:spacing w:after="0" w:line="4" w:lineRule="exact"/>
        <w:rPr>
          <w:sz w:val="20"/>
          <w:szCs w:val="20"/>
          <w:color w:val="auto"/>
        </w:rPr>
      </w:pPr>
    </w:p>
    <w:p>
      <w:pPr>
        <w:jc w:val="both"/>
        <w:ind w:firstLine="634"/>
        <w:spacing w:after="0" w:line="211" w:lineRule="auto"/>
        <w:tabs>
          <w:tab w:leader="none" w:pos="1253"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Each Bank hereby agrees that (x) if the Administrative Agent notifies such Bank that the Administrative Agent has determined in its sole discretion that any funds received by such Bank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were erroneously transmitted to such Bank (whether or not known to such Bank), and demands the return of such Payment (or a portion thereof), such Bank shall promptly, but in no event later than one Banking Day thereafter (or such later date as the Administrative Agent may, in its sole discretion, specify in writing), return to the Administrative Agent the amount of any such Payment (or portion thereof) as to which such a demand was made in same day funds, together with interest thereon in respect of each day from and including the date such Payment (or portion thereof) was received by such Bank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Bank under this Section 10.12(b)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92</w:t>
      </w:r>
    </w:p>
    <w:p>
      <w:pPr>
        <w:sectPr>
          <w:pgSz w:w="11900" w:h="16838" w:orient="portrait"/>
          <w:cols w:equalWidth="0" w:num="1">
            <w:col w:w="11240"/>
          </w:cols>
          <w:pgMar w:left="320" w:top="1382" w:right="339" w:bottom="1440" w:gutter="0" w:footer="0" w:header="0"/>
        </w:sectPr>
      </w:pPr>
    </w:p>
    <w:bookmarkStart w:id="396" w:name="page397"/>
    <w:bookmarkEnd w:id="396"/>
    <w:p>
      <w:pPr>
        <w:jc w:val="both"/>
        <w:ind w:left="640" w:firstLine="622"/>
        <w:spacing w:after="0" w:line="266" w:lineRule="auto"/>
        <w:tabs>
          <w:tab w:leader="none" w:pos="1858"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or (y) that was not preceded or accompanied by a Payment Notice, it shall be on notice, in each such case, that an error has been made with respect to such Payment. Each Bank agrees that, in each such case, or if it otherwise becomes aware a Payment (or portion thereof) may have been sent in error, such Bank shall promptly notify the Administrative Agent of such occurrence and, upon demand from the Administrative Agent, it shall promptly, but in no event later than one Banking Day thereafter (or such later date as the Administrative Agent may, in its sole discretion, specify in writing), return to the Administrative Agent the amount of any such Payment (or portion thereof) as to which such a demand was made in same day funds, together with interest thereon in respect of each day from and including the date such Payment (or portion thereof) was received by such Bank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63" w:lineRule="exact"/>
        <w:rPr>
          <w:rFonts w:ascii="Times New Roman" w:cs="Times New Roman" w:eastAsia="Times New Roman" w:hAnsi="Times New Roman"/>
          <w:sz w:val="20"/>
          <w:szCs w:val="20"/>
          <w:color w:val="auto"/>
        </w:rPr>
      </w:pPr>
    </w:p>
    <w:p>
      <w:pPr>
        <w:jc w:val="both"/>
        <w:ind w:left="640" w:firstLine="622"/>
        <w:spacing w:after="0" w:line="256" w:lineRule="auto"/>
        <w:tabs>
          <w:tab w:leader="none" w:pos="1841"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hereby agrees that (x) in the event an erroneous Payment (or portion thereof) are not recovered from any Bank that has received such Payment (or portion thereof) for any reason, the Administrative Agent shall be subrogated to all the rights of such Bank with respect to such amount and (y) an erroneous Payment shall not pay, prepay, repay, discharge or otherwise satisfy any Obligations owed by the Borrower, except, in each case, to the extent such erroneous Payment is, and solely with respect to the amount of such erroneous Payment that is, comprised of funds received by the Administrative Agent from the Borrower for the purpose of making such erroneous Payment.</w:t>
      </w:r>
    </w:p>
    <w:p>
      <w:pPr>
        <w:spacing w:after="0" w:line="170" w:lineRule="exact"/>
        <w:rPr>
          <w:rFonts w:ascii="Times New Roman" w:cs="Times New Roman" w:eastAsia="Times New Roman" w:hAnsi="Times New Roman"/>
          <w:sz w:val="21"/>
          <w:szCs w:val="21"/>
          <w:color w:val="auto"/>
        </w:rPr>
      </w:pPr>
    </w:p>
    <w:p>
      <w:pPr>
        <w:jc w:val="both"/>
        <w:ind w:left="640" w:firstLine="622"/>
        <w:spacing w:after="0" w:line="270" w:lineRule="auto"/>
        <w:tabs>
          <w:tab w:leader="none" w:pos="1970"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party’s obligations under this Section 10.12(b) shall survive the resignation or replacement of the Administrative Agent or any transfer of rights or obligations by, or the replacement of, a Bank, the termination of the Commitments or the repayment, satisfaction or discharge of all Obligations under any Loan Document.</w:t>
      </w:r>
    </w:p>
    <w:p>
      <w:pPr>
        <w:spacing w:after="0" w:line="154"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10.13 </w:t>
      </w:r>
      <w:r>
        <w:rPr>
          <w:rFonts w:ascii="Times New Roman" w:cs="Times New Roman" w:eastAsia="Times New Roman" w:hAnsi="Times New Roman"/>
          <w:sz w:val="21"/>
          <w:szCs w:val="21"/>
          <w:color w:val="EE2724"/>
          <w:strike w:val="1"/>
        </w:rPr>
        <w: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Payments Free of Taxes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(a)</w:t>
      </w:r>
      <w:r>
        <w:rPr>
          <w:rFonts w:ascii="Times New Roman" w:cs="Times New Roman" w:eastAsia="Times New Roman" w:hAnsi="Times New Roman"/>
          <w:sz w:val="21"/>
          <w:szCs w:val="21"/>
          <w:color w:val="auto"/>
        </w:rPr>
        <w:t xml:space="preserve">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10.13) the applicable Recipient receives an amount equal to the sum it would have received had no such deduction or withholding been made.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93</w:t>
      </w:r>
    </w:p>
    <w:p>
      <w:pPr>
        <w:sectPr>
          <w:pgSz w:w="11900" w:h="16838" w:orient="portrait"/>
          <w:cols w:equalWidth="0" w:num="1">
            <w:col w:w="11240"/>
          </w:cols>
          <w:pgMar w:left="320" w:top="1382" w:right="339" w:bottom="1440" w:gutter="0" w:footer="0" w:header="0"/>
        </w:sectPr>
      </w:pPr>
    </w:p>
    <w:bookmarkStart w:id="397" w:name="page398"/>
    <w:bookmarkEnd w:id="397"/>
    <w:p>
      <w:pPr>
        <w:ind w:firstLine="634"/>
        <w:spacing w:after="0" w:line="241" w:lineRule="auto"/>
        <w:tabs>
          <w:tab w:leader="none" w:pos="1253"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Other Taxes by the Borrower</w:t>
      </w:r>
      <w:r>
        <w:rPr>
          <w:rFonts w:ascii="Times New Roman" w:cs="Times New Roman" w:eastAsia="Times New Roman" w:hAnsi="Times New Roman"/>
          <w:sz w:val="21"/>
          <w:szCs w:val="21"/>
          <w:color w:val="auto"/>
        </w:rPr>
        <w:t>. The Borrower shall timely pay to the relevant Governmental Authority in accordance with applicable law, or at the option of the Administrative Agent timely reimburse it for, Other Taxes.</w:t>
      </w:r>
    </w:p>
    <w:p>
      <w:pPr>
        <w:spacing w:after="0" w:line="143" w:lineRule="exact"/>
        <w:rPr>
          <w:rFonts w:ascii="Times New Roman" w:cs="Times New Roman" w:eastAsia="Times New Roman" w:hAnsi="Times New Roman"/>
          <w:sz w:val="21"/>
          <w:szCs w:val="21"/>
          <w:color w:val="auto"/>
        </w:rPr>
      </w:pPr>
    </w:p>
    <w:p>
      <w:pPr>
        <w:jc w:val="both"/>
        <w:ind w:firstLine="634"/>
        <w:spacing w:after="0" w:line="224" w:lineRule="auto"/>
        <w:tabs>
          <w:tab w:leader="none" w:pos="1254"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Evidence of Payments</w:t>
      </w:r>
      <w:r>
        <w:rPr>
          <w:rFonts w:ascii="Times New Roman" w:cs="Times New Roman" w:eastAsia="Times New Roman" w:hAnsi="Times New Roman"/>
          <w:sz w:val="21"/>
          <w:szCs w:val="21"/>
          <w:color w:val="auto"/>
        </w:rPr>
        <w:t>. As soon as practicable after any payment of Taxes by the Borrower to a Governmental Authority pursuant to this Section 10.13,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46" w:lineRule="exact"/>
        <w:rPr>
          <w:rFonts w:ascii="Times New Roman" w:cs="Times New Roman" w:eastAsia="Times New Roman" w:hAnsi="Times New Roman"/>
          <w:sz w:val="21"/>
          <w:szCs w:val="21"/>
          <w:color w:val="auto"/>
        </w:rPr>
      </w:pPr>
    </w:p>
    <w:p>
      <w:pPr>
        <w:jc w:val="both"/>
        <w:ind w:firstLine="634"/>
        <w:spacing w:after="0" w:line="217" w:lineRule="auto"/>
        <w:tabs>
          <w:tab w:leader="none" w:pos="1253"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Borrower</w:t>
      </w:r>
      <w:r>
        <w:rPr>
          <w:rFonts w:ascii="Times New Roman" w:cs="Times New Roman" w:eastAsia="Times New Roman" w:hAnsi="Times New Roman"/>
          <w:sz w:val="21"/>
          <w:szCs w:val="21"/>
          <w:color w:val="auto"/>
        </w:rPr>
        <w:t>.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out-of-pocket expenses arising therefrom or with respect thereto, whether or not such Indemnified Taxes were correctly or legally imposed or asserted by the relevant Governmental Authority. A certificate as to the amount of such payment or liability delivered to the Borrower by a Recipient (with a copy to the Administrative Agent), or by the Administrative Agent on its own behalf or on behalf of a Recipient, shall be conclusive absent manifest error.</w:t>
      </w:r>
    </w:p>
    <w:p>
      <w:pPr>
        <w:spacing w:after="0" w:line="148" w:lineRule="exact"/>
        <w:rPr>
          <w:rFonts w:ascii="Times New Roman" w:cs="Times New Roman" w:eastAsia="Times New Roman" w:hAnsi="Times New Roman"/>
          <w:sz w:val="21"/>
          <w:szCs w:val="21"/>
          <w:color w:val="auto"/>
        </w:rPr>
      </w:pPr>
    </w:p>
    <w:p>
      <w:pPr>
        <w:jc w:val="both"/>
        <w:ind w:firstLine="634"/>
        <w:spacing w:after="0" w:line="214" w:lineRule="auto"/>
        <w:tabs>
          <w:tab w:leader="none" w:pos="1254"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Banks</w:t>
      </w:r>
      <w:r>
        <w:rPr>
          <w:rFonts w:ascii="Times New Roman" w:cs="Times New Roman" w:eastAsia="Times New Roman" w:hAnsi="Times New Roman"/>
          <w:sz w:val="21"/>
          <w:szCs w:val="21"/>
          <w:color w:val="auto"/>
        </w:rPr>
        <w:t>. Each Bank shall severally indemnify the Administrative Agent, within 10 days after demand therefor, for (i) any Indemnified Taxes attributable to such Bank (but only to the extent that the Borrower has not already indemnified the Administrative Agent for such Indemnified Taxes and without limiting the obligation of the Borrower to do so), (ii) any Taxes attributable to such Bank's failure to comply with the provisions of Section 12.05(b) relating to the maintenance of a Participant Register and (iii) any Excluded Taxes attributable to such Bank,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Bank by the Administrative Agent shall be conclusive absent manifest error. Each Bank hereby authorizes the Administrative Agent to set off and apply any and all amounts at any time owing to such Bank under any Loan Document or otherwise payable by the Administrative Agent to such Bank from any other source against any amount due to the Administrative Agent under this paragraph (e).</w:t>
      </w:r>
    </w:p>
    <w:p>
      <w:pPr>
        <w:spacing w:after="0" w:line="146" w:lineRule="exact"/>
        <w:rPr>
          <w:rFonts w:ascii="Times New Roman" w:cs="Times New Roman" w:eastAsia="Times New Roman" w:hAnsi="Times New Roman"/>
          <w:sz w:val="21"/>
          <w:szCs w:val="21"/>
          <w:color w:val="auto"/>
        </w:rPr>
      </w:pPr>
    </w:p>
    <w:p>
      <w:pPr>
        <w:jc w:val="both"/>
        <w:ind w:firstLine="634"/>
        <w:spacing w:after="0" w:line="213" w:lineRule="auto"/>
        <w:tabs>
          <w:tab w:leader="none" w:pos="1257"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Status of Banks</w:t>
      </w:r>
      <w:r>
        <w:rPr>
          <w:rFonts w:ascii="Times New Roman" w:cs="Times New Roman" w:eastAsia="Times New Roman" w:hAnsi="Times New Roman"/>
          <w:sz w:val="21"/>
          <w:szCs w:val="21"/>
          <w:color w:val="auto"/>
        </w:rPr>
        <w:t>. (i) Any Bank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Bank,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Bank is subject to backup withholding or information reporting requirements. Notwithstanding anything to the contrary in the preceding two sentences, the completion, execution and submission of such documentation (other than such documentation set forth in Section 10.13(f)(ii)(A),(B) and (D) below) shall not be required if in the applicable Bank's reasonable judgment such completion, execution or submission would subject such Bank to any material unreimbursed cost or expense or would materially prejudice the legal or commercial position of such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94</w:t>
      </w:r>
    </w:p>
    <w:p>
      <w:pPr>
        <w:sectPr>
          <w:pgSz w:w="11900" w:h="16838" w:orient="portrait"/>
          <w:cols w:equalWidth="0" w:num="1">
            <w:col w:w="11240"/>
          </w:cols>
          <w:pgMar w:left="320" w:top="1357" w:right="339" w:bottom="1440" w:gutter="0" w:footer="0" w:header="0"/>
        </w:sectPr>
      </w:pPr>
    </w:p>
    <w:bookmarkStart w:id="398" w:name="page399"/>
    <w:bookmarkEnd w:id="398"/>
    <w:p>
      <w:pPr>
        <w:ind w:left="760" w:hanging="618"/>
        <w:spacing w:after="0"/>
        <w:tabs>
          <w:tab w:leader="none" w:pos="760"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in the event that the Borrower is a U.S. Person,</w:t>
      </w:r>
    </w:p>
    <w:p>
      <w:pPr>
        <w:spacing w:after="0" w:line="203" w:lineRule="exact"/>
        <w:rPr>
          <w:rFonts w:ascii="Times New Roman" w:cs="Times New Roman" w:eastAsia="Times New Roman" w:hAnsi="Times New Roman"/>
          <w:sz w:val="21"/>
          <w:szCs w:val="21"/>
          <w:color w:val="auto"/>
        </w:rPr>
      </w:pPr>
    </w:p>
    <w:p>
      <w:pPr>
        <w:jc w:val="both"/>
        <w:ind w:left="140" w:firstLine="631"/>
        <w:spacing w:after="0" w:line="262" w:lineRule="auto"/>
        <w:tabs>
          <w:tab w:leader="none" w:pos="1292" w:val="left"/>
        </w:tabs>
        <w:numPr>
          <w:ilvl w:val="1"/>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Bank that is a U.S. Person shall deliver to the Borrower and the Administrative Agent on or prior to the date on which such Bank becomes a Bank under this Agreement (and from time to time thereafter upon the reasonable request of the Borrower or the Administrative Agent), an executed copy of IRS Form W-9 certifying that such Bank is exempt from U.S. Federal backup withholding tax;</w:t>
      </w:r>
    </w:p>
    <w:p>
      <w:pPr>
        <w:spacing w:after="0" w:line="386" w:lineRule="exact"/>
        <w:rPr>
          <w:rFonts w:ascii="Times New Roman" w:cs="Times New Roman" w:eastAsia="Times New Roman" w:hAnsi="Times New Roman"/>
          <w:sz w:val="21"/>
          <w:szCs w:val="21"/>
          <w:color w:val="auto"/>
        </w:rPr>
      </w:pPr>
    </w:p>
    <w:p>
      <w:pPr>
        <w:jc w:val="both"/>
        <w:ind w:left="140" w:firstLine="631"/>
        <w:spacing w:after="0" w:line="249" w:lineRule="auto"/>
        <w:tabs>
          <w:tab w:leader="none" w:pos="1372" w:val="left"/>
        </w:tabs>
        <w:numPr>
          <w:ilvl w:val="1"/>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Bank shall, to the extent it is legally entitled to do so, deliver to the Borrower and the Administrative Agent (in such number of copies as shall be requested by the recipient) on or prior to the date on which such Foreign Bank becomes a Bank under this Agreement (and from time to time thereafter upon the reasonable request of the Borrower or the Administrative Agent), whichever of the following is applicable:</w:t>
      </w:r>
    </w:p>
    <w:p>
      <w:pPr>
        <w:spacing w:after="0" w:line="189" w:lineRule="exact"/>
        <w:rPr>
          <w:rFonts w:ascii="Times New Roman" w:cs="Times New Roman" w:eastAsia="Times New Roman" w:hAnsi="Times New Roman"/>
          <w:sz w:val="21"/>
          <w:szCs w:val="21"/>
          <w:color w:val="auto"/>
        </w:rPr>
      </w:pPr>
    </w:p>
    <w:p>
      <w:pPr>
        <w:jc w:val="both"/>
        <w:ind w:left="780" w:firstLine="620"/>
        <w:spacing w:after="0" w:line="260" w:lineRule="auto"/>
        <w:tabs>
          <w:tab w:leader="none" w:pos="1917" w:val="left"/>
        </w:tabs>
        <w:numPr>
          <w:ilvl w:val="2"/>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Bank claiming the benefits of an income tax treaty to which the United States is a party (x) with respect to payments of interest under any Loan Document, an executed copy of IRS Form W-8BEN or Form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94" w:lineRule="exact"/>
        <w:rPr>
          <w:rFonts w:ascii="Times New Roman" w:cs="Times New Roman" w:eastAsia="Times New Roman" w:hAnsi="Times New Roman"/>
          <w:sz w:val="20"/>
          <w:szCs w:val="20"/>
          <w:color w:val="auto"/>
        </w:rPr>
      </w:pPr>
    </w:p>
    <w:p>
      <w:pPr>
        <w:ind w:left="780" w:firstLine="620"/>
        <w:spacing w:after="0" w:line="267" w:lineRule="auto"/>
        <w:tabs>
          <w:tab w:leader="none" w:pos="1920" w:val="left"/>
        </w:tabs>
        <w:numPr>
          <w:ilvl w:val="2"/>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Bank claiming that its extension of credit will generate U.S. effectively connected income, an executed copy of IRS Form W-8ECI;</w:t>
      </w:r>
    </w:p>
    <w:p>
      <w:pPr>
        <w:spacing w:after="0" w:line="170" w:lineRule="exact"/>
        <w:rPr>
          <w:rFonts w:ascii="Times New Roman" w:cs="Times New Roman" w:eastAsia="Times New Roman" w:hAnsi="Times New Roman"/>
          <w:sz w:val="21"/>
          <w:szCs w:val="21"/>
          <w:color w:val="auto"/>
        </w:rPr>
      </w:pPr>
    </w:p>
    <w:p>
      <w:pPr>
        <w:jc w:val="both"/>
        <w:ind w:left="780" w:firstLine="620"/>
        <w:spacing w:after="0" w:line="246" w:lineRule="auto"/>
        <w:tabs>
          <w:tab w:leader="none" w:pos="1912" w:val="left"/>
        </w:tabs>
        <w:numPr>
          <w:ilvl w:val="2"/>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Bank claiming the benefits of the exemption for portfolio interest under Section 881(c) of the Code, (x) a certificate substantially in the form of EXHIBIT H-1 to the effect that such Foreign Bank is not a “bank” within the meaning of Section 881(c)(3)(A) of the Code, a “10 percent shareholder” of the Borrower within the meaning of Section 881(c)(3)(B) of the Code, or a “controlled foreign corporation” within the meaning of Section 881(c)(3)(C) of the Code (a “</w:t>
      </w:r>
      <w:r>
        <w:rPr>
          <w:rFonts w:ascii="Times New Roman" w:cs="Times New Roman" w:eastAsia="Times New Roman" w:hAnsi="Times New Roman"/>
          <w:sz w:val="21"/>
          <w:szCs w:val="21"/>
          <w:u w:val="single" w:color="auto"/>
          <w:color w:val="auto"/>
        </w:rPr>
        <w:t>U.S. Tax Compliance Certificate</w:t>
      </w:r>
      <w:r>
        <w:rPr>
          <w:rFonts w:ascii="Times New Roman" w:cs="Times New Roman" w:eastAsia="Times New Roman" w:hAnsi="Times New Roman"/>
          <w:sz w:val="21"/>
          <w:szCs w:val="21"/>
          <w:color w:val="auto"/>
        </w:rPr>
        <w:t>”) and (y) an executed copy of IRS Form W-8BEN or W-8BEN-E; or</w:t>
      </w:r>
    </w:p>
    <w:p>
      <w:pPr>
        <w:spacing w:after="0" w:line="204" w:lineRule="exact"/>
        <w:rPr>
          <w:rFonts w:ascii="Times New Roman" w:cs="Times New Roman" w:eastAsia="Times New Roman" w:hAnsi="Times New Roman"/>
          <w:sz w:val="21"/>
          <w:szCs w:val="21"/>
          <w:color w:val="auto"/>
        </w:rPr>
      </w:pPr>
    </w:p>
    <w:p>
      <w:pPr>
        <w:jc w:val="both"/>
        <w:ind w:left="780" w:firstLine="620"/>
        <w:spacing w:after="0" w:line="249" w:lineRule="auto"/>
        <w:tabs>
          <w:tab w:leader="none" w:pos="1880" w:val="left"/>
        </w:tabs>
        <w:numPr>
          <w:ilvl w:val="2"/>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 Foreign Bank is not the beneficial owner, an executed copy of IRS Form W-8IMY, accompanied by IRS Form W-8ECI, IRS Form W-8BEN, or IRS Form W-8BEN-E, a U.S. Tax Compliance Certificate substantially in the form of EXHIBIT H-2 or EXHIBIT H-3, IRS Form W-9, and/or other certification documents from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95</w:t>
      </w:r>
    </w:p>
    <w:p>
      <w:pPr>
        <w:sectPr>
          <w:pgSz w:w="11900" w:h="16838" w:orient="portrait"/>
          <w:cols w:equalWidth="0" w:num="1">
            <w:col w:w="10120"/>
          </w:cols>
          <w:pgMar w:left="1440" w:top="1356" w:right="339" w:bottom="1440" w:gutter="0" w:footer="0" w:header="0"/>
        </w:sectPr>
      </w:pPr>
    </w:p>
    <w:bookmarkStart w:id="399" w:name="page400"/>
    <w:bookmarkEnd w:id="399"/>
    <w:p>
      <w:pPr>
        <w:jc w:val="both"/>
        <w:ind w:left="1900"/>
        <w:spacing w:after="0" w:line="249" w:lineRule="auto"/>
        <w:rPr>
          <w:sz w:val="20"/>
          <w:szCs w:val="20"/>
          <w:color w:val="auto"/>
        </w:rPr>
      </w:pPr>
      <w:r>
        <w:rPr>
          <w:rFonts w:ascii="Times New Roman" w:cs="Times New Roman" w:eastAsia="Times New Roman" w:hAnsi="Times New Roman"/>
          <w:sz w:val="21"/>
          <w:szCs w:val="21"/>
          <w:color w:val="auto"/>
        </w:rPr>
        <w:t xml:space="preserve">each beneficial owner,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Foreign Bank is a partnership and one or more direct or indirect partners of such Foreign Bank are claiming the portfolio interest exemption, such Foreign Bank may provide a U.S. Tax Compliance Certificate substantially in the form of EXHIBIT H-4 on behalf of each such direct and indirect partner;</w:t>
      </w:r>
    </w:p>
    <w:p>
      <w:pPr>
        <w:spacing w:after="0" w:line="203" w:lineRule="exact"/>
        <w:rPr>
          <w:sz w:val="20"/>
          <w:szCs w:val="20"/>
          <w:color w:val="auto"/>
        </w:rPr>
      </w:pPr>
    </w:p>
    <w:p>
      <w:pPr>
        <w:jc w:val="both"/>
        <w:ind w:left="1260" w:firstLine="631"/>
        <w:spacing w:after="0" w:line="244" w:lineRule="auto"/>
        <w:tabs>
          <w:tab w:leader="none" w:pos="2492"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Bank shall, to the extent it is legally entitled to do so, deliver to the Borrower and the Administrative Agent (in such number of copies as shall be requested by the recipient) on or prior to the date on which such Foreign Bank becomes a Bank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3" w:lineRule="exact"/>
        <w:rPr>
          <w:rFonts w:ascii="Times New Roman" w:cs="Times New Roman" w:eastAsia="Times New Roman" w:hAnsi="Times New Roman"/>
          <w:sz w:val="21"/>
          <w:szCs w:val="21"/>
          <w:color w:val="auto"/>
        </w:rPr>
      </w:pPr>
    </w:p>
    <w:p>
      <w:pPr>
        <w:jc w:val="both"/>
        <w:ind w:left="1260" w:firstLine="631"/>
        <w:spacing w:after="0" w:line="243" w:lineRule="auto"/>
        <w:tabs>
          <w:tab w:leader="none" w:pos="2444"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Bank under any Loan Document would be subject to U.S. Federal withholding Tax imposed by FATCA if such Bank were to fail to comply with the applicable reporting requirements of FATCA (including those contained in Section 1471(b) or 1472(b) of the Code, as applicable), such Bank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Bank has complied with such Bank's obligations under FATCA or to determine the amount to deduct and withhold from such payment. Solely for purposes of this clause (D), “FATCA” shall include any amendments made to FATCA after the date of this Agreement.</w:t>
      </w:r>
    </w:p>
    <w:p>
      <w:pPr>
        <w:spacing w:after="0" w:line="201" w:lineRule="exact"/>
        <w:rPr>
          <w:sz w:val="20"/>
          <w:szCs w:val="20"/>
          <w:color w:val="auto"/>
        </w:rPr>
      </w:pPr>
    </w:p>
    <w:p>
      <w:pPr>
        <w:jc w:val="both"/>
        <w:ind w:left="640" w:firstLine="629"/>
        <w:spacing w:after="0" w:line="257" w:lineRule="auto"/>
        <w:rPr>
          <w:sz w:val="20"/>
          <w:szCs w:val="20"/>
          <w:color w:val="auto"/>
        </w:rPr>
      </w:pPr>
      <w:r>
        <w:rPr>
          <w:rFonts w:ascii="Times New Roman" w:cs="Times New Roman" w:eastAsia="Times New Roman" w:hAnsi="Times New Roman"/>
          <w:sz w:val="21"/>
          <w:szCs w:val="21"/>
          <w:color w:val="auto"/>
        </w:rPr>
        <w:t>Each Bank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67" w:lineRule="exact"/>
        <w:rPr>
          <w:sz w:val="20"/>
          <w:szCs w:val="20"/>
          <w:color w:val="auto"/>
        </w:rPr>
      </w:pPr>
    </w:p>
    <w:p>
      <w:pPr>
        <w:jc w:val="both"/>
        <w:ind w:firstLine="634"/>
        <w:spacing w:after="0" w:line="216" w:lineRule="auto"/>
        <w:tabs>
          <w:tab w:leader="none" w:pos="1253"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Certain Refunds</w:t>
      </w:r>
      <w:r>
        <w:rPr>
          <w:rFonts w:ascii="Times New Roman" w:cs="Times New Roman" w:eastAsia="Times New Roman" w:hAnsi="Times New Roman"/>
          <w:sz w:val="21"/>
          <w:szCs w:val="21"/>
          <w:color w:val="auto"/>
        </w:rPr>
        <w:t>. If any party determines, in its sole discretion exercised in good faith, that it has received a refund of any Taxes as to which it has been indemnified pursuant to this Section 10.13 (including by the payment of additional amounts pursuant to this Section 10.13), it shall pay to the indemnifying party an amount equal to such refund (but only to the extent of indemnity payments made under this Section 10.13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96</w:t>
      </w:r>
    </w:p>
    <w:p>
      <w:pPr>
        <w:sectPr>
          <w:pgSz w:w="11900" w:h="16838" w:orient="portrait"/>
          <w:cols w:equalWidth="0" w:num="1">
            <w:col w:w="11240"/>
          </w:cols>
          <w:pgMar w:left="320" w:top="1369" w:right="339" w:bottom="1440" w:gutter="0" w:footer="0" w:header="0"/>
        </w:sectPr>
      </w:pPr>
    </w:p>
    <w:bookmarkStart w:id="400" w:name="page401"/>
    <w:bookmarkEnd w:id="400"/>
    <w:p>
      <w:pPr>
        <w:jc w:val="both"/>
        <w:spacing w:after="0" w:line="216" w:lineRule="auto"/>
        <w:rPr>
          <w:sz w:val="20"/>
          <w:szCs w:val="20"/>
          <w:color w:val="auto"/>
        </w:rPr>
      </w:pPr>
      <w:r>
        <w:rPr>
          <w:rFonts w:ascii="Times New Roman" w:cs="Times New Roman" w:eastAsia="Times New Roman" w:hAnsi="Times New Roman"/>
          <w:sz w:val="21"/>
          <w:szCs w:val="21"/>
          <w:color w:val="auto"/>
        </w:rPr>
        <w:t>relevant Governmental Authority) in the event that such indemnified party is required to repay such refund to such Governmental Authority. Notwithstanding anything to the contrary in this paragraph (g), in no event will any indemnified party be required to pay any amount to an indemnifying party pursuant to this paragraph (g) the payment of which would place such indemnified party in a less favorable net after-Tax position than such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or to apply for or seek a refund of any Taxes on behalf of, any indemnifying party or any other Person.</w:t>
      </w:r>
    </w:p>
    <w:p>
      <w:pPr>
        <w:spacing w:after="0" w:line="148" w:lineRule="exact"/>
        <w:rPr>
          <w:sz w:val="20"/>
          <w:szCs w:val="20"/>
          <w:color w:val="auto"/>
        </w:rPr>
      </w:pPr>
    </w:p>
    <w:p>
      <w:pPr>
        <w:jc w:val="both"/>
        <w:ind w:firstLine="634"/>
        <w:spacing w:after="0" w:line="229" w:lineRule="auto"/>
        <w:tabs>
          <w:tab w:leader="none" w:pos="1253"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Each party's obligations under this Section 10.13 shall survive the resignation or replacement of the Administrative Agent or any assignment of rights by, or the replacement of, a Bank, the termination of the Loan Commitments and the repayment, satisfaction or discharge of all obligations under any Loan Document.</w:t>
      </w:r>
    </w:p>
    <w:p>
      <w:pPr>
        <w:spacing w:after="0" w:line="169" w:lineRule="exact"/>
        <w:rPr>
          <w:rFonts w:ascii="Times New Roman" w:cs="Times New Roman" w:eastAsia="Times New Roman" w:hAnsi="Times New Roman"/>
          <w:sz w:val="21"/>
          <w:szCs w:val="21"/>
          <w:color w:val="auto"/>
        </w:rPr>
      </w:pPr>
    </w:p>
    <w:p>
      <w:pPr>
        <w:ind w:firstLine="634"/>
        <w:spacing w:after="0" w:line="284" w:lineRule="auto"/>
        <w:tabs>
          <w:tab w:leader="none" w:pos="1246"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For purposes of this Section 10.13, the term “</w:t>
      </w:r>
      <w:r>
        <w:rPr>
          <w:rFonts w:ascii="Times New Roman" w:cs="Times New Roman" w:eastAsia="Times New Roman" w:hAnsi="Times New Roman"/>
          <w:sz w:val="21"/>
          <w:szCs w:val="21"/>
          <w:b w:val="1"/>
          <w:bCs w:val="1"/>
          <w:i w:val="1"/>
          <w:iCs w:val="1"/>
          <w:color w:val="auto"/>
        </w:rPr>
        <w:t>Bank</w:t>
      </w:r>
      <w:r>
        <w:rPr>
          <w:rFonts w:ascii="Times New Roman" w:cs="Times New Roman" w:eastAsia="Times New Roman" w:hAnsi="Times New Roman"/>
          <w:sz w:val="21"/>
          <w:szCs w:val="21"/>
          <w:color w:val="auto"/>
        </w:rPr>
        <w:t>” includes any Fronting Bank and the term “</w:t>
      </w:r>
      <w:r>
        <w:rPr>
          <w:rFonts w:ascii="Times New Roman" w:cs="Times New Roman" w:eastAsia="Times New Roman" w:hAnsi="Times New Roman"/>
          <w:sz w:val="21"/>
          <w:szCs w:val="21"/>
          <w:b w:val="1"/>
          <w:bCs w:val="1"/>
          <w:i w:val="1"/>
          <w:iCs w:val="1"/>
          <w:color w:val="auto"/>
        </w:rPr>
        <w:t>applicable law</w:t>
      </w:r>
      <w:r>
        <w:rPr>
          <w:rFonts w:ascii="Times New Roman" w:cs="Times New Roman" w:eastAsia="Times New Roman" w:hAnsi="Times New Roman"/>
          <w:sz w:val="21"/>
          <w:szCs w:val="21"/>
          <w:color w:val="auto"/>
        </w:rPr>
        <w:t>” includes FATCA.</w:t>
      </w:r>
    </w:p>
    <w:p>
      <w:pPr>
        <w:spacing w:after="0" w:line="35"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10.14 </w:t>
      </w:r>
      <w:r>
        <w:rPr>
          <w:rFonts w:ascii="Times New Roman" w:cs="Times New Roman" w:eastAsia="Times New Roman" w:hAnsi="Times New Roman"/>
          <w:sz w:val="21"/>
          <w:szCs w:val="21"/>
          <w:u w:val="single" w:color="auto"/>
          <w:color w:val="auto"/>
        </w:rPr>
        <w:t>Pro Rata Treatment</w:t>
      </w:r>
      <w:r>
        <w:rPr>
          <w:rFonts w:ascii="Times New Roman" w:cs="Times New Roman" w:eastAsia="Times New Roman" w:hAnsi="Times New Roman"/>
          <w:sz w:val="21"/>
          <w:szCs w:val="21"/>
          <w:color w:val="auto"/>
        </w:rPr>
        <w:t>. Except to the extent otherwise provided, (1) each advance of proceeds of the Ratable Loans shall be made by the Banks, (2) each reduction of the amount of the Total Loan Commitment under Section 2.16 shall be applied to the Loan Commitments of the Banks and (3) each payment of the Facility Fee accruing under Section 2.08 shall be made for the account of the Banks, ratably according to the amounts of their respective Loan Commitments.</w:t>
      </w:r>
    </w:p>
    <w:p>
      <w:pPr>
        <w:spacing w:after="0" w:line="59"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10.15 </w:t>
      </w:r>
      <w:r>
        <w:rPr>
          <w:rFonts w:ascii="Times New Roman" w:cs="Times New Roman" w:eastAsia="Times New Roman" w:hAnsi="Times New Roman"/>
          <w:sz w:val="21"/>
          <w:szCs w:val="21"/>
          <w:u w:val="single" w:color="auto"/>
          <w:color w:val="auto"/>
        </w:rPr>
        <w:t>Sharing of Payments Among Banks</w:t>
      </w:r>
      <w:r>
        <w:rPr>
          <w:rFonts w:ascii="Times New Roman" w:cs="Times New Roman" w:eastAsia="Times New Roman" w:hAnsi="Times New Roman"/>
          <w:sz w:val="21"/>
          <w:szCs w:val="21"/>
          <w:color w:val="auto"/>
        </w:rPr>
        <w:t xml:space="preserve">. If a Bank shall obtain payment of any principal of or interest on any Loan made by it through the exercise of any right of setoff, banker’s lien or counterclaim, or by any other means (including direct payment), and such payment results in such Bank receiving a greater payment than it would have been entitled to had such payment been paid directly to Administrative Agent for disbursement to the Banks, then such Bank shall promptly purchase for cash from the other Banks participations in the Loans made by the other Banks in such amounts, and make such other adjustments from time to time as shall be equitable to the end that all the Banks shall share ratably the benefit of such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Bank as consideration for the assignment of or sale of a participation in any of its Loans or participations in Letters of Credit to any assignee or participant, other than to the Borrower or any Subsidiary or Affiliate thereof (as to which the provisions of this paragraph shall apply). To such end the Banks shall make appropriate adjustments among themselves (by the resale of participations sold or otherwise) if such payment is rescinded or must otherwise be restored. Borrower agrees that any Bank so purchasing a participation in the Loans made by other Banks may exercise all rights of setoff, banker’s lien, counterclaim or similar rights with respect to such participation. Nothing contained herein shall require any Bank to exercise any such right or shall affect the right of 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97</w:t>
      </w:r>
    </w:p>
    <w:p>
      <w:pPr>
        <w:sectPr>
          <w:pgSz w:w="11900" w:h="16838" w:orient="portrait"/>
          <w:cols w:equalWidth="0" w:num="1">
            <w:col w:w="11240"/>
          </w:cols>
          <w:pgMar w:left="320" w:top="1356" w:right="33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21"/>
          <w:szCs w:val="21"/>
          <w:color w:val="auto"/>
        </w:rPr>
        <w:t>Bank to exercise, and retain the benefits of exercising, any such right with respect to any other indebtedness of Borrower.</w:t>
      </w:r>
    </w:p>
    <w:p>
      <w:pPr>
        <w:spacing w:after="0" w:line="11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10.16 </w:t>
      </w:r>
      <w:r>
        <w:rPr>
          <w:rFonts w:ascii="Times New Roman" w:cs="Times New Roman" w:eastAsia="Times New Roman" w:hAnsi="Times New Roman"/>
          <w:sz w:val="21"/>
          <w:szCs w:val="21"/>
          <w:u w:val="single" w:color="auto"/>
          <w:color w:val="auto"/>
        </w:rPr>
        <w:t>Possession of Documents</w:t>
      </w:r>
      <w:r>
        <w:rPr>
          <w:rFonts w:ascii="Times New Roman" w:cs="Times New Roman" w:eastAsia="Times New Roman" w:hAnsi="Times New Roman"/>
          <w:sz w:val="21"/>
          <w:szCs w:val="21"/>
          <w:color w:val="auto"/>
        </w:rPr>
        <w:t>. Each Bank shall keep possession of its own Ratable Loan Note. Administrative Agent shall hold all the other Loan Documents and related documents in its possession and maintain separate records and accounts with respect thereto, and shall permit the Banks and their representatives access at all reasonable times to inspect such Loan Documents, related documents, records and accounts.</w:t>
      </w:r>
    </w:p>
    <w:p>
      <w:pPr>
        <w:spacing w:after="0" w:line="59"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10.17 </w:t>
      </w:r>
      <w:r>
        <w:rPr>
          <w:rFonts w:ascii="Times New Roman" w:cs="Times New Roman" w:eastAsia="Times New Roman" w:hAnsi="Times New Roman"/>
          <w:sz w:val="21"/>
          <w:szCs w:val="21"/>
          <w:u w:val="single" w:color="auto"/>
          <w:color w:val="auto"/>
        </w:rPr>
        <w:t>Syndication Agents, Documentation Agents, Etc.</w:t>
      </w:r>
      <w:r>
        <w:rPr>
          <w:rFonts w:ascii="Times New Roman" w:cs="Times New Roman" w:eastAsia="Times New Roman" w:hAnsi="Times New Roman"/>
          <w:sz w:val="21"/>
          <w:szCs w:val="21"/>
          <w:color w:val="auto"/>
        </w:rPr>
        <w:t>. The Banks and financial institutions serving as Syndication Agents, Documentation Agents, Sustainability Structuring Agent or Joint Lead Arrangers shall have no duties or obligations in such capacities and shall incur no liability hereunder in such capacities, but shall have the benefit of the indemnities provided for hereunder. In addition, in acting as an Agent, no Bank will have any responsibility except as set forth herein and shall in no event be subject to any fiduciary or other implied duties.</w:t>
      </w:r>
    </w:p>
    <w:p>
      <w:pPr>
        <w:spacing w:after="0" w:line="64"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10.18</w:t>
      </w:r>
      <w:r>
        <w:rPr>
          <w:sz w:val="20"/>
          <w:szCs w:val="20"/>
          <w:color w:val="auto"/>
        </w:rPr>
        <w:tab/>
      </w:r>
      <w:r>
        <w:rPr>
          <w:rFonts w:ascii="Times New Roman" w:cs="Times New Roman" w:eastAsia="Times New Roman" w:hAnsi="Times New Roman"/>
          <w:sz w:val="20"/>
          <w:szCs w:val="20"/>
          <w:u w:val="single" w:color="auto"/>
          <w:color w:val="auto"/>
        </w:rPr>
        <w:t>Certain ERISA Matters</w:t>
      </w:r>
      <w:r>
        <w:rPr>
          <w:rFonts w:ascii="Times New Roman" w:cs="Times New Roman" w:eastAsia="Times New Roman" w:hAnsi="Times New Roman"/>
          <w:sz w:val="20"/>
          <w:szCs w:val="20"/>
          <w:color w:val="auto"/>
        </w:rPr>
        <w:t>.</w:t>
      </w:r>
    </w:p>
    <w:p>
      <w:pPr>
        <w:spacing w:after="0" w:line="86" w:lineRule="exact"/>
        <w:rPr>
          <w:sz w:val="20"/>
          <w:szCs w:val="20"/>
          <w:color w:val="auto"/>
        </w:rPr>
      </w:pPr>
    </w:p>
    <w:p>
      <w:pPr>
        <w:jc w:val="both"/>
        <w:ind w:firstLine="634"/>
        <w:spacing w:after="0" w:line="224" w:lineRule="auto"/>
        <w:tabs>
          <w:tab w:leader="none" w:pos="1254"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Bank (x) represents and warrants, as of the date such Person became a Bank party hereto, to, and (y) covenants, from the date such Person became a Bank party hereto to the date such Person ceases being a Bank party hereto, for the benefit of the Administrative Agent and each Lead Arranger and their respective Affiliates, and not, for the avoidance of doubt, to or for the benefit of the General Partner or the Borrower, that at least one of the following is and will be true:</w:t>
      </w:r>
    </w:p>
    <w:p>
      <w:pPr>
        <w:spacing w:after="0" w:line="146" w:lineRule="exact"/>
        <w:rPr>
          <w:rFonts w:ascii="Times New Roman" w:cs="Times New Roman" w:eastAsia="Times New Roman" w:hAnsi="Times New Roman"/>
          <w:sz w:val="21"/>
          <w:szCs w:val="21"/>
          <w:color w:val="auto"/>
        </w:rPr>
      </w:pPr>
    </w:p>
    <w:p>
      <w:pPr>
        <w:ind w:left="640" w:firstLine="622"/>
        <w:spacing w:after="0" w:line="241" w:lineRule="auto"/>
        <w:tabs>
          <w:tab w:leader="none" w:pos="1885" w:val="left"/>
        </w:tabs>
        <w:numPr>
          <w:ilvl w:val="1"/>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Bank is not using “plan assets” (within the meaning of the Plan Asset Regulations) of one or more Benefit Plans in connection with the Loans, the Letters of Credit, the Loan Commitments or this Agreement,</w:t>
      </w:r>
    </w:p>
    <w:p>
      <w:pPr>
        <w:spacing w:after="0" w:line="143" w:lineRule="exact"/>
        <w:rPr>
          <w:rFonts w:ascii="Times New Roman" w:cs="Times New Roman" w:eastAsia="Times New Roman" w:hAnsi="Times New Roman"/>
          <w:sz w:val="21"/>
          <w:szCs w:val="21"/>
          <w:color w:val="auto"/>
        </w:rPr>
      </w:pPr>
    </w:p>
    <w:p>
      <w:pPr>
        <w:jc w:val="both"/>
        <w:ind w:left="640" w:firstLine="622"/>
        <w:spacing w:after="0" w:line="217" w:lineRule="auto"/>
        <w:tabs>
          <w:tab w:leader="none" w:pos="1891" w:val="left"/>
        </w:tabs>
        <w:numPr>
          <w:ilvl w:val="1"/>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Letters of Credit, the Loan Commitments and this Agreement,</w:t>
      </w:r>
    </w:p>
    <w:p>
      <w:pPr>
        <w:spacing w:after="0" w:line="148" w:lineRule="exact"/>
        <w:rPr>
          <w:rFonts w:ascii="Times New Roman" w:cs="Times New Roman" w:eastAsia="Times New Roman" w:hAnsi="Times New Roman"/>
          <w:sz w:val="21"/>
          <w:szCs w:val="21"/>
          <w:color w:val="auto"/>
        </w:rPr>
      </w:pPr>
    </w:p>
    <w:p>
      <w:pPr>
        <w:jc w:val="both"/>
        <w:ind w:left="640" w:firstLine="622"/>
        <w:spacing w:after="0" w:line="216" w:lineRule="auto"/>
        <w:tabs>
          <w:tab w:leader="none" w:pos="1897" w:val="left"/>
        </w:tabs>
        <w:numPr>
          <w:ilvl w:val="1"/>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Letters of Credit, the Loan Commitments and this Agreement, (C) the entrance into, participation in, administration of and performance of the Loans, the Letters of Credit, the Loan Commitments and this Agreement satisfies the requirements of sub-sections (b) through (g) of Part I of PTE 84-14 and (D) to the best knowledge of such Bank, the requirements of subsection (a) of Part I of PTE 84-14 are satisfied with respect to such Bank's entrance into, participation in, administration of and performance of the Loans, the Letters of Credit, the Loan Commitments and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98</w:t>
      </w:r>
    </w:p>
    <w:p>
      <w:pPr>
        <w:sectPr>
          <w:pgSz w:w="11900" w:h="16838" w:orient="portrait"/>
          <w:cols w:equalWidth="0" w:num="1">
            <w:col w:w="11240"/>
          </w:cols>
          <w:pgMar w:left="320" w:top="1382" w:right="339" w:bottom="1440" w:gutter="0" w:footer="0" w:header="0"/>
        </w:sectPr>
      </w:pPr>
    </w:p>
    <w:bookmarkStart w:id="402" w:name="page403"/>
    <w:bookmarkEnd w:id="402"/>
    <w:p>
      <w:pPr>
        <w:ind w:left="640" w:firstLine="622"/>
        <w:spacing w:after="0" w:line="241" w:lineRule="auto"/>
        <w:tabs>
          <w:tab w:leader="none" w:pos="1885" w:val="left"/>
        </w:tabs>
        <w:numPr>
          <w:ilvl w:val="2"/>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representation, warranty and covenant as may be agreed in writing between the Administrative Agent, in its sole discretion, and such Bank.</w:t>
      </w:r>
    </w:p>
    <w:p>
      <w:pPr>
        <w:spacing w:after="0" w:line="143" w:lineRule="exact"/>
        <w:rPr>
          <w:rFonts w:ascii="Times New Roman" w:cs="Times New Roman" w:eastAsia="Times New Roman" w:hAnsi="Times New Roman"/>
          <w:sz w:val="21"/>
          <w:szCs w:val="21"/>
          <w:color w:val="auto"/>
        </w:rPr>
      </w:pPr>
    </w:p>
    <w:p>
      <w:pPr>
        <w:jc w:val="both"/>
        <w:ind w:firstLine="634"/>
        <w:spacing w:after="0" w:line="216" w:lineRule="auto"/>
        <w:tabs>
          <w:tab w:leader="none" w:pos="1253" w:val="left"/>
        </w:tabs>
        <w:numPr>
          <w:ilvl w:val="1"/>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unless either (1) sub-clause (i) in the immediately preceding clause (a) is true with respect to a Bank or (2) such Bank has provided another representation, warranty and covenant as provided in sub-clause (iv) in the immediately preceding clause (a), such Bank further (x) represents and warrants, as of the date such Person became a Bank party hereto, to, and (y) covenants, from the date such Person became a Bank party hereto to the date such Person ceases being a Bank party hereto, for the benefit of the Administrative Agent and each Lead Arranger and their respective Affiliates, and not, for the avoidance of doubt, to or for the benefit of the General Partner or the Borrower, that none of the Administrative Agent or any Lead Arranger or any of their respective Affiliates is a fiduciary with respect to the assets of such Bank (including in connection with the reservation or exercise of any rights by the Administrative Agent under this Agreement, any Loan Document or any documents related to hereto or thereto).</w:t>
      </w:r>
    </w:p>
    <w:p>
      <w:pPr>
        <w:spacing w:after="0" w:line="147" w:lineRule="exact"/>
        <w:rPr>
          <w:rFonts w:ascii="Times New Roman" w:cs="Times New Roman" w:eastAsia="Times New Roman" w:hAnsi="Times New Roman"/>
          <w:sz w:val="21"/>
          <w:szCs w:val="21"/>
          <w:color w:val="auto"/>
        </w:rPr>
      </w:pPr>
    </w:p>
    <w:p>
      <w:pPr>
        <w:jc w:val="both"/>
        <w:ind w:firstLine="634"/>
        <w:spacing w:after="0" w:line="212" w:lineRule="auto"/>
        <w:tabs>
          <w:tab w:leader="none" w:pos="1254" w:val="left"/>
        </w:tabs>
        <w:numPr>
          <w:ilvl w:val="1"/>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each Lead Arranger hereby informs the Banks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Loan Commitments, this Agreement and any other Loan Documents (ii) may recognize a gain if it extended the Loans, the Letters of Credit or the Loan Commitments for an amount less than the amount being paid for an interest in the Loans, the Letters of Credit or the Loan Commitments by such Bank or</w:t>
      </w:r>
    </w:p>
    <w:p>
      <w:pPr>
        <w:spacing w:after="0" w:line="1" w:lineRule="exact"/>
        <w:rPr>
          <w:rFonts w:ascii="Times New Roman" w:cs="Times New Roman" w:eastAsia="Times New Roman" w:hAnsi="Times New Roman"/>
          <w:sz w:val="21"/>
          <w:szCs w:val="21"/>
          <w:color w:val="auto"/>
        </w:rPr>
      </w:pPr>
    </w:p>
    <w:p>
      <w:pPr>
        <w:jc w:val="both"/>
        <w:ind w:firstLine="5"/>
        <w:spacing w:after="0" w:line="216" w:lineRule="auto"/>
        <w:tabs>
          <w:tab w:leader="none" w:pos="374"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3"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10.19 </w:t>
      </w:r>
      <w:r>
        <w:rPr>
          <w:rFonts w:ascii="Times New Roman" w:cs="Times New Roman" w:eastAsia="Times New Roman" w:hAnsi="Times New Roman"/>
          <w:sz w:val="21"/>
          <w:szCs w:val="21"/>
          <w:u w:val="single" w:color="auto"/>
          <w:color w:val="auto"/>
        </w:rPr>
        <w:t>Sustainability Matters</w:t>
      </w:r>
      <w:r>
        <w:rPr>
          <w:rFonts w:ascii="Times New Roman" w:cs="Times New Roman" w:eastAsia="Times New Roman" w:hAnsi="Times New Roman"/>
          <w:sz w:val="21"/>
          <w:szCs w:val="21"/>
          <w:color w:val="auto"/>
        </w:rPr>
        <w:t>. Each party hereto hereby agrees that none of the Administrative Agent, any Joint Lead Arranger or the Sustainability Structuring Agent shall have (x) any duty to ascertain, inquire into or otherwise independently verify any sustainability related information or any other information or materials provided by the Borrower and used in connection with the sustainability provisions of the credit facility evidenced by this Agreement, including with respect to the applicable KPI nor (y) any responsibility for (or liability in respect of) the completeness or accuracy of such information. Each party hereto hereby agrees that none of Administrative Agent, the Sustainability Structuring Agent or any Joint Lead Arranger shall have any responsibility for (or liability in respect of) reviewing, auditing or otherwise evaluating any calculation by the Borrower of any Sustainability Rate Adjustment (or any of the data or computations that are part of or related to any such calculation) set forth in any Pricing Certificate or notice as to a Pricing Certificate Inaccuracy (and the Administrative Agent, the Joint Lead Arrangers and the Sustainability Structuring Agent may rely conclusively on any such certificate or notice, without further inquiry).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99</w:t>
      </w:r>
    </w:p>
    <w:p>
      <w:pPr>
        <w:sectPr>
          <w:pgSz w:w="11900" w:h="16838" w:orient="portrait"/>
          <w:cols w:equalWidth="0" w:num="1">
            <w:col w:w="11240"/>
          </w:cols>
          <w:pgMar w:left="320" w:top="1356" w:right="339" w:bottom="1440" w:gutter="0" w:footer="0" w:header="0"/>
        </w:sectPr>
      </w:pPr>
    </w:p>
    <w:bookmarkStart w:id="403" w:name="page404"/>
    <w:bookmarkEnd w:id="403"/>
    <w:p>
      <w:pPr>
        <w:ind w:left="5000"/>
        <w:spacing w:after="0"/>
        <w:rPr>
          <w:sz w:val="20"/>
          <w:szCs w:val="20"/>
          <w:color w:val="auto"/>
        </w:rPr>
      </w:pPr>
      <w:r>
        <w:rPr>
          <w:rFonts w:ascii="Times New Roman" w:cs="Times New Roman" w:eastAsia="Times New Roman" w:hAnsi="Times New Roman"/>
          <w:sz w:val="21"/>
          <w:szCs w:val="21"/>
          <w:color w:val="auto"/>
        </w:rPr>
        <w:t>ARTICLE XI</w:t>
      </w:r>
    </w:p>
    <w:p>
      <w:pPr>
        <w:spacing w:after="0" w:line="1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NATURE OF OBLIGATIONS</w:t>
      </w:r>
    </w:p>
    <w:p>
      <w:pPr>
        <w:spacing w:after="0" w:line="204"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11.01 </w:t>
      </w:r>
      <w:r>
        <w:rPr>
          <w:rFonts w:ascii="Times New Roman" w:cs="Times New Roman" w:eastAsia="Times New Roman" w:hAnsi="Times New Roman"/>
          <w:sz w:val="21"/>
          <w:szCs w:val="21"/>
          <w:u w:val="single" w:color="auto"/>
          <w:color w:val="auto"/>
        </w:rPr>
        <w:t>Absolute and Unconditional Obligations</w:t>
      </w:r>
      <w:r>
        <w:rPr>
          <w:rFonts w:ascii="Times New Roman" w:cs="Times New Roman" w:eastAsia="Times New Roman" w:hAnsi="Times New Roman"/>
          <w:sz w:val="21"/>
          <w:szCs w:val="21"/>
          <w:color w:val="auto"/>
        </w:rPr>
        <w:t>. Borrower acknowledges and agrees that its obligations and liabilities under this Agreement and under the other Loan Documents shall be absolute and unconditional irrespective of (1) any lack of validity or enforceability of any of the Obligations, any Loan Documents, or any agreement or instrument relating thereto; (2) any change in the time, manner or place of payment of, or in any other term in respect of, all or any of the Obligations, or any other amendment or waiver of or consent to any departure from any Loan Documents or any other documents or instruments executed in connection with or related to the Obligations; (3) any exchange or release of any collateral, if any, or of any other Person from all or any of the Obligations; or (4) any other circumstances which might otherwise constitute a defense available to, or a discharge of, Borrower or any other Person in respect of the Obligations.</w:t>
      </w:r>
    </w:p>
    <w:p>
      <w:pPr>
        <w:spacing w:after="0" w:line="1"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The obligations and liabilities of Borrower under this Agreement and the other Loan Documents shall not be conditioned or contingent upon the pursuit by any Bank or any other Person at any time of any right or remedy against Borrower, General Partner or any other Person which may be or become liable in respect of all or any part of the Obligations or against any collateral or security or guarantee therefor or right of setoff with respect thereto.</w:t>
      </w:r>
    </w:p>
    <w:p>
      <w:pPr>
        <w:spacing w:after="0" w:line="170"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11.02 </w:t>
      </w:r>
      <w:r>
        <w:rPr>
          <w:rFonts w:ascii="Times New Roman" w:cs="Times New Roman" w:eastAsia="Times New Roman" w:hAnsi="Times New Roman"/>
          <w:sz w:val="21"/>
          <w:szCs w:val="21"/>
          <w:u w:val="single" w:color="auto"/>
          <w:color w:val="auto"/>
        </w:rPr>
        <w:t>Non-Recourse to VRT Principals and the General Partner</w:t>
      </w:r>
      <w:r>
        <w:rPr>
          <w:rFonts w:ascii="Times New Roman" w:cs="Times New Roman" w:eastAsia="Times New Roman" w:hAnsi="Times New Roman"/>
          <w:sz w:val="21"/>
          <w:szCs w:val="21"/>
          <w:color w:val="auto"/>
        </w:rPr>
        <w:t>. This Agreement and the obligations hereunder and under the other Loan Documents are fully recourse to Borrower. Notwithstanding anything to the contrary contained in this Agreement, in any of the other Loan Documents, or in any other instruments, certificates, documents or agreements executed in connection with the Loans (all of the foregoing, for purposes of this Section, hereinafter referred to, individually and collectively, as the “</w:t>
      </w:r>
      <w:r>
        <w:rPr>
          <w:rFonts w:ascii="Times New Roman" w:cs="Times New Roman" w:eastAsia="Times New Roman" w:hAnsi="Times New Roman"/>
          <w:sz w:val="21"/>
          <w:szCs w:val="21"/>
          <w:u w:val="single" w:color="auto"/>
          <w:color w:val="auto"/>
        </w:rPr>
        <w:t>Relevant Documents</w:t>
      </w:r>
      <w:r>
        <w:rPr>
          <w:rFonts w:ascii="Times New Roman" w:cs="Times New Roman" w:eastAsia="Times New Roman" w:hAnsi="Times New Roman"/>
          <w:sz w:val="21"/>
          <w:szCs w:val="21"/>
          <w:color w:val="auto"/>
        </w:rPr>
        <w:t xml:space="preserve">”), and notwithstanding any applicable law that would make the General Partner liable for the debts or obligations of the Borrower, including as a general partner, no recourse under or upon any Obligation, representation, warranty, promise or other matter whatsoever shall be had against any of the VRT Principals or the General Partner, and each Bank expressly waives and releases, on behalf of itself and its successors and assigns, all right to assert any liability whatsoever under or with respect to the Relevant Documents against, or to satisfy any claim or obligation arising thereunder against, any of the VRT Principals or the General Partner or out of any assets of the VRT Principals or the General Partner,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nothing in this Section shall be deemed to (1) release Borrower from any liability pursuant to, or from any of its obligations under, the Relevant Documents, or from liability for its fraudulent actions or fraudulent omissions; (2) release any VRT Principals or the General Partner from personal liability arising outside of the terms of this Agreement for its, his or her own fraudulent actions, fraudulent omissions, misappropriation of funds, rents or insurance proceeds, gross negligence or willful misconduct; (3) constitute a waiver of any obligation evidenced or secured by, or contained in, the Relevant Documents or affect in any way the validity or enforceability of the Relevant Documents; or (4) limit the right of Administrative Agent and/or the Banks to proceed against or realize upon any collateral hereafter given for the Loans and Letters of Credit or any and all of the assets of Borrower (notwithstanding the fact that the VRT Principals and the General Partner have an ownership interest in Borrower and, thereby, an interest in the assets of Borrower) or to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100</w:t>
      </w:r>
    </w:p>
    <w:p>
      <w:pPr>
        <w:sectPr>
          <w:pgSz w:w="11900" w:h="16838" w:orient="portrait"/>
          <w:cols w:equalWidth="0" w:num="1">
            <w:col w:w="11240"/>
          </w:cols>
          <w:pgMar w:left="320" w:top="1356" w:right="339" w:bottom="1440" w:gutter="0" w:footer="0" w:header="0"/>
        </w:sectPr>
      </w:pPr>
    </w:p>
    <w:bookmarkStart w:id="404" w:name="page405"/>
    <w:bookmarkEnd w:id="404"/>
    <w:p>
      <w:pPr>
        <w:jc w:val="both"/>
        <w:spacing w:after="0" w:line="255" w:lineRule="auto"/>
        <w:rPr>
          <w:sz w:val="20"/>
          <w:szCs w:val="20"/>
          <w:color w:val="auto"/>
        </w:rPr>
      </w:pPr>
      <w:r>
        <w:rPr>
          <w:rFonts w:ascii="Times New Roman" w:cs="Times New Roman" w:eastAsia="Times New Roman" w:hAnsi="Times New Roman"/>
          <w:sz w:val="21"/>
          <w:szCs w:val="21"/>
          <w:color w:val="auto"/>
        </w:rPr>
        <w:t>name Borrower (or, to the extent that the same are required by applicable law or are determined by a court to be necessary parties in connection with an action or suit against Borrower or any collateral hereafter given for the Loans, the General Partner) as a party defendant in, and to enforce against any collateral hereafter given for the Loans and/or assets of Borrower any judgment obtained by Administrative Agent and/or the Banks with respect to, any action or suit under the Relevant Documents so long as no judgment shall be taken (except to the extent taking a judgment is required by applicable law or determined by a court to be necessary to preserve Administrative Agent’s and/or Banks’ rights against any collateral hereafter given for the Loans or Borrower, but not otherwise) or shall be enforced against any of the VRT Principals or the General Partner or their assets.</w:t>
      </w:r>
    </w:p>
    <w:p>
      <w:pPr>
        <w:spacing w:after="0" w:line="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ARTICLE XII</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MISCELLANEOUS</w:t>
      </w:r>
    </w:p>
    <w:p>
      <w:pPr>
        <w:spacing w:after="0" w:line="112"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12.01 </w:t>
      </w:r>
      <w:r>
        <w:rPr>
          <w:rFonts w:ascii="Times New Roman" w:cs="Times New Roman" w:eastAsia="Times New Roman" w:hAnsi="Times New Roman"/>
          <w:sz w:val="21"/>
          <w:szCs w:val="21"/>
          <w:u w:val="single" w:color="auto"/>
          <w:color w:val="auto"/>
        </w:rPr>
        <w:t>Binding Effect of Request for Advance</w:t>
      </w:r>
      <w:r>
        <w:rPr>
          <w:rFonts w:ascii="Times New Roman" w:cs="Times New Roman" w:eastAsia="Times New Roman" w:hAnsi="Times New Roman"/>
          <w:sz w:val="21"/>
          <w:szCs w:val="21"/>
          <w:color w:val="auto"/>
        </w:rPr>
        <w:t>. Borrower agrees that, by its acceptance of any advance of proceeds of the Loans under this Agreement or the issuance of any Letter of Credit, it shall be bound in all respects by the request for advance or Letter of Credit submitted on its behalf in connection therewith with the same force and effect as if Borrower had itself executed and submitted the request for advance or Letter of Credit and whether or not the request for advance is executed and/or submitted by an authorized person.</w:t>
      </w:r>
    </w:p>
    <w:p>
      <w:pPr>
        <w:spacing w:after="0" w:line="12"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12.02 </w:t>
      </w:r>
      <w:r>
        <w:rPr>
          <w:rFonts w:ascii="Times New Roman" w:cs="Times New Roman" w:eastAsia="Times New Roman" w:hAnsi="Times New Roman"/>
          <w:sz w:val="21"/>
          <w:szCs w:val="21"/>
          <w:u w:val="single" w:color="auto"/>
          <w:color w:val="auto"/>
        </w:rPr>
        <w:t>Amendments and Waivers</w:t>
      </w:r>
      <w:r>
        <w:rPr>
          <w:rFonts w:ascii="Times New Roman" w:cs="Times New Roman" w:eastAsia="Times New Roman" w:hAnsi="Times New Roman"/>
          <w:sz w:val="21"/>
          <w:szCs w:val="21"/>
          <w:color w:val="auto"/>
        </w:rPr>
        <w:t xml:space="preserve">. Subject to Section 1.08, Section 2.16(c) (with respect to the Incremental Commitments) and Sections 3.02(b), (c) and (d), no amendment, forbearance or material waiver of any provision of this Agreement or any other Loan Document nor consent to any material departure by Borrower therefrom, shall in any event be effective unless the same shall be in writing and signed by the Required Banks and, solely for purposes of its acknowledgment thereof, Administrative Agent, and then such waiver or consent shall be effective only in the specific instance and for the specific purpose for which given,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amendment, waiver, consent or forbearance shall, unless in writing and signed by all the Banks (or in the case of (1), (2), (4) and (7) below, signed by all the Banks directly and adversely affected thereby) do any of the following: (1) forgive or reduce the principal of, or interest on, the Loans or any fees due hereunder or any other amount due hereunder or under any other Loan Document; (2) postpone or extend any date fixed for any payment of principal of, or interest on, the Loans or any fees or other amounts due hereunder or under any other Loan Document, or postpone the scheduled date of expiration of any Loan Commitment; (3) change the definition of Required Banks, (4) change the definition of Pro Rata Share or change Section 9.03, 10.14 or 10.15 in a manner that would alter the pro rata sharing of payments required thereby; (5) amend this Section 12.02 or any other provision requiring the unanimous consent of the Banks; (6) waive any default in payment under paragraph (1) of Section 9.01 or any default under paragraph (5) of Section 9.01; (7) increase or decrease any Loan Commitment of any Bank (except changes in Loan Commitments pursuant to Section 2.16); (8) release any guaranty (other than a guaranty given pursuant to Section 12.21 or Section 12.22); (9) permit the expiration date of any Letter of Credit to be later than the first anniversary of the Maturity Date; or (10) permit the assignment or transfer by the Borrower of any of its rights or obligations hereunder or under any other Loan Document except in a transaction permitted (with or without the Required Banks’ consent) pursuant to Section 7.01; and provided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101</w:t>
      </w:r>
    </w:p>
    <w:p>
      <w:pPr>
        <w:sectPr>
          <w:pgSz w:w="11900" w:h="16838" w:orient="portrait"/>
          <w:cols w:equalWidth="0" w:num="1">
            <w:col w:w="11240"/>
          </w:cols>
          <w:pgMar w:left="320" w:top="1382" w:right="339" w:bottom="1440" w:gutter="0" w:footer="0" w:header="0"/>
        </w:sectPr>
      </w:pPr>
    </w:p>
    <w:bookmarkStart w:id="405" w:name="page406"/>
    <w:bookmarkEnd w:id="405"/>
    <w:p>
      <w:pPr>
        <w:jc w:val="both"/>
        <w:spacing w:after="0" w:line="255" w:lineRule="auto"/>
        <w:rPr>
          <w:sz w:val="20"/>
          <w:szCs w:val="20"/>
          <w:color w:val="auto"/>
        </w:rPr>
      </w:pPr>
      <w:r>
        <w:rPr>
          <w:rFonts w:ascii="Times New Roman" w:cs="Times New Roman" w:eastAsia="Times New Roman" w:hAnsi="Times New Roman"/>
          <w:sz w:val="21"/>
          <w:szCs w:val="21"/>
          <w:color w:val="auto"/>
        </w:rPr>
        <w:t>further, that an amendment, waiver or consent relating to the Letters of Credit (including any letter of credit application; provided that the provisions of this Agreement shall prevail if there is an inconsistency between this Agreement and such amendment, waiver or consent to a letter of credit application) shall only be binding if in writing and signed by the Fronting Banks affected thereby.</w:t>
      </w:r>
    </w:p>
    <w:p>
      <w:pPr>
        <w:spacing w:after="0" w:line="3"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Notwithstanding the foregoing, 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213"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Any advance of proceeds of the Loans made prior to or without the fulfillment by Borrower of all of the conditions precedent thereto, whether or not known to Administrative Agent and the Banks, shall not constitute a waiver of the requirement that all conditions, including the non-performed conditions, shall be required with respect to all future advances. No failure on the part of Administrative Agent or any Bank to exercise, and no delay in exercising, any right hereunder shall operate as a waiver thereof or preclude any other or further exercise thereof or the exercise of any other right. The remedies herein provided are cumulative and not exclusive of any remedies provided by law.</w:t>
      </w:r>
    </w:p>
    <w:p>
      <w:pPr>
        <w:spacing w:after="0" w:line="136"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12.03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or any Bank may have had notice or knowledge of any Default or incorrect representation or warranty at the time any credit is extended hereunder, and shall continue in full force and effect as long as any Obligations hereunder are outstanding and unpaid.</w:t>
      </w:r>
    </w:p>
    <w:p>
      <w:pPr>
        <w:spacing w:after="0" w:line="66"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12.04 </w:t>
      </w:r>
      <w:r>
        <w:rPr>
          <w:rFonts w:ascii="Times New Roman" w:cs="Times New Roman" w:eastAsia="Times New Roman" w:hAnsi="Times New Roman"/>
          <w:sz w:val="21"/>
          <w:szCs w:val="21"/>
          <w:u w:val="single" w:color="auto"/>
          <w:color w:val="auto"/>
        </w:rPr>
        <w:t>Expenses; Indemnification</w:t>
      </w:r>
      <w:r>
        <w:rPr>
          <w:rFonts w:ascii="Times New Roman" w:cs="Times New Roman" w:eastAsia="Times New Roman" w:hAnsi="Times New Roman"/>
          <w:sz w:val="21"/>
          <w:szCs w:val="21"/>
          <w:color w:val="auto"/>
        </w:rPr>
        <w:t xml:space="preserve">. Borrower agrees to reimburse Administrative Agent on demand for all reasonable out-of-pocket costs, expenses, and charges (including, without limitation, all reasonable fees and charges of engineers, appraisers and external legal counsel) incurred by Administrative Agent in connection with the Loans and the Loan Documents (including any amendments, modifications and waivers thereto), to reimburse each Fronting Bank for all reasonable out-of-pocket expenses incurred by it in connection with the issuance, amendment, renewal or extension of any Letter of Credit or any demand for payment thereunder, and to reimburse each of the Banks for reasonable out-of-pocket legal costs, expenses and charges incurred by each of the Banks in connection with the performance or enforcement of this Agreement, the Notes, or any other Loan Documents, including during any workout or restructuring;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Borrower is not responsible for costs, expenses and charges incurred by the Bank Parties in connection with the administration or syndication of the Loans (other than any administration fee payable to Administrative Agent). Borrower agrees to indemnify Administrative Agent, each Bank, </w:t>
      </w:r>
      <w:r>
        <w:rPr>
          <w:rFonts w:ascii="Times New Roman" w:cs="Times New Roman" w:eastAsia="Times New Roman" w:hAnsi="Times New Roman"/>
          <w:sz w:val="21"/>
          <w:szCs w:val="21"/>
          <w:u w:val="single" w:color="auto"/>
          <w:color w:val="0E32E1"/>
        </w:rPr>
        <w:t>each Lead Arranger,</w:t>
      </w:r>
      <w:r>
        <w:rPr>
          <w:rFonts w:ascii="Times New Roman" w:cs="Times New Roman" w:eastAsia="Times New Roman" w:hAnsi="Times New Roman"/>
          <w:sz w:val="21"/>
          <w:szCs w:val="21"/>
          <w:color w:val="auto"/>
        </w:rPr>
        <w:t xml:space="preserve"> the Sustainability Structuring Agent, Affiliates of the foregoing, and their respective directors, officers, employees,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102</w:t>
      </w:r>
    </w:p>
    <w:p>
      <w:pPr>
        <w:sectPr>
          <w:pgSz w:w="11900" w:h="16838" w:orient="portrait"/>
          <w:cols w:equalWidth="0" w:num="1">
            <w:col w:w="11240"/>
          </w:cols>
          <w:pgMar w:left="320" w:top="1382" w:right="339" w:bottom="1440" w:gutter="0" w:footer="0" w:header="0"/>
        </w:sectPr>
      </w:pPr>
    </w:p>
    <w:bookmarkStart w:id="406" w:name="page407"/>
    <w:bookmarkEnd w:id="406"/>
    <w:p>
      <w:pPr>
        <w:jc w:val="both"/>
        <w:spacing w:after="0" w:line="255" w:lineRule="auto"/>
        <w:rPr>
          <w:sz w:val="20"/>
          <w:szCs w:val="20"/>
          <w:color w:val="auto"/>
        </w:rPr>
      </w:pPr>
      <w:r>
        <w:rPr>
          <w:rFonts w:ascii="Times New Roman" w:cs="Times New Roman" w:eastAsia="Times New Roman" w:hAnsi="Times New Roman"/>
          <w:sz w:val="21"/>
          <w:szCs w:val="21"/>
          <w:color w:val="auto"/>
        </w:rPr>
        <w:t>partners, agents and advisors (each, an “</w:t>
      </w:r>
      <w:r>
        <w:rPr>
          <w:rFonts w:ascii="Times New Roman" w:cs="Times New Roman" w:eastAsia="Times New Roman" w:hAnsi="Times New Roman"/>
          <w:sz w:val="21"/>
          <w:szCs w:val="21"/>
          <w:u w:val="single" w:color="auto"/>
          <w:color w:val="auto"/>
        </w:rPr>
        <w:t>indemnified person</w:t>
      </w:r>
      <w:r>
        <w:rPr>
          <w:rFonts w:ascii="Times New Roman" w:cs="Times New Roman" w:eastAsia="Times New Roman" w:hAnsi="Times New Roman"/>
          <w:sz w:val="21"/>
          <w:szCs w:val="21"/>
          <w:color w:val="auto"/>
        </w:rPr>
        <w:t>”) from, and hold each of them harmless against, any and all losses, liabilities, claims, damages or expenses incurred by any of them arising out of or by reason of (w) the execution, delivery or performance of the Loan Documents or the use of the proceeds of the Loans or Letters of Credit, directly or indirectly, by Borrower,</w:t>
      </w:r>
    </w:p>
    <w:p>
      <w:pPr>
        <w:spacing w:after="0" w:line="3" w:lineRule="exact"/>
        <w:rPr>
          <w:sz w:val="20"/>
          <w:szCs w:val="20"/>
          <w:color w:val="auto"/>
        </w:rPr>
      </w:pPr>
    </w:p>
    <w:p>
      <w:pPr>
        <w:jc w:val="both"/>
        <w:ind w:firstLine="5"/>
        <w:spacing w:after="0" w:line="251" w:lineRule="auto"/>
        <w:tabs>
          <w:tab w:leader="none" w:pos="297"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claims by brokers due to acts or omissions by Borrower, (y) any investigation or litigation or other proceedings (including any threatened investigation or litigation or other proceedings) relating to any actual or proposed use by Borrower of the proceeds of the Loans, including without limitation, the reasonable fees and disbursements of third-party counsel incurred in connection with any such investigation or litigation or other proceedings, or (z) third party claims or actions against any indemnified person relating to or arising from this Agreement and the other Loan Documents and the transactions contemplated pursuant to this Agreement and the other Loan Documents, in all cases whether or not such investigation or litigation or other proceeding is brought by the Borrower or its equity holders, Affiliates, creditors or any other third Person and regardless of whether any indemnified person is a party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indemnification shall exclude any such losses, liabilities, claims, damages or expenses incurred by reason of the gross negligence or willful misconduct of such indemnified person to be indemnified as determined by a final and non-appealable judgment of a court of competent jurisdiction. In third-party litigation, or the preparation therefor, the Borrower shall be entitled to select counsel reasonably acceptable to the Required Banks, and the Agent (as approved by the Required Banks) shall be entitled to select their own supervisory counsel, and, in addition to the foregoing indemnity, the Borrower agrees to pay promptly the reasonable fees and expenses of each such counsel.</w:t>
      </w:r>
    </w:p>
    <w:p>
      <w:pPr>
        <w:spacing w:after="0" w:line="18" w:lineRule="exact"/>
        <w:rPr>
          <w:sz w:val="20"/>
          <w:szCs w:val="20"/>
          <w:color w:val="auto"/>
        </w:rPr>
      </w:pPr>
    </w:p>
    <w:p>
      <w:pPr>
        <w:ind w:firstLine="629"/>
        <w:spacing w:after="0" w:line="280" w:lineRule="auto"/>
        <w:rPr>
          <w:sz w:val="20"/>
          <w:szCs w:val="20"/>
          <w:color w:val="auto"/>
        </w:rPr>
      </w:pPr>
      <w:r>
        <w:rPr>
          <w:rFonts w:ascii="Times New Roman" w:cs="Times New Roman" w:eastAsia="Times New Roman" w:hAnsi="Times New Roman"/>
          <w:sz w:val="21"/>
          <w:szCs w:val="21"/>
          <w:color w:val="auto"/>
        </w:rPr>
        <w:t>The obligations of Borrower under this Section shall survive the repayment of all amounts due under or in connection with any of the Loan Documents and the termination of the Loan Commitments.</w:t>
      </w:r>
    </w:p>
    <w:p>
      <w:pPr>
        <w:spacing w:after="0" w:line="144"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12.05</w:t>
      </w:r>
      <w:r>
        <w:rPr>
          <w:sz w:val="20"/>
          <w:szCs w:val="20"/>
          <w:color w:val="auto"/>
        </w:rPr>
        <w:tab/>
      </w:r>
      <w:r>
        <w:rPr>
          <w:rFonts w:ascii="Times New Roman" w:cs="Times New Roman" w:eastAsia="Times New Roman" w:hAnsi="Times New Roman"/>
          <w:sz w:val="20"/>
          <w:szCs w:val="20"/>
          <w:u w:val="single" w:color="auto"/>
          <w:color w:val="auto"/>
        </w:rPr>
        <w:t>Assignment; Participation</w:t>
      </w:r>
      <w:r>
        <w:rPr>
          <w:rFonts w:ascii="Times New Roman" w:cs="Times New Roman" w:eastAsia="Times New Roman" w:hAnsi="Times New Roman"/>
          <w:sz w:val="20"/>
          <w:szCs w:val="20"/>
          <w:color w:val="auto"/>
        </w:rPr>
        <w:t>.</w:t>
      </w:r>
    </w:p>
    <w:p>
      <w:pPr>
        <w:spacing w:after="0" w:line="99" w:lineRule="exact"/>
        <w:rPr>
          <w:sz w:val="20"/>
          <w:szCs w:val="20"/>
          <w:color w:val="auto"/>
        </w:rPr>
      </w:pPr>
    </w:p>
    <w:p>
      <w:pPr>
        <w:jc w:val="both"/>
        <w:ind w:firstLine="634"/>
        <w:spacing w:after="0" w:line="215" w:lineRule="auto"/>
        <w:tabs>
          <w:tab w:leader="none" w:pos="1254"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binding upon, and shall inure to the benefit of, Borrower, Administrative Agent, the Banks and their respective successors and permitted assigns. Except as provided in Section 7.01, the Borrower may not assign or transfer any of its rights or obligations hereunder or under any other Loan Document without the prior written consent of all the Banks (and any attempted such assignment or transfer without such consent shall be null and void). Except as otherwise provided under Section 12.04, nothing in this Agreement, expressed or implied, shall be construed to confer upon any Person (other than the parties hereto, their respective successors and assigns permitted hereby (including any Affiliate of the Fronting Bank that issues any Letter of Credit), Participants (to the extent provided in paragraph (b) of this Section) and, to the extent expressly contemplated hereby, the Affiliates and their respective directors, officers, employees, agents and advisors of each of the Administrative Agent, the Fronting Bank and the Banks) any legal or equitable right, remedy or claim under or by reason of this Agreement.</w:t>
      </w:r>
    </w:p>
    <w:p>
      <w:pPr>
        <w:spacing w:after="0" w:line="148" w:lineRule="exact"/>
        <w:rPr>
          <w:rFonts w:ascii="Times New Roman" w:cs="Times New Roman" w:eastAsia="Times New Roman" w:hAnsi="Times New Roman"/>
          <w:sz w:val="21"/>
          <w:szCs w:val="21"/>
          <w:color w:val="auto"/>
        </w:rPr>
      </w:pPr>
    </w:p>
    <w:p>
      <w:pPr>
        <w:jc w:val="both"/>
        <w:ind w:firstLine="634"/>
        <w:spacing w:after="0" w:line="221" w:lineRule="auto"/>
        <w:tabs>
          <w:tab w:leader="none" w:pos="1253"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12.05(e), prior to the occurrence of an Event of Default, any Bank may at any time, grant to an existing Bank or one or more banks, finance companies, insurance companies or other entities, other than a natural person or the Borrower and its Affiliates or a Defaulting Lender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in minimum amounts for a voting participation of not less than $5,000,000 (or any lesser amount in the case of voting participations to an existing Bank or any lesser amount equal to such Bank’s entire remaining amount of Loans and Loan Commitments) participating interests in its Loan Commitment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103</w:t>
      </w:r>
    </w:p>
    <w:p>
      <w:pPr>
        <w:sectPr>
          <w:pgSz w:w="11900" w:h="16838" w:orient="portrait"/>
          <w:cols w:equalWidth="0" w:num="1">
            <w:col w:w="11240"/>
          </w:cols>
          <w:pgMar w:left="320" w:top="1382" w:right="339" w:bottom="1440" w:gutter="0" w:footer="0" w:header="0"/>
        </w:sectPr>
      </w:pPr>
    </w:p>
    <w:bookmarkStart w:id="407" w:name="page408"/>
    <w:bookmarkEnd w:id="407"/>
    <w:p>
      <w:pPr>
        <w:jc w:val="both"/>
        <w:spacing w:after="0" w:line="210" w:lineRule="auto"/>
        <w:rPr>
          <w:sz w:val="20"/>
          <w:szCs w:val="20"/>
          <w:color w:val="auto"/>
        </w:rPr>
      </w:pPr>
      <w:r>
        <w:rPr>
          <w:rFonts w:ascii="Times New Roman" w:cs="Times New Roman" w:eastAsia="Times New Roman" w:hAnsi="Times New Roman"/>
          <w:sz w:val="21"/>
          <w:szCs w:val="21"/>
          <w:color w:val="auto"/>
        </w:rPr>
        <w:t>or all of its Loans. After the occurrence and during the continuance of an Event of Default, any Bank may at any time grant to any Person, other than a natural person or the Borrower and its Affiliates, in any amount (also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participating interests in its Loan Commitment or any or all of its Loans. Any participation made during the continuation of an Event of Default shall not be affected by the subsequent cure of such Event of Default. In the event of any such grant by a Bank of a participating interest to a Participant, whether or not upon notice to Borrower and Administrative Agent, such Bank shall remain responsible for the performance of its obligations hereunder, and Borrower and Administrative Agent shall continue to deal solely and directly with such Bank in connection with such Bank’s rights and obligations under this Agreement. Any agreement pursuant to which any Bank may grant such a participating interest shall provide that such Bank shall retain the sole right and responsibility to enforce the obligations of Borrower hereunder and under any other Loan Document, including, without limitation, the right to approve any amendment, modification or waiver of any provision of this Agreement or any other Loan Document; provided that such participation agreement may provide that such Bank will not agree to any modification, amendment or waiver of this Agreement described in clause (1), (2),</w:t>
      </w:r>
    </w:p>
    <w:p>
      <w:pPr>
        <w:spacing w:after="0" w:line="5"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1"/>
          <w:szCs w:val="21"/>
          <w:color w:val="auto"/>
        </w:rPr>
        <w:t>(3), (4), (5), (6) or (7) of Section 12.02 without the consent of the Participant (subject to the final proviso of the first sentence of Section 12.02). The Borrower agrees that each Participant shall, to the extent provided in its participation agreement, be entitled to the benefits of Article III with respect to its participating interest. The Borrower agrees that each Participant shall be entitled to the benefits of Section 10.13 (subject to the requirements and limitations therein, including the requirements under Section 10.13(f) (it being understood that the documentation required under Section 10.13(f) shall be delivered to the participating Bank)) to the same extent as if it were a Bank and had acquired its interest by assignment pursuant to paragraph (c) of this Section; provided that such Participant (A) agrees to be subject to the provisions of Sections 3.07 and 3.08 as if it were an assignee under paragraph (c) of this Section; and (B) shall not be entitled to receive any greater payment under Section 10.13, with respect to any participation, than its participating Bank would have been entitled to receive. Each Bank that sells a participation agrees, at the Borrower’s request and expense, to use reasonable efforts to cooperate with the Borrower to effectuate the provisions of Section 3.07 with respect to any Participant. To the extent permitted by law, each Participant also shall be entitled to the benefits of Section 12.08 as though it were a Bank; provided that such Participant agrees to be subject to Section 10.15 as though it were a Bank. Each Bank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Bank shall have any obligation to disclose all or any portion of the Participant Register (including the identity of any Participant or any information relating to a Participant's interest in any Loan Commitments, Loans, Letters of Credit or its other obligations under any Loan Document) to any Person except to the extent that such disclosure is necessary to establish that such Loan Commitment, Loan, Letter of Credit or other obligation is in registered form under Section 5f.103-1(c) of the United States Treasury Regulations. The entries in the Participant Register shall be conclusive absent manifest error, and such Bank shall treat each Person whose name is recorded in the Participant Register as the owner of such participation for all purposes of this Agreement notwithstanding any notice to the contrary. For the avoidance of doubt, the Administrative Agent shall have no responsibility for maintaining a Participant Register.</w:t>
      </w:r>
    </w:p>
    <w:p>
      <w:pPr>
        <w:spacing w:after="0" w:line="140" w:lineRule="exact"/>
        <w:rPr>
          <w:sz w:val="20"/>
          <w:szCs w:val="20"/>
          <w:color w:val="auto"/>
        </w:rPr>
      </w:pPr>
    </w:p>
    <w:p>
      <w:pPr>
        <w:ind w:left="1260" w:hanging="626"/>
        <w:spacing w:after="0"/>
        <w:tabs>
          <w:tab w:leader="none" w:pos="1260" w:val="left"/>
        </w:tabs>
        <w:numPr>
          <w:ilvl w:val="1"/>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12.05(e), any Bank may at any time assign to a Qualified Institution (in each case, an “</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w:t>
      </w:r>
    </w:p>
    <w:p>
      <w:pPr>
        <w:jc w:val="both"/>
        <w:ind w:firstLine="5"/>
        <w:spacing w:after="0" w:line="218" w:lineRule="auto"/>
        <w:tabs>
          <w:tab w:leader="none" w:pos="282"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occurrence of an Event of Default, in minimum amounts of not less than Five Million Dollars ($5,000,000) and integral multiples of One Million Dollars ($1,000,000) thereafter (or any lesser amount in the case of assignments to an existing Bank or an assignment by a Bank to a Bank Affiliate or any lesser amount equal to such Bank’s entire remaining amount of Loans and Loan Commitments) and (ii) after the occurrence and during the continuance of an Event of Default, in any amount, all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104</w:t>
      </w:r>
    </w:p>
    <w:p>
      <w:pPr>
        <w:sectPr>
          <w:pgSz w:w="11900" w:h="16838" w:orient="portrait"/>
          <w:cols w:equalWidth="0" w:num="1">
            <w:col w:w="11240"/>
          </w:cols>
          <w:pgMar w:left="320" w:top="1356" w:right="339" w:bottom="1440" w:gutter="0" w:footer="0" w:header="0"/>
        </w:sectPr>
      </w:pPr>
    </w:p>
    <w:bookmarkStart w:id="408" w:name="page409"/>
    <w:bookmarkEnd w:id="408"/>
    <w:p>
      <w:pPr>
        <w:jc w:val="both"/>
        <w:spacing w:after="0" w:line="210" w:lineRule="auto"/>
        <w:rPr>
          <w:sz w:val="20"/>
          <w:szCs w:val="20"/>
          <w:color w:val="auto"/>
        </w:rPr>
      </w:pPr>
      <w:r>
        <w:rPr>
          <w:rFonts w:ascii="Times New Roman" w:cs="Times New Roman" w:eastAsia="Times New Roman" w:hAnsi="Times New Roman"/>
          <w:sz w:val="21"/>
          <w:szCs w:val="21"/>
          <w:color w:val="auto"/>
        </w:rPr>
        <w:t xml:space="preserve">proportionate part of all, of its rights and obligations under this Agreement, the Notes and the other Loan Documents, and, in either case, such Assignee shall assume such rights and obligations, pursuant to an Assignment and Assumption Agreement (including an agreement incorporating an Assignment and Assumption Agreement by reference to an Approved Electronic Platform) executed by such Assignee and such transferor Bank; provided, that such assignment shall be subject to the consent of the Administrative Agent and the Fronting Bank and if no Event of Default shall have occurred and be continuing, the consent of Borrower, which consents shall not be unreasonably withheld or delayed;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u w:val="single" w:color="auto"/>
          <w:color w:val="0E32E1"/>
        </w:rPr>
        <w:t>(a)</w:t>
      </w:r>
      <w:r>
        <w:rPr>
          <w:rFonts w:ascii="Times New Roman" w:cs="Times New Roman" w:eastAsia="Times New Roman" w:hAnsi="Times New Roman"/>
          <w:sz w:val="21"/>
          <w:szCs w:val="21"/>
          <w:color w:val="auto"/>
        </w:rPr>
        <w:t xml:space="preserve"> if an Assignee is a Bank Affiliate of such transferor Bank or was a Bank immediately prior to such assignment, no such consents shall be required unless in either case the Assignee is a Defaulting Lender or an Affiliate of a Defaulting Lender (in which case, such consent may be withheld in the sole discretion of the Administrative Agent or the Borrower) </w:t>
      </w:r>
      <w:r>
        <w:rPr>
          <w:rFonts w:ascii="Times New Roman" w:cs="Times New Roman" w:eastAsia="Times New Roman" w:hAnsi="Times New Roman"/>
          <w:sz w:val="21"/>
          <w:szCs w:val="21"/>
          <w:color w:val="0E32E1"/>
        </w:rPr>
        <w:t>and (b) the Borrower shall be deemed to have consented to an assignment of all or a portion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of the Loans and Loan Commitments unless it shall have objected thereto by written notice to the Administrative Agent within 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-134620</wp:posOffset>
            </wp:positionV>
            <wp:extent cx="5030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17">
                      <a:extLst>
                        <a:ext uri="{28A0092B-C50C-407E-A947-70E740481C1C}"/>
                      </a:extLst>
                    </a:blip>
                    <a:srcRect/>
                    <a:stretch>
                      <a:fillRect/>
                    </a:stretch>
                  </pic:blipFill>
                  <pic:spPr bwMode="auto">
                    <a:xfrm>
                      <a:off x="0" y="0"/>
                      <a:ext cx="5030470" cy="8255"/>
                    </a:xfrm>
                    <a:prstGeom prst="rect">
                      <a:avLst/>
                    </a:prstGeom>
                    <a:noFill/>
                  </pic:spPr>
                </pic:pic>
              </a:graphicData>
            </a:graphic>
          </wp:anchor>
        </w:drawing>
      </w:r>
    </w:p>
    <w:p>
      <w:pPr>
        <w:jc w:val="both"/>
        <w:ind w:firstLine="5"/>
        <w:spacing w:after="0" w:line="220" w:lineRule="auto"/>
        <w:tabs>
          <w:tab w:leader="none" w:pos="431" w:val="left"/>
        </w:tabs>
        <w:numPr>
          <w:ilvl w:val="0"/>
          <w:numId w:val="285"/>
        </w:numPr>
        <w:rPr>
          <w:rFonts w:ascii="Times New Roman" w:cs="Times New Roman" w:eastAsia="Times New Roman" w:hAnsi="Times New Roman"/>
          <w:sz w:val="20"/>
          <w:szCs w:val="20"/>
          <w:u w:val="single" w:color="auto"/>
          <w:color w:val="0E32E1"/>
        </w:rPr>
      </w:pPr>
      <w:r>
        <w:rPr>
          <w:rFonts w:ascii="Times New Roman" w:cs="Times New Roman" w:eastAsia="Times New Roman" w:hAnsi="Times New Roman"/>
          <w:sz w:val="20"/>
          <w:szCs w:val="20"/>
          <w:u w:val="single" w:color="auto"/>
          <w:color w:val="0E32E1"/>
        </w:rPr>
        <w:t>Business Days after having received notice thereof.</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Upon execution and delivery of such instrument and an Administrative</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Questionnaire and payment by such Assignee to such transferor Bank of an amount equal to the purchase price agreed between such transferor Bank and such Assignee, such Assignee shall be a Bank party to this Agreement and shall have all the rights and obligations of a Bank with a Loan Commitment as set forth in such Assignment and Assumption Agreement, and no further consent or action by any party shall be required and the transferor Bank shall be released from its obligations hereunder to a corresponding extent. Upon the consummation of any assignment pursuant to this subsection (c), the transferor Bank, Administrative Agent and Borrower shall make appropriate arrangements so that, if required, a new Note is issued to the Assignee. In connection with any such assignment (other than an assignment by a Bank to a Bank Affiliate), the transferor Bank shall pay to Administrative Agent an administrative fee for processing such assignment in the amount of $3,500. If the Assignee is not incorporated under the laws of the United States of America or a state thereof, it shall, prior to the first date on which interest or fees are payable hereunder for its account, deliver to Borrower and Administrative Agent certification as to exemption from, or reduction of, deduction or withholding of any United States federal income taxes in accordance with Section 10.13. Any assignment made during the continuation of an Event of Default shall not be affected by any subsequent cure of such Event of Default. Any consent required hereunder shall be given or denied within ten (10) Banking Days after receipt by the applicable Person of request therefor; any failure to respond within such ten (10) Banking Day period shall be deemed a denial. The Administrative Agent, acting for this purpose as a non-fiduciary agent of the Borrower, shall maintain at one of its offices a copy of each Assignment and Assumption Agreement delivered to it and a register for the recordation of the names and addresses of the Banks, and the Loan Commitment of, and principal amount (and stated interest) of the Loans and Letter of Credit participations owing to, each Bank pursuant to the terms hereof from time to time (the “</w:t>
      </w:r>
      <w:r>
        <w:rPr>
          <w:rFonts w:ascii="Times New Roman" w:cs="Times New Roman" w:eastAsia="Times New Roman" w:hAnsi="Times New Roman"/>
          <w:sz w:val="20"/>
          <w:szCs w:val="20"/>
          <w:u w:val="single" w:color="auto"/>
          <w:color w:val="000000"/>
        </w:rPr>
        <w:t>Register</w:t>
      </w:r>
      <w:r>
        <w:rPr>
          <w:rFonts w:ascii="Times New Roman" w:cs="Times New Roman" w:eastAsia="Times New Roman" w:hAnsi="Times New Roman"/>
          <w:sz w:val="20"/>
          <w:szCs w:val="20"/>
          <w:color w:val="000000"/>
        </w:rPr>
        <w:t>”). The entries in the Register shall be conclusive absent manifest error, and the Borrower, the Administrative Agent, the Fronting Bank and the Banks shall treat each Person whose name is recorded in the Register pursuant to the terms hereof as a Bank hereunder for all purposes of this Agreement, notwithstanding notice to the contrary. The Register shall be available for inspection by the Borrower, the Fronting Bank and any Bank, at any reasonable time and from time to time upon reasonable prior notice.</w:t>
      </w:r>
    </w:p>
    <w:p>
      <w:pPr>
        <w:spacing w:after="0" w:line="158" w:lineRule="exact"/>
        <w:rPr>
          <w:rFonts w:ascii="Times New Roman" w:cs="Times New Roman" w:eastAsia="Times New Roman" w:hAnsi="Times New Roman"/>
          <w:sz w:val="20"/>
          <w:szCs w:val="20"/>
          <w:u w:val="single" w:color="auto"/>
          <w:color w:val="0E32E1"/>
        </w:rPr>
      </w:pPr>
    </w:p>
    <w:p>
      <w:pPr>
        <w:jc w:val="both"/>
        <w:ind w:firstLine="634"/>
        <w:spacing w:after="0" w:line="229" w:lineRule="auto"/>
        <w:tabs>
          <w:tab w:leader="none" w:pos="1253" w:val="left"/>
        </w:tabs>
        <w:numPr>
          <w:ilvl w:val="1"/>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Bank may at any time assign or pledge all or any portion of its rights under this Agreement and its Note to secure the obligations of such Bank, including to a Federal Reserve Bank or other central bank having jurisdiction over such Bank. No such assignment shall release the transferor Bank from its obligations hereunder.</w:t>
      </w:r>
    </w:p>
    <w:p>
      <w:pPr>
        <w:spacing w:after="0" w:line="147" w:lineRule="exact"/>
        <w:rPr>
          <w:rFonts w:ascii="Times New Roman" w:cs="Times New Roman" w:eastAsia="Times New Roman" w:hAnsi="Times New Roman"/>
          <w:sz w:val="21"/>
          <w:szCs w:val="21"/>
          <w:color w:val="auto"/>
        </w:rPr>
      </w:pPr>
    </w:p>
    <w:p>
      <w:pPr>
        <w:jc w:val="both"/>
        <w:ind w:firstLine="634"/>
        <w:spacing w:after="0" w:line="229" w:lineRule="auto"/>
        <w:tabs>
          <w:tab w:leader="none" w:pos="1254" w:val="left"/>
        </w:tabs>
        <w:numPr>
          <w:ilvl w:val="1"/>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Section 12.05(d), so long as no Event of Default shall have occurred and be continuing, no Bank shall be permitted to enter into an assignment of, or sell a participation interest in, its Loans and Loan Commitment, which would result in such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105</w:t>
      </w:r>
    </w:p>
    <w:p>
      <w:pPr>
        <w:sectPr>
          <w:pgSz w:w="11900" w:h="16838" w:orient="portrait"/>
          <w:cols w:equalWidth="0" w:num="1">
            <w:col w:w="11240"/>
          </w:cols>
          <w:pgMar w:left="320" w:top="1356" w:right="339" w:bottom="1440" w:gutter="0" w:footer="0" w:header="0"/>
        </w:sectPr>
      </w:pPr>
    </w:p>
    <w:bookmarkStart w:id="409" w:name="page410"/>
    <w:bookmarkEnd w:id="409"/>
    <w:p>
      <w:pPr>
        <w:jc w:val="both"/>
        <w:spacing w:after="0" w:line="210" w:lineRule="auto"/>
        <w:rPr>
          <w:sz w:val="20"/>
          <w:szCs w:val="20"/>
          <w:color w:val="auto"/>
        </w:rPr>
      </w:pPr>
      <w:r>
        <w:rPr>
          <w:rFonts w:ascii="Times New Roman" w:cs="Times New Roman" w:eastAsia="Times New Roman" w:hAnsi="Times New Roman"/>
          <w:sz w:val="21"/>
          <w:szCs w:val="21"/>
          <w:color w:val="auto"/>
        </w:rPr>
        <w:t xml:space="preserve">holding Loans and a Loan Commitment, without Participants, of less than Ten Million Dollars ($10,000,000), which minimum amount shall be reduced pro rata as a result of a decrease of the aggregate Loan Commitments pursuant to Section 2.16;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 Bank shall be prohibited from assigning its entire Loans and Loan Commitment so long as such assignment is otherwise permitted hereby. </w:t>
      </w:r>
      <w:r>
        <w:rPr>
          <w:rFonts w:ascii="Times New Roman" w:cs="Times New Roman" w:eastAsia="Times New Roman" w:hAnsi="Times New Roman"/>
          <w:sz w:val="21"/>
          <w:szCs w:val="21"/>
          <w:u w:val="single" w:color="auto"/>
          <w:color w:val="0E32E1"/>
        </w:rPr>
        <w:t>Any provision herein to the contrary notwithstanding, without the Borrower’s prior written consent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which it may grant or withhold in its sole and absolute discretion, in no event shall any Bank assign, sell or grant a participation interest in or otherwise transfer (or permit any participant to assign its participation interest or a sub-participation interest), its Loan, Loan Commitment or any interest therein to SL Green Realty Corp. or any of its Affiliates or any fund or entity managed or advised by it or any of its Affiliates; provided that (x) the Administrative Agent shall not be responsible or have any liability for, or have any duty to ascertain, inquire into, monitor or enforce, compliance with the foregoing restriction on assignments and participations and</w:t>
      </w:r>
    </w:p>
    <w:p>
      <w:pPr>
        <w:spacing w:after="0" w:line="9" w:lineRule="exact"/>
        <w:rPr>
          <w:sz w:val="20"/>
          <w:szCs w:val="20"/>
          <w:color w:val="auto"/>
        </w:rPr>
      </w:pPr>
    </w:p>
    <w:p>
      <w:pPr>
        <w:ind w:firstLine="5"/>
        <w:spacing w:after="0" w:line="228" w:lineRule="auto"/>
        <w:tabs>
          <w:tab w:leader="none" w:pos="297" w:val="left"/>
        </w:tabs>
        <w:numPr>
          <w:ilvl w:val="0"/>
          <w:numId w:val="286"/>
        </w:numPr>
        <w:rPr>
          <w:rFonts w:ascii="Times New Roman" w:cs="Times New Roman" w:eastAsia="Times New Roman" w:hAnsi="Times New Roman"/>
          <w:sz w:val="21"/>
          <w:szCs w:val="21"/>
          <w:u w:val="single" w:color="auto"/>
          <w:color w:val="0E32E1"/>
        </w:rPr>
      </w:pPr>
      <w:r>
        <w:rPr>
          <w:rFonts w:ascii="Times New Roman" w:cs="Times New Roman" w:eastAsia="Times New Roman" w:hAnsi="Times New Roman"/>
          <w:sz w:val="21"/>
          <w:szCs w:val="21"/>
          <w:u w:val="single" w:color="auto"/>
          <w:color w:val="0E32E1"/>
        </w:rPr>
        <w:t>each assignee or participant shall be required to represent and warrant in the applicable assignment or participation agreement that it is not an entity that violates the foregoing restriction on assignments and participations.</w:t>
      </w:r>
    </w:p>
    <w:p>
      <w:pPr>
        <w:spacing w:after="0" w:line="145" w:lineRule="exact"/>
        <w:rPr>
          <w:rFonts w:ascii="Times New Roman" w:cs="Times New Roman" w:eastAsia="Times New Roman" w:hAnsi="Times New Roman"/>
          <w:sz w:val="21"/>
          <w:szCs w:val="21"/>
          <w:u w:val="single" w:color="auto"/>
          <w:color w:val="0E32E1"/>
        </w:rPr>
      </w:pPr>
    </w:p>
    <w:p>
      <w:pPr>
        <w:jc w:val="both"/>
        <w:ind w:firstLine="634"/>
        <w:spacing w:after="0" w:line="217" w:lineRule="auto"/>
        <w:tabs>
          <w:tab w:leader="none" w:pos="1257" w:val="left"/>
        </w:tabs>
        <w:numPr>
          <w:ilvl w:val="1"/>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recognizes that in connection with a Bank’s selling of Participations or making of assignments, any or all documentation, financial statements and other data, or copies thereof, relevant to Borrower or the Loans may be exhibited to and retained by any such Participant or assignee or prospective Participant or assignee in accordance with Section 12.23. In connection with a Bank’s delivery of any financial statements and appraisals to any such Participant or assignee or prospective Participant or assignee, such Bank shall also indicate that the same are delivered on a confidential basis. Borrower agrees to provide all assistance reasonably requested by a Bank to enable such Bank to sell Participations or make assignments of its Loan and Loan Commitment as permitted by this Section 12.05.</w:t>
      </w:r>
    </w:p>
    <w:p>
      <w:pPr>
        <w:spacing w:after="0" w:line="17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12.06 </w:t>
      </w:r>
      <w:r>
        <w:rPr>
          <w:rFonts w:ascii="Times New Roman" w:cs="Times New Roman" w:eastAsia="Times New Roman" w:hAnsi="Times New Roman"/>
          <w:sz w:val="21"/>
          <w:szCs w:val="21"/>
          <w:u w:val="single" w:color="auto"/>
          <w:color w:val="auto"/>
        </w:rPr>
        <w:t>Documentation Satisfactory</w:t>
      </w:r>
      <w:r>
        <w:rPr>
          <w:rFonts w:ascii="Times New Roman" w:cs="Times New Roman" w:eastAsia="Times New Roman" w:hAnsi="Times New Roman"/>
          <w:sz w:val="21"/>
          <w:szCs w:val="21"/>
          <w:color w:val="auto"/>
        </w:rPr>
        <w:t>. All documentation required from or to be submitted on behalf of Borrower in connection with this Agreement and the documents relating hereto shall be subject to the prior approval of, and be satisfactory in form and substance to, Administrative Agent, its counsel and, where specifically provided herein, the Banks. In addition, the persons or parties responsible for the execution and delivery of, and signatories to, all of such documentation, shall be acceptable to, and subject to the approval of, Administrative Agent and its counsel and the Banks.</w:t>
      </w:r>
    </w:p>
    <w:p>
      <w:pPr>
        <w:spacing w:after="0" w:line="64"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12.07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 Unless the party to be notified otherwise notifies the other parties in writing as provided in this Section, and except as otherwise provided in this Agreement, notices shall be given to Administrative Agent by telephone, confirmed by writing, and to the Banks and to Borrower by ordinary mail or overnight courier or telecopy, receipt confirmed, addressed to such party at (i) if to the Borrower, its address on the signature page of this Agreement, (ii) if to the Administrative Agent from the Borrower, to JPMorgan Chase Bank, N.A., at the address separately provided to the Borrower, (iii) if to the Administrative Agent from the Banks to JPMorgan Chase Bank, N.A., 8181 Communications Pkwy, Plano, TX 75024, Attention: Cody Canafax, Telephone: 972-324-5152, (iv) if to any Bank, at its address, electronic mail or telecopy number set forth in its Administrative Questionnaire, (v) if to any Fronting Bank, at its address separately provided to the Borrower or (vi) if to any party, at such other address, electronic mail or telecopy number as such party may hereafter specify for the purpose by notice to the Administrative Agent, the Banks and the Borrower. Notices shall be effective: (1) if by telephone, at the time of such telephone conversation, (2) if given by mail, three (3) calendar days after mailing; (3) if given by overnight courier, upon receipt; and (4) if given by telecopy, upon receipt if received by the recipient during its normal business hours. Notices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106</w:t>
      </w:r>
    </w:p>
    <w:p>
      <w:pPr>
        <w:sectPr>
          <w:pgSz w:w="11900" w:h="16838" w:orient="portrait"/>
          <w:cols w:equalWidth="0" w:num="1">
            <w:col w:w="11240"/>
          </w:cols>
          <w:pgMar w:left="320" w:top="1356" w:right="339" w:bottom="1440" w:gutter="0" w:footer="0" w:header="0"/>
        </w:sectPr>
      </w:pPr>
    </w:p>
    <w:bookmarkStart w:id="410" w:name="page411"/>
    <w:bookmarkEnd w:id="410"/>
    <w:p>
      <w:pPr>
        <w:spacing w:after="0" w:line="246" w:lineRule="auto"/>
        <w:rPr>
          <w:sz w:val="20"/>
          <w:szCs w:val="20"/>
          <w:color w:val="auto"/>
        </w:rPr>
      </w:pPr>
      <w:r>
        <w:rPr>
          <w:rFonts w:ascii="Times New Roman" w:cs="Times New Roman" w:eastAsia="Times New Roman" w:hAnsi="Times New Roman"/>
          <w:sz w:val="21"/>
          <w:szCs w:val="21"/>
          <w:color w:val="auto"/>
        </w:rPr>
        <w:t>delivered through Electronic Systems, to the extent provided in paragraph (b) below, shall be effective as provided in said paragraph (b).</w:t>
      </w:r>
    </w:p>
    <w:p>
      <w:pPr>
        <w:spacing w:after="0" w:line="1" w:lineRule="exact"/>
        <w:rPr>
          <w:sz w:val="20"/>
          <w:szCs w:val="20"/>
          <w:color w:val="auto"/>
        </w:rPr>
      </w:pPr>
    </w:p>
    <w:p>
      <w:pPr>
        <w:jc w:val="both"/>
        <w:ind w:firstLine="634"/>
        <w:spacing w:after="0" w:line="214" w:lineRule="auto"/>
        <w:tabs>
          <w:tab w:leader="none" w:pos="1253"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Notices and other communications to the Borrower, the Administrative Agent, the Banks and the Fronting Banks hereunder may be delivered or furnished by using Electronic Systems (including the Approved Electronic Platform and the Approved Borrower Portal) pursuant to procedures approved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apply to notices pursuant to Article II unless otherwise agreed by the Administrative Agent and the applicable Bank.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approval of such procedures may be limited to particular notices or communications.</w:t>
      </w:r>
    </w:p>
    <w:p>
      <w:pPr>
        <w:spacing w:after="0" w:line="172"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Banking Day for the recipient.</w:t>
      </w:r>
    </w:p>
    <w:p>
      <w:pPr>
        <w:spacing w:after="0" w:line="148" w:lineRule="exact"/>
        <w:rPr>
          <w:sz w:val="20"/>
          <w:szCs w:val="20"/>
          <w:color w:val="auto"/>
        </w:rPr>
      </w:pPr>
    </w:p>
    <w:p>
      <w:pPr>
        <w:jc w:val="both"/>
        <w:ind w:firstLine="634"/>
        <w:spacing w:after="0" w:line="229" w:lineRule="auto"/>
        <w:tabs>
          <w:tab w:leader="none" w:pos="1254"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party hereto may change its address or telecopy number for notices and other communications hereunder by notice to the other parties hereto in accordance with this Section 12.07, except that each Bank must only give such notice to the Administrative Agent, the Borrower and the Fronting Banks.</w:t>
      </w:r>
    </w:p>
    <w:p>
      <w:pPr>
        <w:spacing w:after="0" w:line="147"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Electronic Systems.</w:t>
      </w:r>
    </w:p>
    <w:p>
      <w:pPr>
        <w:spacing w:after="0" w:line="177" w:lineRule="exact"/>
        <w:rPr>
          <w:rFonts w:ascii="Times New Roman" w:cs="Times New Roman" w:eastAsia="Times New Roman" w:hAnsi="Times New Roman"/>
          <w:sz w:val="21"/>
          <w:szCs w:val="21"/>
          <w:color w:val="auto"/>
        </w:rPr>
      </w:pPr>
    </w:p>
    <w:p>
      <w:pPr>
        <w:jc w:val="both"/>
        <w:ind w:left="640" w:firstLine="622"/>
        <w:spacing w:after="0" w:line="224" w:lineRule="auto"/>
        <w:tabs>
          <w:tab w:leader="none" w:pos="1885"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agrees that the Administrative Agent may, but shall not be obligated to, make Communications (as defined below) available to the Fronting Banks and the other Banks by posting the Communications on Debt Domain, Intralinks, Syndtrak, ClearPar or a substantially similar Electronic System chosen by the Administrative Agent to be its electronic transmission system (the “</w:t>
      </w:r>
      <w:r>
        <w:rPr>
          <w:rFonts w:ascii="Times New Roman" w:cs="Times New Roman" w:eastAsia="Times New Roman" w:hAnsi="Times New Roman"/>
          <w:sz w:val="21"/>
          <w:szCs w:val="21"/>
          <w:u w:val="single" w:color="auto"/>
          <w:color w:val="auto"/>
        </w:rPr>
        <w:t>Approved Electronic Platform</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jc w:val="both"/>
        <w:ind w:left="640" w:firstLine="622"/>
        <w:spacing w:after="0" w:line="215" w:lineRule="auto"/>
        <w:tabs>
          <w:tab w:leader="none" w:pos="1891"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Banks and the Borrower acknowledges and agrees that the distribution of material through an electronic medium is not necessarily secure, that the Administrative Agent is not responsible for approving or vetting the representatives or contacts of any Bank that are added to the Approved Electronic Platform, and that there are confidentiality and other risks associated with such distribution. Each of the Banks and the Borrower hereby approves distribution of the Communications through the Approved Electronic Platform and understands and assumes the risks of such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107</w:t>
      </w:r>
    </w:p>
    <w:p>
      <w:pPr>
        <w:sectPr>
          <w:pgSz w:w="11900" w:h="16838" w:orient="portrait"/>
          <w:cols w:equalWidth="0" w:num="1">
            <w:col w:w="11240"/>
          </w:cols>
          <w:pgMar w:left="320" w:top="1382" w:right="339" w:bottom="1440" w:gutter="0" w:footer="0" w:header="0"/>
        </w:sectPr>
      </w:pPr>
    </w:p>
    <w:bookmarkStart w:id="411" w:name="page412"/>
    <w:bookmarkEnd w:id="411"/>
    <w:p>
      <w:pPr>
        <w:jc w:val="both"/>
        <w:ind w:left="6" w:firstLine="622"/>
        <w:spacing w:after="0" w:line="212" w:lineRule="auto"/>
        <w:tabs>
          <w:tab w:leader="none" w:pos="1264"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Approved Electronic Platform and the Communications are provided “as is” and “as available.” None of the Administrative Agent or the Borrower or any of their respective Affiliates and such Affiliates’ respective directors, officers, employees, agents or advisors (the “</w:t>
      </w:r>
      <w:r>
        <w:rPr>
          <w:rFonts w:ascii="Times New Roman" w:cs="Times New Roman" w:eastAsia="Times New Roman" w:hAnsi="Times New Roman"/>
          <w:sz w:val="21"/>
          <w:szCs w:val="21"/>
          <w:u w:val="single" w:color="auto"/>
          <w:color w:val="auto"/>
        </w:rPr>
        <w:t>Communications Parties</w:t>
      </w:r>
      <w:r>
        <w:rPr>
          <w:rFonts w:ascii="Times New Roman" w:cs="Times New Roman" w:eastAsia="Times New Roman" w:hAnsi="Times New Roman"/>
          <w:sz w:val="21"/>
          <w:szCs w:val="21"/>
          <w:color w:val="auto"/>
        </w:rPr>
        <w:t>”) warrant the adequacy of the Approved Electronic Platform and each expressly disclaims liability for errors or omissions in the Approved Electronic Platform and the Communications. No warranty of any kind, express, implied or statutory, including any warranty of merchantability, fitness for a particular purpose, non-infringement of third-party rights or freedom from viruses or other code defects, is made by any Communications Party in connection with the Communications or any Approved Electronic Platform. In no event shall any Communications Party have any liability to the other parties hereto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an Electronic System. “</w:t>
      </w:r>
      <w:r>
        <w:rPr>
          <w:rFonts w:ascii="Times New Roman" w:cs="Times New Roman" w:eastAsia="Times New Roman" w:hAnsi="Times New Roman"/>
          <w:sz w:val="21"/>
          <w:szCs w:val="21"/>
          <w:u w:val="single" w:color="auto"/>
          <w:color w:val="auto"/>
        </w:rPr>
        <w:t>Communications</w:t>
      </w:r>
      <w:r>
        <w:rPr>
          <w:rFonts w:ascii="Times New Roman" w:cs="Times New Roman" w:eastAsia="Times New Roman" w:hAnsi="Times New Roman"/>
          <w:sz w:val="21"/>
          <w:szCs w:val="21"/>
          <w:color w:val="auto"/>
        </w:rPr>
        <w:t>” means, collectively, any notice, demand, communication, information, document or other material provided by or on behalf of the Borrower pursuant to any Loan Document or the transactions contemplated therein which is distributed by the Administrative Agent, any Bank or any Fronting Bank by means of electronic communications pursuant to this Section, including through an Electronic System.</w:t>
      </w:r>
    </w:p>
    <w:p>
      <w:pPr>
        <w:spacing w:after="0" w:line="157" w:lineRule="exact"/>
        <w:rPr>
          <w:rFonts w:ascii="Times New Roman" w:cs="Times New Roman" w:eastAsia="Times New Roman" w:hAnsi="Times New Roman"/>
          <w:sz w:val="21"/>
          <w:szCs w:val="21"/>
          <w:color w:val="auto"/>
        </w:rPr>
      </w:pPr>
    </w:p>
    <w:p>
      <w:pPr>
        <w:jc w:val="both"/>
        <w:ind w:left="6" w:firstLine="622"/>
        <w:spacing w:after="0" w:line="219" w:lineRule="auto"/>
        <w:tabs>
          <w:tab w:leader="none" w:pos="1252"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Bank agrees that notice to it (as provided in the next sentence) specifying that Communications have been posted to the Approved Electronic Platform shall constitute effective delivery of the Communications to such Bank for purposes of the Loan Documents to the extent such Communications have been so posted. Each Bank agrees (i) to notify the Administrative Agent in writing (which could be in the form of electronic communication) from time to time of such Bank’s (as applicable) email address to which the foregoing notice may be sent by electronic transmission and (ii) that the foregoing notice may be sent to such email address.</w:t>
      </w:r>
    </w:p>
    <w:p>
      <w:pPr>
        <w:spacing w:after="0" w:line="144" w:lineRule="exact"/>
        <w:rPr>
          <w:rFonts w:ascii="Times New Roman" w:cs="Times New Roman" w:eastAsia="Times New Roman" w:hAnsi="Times New Roman"/>
          <w:sz w:val="21"/>
          <w:szCs w:val="21"/>
          <w:color w:val="auto"/>
        </w:rPr>
      </w:pPr>
    </w:p>
    <w:p>
      <w:pPr>
        <w:jc w:val="both"/>
        <w:ind w:left="6" w:firstLine="622"/>
        <w:spacing w:after="0" w:line="229" w:lineRule="auto"/>
        <w:tabs>
          <w:tab w:leader="none" w:pos="1259"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47" w:lineRule="exact"/>
        <w:rPr>
          <w:rFonts w:ascii="Times New Roman" w:cs="Times New Roman" w:eastAsia="Times New Roman" w:hAnsi="Times New Roman"/>
          <w:sz w:val="21"/>
          <w:szCs w:val="21"/>
          <w:color w:val="auto"/>
        </w:rPr>
      </w:pPr>
    </w:p>
    <w:p>
      <w:pPr>
        <w:ind w:left="6" w:firstLine="622"/>
        <w:spacing w:after="0" w:line="241" w:lineRule="auto"/>
        <w:tabs>
          <w:tab w:leader="none" w:pos="1252"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herein shall prejudice the right of the Administrative Agent or any Bank to give any notice or other communication pursuant to any Loan Document in any other manner specified in such Loan Document.</w:t>
      </w:r>
    </w:p>
    <w:p>
      <w:pPr>
        <w:spacing w:after="0" w:line="143" w:lineRule="exact"/>
        <w:rPr>
          <w:rFonts w:ascii="Times New Roman" w:cs="Times New Roman" w:eastAsia="Times New Roman" w:hAnsi="Times New Roman"/>
          <w:sz w:val="21"/>
          <w:szCs w:val="21"/>
          <w:color w:val="auto"/>
        </w:rPr>
      </w:pPr>
    </w:p>
    <w:p>
      <w:pPr>
        <w:ind w:left="626" w:hanging="626"/>
        <w:spacing w:after="0"/>
        <w:tabs>
          <w:tab w:leader="none" w:pos="626"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Communications.</w:t>
      </w:r>
    </w:p>
    <w:p>
      <w:pPr>
        <w:spacing w:after="0" w:line="177" w:lineRule="exact"/>
        <w:rPr>
          <w:rFonts w:ascii="Times New Roman" w:cs="Times New Roman" w:eastAsia="Times New Roman" w:hAnsi="Times New Roman"/>
          <w:sz w:val="21"/>
          <w:szCs w:val="21"/>
          <w:color w:val="auto"/>
        </w:rPr>
      </w:pPr>
    </w:p>
    <w:p>
      <w:pPr>
        <w:jc w:val="both"/>
        <w:ind w:left="6" w:firstLine="622"/>
        <w:spacing w:after="0" w:line="229" w:lineRule="auto"/>
        <w:tabs>
          <w:tab w:leader="none" w:pos="1252"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the Banks and the Fronting Banks agree that the Borrower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21"/>
          <w:szCs w:val="21"/>
          <w:u w:val="single" w:color="auto"/>
          <w:color w:val="auto"/>
        </w:rPr>
        <w:t>Approved Borrower Portal</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jc w:val="both"/>
        <w:ind w:left="6" w:firstLine="622"/>
        <w:spacing w:after="0" w:line="219" w:lineRule="auto"/>
        <w:tabs>
          <w:tab w:leader="none" w:pos="1258" w:val="left"/>
        </w:tabs>
        <w:numPr>
          <w:ilvl w:val="1"/>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Banks, each of the Fronting Banks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26"/>
        <w:spacing w:after="0"/>
        <w:rPr>
          <w:sz w:val="20"/>
          <w:szCs w:val="20"/>
          <w:color w:val="auto"/>
        </w:rPr>
      </w:pPr>
      <w:r>
        <w:rPr>
          <w:rFonts w:ascii="Times New Roman" w:cs="Times New Roman" w:eastAsia="Times New Roman" w:hAnsi="Times New Roman"/>
          <w:sz w:val="21"/>
          <w:szCs w:val="21"/>
          <w:color w:val="auto"/>
        </w:rPr>
        <w:t>108</w:t>
      </w:r>
    </w:p>
    <w:p>
      <w:pPr>
        <w:sectPr>
          <w:pgSz w:w="11900" w:h="16838" w:orient="portrait"/>
          <w:cols w:equalWidth="0" w:num="1">
            <w:col w:w="10606"/>
          </w:cols>
          <w:pgMar w:left="954" w:top="1356" w:right="339" w:bottom="1440" w:gutter="0" w:footer="0" w:header="0"/>
        </w:sectPr>
      </w:pPr>
    </w:p>
    <w:bookmarkStart w:id="412" w:name="page413"/>
    <w:bookmarkEnd w:id="412"/>
    <w:p>
      <w:pPr>
        <w:jc w:val="both"/>
        <w:ind w:left="640"/>
        <w:spacing w:after="0" w:line="229" w:lineRule="auto"/>
        <w:rPr>
          <w:sz w:val="20"/>
          <w:szCs w:val="20"/>
          <w:color w:val="auto"/>
        </w:rPr>
      </w:pPr>
      <w:r>
        <w:rPr>
          <w:rFonts w:ascii="Times New Roman" w:cs="Times New Roman" w:eastAsia="Times New Roman" w:hAnsi="Times New Roman"/>
          <w:sz w:val="21"/>
          <w:szCs w:val="21"/>
          <w:color w:val="auto"/>
        </w:rPr>
        <w:t>other risks associated with such distribution. Each of the Banks, each of the Fronting Banks and the Borrower hereby approves distribution of Borrower Communications through the Approved Borrower Portal and understands and assumes the risks of such distribution.</w:t>
      </w:r>
    </w:p>
    <w:p>
      <w:pPr>
        <w:spacing w:after="0" w:line="147" w:lineRule="exact"/>
        <w:rPr>
          <w:sz w:val="20"/>
          <w:szCs w:val="20"/>
          <w:color w:val="auto"/>
        </w:rPr>
      </w:pPr>
    </w:p>
    <w:p>
      <w:pPr>
        <w:jc w:val="both"/>
        <w:ind w:left="640" w:firstLine="622"/>
        <w:spacing w:after="0" w:line="212" w:lineRule="auto"/>
        <w:tabs>
          <w:tab w:leader="none" w:pos="1897"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JOINT LEAD ARRANGER, ANY CO-DOCUMENTATION AGENT, ANY SYNDICATION AGENT OR ANY OF THEIR RESPECTIVE RELATED PARTIES (COLLECTIVELY, “</w:t>
      </w:r>
      <w:r>
        <w:rPr>
          <w:rFonts w:ascii="Times New Roman" w:cs="Times New Roman" w:eastAsia="Times New Roman" w:hAnsi="Times New Roman"/>
          <w:sz w:val="21"/>
          <w:szCs w:val="21"/>
          <w:u w:val="single" w:color="auto"/>
          <w:color w:val="auto"/>
        </w:rPr>
        <w:t>APPLICABLE PARTIES</w:t>
      </w:r>
      <w:r>
        <w:rPr>
          <w:rFonts w:ascii="Times New Roman" w:cs="Times New Roman" w:eastAsia="Times New Roman" w:hAnsi="Times New Roman"/>
          <w:sz w:val="21"/>
          <w:szCs w:val="21"/>
          <w:color w:val="auto"/>
        </w:rPr>
        <w:t>”) HAVE ANY LIABILITY TO THE BORROWER, THE GENERAL PARTNER, ANY LOAN PARTY, ANY BANK, ANY FRONTING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76" w:lineRule="exact"/>
        <w:rPr>
          <w:sz w:val="20"/>
          <w:szCs w:val="20"/>
          <w:color w:val="auto"/>
        </w:rPr>
      </w:pPr>
    </w:p>
    <w:p>
      <w:pPr>
        <w:jc w:val="both"/>
        <w:ind w:left="640"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 Communications</w:t>
      </w:r>
      <w:r>
        <w:rPr>
          <w:rFonts w:ascii="Times New Roman" w:cs="Times New Roman" w:eastAsia="Times New Roman" w:hAnsi="Times New Roman"/>
          <w:sz w:val="21"/>
          <w:szCs w:val="21"/>
          <w:color w:val="auto"/>
        </w:rPr>
        <w:t>” means, collectively, any notice of borrowing, notice of Election, Conversion or Continuation, notice of prepayment, notice requesting the issuance, amendment or extension of a Letter of Credit or other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w:t>
      </w:r>
    </w:p>
    <w:p>
      <w:pPr>
        <w:spacing w:after="0" w:line="143" w:lineRule="exact"/>
        <w:rPr>
          <w:sz w:val="20"/>
          <w:szCs w:val="20"/>
          <w:color w:val="auto"/>
        </w:rPr>
      </w:pPr>
    </w:p>
    <w:p>
      <w:pPr>
        <w:jc w:val="both"/>
        <w:ind w:left="640" w:firstLine="622"/>
        <w:spacing w:after="0" w:line="224" w:lineRule="auto"/>
        <w:tabs>
          <w:tab w:leader="none" w:pos="1885"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Banks, each of the Fronting Banks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46" w:lineRule="exact"/>
        <w:rPr>
          <w:rFonts w:ascii="Times New Roman" w:cs="Times New Roman" w:eastAsia="Times New Roman" w:hAnsi="Times New Roman"/>
          <w:sz w:val="21"/>
          <w:szCs w:val="21"/>
          <w:color w:val="auto"/>
        </w:rPr>
      </w:pPr>
    </w:p>
    <w:p>
      <w:pPr>
        <w:ind w:left="640" w:firstLine="622"/>
        <w:spacing w:after="0" w:line="241" w:lineRule="auto"/>
        <w:tabs>
          <w:tab w:leader="none" w:pos="1893"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herein shall prejudice the right of the Borrower to give any notice or other communication pursuant to any Loan Document in any other manner specified in such Loan Document.</w:t>
      </w:r>
    </w:p>
    <w:p>
      <w:pPr>
        <w:spacing w:after="0" w:line="17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 xml:space="preserve">SECTION 12.08 </w:t>
      </w:r>
      <w:r>
        <w:rPr>
          <w:rFonts w:ascii="Times New Roman" w:cs="Times New Roman" w:eastAsia="Times New Roman" w:hAnsi="Times New Roman"/>
          <w:sz w:val="21"/>
          <w:szCs w:val="21"/>
          <w:u w:val="single" w:color="auto"/>
          <w:color w:val="auto"/>
        </w:rPr>
        <w:t>Setoff</w:t>
      </w:r>
      <w:r>
        <w:rPr>
          <w:rFonts w:ascii="Times New Roman" w:cs="Times New Roman" w:eastAsia="Times New Roman" w:hAnsi="Times New Roman"/>
          <w:sz w:val="21"/>
          <w:szCs w:val="21"/>
          <w:color w:val="auto"/>
        </w:rPr>
        <w:t>. Each Bank hereby waives any right of setoff, bankers’ lien or counterclaim a Bank may have to offset balances (general or special, time or demand, provisional or final) held by it for the account of Borrower at any of such Bank’s offices, in Dollars or in any other currency, against any amount payable by Borrower to such Bank under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109</w:t>
      </w:r>
    </w:p>
    <w:p>
      <w:pPr>
        <w:sectPr>
          <w:pgSz w:w="11900" w:h="16838" w:orient="portrait"/>
          <w:cols w:equalWidth="0" w:num="1">
            <w:col w:w="11240"/>
          </w:cols>
          <w:pgMar w:left="320" w:top="1356" w:right="339" w:bottom="1440" w:gutter="0" w:footer="0" w:header="0"/>
        </w:sectPr>
      </w:pPr>
    </w:p>
    <w:bookmarkStart w:id="413" w:name="page414"/>
    <w:bookmarkEnd w:id="413"/>
    <w:p>
      <w:pPr>
        <w:jc w:val="both"/>
        <w:spacing w:after="0" w:line="280" w:lineRule="auto"/>
        <w:rPr>
          <w:sz w:val="20"/>
          <w:szCs w:val="20"/>
          <w:color w:val="auto"/>
        </w:rPr>
      </w:pPr>
      <w:r>
        <w:rPr>
          <w:rFonts w:ascii="Times New Roman" w:cs="Times New Roman" w:eastAsia="Times New Roman" w:hAnsi="Times New Roman"/>
          <w:sz w:val="21"/>
          <w:szCs w:val="21"/>
          <w:color w:val="auto"/>
        </w:rPr>
        <w:t>this Agreement or such Bank’s Note, or any other Loan Document. Payments by Borrower hereunder or under the other Loan Documents shall be made without setoff or counterclaim.</w:t>
      </w:r>
    </w:p>
    <w:p>
      <w:pPr>
        <w:spacing w:after="0" w:line="39"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 xml:space="preserve">SECTION 12.09 </w:t>
      </w:r>
      <w:r>
        <w:rPr>
          <w:rFonts w:ascii="Times New Roman" w:cs="Times New Roman" w:eastAsia="Times New Roman" w:hAnsi="Times New Roman"/>
          <w:sz w:val="21"/>
          <w:szCs w:val="21"/>
          <w:u w:val="single" w:color="auto"/>
          <w:color w:val="auto"/>
        </w:rPr>
        <w:t>Table of Contents; Headings</w:t>
      </w:r>
      <w:r>
        <w:rPr>
          <w:rFonts w:ascii="Times New Roman" w:cs="Times New Roman" w:eastAsia="Times New Roman" w:hAnsi="Times New Roman"/>
          <w:sz w:val="21"/>
          <w:szCs w:val="21"/>
          <w:color w:val="auto"/>
        </w:rPr>
        <w:t>. Any table of contents and the headings and captions hereunder are for convenience only and shall not affect the interpretation or construction of this Agreement.</w:t>
      </w:r>
    </w:p>
    <w:p>
      <w:pPr>
        <w:spacing w:after="0" w:line="26"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12.10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of this Agreement are intended to be severable. If for any reason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spacing w:after="0" w:line="75"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12.11 </w:t>
      </w:r>
      <w:r>
        <w:rPr>
          <w:rFonts w:ascii="Times New Roman" w:cs="Times New Roman" w:eastAsia="Times New Roman" w:hAnsi="Times New Roman"/>
          <w:sz w:val="21"/>
          <w:szCs w:val="21"/>
          <w:u w:val="single" w:color="auto"/>
          <w:color w:val="auto"/>
        </w:rPr>
        <w:t>Counterparts; Electronic Execution</w:t>
      </w:r>
      <w:r>
        <w:rPr>
          <w:rFonts w:ascii="Times New Roman" w:cs="Times New Roman" w:eastAsia="Times New Roman" w:hAnsi="Times New Roman"/>
          <w:sz w:val="21"/>
          <w:szCs w:val="21"/>
          <w:color w:val="auto"/>
        </w:rPr>
        <w:t>. This Agreement may be executed in any number of counterparts, all of which taken together shall constitute one and the same instrument, and any party hereto may execute this Agreement by signing any such counterpart. Delivery of an executed counterpart of a signature page of (x) this Agreement, (y) any other Loan Document and/or (z) any document, amendment, approval, consent, information, notice (including, for the avoidance of doubt, any notice delivered pursuant to Section 12.07 and any Assignment and Assumption Agreement),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1"/>
          <w:szCs w:val="21"/>
          <w:u w:val="single" w:color="auto"/>
          <w:color w:val="auto"/>
        </w:rPr>
        <w:t>Ancillary Document</w:t>
      </w:r>
      <w:r>
        <w:rPr>
          <w:rFonts w:ascii="Times New Roman" w:cs="Times New Roman" w:eastAsia="Times New Roman" w:hAnsi="Times New Roman"/>
          <w:sz w:val="21"/>
          <w:szCs w:val="21"/>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without limiting the foregoing, (i) to the extent the Administrative Agent has agreed to accept any Electronic Signature, the Administrative Agent and each of the Banks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Bank,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Banks and the Borrower, Electronic Signatures transmitted by telecopy, emailed pdf. or any other electronic means that reproduces an image of an actual executed signature page and/or any electronic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110</w:t>
      </w:r>
    </w:p>
    <w:p>
      <w:pPr>
        <w:sectPr>
          <w:pgSz w:w="11900" w:h="16838" w:orient="portrait"/>
          <w:cols w:equalWidth="0" w:num="1">
            <w:col w:w="11240"/>
          </w:cols>
          <w:pgMar w:left="320" w:top="1382" w:right="339" w:bottom="1440" w:gutter="0" w:footer="0" w:header="0"/>
        </w:sectPr>
      </w:pPr>
    </w:p>
    <w:bookmarkStart w:id="414" w:name="page415"/>
    <w:bookmarkEnd w:id="414"/>
    <w:p>
      <w:pPr>
        <w:jc w:val="both"/>
        <w:spacing w:after="0" w:line="252" w:lineRule="auto"/>
        <w:rPr>
          <w:sz w:val="20"/>
          <w:szCs w:val="20"/>
          <w:color w:val="auto"/>
        </w:rPr>
      </w:pPr>
      <w:r>
        <w:rPr>
          <w:rFonts w:ascii="Times New Roman" w:cs="Times New Roman" w:eastAsia="Times New Roman" w:hAnsi="Times New Roman"/>
          <w:sz w:val="21"/>
          <w:szCs w:val="21"/>
          <w:color w:val="auto"/>
        </w:rPr>
        <w:t>images of this Agreement, any other Loan Document and/or any Ancillary Document shall have the same legal effect, validity and enforceability as any paper original, (ii) the Administrative Agent and each of the Banks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Bank’s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spacing w:after="0" w:line="70"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12.12 </w:t>
      </w:r>
      <w:r>
        <w:rPr>
          <w:rFonts w:ascii="Times New Roman" w:cs="Times New Roman" w:eastAsia="Times New Roman" w:hAnsi="Times New Roman"/>
          <w:sz w:val="21"/>
          <w:szCs w:val="21"/>
          <w:u w:val="single" w:color="auto"/>
          <w:color w:val="auto"/>
        </w:rPr>
        <w:t>Integration</w:t>
      </w:r>
      <w:r>
        <w:rPr>
          <w:rFonts w:ascii="Times New Roman" w:cs="Times New Roman" w:eastAsia="Times New Roman" w:hAnsi="Times New Roman"/>
          <w:sz w:val="21"/>
          <w:szCs w:val="21"/>
          <w:color w:val="auto"/>
        </w:rPr>
        <w:t>. The Loan Documents set forth the entire agreement among the parties hereto relating to the transactions contemplated thereby (except with respect to agreements relating solely to compensation, consideration and the coordinated syndication of the Loan) and supersede any prior oral or written statements or agreements with respect to such transactions.</w:t>
      </w:r>
    </w:p>
    <w:p>
      <w:pPr>
        <w:spacing w:after="0" w:line="7"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21"/>
          <w:szCs w:val="21"/>
          <w:color w:val="auto"/>
        </w:rPr>
        <w:t xml:space="preserve">SECTION 12.13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and the other Loan Documents shall be governed by, and interpreted and construed in accordance with, the laws of the State of New York.</w:t>
      </w: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Each of the Banks and the Administrative Agent hereby irrevocably and unconditionally agrees that, notwithstanding the governing law provisions of any applicable Loan Document, any claims brought against the Administrative Agent by any Bank relating to this Agreement, any other Loan Document or the consummation or administration of the transactions contemplated hereby or thereby shall be construed in accordance with and governed by the law of the State of New York.</w:t>
      </w:r>
    </w:p>
    <w:p>
      <w:pPr>
        <w:spacing w:after="0" w:line="170"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 xml:space="preserve">SECTION 12.14 </w:t>
      </w:r>
      <w:r>
        <w:rPr>
          <w:rFonts w:ascii="Times New Roman" w:cs="Times New Roman" w:eastAsia="Times New Roman" w:hAnsi="Times New Roman"/>
          <w:sz w:val="21"/>
          <w:szCs w:val="21"/>
          <w:u w:val="single" w:color="auto"/>
          <w:color w:val="auto"/>
        </w:rPr>
        <w:t>Waivers</w:t>
      </w:r>
      <w:r>
        <w:rPr>
          <w:rFonts w:ascii="Times New Roman" w:cs="Times New Roman" w:eastAsia="Times New Roman" w:hAnsi="Times New Roman"/>
          <w:sz w:val="21"/>
          <w:szCs w:val="21"/>
          <w:color w:val="auto"/>
        </w:rPr>
        <w:t>. To the extent permitted or not expressly prohibited by applicable law, in connection with the obligations and liabilities as aforesaid, Borrower hereby waives (1) notice of any actions taken by any Bank Party under this Agreement, any other Loan Document or any other agreement or instrument relating hereto or thereto except to the extent otherwise provided herein; (2) all other notices, demands and protests, and all other formalities of every kind in connection with the enforcement of the Obligations, the omission of or delay in which, but for the provisions of this Section 12.14, might constitute grounds for relieving Borrower of its obligations hereunder; (3) any requirement that any Bank Party protect, secure, perfect or insure any Lien on any collateral or exhaust any right or take any action against Borrower or any other Person or any collateral; (4) any right or claim of right to cause a marshalling of the assets of Borrower; and (5) all rights of subrogation or contribution, whether arising by contract or operation of law (including, without limitation, any such right arising</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111</w:t>
      </w:r>
    </w:p>
    <w:p>
      <w:pPr>
        <w:sectPr>
          <w:pgSz w:w="11900" w:h="16838" w:orient="portrait"/>
          <w:cols w:equalWidth="0" w:num="1">
            <w:col w:w="11240"/>
          </w:cols>
          <w:pgMar w:left="320" w:top="1382" w:right="339" w:bottom="1440" w:gutter="0" w:footer="0" w:header="0"/>
        </w:sectPr>
      </w:pPr>
    </w:p>
    <w:bookmarkStart w:id="415" w:name="page416"/>
    <w:bookmarkEnd w:id="415"/>
    <w:p>
      <w:pPr>
        <w:jc w:val="both"/>
        <w:spacing w:after="0" w:line="280" w:lineRule="auto"/>
        <w:rPr>
          <w:sz w:val="20"/>
          <w:szCs w:val="20"/>
          <w:color w:val="auto"/>
        </w:rPr>
      </w:pPr>
      <w:r>
        <w:rPr>
          <w:rFonts w:ascii="Times New Roman" w:cs="Times New Roman" w:eastAsia="Times New Roman" w:hAnsi="Times New Roman"/>
          <w:sz w:val="21"/>
          <w:szCs w:val="21"/>
          <w:color w:val="auto"/>
        </w:rPr>
        <w:t>under the Bankruptcy Code) or otherwise by reason of payment by Borrower, pursuant to this Agreement or any other Loan Document.</w:t>
      </w:r>
    </w:p>
    <w:p>
      <w:pPr>
        <w:spacing w:after="0" w:line="39"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12.15 </w:t>
      </w:r>
      <w:r>
        <w:rPr>
          <w:rFonts w:ascii="Times New Roman" w:cs="Times New Roman" w:eastAsia="Times New Roman" w:hAnsi="Times New Roman"/>
          <w:sz w:val="21"/>
          <w:szCs w:val="21"/>
          <w:u w:val="single" w:color="auto"/>
          <w:color w:val="auto"/>
        </w:rPr>
        <w:t>Jurisdiction; Immunities</w:t>
      </w:r>
      <w:r>
        <w:rPr>
          <w:rFonts w:ascii="Times New Roman" w:cs="Times New Roman" w:eastAsia="Times New Roman" w:hAnsi="Times New Roman"/>
          <w:sz w:val="21"/>
          <w:szCs w:val="21"/>
          <w:color w:val="auto"/>
        </w:rPr>
        <w:t xml:space="preserve">. Borrower, Administrative Agent and each Bank hereby irrevocably submit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over any action or proceeding </w:t>
      </w:r>
      <w:r>
        <w:rPr>
          <w:rFonts w:ascii="Times New Roman" w:cs="Times New Roman" w:eastAsia="Times New Roman" w:hAnsi="Times New Roman"/>
          <w:sz w:val="21"/>
          <w:szCs w:val="21"/>
          <w:u w:val="single" w:color="auto"/>
          <w:color w:val="0E32E1"/>
        </w:rPr>
        <w:t>(whether in tort, contract, law or equity)</w:t>
      </w:r>
      <w:r>
        <w:rPr>
          <w:rFonts w:ascii="Times New Roman" w:cs="Times New Roman" w:eastAsia="Times New Roman" w:hAnsi="Times New Roman"/>
          <w:sz w:val="21"/>
          <w:szCs w:val="21"/>
          <w:color w:val="auto"/>
        </w:rPr>
        <w:t xml:space="preserve"> arising out of or relating to this Agreement, the Notes or any other Loan Document. Borrower, Administrative Agent, and each Bank irrevocably agree that all claims in respect of such action or proceeding may be heard and determined in such New York State or United States Federal court. Borrower, Administrative Agent, and each Bank irrevocably consent to the service of any and all process in any such action or proceeding by the mailing of copies of such process to Borrower, Administrative Agent or each Bank, as the case may be, at the addresses specified herein. Borrower, Administrative Agent and each Bank agree that a final judgment in any such action or proceeding shall be conclusive and may be enforced in other jurisdictions by suit on the judgment or in any other manner provided by law. Borrower, Administrative Agent and each Bank further waive any objection to venue in the State of New York and any objection to an action or proceeding in the State of New York on the basis of forum non conveniens. Borrower, Administrative Agent and each Bank agree that any action or proceeding brought against Borrower, Administrative Agent or any Bank, as the case may be, shall be brought only in the United States District Court for the Southern District of New York sitting in the Borough of Manhattan (or if such court lacks subject matter jurisdiction, the Supreme Court of the State of New York sitting in the Borough of Manhattan), and any appellate court from any thereof, to the extent permitted or not expressly prohibited by applicable law. Nothing in this Agreement or in any other Loan Document shall affect any right that the Administrative Agent, any Fronting Bank or any Bank may otherwise have to bring any action or proceeding relating to this Agreement against the Borrower or its properties in the courts of any jurisdiction.</w:t>
      </w:r>
    </w:p>
    <w:p>
      <w:pPr>
        <w:spacing w:after="0" w:line="68"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Nothing in this Section shall affect the right of Borrower, Administrative Agent or any Bank to serve legal process in any other manner permitted by law.</w:t>
      </w:r>
    </w:p>
    <w:p>
      <w:pPr>
        <w:spacing w:after="0" w:line="14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To the extent that Borrower, Administrative Agent or any Bank have or hereafter may acquire any immunity from jurisdiction of any court or from any legal process (whether from service or notice, attachment prior to judgment, attachment in aid of execution, execution or otherwise) with respect to itself or its property, Borrower, Administrative Agent and each Bank hereby irrevocably waive such immunity in respect of its obligations under this Agreement, the Notes and any other Loan Document.</w:t>
      </w:r>
    </w:p>
    <w:p>
      <w:pPr>
        <w:spacing w:after="0" w:line="16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BORROWER, ADMINISTRATIVE AGENT AND EACH BANK WAIVE ANY RIGHT EACH SUCH PARTY MAY HAVE TO JURY TRIAL IN CONNECTION WITH ANY SUIT, ACTION OR PROCEEDING BROUGHT WITH RESPECT TO THIS AGREEMENT, THE NOTES OR THE LOAN. IN ADDITION, BORROWER HEREBY WAIVES, IN CONNECTION WITH ANY SUIT, ACTION OR PROCEEDING BROUGHT BY ADMINISTRATIVE AGENT OR THE BANKS WITH RESPECT TO THE NOTES, ANY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112</w:t>
      </w:r>
    </w:p>
    <w:p>
      <w:pPr>
        <w:sectPr>
          <w:pgSz w:w="11900" w:h="16838" w:orient="portrait"/>
          <w:cols w:equalWidth="0" w:num="1">
            <w:col w:w="11240"/>
          </w:cols>
          <w:pgMar w:left="320" w:top="1382" w:right="339" w:bottom="1440" w:gutter="0" w:footer="0" w:header="0"/>
        </w:sectPr>
      </w:pPr>
    </w:p>
    <w:bookmarkStart w:id="416" w:name="page417"/>
    <w:bookmarkEnd w:id="416"/>
    <w:p>
      <w:pPr>
        <w:jc w:val="both"/>
        <w:spacing w:after="0" w:line="253" w:lineRule="auto"/>
        <w:rPr>
          <w:sz w:val="20"/>
          <w:szCs w:val="20"/>
          <w:color w:val="auto"/>
        </w:rPr>
      </w:pPr>
      <w:r>
        <w:rPr>
          <w:rFonts w:ascii="Times New Roman" w:cs="Times New Roman" w:eastAsia="Times New Roman" w:hAnsi="Times New Roman"/>
          <w:sz w:val="21"/>
          <w:szCs w:val="21"/>
          <w:color w:val="auto"/>
        </w:rPr>
        <w:t>RIGHT BORROWER MAY HAVE (1) TO THE EXTENT PERMITTED OR NOT EXPRESSLY PROHIBITED BY APPLICABLE LAW, TO INTERPOSE ANY COUNTERCLAIM THEREIN (OTHER THAN A COUNTERCLAIM THAT IF NOT BROUGHT IN THE SUIT, ACTION OR PROCEEDING BROUGHT BY ADMINISTRATIVE AGENT OR THE BANKS COULD NOT BE BROUGHT IN A SEPARATE SUIT, ACTION OR PROCEEDING OR WOULD BE SUBJECT TO DISMISSAL OR SIMILAR DISPOSITION FOR FAILURE TO HAVE BEEN ASSERTED IN SUCH SUIT, ACTION OR PROCEEDING BROUGHT BY ADMINISTRATIVE AGENT OR THE BANKS) OR (2) TO THE EXTENT PERMITTED OR NOT EXPRESSLY PROHIBITED BY APPLICABLE LAW, TO HAVE THE SAME CONSOLIDATED WITH ANY OTHER OR SEPARATE SUIT, ACTION OR PROCEEDING. NOTHING HEREIN CONTAINED SHALL PREVENT OR PROHIBIT BORROWER FROM INSTITUTING OR MAINTAINING A SEPARATE ACTION AGAINST ADMINISTRATIVE AGENT OR THE BANKS WITH RESPECT TO ANY ASSERTED CLAIM.</w:t>
      </w:r>
    </w:p>
    <w:p>
      <w:pPr>
        <w:spacing w:after="0" w:line="179"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To the extent permitted by applicable law (i) the Borrower shall not assert, and the Borrower hereby waives, any claim against a Lender-Related Person for any Liabilities arising from the use by others of information or other materials (including, without limitation, any personal data) obtained through telecommunications, electronic or other information transmission systems (including the Internet, any Approved Electronic Platform and any Approved Borrower Portal),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any Loan or Letter of Credit or the use of the proceeds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Section shall relieve the Borrower of any obligation it may have to indemnify an indemnified person, as provided in Section 12.04, against any special, indirect, consequential or punitive damages asserted against such indemnified person by a third party.</w:t>
      </w:r>
    </w:p>
    <w:p>
      <w:pPr>
        <w:spacing w:after="0" w:line="161" w:lineRule="exact"/>
        <w:rPr>
          <w:sz w:val="20"/>
          <w:szCs w:val="20"/>
          <w:color w:val="auto"/>
        </w:rPr>
      </w:pPr>
    </w:p>
    <w:tbl>
      <w:tblPr>
        <w:tblLayout w:type="fixed"/>
        <w:tblInd w:w="640" w:type="dxa"/>
        <w:tblCellMar>
          <w:top w:w="0" w:type="dxa"/>
          <w:left w:w="0" w:type="dxa"/>
          <w:bottom w:w="0" w:type="dxa"/>
          <w:right w:w="0" w:type="dxa"/>
        </w:tblCellMar>
      </w:tblPr>
      <w:tr>
        <w:trPr>
          <w:trHeight w:val="241"/>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SECTION 12.16</w:t>
            </w:r>
          </w:p>
        </w:tc>
        <w:tc>
          <w:tcPr>
            <w:tcW w:w="18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[Reserved].</w:t>
            </w:r>
          </w:p>
        </w:tc>
      </w:tr>
      <w:tr>
        <w:trPr>
          <w:trHeight w:val="20"/>
        </w:trPr>
        <w:tc>
          <w:tcPr>
            <w:tcW w:w="1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4"/>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SECTION 12.17</w:t>
            </w:r>
          </w:p>
        </w:tc>
        <w:tc>
          <w:tcPr>
            <w:tcW w:w="186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[Reserved].</w:t>
            </w:r>
          </w:p>
        </w:tc>
      </w:tr>
      <w:tr>
        <w:trPr>
          <w:trHeight w:val="20"/>
        </w:trPr>
        <w:tc>
          <w:tcPr>
            <w:tcW w:w="1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4"/>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SECTION 12.18</w:t>
            </w:r>
          </w:p>
        </w:tc>
        <w:tc>
          <w:tcPr>
            <w:tcW w:w="1860" w:type="dxa"/>
            <w:vAlign w:val="bottom"/>
            <w:gridSpan w:val="3"/>
          </w:tcPr>
          <w:p>
            <w:pPr>
              <w:spacing w:after="0"/>
              <w:rPr>
                <w:sz w:val="20"/>
                <w:szCs w:val="20"/>
                <w:color w:val="auto"/>
              </w:rPr>
            </w:pPr>
            <w:r>
              <w:rPr>
                <w:rFonts w:ascii="Times New Roman" w:cs="Times New Roman" w:eastAsia="Times New Roman" w:hAnsi="Times New Roman"/>
                <w:sz w:val="21"/>
                <w:szCs w:val="21"/>
                <w:color w:val="auto"/>
                <w:w w:val="98"/>
              </w:rPr>
              <w:t>Intentionally Omitted.</w:t>
            </w:r>
          </w:p>
        </w:tc>
      </w:tr>
      <w:tr>
        <w:trPr>
          <w:trHeight w:val="20"/>
        </w:trPr>
        <w:tc>
          <w:tcPr>
            <w:tcW w:w="1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12.19 </w:t>
      </w:r>
      <w:r>
        <w:rPr>
          <w:rFonts w:ascii="Times New Roman" w:cs="Times New Roman" w:eastAsia="Times New Roman" w:hAnsi="Times New Roman"/>
          <w:sz w:val="21"/>
          <w:szCs w:val="21"/>
          <w:u w:val="single" w:color="auto"/>
          <w:color w:val="auto"/>
        </w:rPr>
        <w:t>USA Patriot Act</w:t>
      </w:r>
      <w:r>
        <w:rPr>
          <w:rFonts w:ascii="Times New Roman" w:cs="Times New Roman" w:eastAsia="Times New Roman" w:hAnsi="Times New Roman"/>
          <w:sz w:val="21"/>
          <w:szCs w:val="21"/>
          <w:color w:val="auto"/>
        </w:rPr>
        <w:t>. Each Bank hereby notifies the Borrower that pursuant to the requirements of the USA Patriot Act (Title III of Pub. L. 107-56 (signed into law October 26, 2001)) (the “</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xml:space="preserve">”), it is required to obtain, verify and record information that identifies the Borrower and the General Partner, which information includes the name and address of the Borrower and the General Partner and other information that will allow such Bank to identify the Borrower and the General Partner in accordance with the Patriot Act. The Borrower shall provide such information and take such actions as are reasonably requested by the Administrative Agent or any Bank in order to assist the Administrative Agent and the Banks in maintaining compliance with applicable “know your customer” and anti-money laundering rules and regulations, including, without limitation, the Patriot Act </w:t>
      </w:r>
      <w:r>
        <w:rPr>
          <w:rFonts w:ascii="Times New Roman" w:cs="Times New Roman" w:eastAsia="Times New Roman" w:hAnsi="Times New Roman"/>
          <w:sz w:val="21"/>
          <w:szCs w:val="21"/>
          <w:u w:val="single" w:color="auto"/>
          <w:color w:val="0A2299"/>
        </w:rPr>
        <w:t>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A2299"/>
        </w:rPr>
        <w:t>the Beneficial Ownership Regulation.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113</w:t>
      </w:r>
    </w:p>
    <w:p>
      <w:pPr>
        <w:sectPr>
          <w:pgSz w:w="11900" w:h="16838" w:orient="portrait"/>
          <w:cols w:equalWidth="0" w:num="1">
            <w:col w:w="11240"/>
          </w:cols>
          <w:pgMar w:left="320" w:top="1383" w:right="339" w:bottom="1440" w:gutter="0" w:footer="0" w:header="0"/>
        </w:sectPr>
      </w:pPr>
    </w:p>
    <w:bookmarkStart w:id="417" w:name="page418"/>
    <w:bookmarkEnd w:id="417"/>
    <w:p>
      <w:pPr>
        <w:ind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12.20 </w:t>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 Notwithstanding any provision of this Agreement to the contrary, if any Bank becomes a Defaulting Lender, then the following provisions shall apply for so long as such Bank is a Defaulting Lender:</w:t>
      </w:r>
    </w:p>
    <w:p>
      <w:pPr>
        <w:spacing w:after="0" w:line="13" w:lineRule="exact"/>
        <w:rPr>
          <w:sz w:val="20"/>
          <w:szCs w:val="20"/>
          <w:color w:val="auto"/>
        </w:rPr>
      </w:pPr>
    </w:p>
    <w:p>
      <w:pPr>
        <w:ind w:left="1260" w:hanging="626"/>
        <w:spacing w:after="0"/>
        <w:tabs>
          <w:tab w:leader="none" w:pos="1260" w:val="left"/>
        </w:tabs>
        <w:numPr>
          <w:ilvl w:val="0"/>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fees shall cease to accrue on the Loan Commitment of such Defaulting Lender pursuant to Section 2.08;</w:t>
      </w:r>
    </w:p>
    <w:p>
      <w:pPr>
        <w:spacing w:after="0" w:line="177" w:lineRule="exact"/>
        <w:rPr>
          <w:rFonts w:ascii="Times New Roman" w:cs="Times New Roman" w:eastAsia="Times New Roman" w:hAnsi="Times New Roman"/>
          <w:sz w:val="21"/>
          <w:szCs w:val="21"/>
          <w:color w:val="auto"/>
        </w:rPr>
      </w:pPr>
    </w:p>
    <w:p>
      <w:pPr>
        <w:jc w:val="both"/>
        <w:ind w:firstLine="634"/>
        <w:spacing w:after="0" w:line="214" w:lineRule="auto"/>
        <w:tabs>
          <w:tab w:leader="none" w:pos="1253" w:val="left"/>
        </w:tabs>
        <w:numPr>
          <w:ilvl w:val="0"/>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the Loan Commitment and outstanding New Term Loans (if any) of such Defaulting Lender shall not be included in determining whether the Required Banks have taken or may take any action hereunder (including any consent to any amendment, waiver or other modification pursuant to Section 12.02) and (y)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provided, that (i) such Defaulting Lender’s Loan Commitment may not be increased or extended without its consent; (ii) the principal amount of, or interest or fees payable on, Loans or Letters of Credit may not be reduced or excused or the scheduled date of payment may not be postponed as to such Defaulting Lender without such Defaulting Lender’s consent; and (iii) any waiver, amendment or modification requiring the consent of all Banks or each affected Bank that by its terms affects any Defaulting Lender more adversely than other affected Banks shall require the written consent of such Defaulting Lender;</w:t>
      </w:r>
    </w:p>
    <w:p>
      <w:pPr>
        <w:spacing w:after="0" w:line="146"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Letters of Credit are outstanding at the time such Bank becomes a Defaulting Lender then:</w:t>
      </w:r>
    </w:p>
    <w:p>
      <w:pPr>
        <w:spacing w:after="0" w:line="177" w:lineRule="exact"/>
        <w:rPr>
          <w:rFonts w:ascii="Times New Roman" w:cs="Times New Roman" w:eastAsia="Times New Roman" w:hAnsi="Times New Roman"/>
          <w:sz w:val="21"/>
          <w:szCs w:val="21"/>
          <w:color w:val="auto"/>
        </w:rPr>
      </w:pPr>
    </w:p>
    <w:p>
      <w:pPr>
        <w:jc w:val="both"/>
        <w:ind w:left="640" w:firstLine="622"/>
        <w:spacing w:after="0" w:line="221" w:lineRule="auto"/>
        <w:tabs>
          <w:tab w:leader="none" w:pos="1893" w:val="left"/>
        </w:tabs>
        <w:numPr>
          <w:ilvl w:val="1"/>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or any part of such Defaulting Lender’s Pro Rata Share of such Letters of Credit shall be reallocated among the non-Defaulting Lenders in accordance with their respective Pro Rata Shares but only (x) to the extent (A) the sum of all non-Defaulting Lenders’ Pro Rata Shares of Loans and Letters of Credit plus such Defaulting Lender’s Pro Rata Share of Letters of Credit does not exceed (B) the total of all non-Defaulting Lenders’ Loan Commitments and (y) if the conditions set forth in Sections 4.02(1) and (2) are satisfied at such time;</w:t>
      </w:r>
    </w:p>
    <w:p>
      <w:pPr>
        <w:spacing w:after="0" w:line="145" w:lineRule="exact"/>
        <w:rPr>
          <w:rFonts w:ascii="Times New Roman" w:cs="Times New Roman" w:eastAsia="Times New Roman" w:hAnsi="Times New Roman"/>
          <w:sz w:val="21"/>
          <w:szCs w:val="21"/>
          <w:color w:val="auto"/>
        </w:rPr>
      </w:pPr>
    </w:p>
    <w:p>
      <w:pPr>
        <w:jc w:val="both"/>
        <w:ind w:left="640" w:firstLine="622"/>
        <w:spacing w:after="0" w:line="219" w:lineRule="auto"/>
        <w:tabs>
          <w:tab w:leader="none" w:pos="1893" w:val="left"/>
        </w:tabs>
        <w:numPr>
          <w:ilvl w:val="1"/>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reallocation described in clause (1) above cannot be effected, Borrower shall within one Banking Day following notice by the Administrative Agent, cash collateralize for the benefit of the Fronting Bank only the Borrower’s obligations corresponding to such Defaulting Lender’s Pro Rata Share of the Letters of Credit (after giving effect to any partial reallocation pursuant to clause (1) above) in accordance with the procedures set forth in Section 2.17(e) for so long as such Letters of Credit are outstanding or until such time and to the extent that, as a result of the paydown of the Loans, the reallocation described in clause (1) above can be effected;</w:t>
      </w:r>
    </w:p>
    <w:p>
      <w:pPr>
        <w:spacing w:after="0" w:line="144" w:lineRule="exact"/>
        <w:rPr>
          <w:rFonts w:ascii="Times New Roman" w:cs="Times New Roman" w:eastAsia="Times New Roman" w:hAnsi="Times New Roman"/>
          <w:sz w:val="21"/>
          <w:szCs w:val="21"/>
          <w:color w:val="auto"/>
        </w:rPr>
      </w:pPr>
    </w:p>
    <w:p>
      <w:pPr>
        <w:jc w:val="both"/>
        <w:ind w:left="640" w:firstLine="622"/>
        <w:spacing w:after="0" w:line="224" w:lineRule="auto"/>
        <w:tabs>
          <w:tab w:leader="none" w:pos="1893" w:val="left"/>
        </w:tabs>
        <w:numPr>
          <w:ilvl w:val="1"/>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Borrower cash collateralizes any portion of such Defaulting Lender’s Pro Rata Share of the Letters of Credit pursuant to clause (2) above, Borrower shall not be required to pay any fees to such Defaulting Lender pursuant to Section 2.17(g) with respect to such Defaulting Lender’s Pro Rata Share of the Letters of Credit during the period such Defaulting Lender’s Pro Rata Share of the Letters of Credit is cash collateralized;</w:t>
      </w:r>
    </w:p>
    <w:p>
      <w:pPr>
        <w:spacing w:after="0" w:line="146" w:lineRule="exact"/>
        <w:rPr>
          <w:rFonts w:ascii="Times New Roman" w:cs="Times New Roman" w:eastAsia="Times New Roman" w:hAnsi="Times New Roman"/>
          <w:sz w:val="21"/>
          <w:szCs w:val="21"/>
          <w:color w:val="auto"/>
        </w:rPr>
      </w:pPr>
    </w:p>
    <w:p>
      <w:pPr>
        <w:jc w:val="both"/>
        <w:ind w:left="640" w:firstLine="622"/>
        <w:spacing w:after="0" w:line="229" w:lineRule="auto"/>
        <w:tabs>
          <w:tab w:leader="none" w:pos="1893" w:val="left"/>
        </w:tabs>
        <w:numPr>
          <w:ilvl w:val="1"/>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Pro Rata Shares of the non-Defaulting Lenders are reallocated pursuant to clause (1) above, then the fees payable to the Banks pursuant to Section 2.08 and Section 2.17(g) shall be adjusted in accordance with such non-Defaulting Lenders’ reallocated Pro Rata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114</w:t>
      </w:r>
    </w:p>
    <w:p>
      <w:pPr>
        <w:sectPr>
          <w:pgSz w:w="11900" w:h="16838" w:orient="portrait"/>
          <w:cols w:equalWidth="0" w:num="1">
            <w:col w:w="11240"/>
          </w:cols>
          <w:pgMar w:left="320" w:top="1383" w:right="339" w:bottom="1440" w:gutter="0" w:footer="0" w:header="0"/>
        </w:sectPr>
      </w:pPr>
    </w:p>
    <w:bookmarkStart w:id="418" w:name="page419"/>
    <w:bookmarkEnd w:id="418"/>
    <w:p>
      <w:pPr>
        <w:jc w:val="both"/>
        <w:ind w:left="640" w:firstLine="622"/>
        <w:spacing w:after="0" w:line="217" w:lineRule="auto"/>
        <w:tabs>
          <w:tab w:leader="none" w:pos="1893" w:val="left"/>
        </w:tabs>
        <w:numPr>
          <w:ilvl w:val="1"/>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all or any portion of such Defaulting Lender’s Pro Rata Share of outstanding Letters of Credit is neither reallocated nor cash collateralized pursuant to clause (1) or (2) above, then, without prejudice to any rights or remedies of the Fronting Bank or any other Bank hereunder, all Facility Fees that otherwise would have been payable to such Defaulting Lender (solely with respect to the portion of such Defaulting Lender’s Loan Commitment that was utilized by such Pro Rata Share of the outstanding Letters of Credit) and letter of credit fees payable under Section 2.17(g) with respect to such Defaulting Lender’s Pro Rata Share of the outstanding Letters of Credit shall be payable to the Fronting Bank until and to the extent that such Pro Rata Share is reallocated and/or cash collateralized; and</w:t>
      </w:r>
    </w:p>
    <w:p>
      <w:pPr>
        <w:spacing w:after="0" w:line="148" w:lineRule="exact"/>
        <w:rPr>
          <w:rFonts w:ascii="Times New Roman" w:cs="Times New Roman" w:eastAsia="Times New Roman" w:hAnsi="Times New Roman"/>
          <w:sz w:val="21"/>
          <w:szCs w:val="21"/>
          <w:color w:val="auto"/>
        </w:rPr>
      </w:pPr>
    </w:p>
    <w:p>
      <w:pPr>
        <w:jc w:val="both"/>
        <w:ind w:left="640" w:firstLine="622"/>
        <w:spacing w:after="0" w:line="219" w:lineRule="auto"/>
        <w:tabs>
          <w:tab w:leader="none" w:pos="1893" w:val="left"/>
        </w:tabs>
        <w:numPr>
          <w:ilvl w:val="1"/>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such Bank is a Defaulting Lender, the Fronting Bank shall not be required to issue, amend or increase any Letter of Credit, unless it is satisfied that the related exposure and the Defaulting Lender’s then outstanding Pro Rata Share of outstanding Letters of Credit will be 100% covered by the Loan Commitments of the non-Defaulting Lenders and/or cash collateral will be provided by the Borrower in accordance with Section 12.20(c)(2), and participating interests in any newly issued or increased Letter of Credit shall be allocated among non-Defaulting Lenders in a manner consistent with Section 12.20(c)(1) (and such Defaulting Lender shall not participate therein); and</w:t>
      </w:r>
    </w:p>
    <w:p>
      <w:pPr>
        <w:spacing w:after="0" w:line="144" w:lineRule="exact"/>
        <w:rPr>
          <w:rFonts w:ascii="Times New Roman" w:cs="Times New Roman" w:eastAsia="Times New Roman" w:hAnsi="Times New Roman"/>
          <w:sz w:val="21"/>
          <w:szCs w:val="21"/>
          <w:color w:val="auto"/>
        </w:rPr>
      </w:pPr>
    </w:p>
    <w:p>
      <w:pPr>
        <w:jc w:val="both"/>
        <w:ind w:firstLine="634"/>
        <w:spacing w:after="0" w:line="210" w:lineRule="auto"/>
        <w:tabs>
          <w:tab w:leader="none" w:pos="1253"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payment of principal, interest, fees or other amounts received by the Administrative Agent for the account of such Defaulting Lender (whether voluntary or mandatory, at maturity, or otherwise) or received by the Administrative Agent from a Defaulting Lender pursuant to Section 12.08 shall be applied at such time or times as may be determined by the Administrative Agent as follows: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payment of any amounts owing by such Defaulting Lender to the Administrative Agent hereunder;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the payment on a pro rata basis of any amounts owing by such Defaulting Lender to any Fronting Bank hereunder;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to cash collateralize LC Exposure with respect to such Defaulting Lender in accordance with this Section;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xml:space="preserve">, to the payment of any amounts owing to the Banks or the Fronting Banks as a result of any judgment of a court of competent jurisdiction obtained by any Bank or the Fronting Banks against such Defaulting Lender as a result of such Defaulting Lender’s breach of its obligations under this Agreement or under any other Loan Document; </w:t>
      </w: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xml:space="preserve">, to such Defaulting Lender or as otherwise directed by a court of competent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(x) such payment is a payment of the principal amount of any Loans or reimbursement obligations with respect to Letters of Credit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reimbursement obligations with respect to Letters of Credit owed to, all non-Defaulting Lenders on a pro rata basis prior to being applied to the payment of any Loans of, or reimbursement obligations with respect to Letters of Credit owed to, such Defaulting Lender until such time as all Loans and funded and unfunded participations in the Borrower’s obligations corresponding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115</w:t>
      </w:r>
    </w:p>
    <w:p>
      <w:pPr>
        <w:sectPr>
          <w:pgSz w:w="11900" w:h="16838" w:orient="portrait"/>
          <w:cols w:equalWidth="0" w:num="1">
            <w:col w:w="11240"/>
          </w:cols>
          <w:pgMar w:left="320" w:top="1356" w:right="339" w:bottom="1440" w:gutter="0" w:footer="0" w:header="0"/>
        </w:sectPr>
      </w:pPr>
    </w:p>
    <w:bookmarkStart w:id="419" w:name="page420"/>
    <w:bookmarkEnd w:id="419"/>
    <w:p>
      <w:pPr>
        <w:jc w:val="both"/>
        <w:spacing w:after="0" w:line="224" w:lineRule="auto"/>
        <w:rPr>
          <w:sz w:val="20"/>
          <w:szCs w:val="20"/>
          <w:color w:val="auto"/>
        </w:rPr>
      </w:pPr>
      <w:r>
        <w:rPr>
          <w:rFonts w:ascii="Times New Roman" w:cs="Times New Roman" w:eastAsia="Times New Roman" w:hAnsi="Times New Roman"/>
          <w:sz w:val="21"/>
          <w:szCs w:val="21"/>
          <w:color w:val="auto"/>
        </w:rPr>
        <w:t>such Defaulting Lender’s LC Exposure are held by the Banks pro rata in accordance with the Loan Commitments without giving effect to clause (c) above. Any payments, prepayments or other amounts paid or payable to a Defaulting Lender that are applied (or held) to pay amounts owed by a Defaulting Lender or to post cash collateral pursuant to this Section shall be deemed paid to and redirected by such Defaulting Lender, and each Bank irrevocably consents hereto.</w:t>
      </w:r>
    </w:p>
    <w:p>
      <w:pPr>
        <w:spacing w:after="0" w:line="146" w:lineRule="exact"/>
        <w:rPr>
          <w:sz w:val="20"/>
          <w:szCs w:val="20"/>
          <w:color w:val="auto"/>
        </w:rPr>
      </w:pPr>
    </w:p>
    <w:p>
      <w:pPr>
        <w:jc w:val="both"/>
        <w:ind w:firstLine="629"/>
        <w:spacing w:after="0" w:line="215" w:lineRule="auto"/>
        <w:rPr>
          <w:sz w:val="20"/>
          <w:szCs w:val="20"/>
          <w:color w:val="auto"/>
        </w:rPr>
      </w:pPr>
      <w:r>
        <w:rPr>
          <w:rFonts w:ascii="Times New Roman" w:cs="Times New Roman" w:eastAsia="Times New Roman" w:hAnsi="Times New Roman"/>
          <w:sz w:val="21"/>
          <w:szCs w:val="21"/>
          <w:color w:val="auto"/>
        </w:rPr>
        <w:t>If (i) a Bankruptcy Event or a Bail-In Action with respect to a Parent of any Bank shall occur following the date hereof and for so long as such event shall continue or (ii) the Fronting Bank has a good faith belief that any Bank has defaulted in fulfilling its obligations under one or more other agreements in which such bank commits to extend credit, the Fronting Bank shall not be required to issue, amend or increase any Letter of Credit, unless the Fronting Bank (x) shall have entered into arrangements with Borrower or such Bank, satisfactory to the Fronting Bank to defease any risk to it in respect of such Bank hereunder, or (y) is satisfied that the related exposure and such Bank’s then outstanding Pro Rata Share of outstanding Letters of Credit will be 100% covered by the Loan Commitments of the other Banks and/or cash collateral will be provided by the Borrower in accordance with Section 12.20(c)(2), and participating interests in any newly issued or increased Letter of Credit shall be allocated among the other Banks in a manner consistent with Section 12.20(c)(1) (and such Bank shall not participate therein).</w:t>
      </w:r>
    </w:p>
    <w:p>
      <w:pPr>
        <w:spacing w:after="0" w:line="149" w:lineRule="exact"/>
        <w:rPr>
          <w:sz w:val="20"/>
          <w:szCs w:val="20"/>
          <w:color w:val="auto"/>
        </w:rPr>
      </w:pPr>
    </w:p>
    <w:p>
      <w:pPr>
        <w:jc w:val="both"/>
        <w:ind w:firstLine="629"/>
        <w:spacing w:after="0" w:line="219" w:lineRule="auto"/>
        <w:rPr>
          <w:sz w:val="20"/>
          <w:szCs w:val="20"/>
          <w:color w:val="auto"/>
        </w:rPr>
      </w:pPr>
      <w:r>
        <w:rPr>
          <w:rFonts w:ascii="Times New Roman" w:cs="Times New Roman" w:eastAsia="Times New Roman" w:hAnsi="Times New Roman"/>
          <w:sz w:val="21"/>
          <w:szCs w:val="21"/>
          <w:color w:val="auto"/>
        </w:rPr>
        <w:t>In the event that the Administrative Agent, the Borrower, and the Fronting Bank each agrees that a Defaulting Lender has adequately remedied all matters that caused such Bank to be a Defaulting Lender, then such Bank shall thereupon cease to be a Defaulting Lender and the Pro Rata Shares of the Banks with respect to the outstanding Letters of Credit shall be readjusted to reflect the inclusion of such Bank’s Loan Commitment and on such date such Bank shall purchase at par such of the Loans of the other Banks as the Administrative Agent shall determine may be necessary in order for such Bank to hold such Loans in accordance with its Pro Rata Share and cash collateral under Section 12.20(c)(3) to be redelivered to the Borrower.</w:t>
      </w:r>
    </w:p>
    <w:p>
      <w:pPr>
        <w:spacing w:after="0" w:line="145" w:lineRule="exact"/>
        <w:rPr>
          <w:sz w:val="20"/>
          <w:szCs w:val="20"/>
          <w:color w:val="auto"/>
        </w:rPr>
      </w:pPr>
    </w:p>
    <w:p>
      <w:pPr>
        <w:jc w:val="both"/>
        <w:ind w:firstLine="629"/>
        <w:spacing w:after="0" w:line="224" w:lineRule="auto"/>
        <w:rPr>
          <w:sz w:val="20"/>
          <w:szCs w:val="20"/>
          <w:color w:val="auto"/>
        </w:rPr>
      </w:pPr>
      <w:r>
        <w:rPr>
          <w:rFonts w:ascii="Times New Roman" w:cs="Times New Roman" w:eastAsia="Times New Roman" w:hAnsi="Times New Roman"/>
          <w:sz w:val="21"/>
          <w:szCs w:val="21"/>
          <w:color w:val="auto"/>
        </w:rPr>
        <w:t>In the event that a Bank shall become a Defaulting Lender, then, provided that no Event of Default shall have occurred and be outstanding, and subject to the provisions of applicable law, for so long as such Bank shall remain a Defaulting Lender, Borrower shall have the right to replace such Defaulting Lender as though it were an Affected Bank, in accordance with the provisions of Section 3.07.</w:t>
      </w:r>
    </w:p>
    <w:p>
      <w:pPr>
        <w:spacing w:after="0" w:line="173"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12.21 </w:t>
      </w:r>
      <w:r>
        <w:rPr>
          <w:rFonts w:ascii="Times New Roman" w:cs="Times New Roman" w:eastAsia="Times New Roman" w:hAnsi="Times New Roman"/>
          <w:sz w:val="21"/>
          <w:szCs w:val="21"/>
          <w:u w:val="single" w:color="auto"/>
          <w:color w:val="auto"/>
        </w:rPr>
        <w:t>Use for Mortgages</w:t>
      </w:r>
      <w:r>
        <w:rPr>
          <w:rFonts w:ascii="Times New Roman" w:cs="Times New Roman" w:eastAsia="Times New Roman" w:hAnsi="Times New Roman"/>
          <w:sz w:val="21"/>
          <w:szCs w:val="21"/>
          <w:color w:val="auto"/>
        </w:rPr>
        <w:t xml:space="preserve">. From time to time, on not less than ten (10) Banking Days’ notice, the Borrower may request proceeds of the Loans be used to refinance or acquire properties secured by certain secured mortgage Debt of the Borrower and/or its </w:t>
      </w:r>
      <w:r>
        <w:rPr>
          <w:rFonts w:ascii="Times New Roman" w:cs="Times New Roman" w:eastAsia="Times New Roman" w:hAnsi="Times New Roman"/>
          <w:sz w:val="21"/>
          <w:szCs w:val="21"/>
          <w:color w:val="EE2724"/>
          <w:strike w:val="1"/>
        </w:rPr>
        <w:t>Subsidiaries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subsidiaries (including mortgage encumbering properties held by a nominee of Borrower and/or its</w:t>
      </w:r>
    </w:p>
    <w:p>
      <w:pPr>
        <w:spacing w:after="0" w:line="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u w:val="single" w:color="auto"/>
          <w:color w:val="0E32E1"/>
        </w:rPr>
        <w:t>subsidiaries),</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in which event, a portion of the Loans equal to the amount of the advances made hereunder in connection with such</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refinancing or acquisition, at the Borrower’s election, may be secured by an amended and restated mortgage on the property securing the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116</w:t>
      </w:r>
    </w:p>
    <w:p>
      <w:pPr>
        <w:sectPr>
          <w:pgSz w:w="11900" w:h="16838" w:orient="portrait"/>
          <w:cols w:equalWidth="0" w:num="1">
            <w:col w:w="11240"/>
          </w:cols>
          <w:pgMar w:left="320" w:top="1356" w:right="339" w:bottom="1440" w:gutter="0" w:footer="0" w:header="0"/>
        </w:sectPr>
      </w:pPr>
    </w:p>
    <w:bookmarkStart w:id="420" w:name="page421"/>
    <w:bookmarkEnd w:id="420"/>
    <w:p>
      <w:pPr>
        <w:jc w:val="both"/>
        <w:spacing w:after="0" w:line="210" w:lineRule="auto"/>
        <w:rPr>
          <w:sz w:val="20"/>
          <w:szCs w:val="20"/>
          <w:color w:val="auto"/>
        </w:rPr>
      </w:pPr>
      <w:r>
        <w:rPr>
          <w:rFonts w:ascii="Times New Roman" w:cs="Times New Roman" w:eastAsia="Times New Roman" w:hAnsi="Times New Roman"/>
          <w:sz w:val="21"/>
          <w:szCs w:val="21"/>
          <w:color w:val="auto"/>
        </w:rPr>
        <w:t>mortgage Debt to be so refinanced or acquired (a “Refinancing Mortgage”) and evidenced by a mortgage note executed by Borrower and/or one or more Subsidiaries (provided that if Borrower shall not execute such mortgage note, the Borrower shall execute a guaranty of such mortgage note), as more particularly set forth in Section 2.09, provided that no Refinancing Mortgage may encumber a property located in a Special Flood Hazard Area as designated by the Federal Emergency Management Agency. At least seven (7) Banking Days prior to the recordation of any Refinancing Mortgage, the Administrative Agent shall provide all Banks with a legal description and special flood hazard determination form for all property proposed to be encumbered thereby. Any such Refinancing Mortgage and any other agreement, certifications, opinions and other documents will be (i) in form and substance reasonably acceptable to the Administrative Agent and its counsel, (ii) be consistent in all respects with the terms of this Agreement, and (iii) subject to being released or assigned by the Administrative Agent at the request of the Borrower (it being understood and agreed that the Administrative Agent and the Banks shall not be required to give any representations or warranties with respect to any such release or assignment, including with respect to any aspects of the Debt secured thereby, except that it is the holder thereof and authorized to execute and deliver the same). In addition, in connection with each Refinancing Mortgage, the Administrative Agent, at the request and expense of Borrower, will provide subordination, non-disturbance and attornment agreements and intercreditor and/or subordination agreements with respect to any other Debt secured by the related mortgaged property, in each case in form and substance reasonably satisfactory to the Administrative Agent. Unless otherwise directed by Borrower, any prepayments made by the Borrower shall be applied first to any and all Loans outstanding that are not secured by a Refinancing Mortgage, and only to Loans secured by Refinancing Mortgages if there shall be no other Loans outstanding at the time. Notwithstanding anything to the contrary set forth herein, if there is one or more Refinancing Mortgages outstanding at the time, no MIRE Event may be closed until the date on which the Administrative Agent shall have received confirmation from each Bank that such Bank has completed any necessary flood insurance due diligence to its reasonable satisfaction; provided that no Bank shall unreasonably delay, withhold or condition such confirmation. For purposes hereof, “MIRE Event” means, any increase, extension or renewal of any of the Loan Commitments or Loans (including any increase of Loan Commitments pursuant to Section 2.16 or otherwise, but excluding (i) any extension of the Maturity Date pursuant to Section 2.18, (ii) any continuation or conversion of Loans, (iii) the making of any Loan or (iv) the issuance, renewal or extension of Letters of Credit).</w:t>
      </w:r>
    </w:p>
    <w:p>
      <w:pPr>
        <w:spacing w:after="0" w:line="19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12.22 </w:t>
      </w:r>
      <w:r>
        <w:rPr>
          <w:rFonts w:ascii="Times New Roman" w:cs="Times New Roman" w:eastAsia="Times New Roman" w:hAnsi="Times New Roman"/>
          <w:sz w:val="21"/>
          <w:szCs w:val="21"/>
          <w:color w:val="EE2724"/>
          <w:strike w:val="1"/>
        </w:rPr>
        <w:t>[Reserved]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Partner Guaranties. At Borrower’s request from time to time, Administrative Agent shall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accept “partner” guaranties of all or a portion of the Loans from limited partners in Borrower or limited partners or members of Borrower’s subsidiaries in such amounts and on such terms as Borrower shall request, provided that Administrative Agent shall have reasonably satisfied itself and the Banks with respect to know-your-customer requirements, Anti-Corruption Laws, OFAC, the Beneficial Ownership Regulation and similar restrictions in respect of any such proposed guarantor.</w:t>
      </w:r>
    </w:p>
    <w:p>
      <w:pPr>
        <w:spacing w:after="0" w:line="64"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12.23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Each of the Administrative Agent, the Fronting Banks and the Banks agrees to maintain the confidentiality of the Information (as defined below), except that Information may be disclosed (a) to its and its Affiliates' directors, officers, employees, and agents, including accountants, legal counsel, consultants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(d) to any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117</w:t>
      </w:r>
    </w:p>
    <w:p>
      <w:pPr>
        <w:sectPr>
          <w:pgSz w:w="11900" w:h="16838" w:orient="portrait"/>
          <w:cols w:equalWidth="0" w:num="1">
            <w:col w:w="11240"/>
          </w:cols>
          <w:pgMar w:left="320" w:top="1356" w:right="339" w:bottom="1440" w:gutter="0" w:footer="0" w:header="0"/>
        </w:sectPr>
      </w:pPr>
    </w:p>
    <w:bookmarkStart w:id="421" w:name="page422"/>
    <w:bookmarkEnd w:id="421"/>
    <w:p>
      <w:pPr>
        <w:jc w:val="both"/>
        <w:spacing w:after="0" w:line="251" w:lineRule="auto"/>
        <w:rPr>
          <w:sz w:val="20"/>
          <w:szCs w:val="20"/>
          <w:color w:val="auto"/>
        </w:rPr>
      </w:pPr>
      <w:r>
        <w:rPr>
          <w:rFonts w:ascii="Times New Roman" w:cs="Times New Roman" w:eastAsia="Times New Roman" w:hAnsi="Times New Roman"/>
          <w:sz w:val="21"/>
          <w:szCs w:val="21"/>
          <w:color w:val="auto"/>
        </w:rPr>
        <w:t>other party to this Agreement, (e) in connection with the exercise of any remedies hereunder or any suit, action or proceeding relating to this Agreement or the enforcement of rights hereunder, (f) subject to an agreement containing provisions substantially the same as those of this Section, to (i) any assignee of or Participant in, or any bona fide prospective assignee of or Participant in, any of its rights or obligations under this Agreement, to the extent reasonably requested by such assignee or Participant or prospective assignee or Participant or (ii) any actual or prospective counterparty (or its advisors) to any swap or derivative transaction or insurers, reinsurers or credit risk support providers relating to the Borrower and its obligations, (g) with the consent of the Borrower, (h) [intentionally omitted]; or (i) to the extent such Information (x) becomes publicly available other than as a result of a breach of this Section or (y) becomes available to the Administrative Agent, any Fronting Bank or any Bank on a non-confidential basis from a source other than the Borrower. For the purposes of this Section,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means all information received from the Borrower relating to the Borrower or its business, other than any such information that was available to the Administrative Agent, any Fronting Bank or any Bank on a non-confidential basis prior to disclosure by the Borrower. In addition, the Administrative Agent and the Banks may disclose the existence of this Agreement and information about this Agreement to market data collectors, similar service providers to the lending industry and service providers to the Administrative Agent and the Banks in connection with the administration of this Agreement, the other Loan Documents, and the Loan Commitments.</w:t>
      </w:r>
    </w:p>
    <w:p>
      <w:pPr>
        <w:spacing w:after="0" w:line="40"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For the avoidance of doubt, nothing in this Section 12.23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21"/>
          <w:szCs w:val="21"/>
          <w:u w:val="single" w:color="auto"/>
          <w:color w:val="auto"/>
        </w:rPr>
        <w:t>Regulatory Authority</w:t>
      </w:r>
      <w:r>
        <w:rPr>
          <w:rFonts w:ascii="Times New Roman" w:cs="Times New Roman" w:eastAsia="Times New Roman" w:hAnsi="Times New Roman"/>
          <w:sz w:val="21"/>
          <w:szCs w:val="21"/>
          <w:color w:val="auto"/>
        </w:rPr>
        <w:t>”) to the extent that any such prohibition on disclosure set forth in this Section 12.23 shall be prohibited by the laws or regulations applicable to such Regulatory Authority.</w:t>
      </w:r>
    </w:p>
    <w:p>
      <w:pPr>
        <w:spacing w:after="0" w:line="167"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12.24</w:t>
      </w:r>
      <w:r>
        <w:rPr>
          <w:sz w:val="20"/>
          <w:szCs w:val="20"/>
          <w:color w:val="auto"/>
        </w:rPr>
        <w:tab/>
      </w:r>
      <w:r>
        <w:rPr>
          <w:rFonts w:ascii="Times New Roman" w:cs="Times New Roman" w:eastAsia="Times New Roman" w:hAnsi="Times New Roman"/>
          <w:sz w:val="20"/>
          <w:szCs w:val="20"/>
          <w:u w:val="single" w:color="auto"/>
          <w:color w:val="auto"/>
        </w:rPr>
        <w:t>Transitional Arrangements</w:t>
      </w:r>
      <w:r>
        <w:rPr>
          <w:rFonts w:ascii="Times New Roman" w:cs="Times New Roman" w:eastAsia="Times New Roman" w:hAnsi="Times New Roman"/>
          <w:sz w:val="20"/>
          <w:szCs w:val="20"/>
          <w:color w:val="auto"/>
        </w:rPr>
        <w:t>.</w:t>
      </w:r>
    </w:p>
    <w:p>
      <w:pPr>
        <w:spacing w:after="0" w:line="99" w:lineRule="exact"/>
        <w:rPr>
          <w:sz w:val="20"/>
          <w:szCs w:val="20"/>
          <w:color w:val="auto"/>
        </w:rPr>
      </w:pPr>
    </w:p>
    <w:p>
      <w:pPr>
        <w:jc w:val="both"/>
        <w:ind w:firstLine="634"/>
        <w:spacing w:after="0" w:line="212" w:lineRule="auto"/>
        <w:tabs>
          <w:tab w:leader="none" w:pos="1254"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Existing 2021 Credit Agreement Superseded</w:t>
      </w:r>
      <w:r>
        <w:rPr>
          <w:rFonts w:ascii="Times New Roman" w:cs="Times New Roman" w:eastAsia="Times New Roman" w:hAnsi="Times New Roman"/>
          <w:sz w:val="21"/>
          <w:szCs w:val="21"/>
          <w:color w:val="auto"/>
        </w:rPr>
        <w:t>. This Agreement shall supersede the Existing 2021 Credit Agreement in its entirety, except as provided in this Section 12.24. On the Execution Date, (i) the loans outstanding under the Existing 2021 Credit Agreement shall become Loans hereunder, (ii) the rights and obligations of the parties under the Existing 2021 Credit Agreement and the “Notes” defined therein shall be subsumed within and be governed by this Agreement and the Notes; provided, however, that for purposes of this clause (ii) any of the “Obligations” (as defined in the Existing 2021 Credit Agreement) outstanding under the Existing 2021 Credit Agreement shall, for purposes of this Agreement, be Obligations hereunder, (iii) this Agreement shall not in any way release or impair the rights, duties or obligations created pursuant to the Existing 2021 Credit Agreement or any other Loan Document or affect the relative priorities thereof, in each case to the extent in force and effect thereunder as of the Execution Date, except as modified hereby or by documents, instruments and agreements executed and delivered in connection herewith, and all of such rights, duties and obligations are assumed, ratified and affirmed by the Borrower; (iv) the obligations incurred under the Existing 2021 Credit Agreement shall, to the extent outstanding on the Execution Date, continue outstanding under this Agreement and shall not be deemed to be paid, released, discharged or otherwise satisfied by the execution of this Agreement, and this Agreement shall not constitute a refinancing, substitution or novation of such obligations or any of the other rights, duties and obligations of the parties hereunder; and (v) the execution, delivery and effectiveness of this Agreement shall not operate as a waiver of any right, power or remedy of the Banks or the Administrative Agent under the Existing 2021 Credit Agreement, or constitute a waiver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118</w:t>
      </w:r>
    </w:p>
    <w:p>
      <w:pPr>
        <w:sectPr>
          <w:pgSz w:w="11900" w:h="16838" w:orient="portrait"/>
          <w:cols w:equalWidth="0" w:num="1">
            <w:col w:w="11240"/>
          </w:cols>
          <w:pgMar w:left="320" w:top="1382" w:right="339" w:bottom="1440" w:gutter="0" w:footer="0" w:header="0"/>
        </w:sectPr>
      </w:pPr>
    </w:p>
    <w:bookmarkStart w:id="422" w:name="page423"/>
    <w:bookmarkEnd w:id="422"/>
    <w:p>
      <w:pPr>
        <w:jc w:val="both"/>
        <w:spacing w:after="0" w:line="213" w:lineRule="auto"/>
        <w:rPr>
          <w:sz w:val="20"/>
          <w:szCs w:val="20"/>
          <w:color w:val="auto"/>
        </w:rPr>
      </w:pPr>
      <w:r>
        <w:rPr>
          <w:rFonts w:ascii="Times New Roman" w:cs="Times New Roman" w:eastAsia="Times New Roman" w:hAnsi="Times New Roman"/>
          <w:sz w:val="21"/>
          <w:szCs w:val="21"/>
          <w:color w:val="auto"/>
        </w:rPr>
        <w:t>covenant, agreement or obligation under the Existing 2021 Credit Agreement, except to the extent that any such covenant, agreement or obligation is no longer set forth herein or is modified hereby. The Banks’ interests in such obligations, and participations in outstanding Letters of Credit under the Existing 2021 Credit Agreement, shall be reallocated on the Execution Date in accordance with each Bank's Pro Rata Share. On the Execution Date, (A) the loan commitment of each Bank that is a party to the Existing 2021 Credit Agreement but is not a party to this Agreement (an “</w:t>
      </w:r>
      <w:r>
        <w:rPr>
          <w:rFonts w:ascii="Times New Roman" w:cs="Times New Roman" w:eastAsia="Times New Roman" w:hAnsi="Times New Roman"/>
          <w:sz w:val="21"/>
          <w:szCs w:val="21"/>
          <w:u w:val="single" w:color="auto"/>
          <w:color w:val="auto"/>
        </w:rPr>
        <w:t>Exiting Bank</w:t>
      </w:r>
      <w:r>
        <w:rPr>
          <w:rFonts w:ascii="Times New Roman" w:cs="Times New Roman" w:eastAsia="Times New Roman" w:hAnsi="Times New Roman"/>
          <w:sz w:val="21"/>
          <w:szCs w:val="21"/>
          <w:color w:val="auto"/>
        </w:rPr>
        <w:t xml:space="preserve">”) shall be terminated, all outstanding obligations owing to such Exiting Banks under the Existing 2021 Credit Agreement on the Execution Date shall be paid in full, and each Exiting Bank shall cease to be a Bank under this Agreement; provided, however, that, notwithstanding anything else provided herein or otherwise, any rights of an Existing Bank under the Loan Documents that are intended by their express terms to survive termination of the Loan Commitments and/or the repayment, satisfaction or discharge of obligations under any Loan Document shall survive for such Exiting Bank hereunder, and (B) each Person listed on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attached to this Agreement shall be a Bank under this Agreement with the Loan Commitment set forth opposite its name on such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Each Bank agrees to waive any amounts that would have otherwise been payable pursuant to Section 3.05 of the Existing 2021 Credit Agreement as a result of the conversion of any Term Benchmark Loans on the Closing Date.</w:t>
      </w:r>
    </w:p>
    <w:p>
      <w:pPr>
        <w:spacing w:after="0" w:line="148" w:lineRule="exact"/>
        <w:rPr>
          <w:sz w:val="20"/>
          <w:szCs w:val="20"/>
          <w:color w:val="auto"/>
        </w:rPr>
      </w:pPr>
    </w:p>
    <w:p>
      <w:pPr>
        <w:jc w:val="both"/>
        <w:ind w:firstLine="634"/>
        <w:spacing w:after="0" w:line="224" w:lineRule="auto"/>
        <w:tabs>
          <w:tab w:leader="none" w:pos="1253"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Interest and Fees under Existing 2021 Credit Agreement</w:t>
      </w:r>
      <w:r>
        <w:rPr>
          <w:rFonts w:ascii="Times New Roman" w:cs="Times New Roman" w:eastAsia="Times New Roman" w:hAnsi="Times New Roman"/>
          <w:sz w:val="21"/>
          <w:szCs w:val="21"/>
          <w:color w:val="auto"/>
        </w:rPr>
        <w:t>. All interest and all commitment, facility and other fees and expenses owing or accruing under or in respect of the Existing 2021 Credit Agreement shall be calculated as of the Execution Date (prorated in the case of any fractional periods), and shall be paid on the Execution Date in accordance with the method specified in the Existing 2021 Credit Agreement as if such agreement were still in effect.</w:t>
      </w:r>
    </w:p>
    <w:p>
      <w:pPr>
        <w:spacing w:after="0" w:line="173"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12.25 </w:t>
      </w:r>
      <w:r>
        <w:rPr>
          <w:rFonts w:ascii="Times New Roman" w:cs="Times New Roman" w:eastAsia="Times New Roman" w:hAnsi="Times New Roman"/>
          <w:sz w:val="21"/>
          <w:szCs w:val="21"/>
          <w:u w:val="single" w:color="auto"/>
          <w:color w:val="auto"/>
        </w:rPr>
        <w:t>No Advisory or Fiduciary Responsibility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(a)</w:t>
      </w:r>
      <w:r>
        <w:rPr>
          <w:rFonts w:ascii="Times New Roman" w:cs="Times New Roman" w:eastAsia="Times New Roman" w:hAnsi="Times New Roman"/>
          <w:sz w:val="21"/>
          <w:szCs w:val="21"/>
          <w:color w:val="auto"/>
        </w:rPr>
        <w:t xml:space="preserve"> 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the Lead Arrangers, the Sustainability Structuring Agent, and the Banks are arm’s-length commercial transactions between the Borrower and its Affiliates, on the one hand, and the Administrative Agent, the Lead Arrangers, the Sustainability Structuring Agent, and the Banks, on the other hand, (B) the Borrower has consulted its own legal, accounting, regulatory and tax advisors to the extent it has deemed appropriate and none of the Administrative Agent, the Lead Arrangers, the Sustainability Structuring Agent or the Banks is advising the Borrower as to any legal, tax, accounting or regulatory matters, and (C) the Borrower is capable of evaluating, and understands and accepts, the terms, risks and conditions of the transactions contemplated hereby and by the other Loan Documents; (ii) (A) the Administrative Agent, each Lead Arranger, the Sustainability Structuring Agent and each Bank is and has been acting solely as a principal and, except as expressly agreed in writing by the relevant parties, has not been, is not, and will not be acting as an advisor, agent or fiduciary for the Borrower or any of its Affiliates, or any other Person and (B) none of the Administrative Agent, any Lead Arranger, the Sustainability Structuring Agent or any Bank has any obligation to the Borrower or any of its Affiliates with respect to the transactions contemplated hereby except those obligations expressly set forth herein and in the other Loan Documents; and (iii) the Administrative Agent, the Lead Arrangers, the Sustainability Structuring Agent and the Banks and their respective Affiliates may be engaged in a broad range of transactions that involve interests that differ from those of the Borrower and its Affiliates, and none of the Administrative Agent, any Lead Arranger, 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119</w:t>
      </w:r>
    </w:p>
    <w:p>
      <w:pPr>
        <w:sectPr>
          <w:pgSz w:w="11900" w:h="16838" w:orient="portrait"/>
          <w:cols w:equalWidth="0" w:num="1">
            <w:col w:w="11240"/>
          </w:cols>
          <w:pgMar w:left="320" w:top="1356" w:right="339" w:bottom="1440" w:gutter="0" w:footer="0" w:header="0"/>
        </w:sectPr>
      </w:pPr>
    </w:p>
    <w:bookmarkStart w:id="423" w:name="page424"/>
    <w:bookmarkEnd w:id="423"/>
    <w:p>
      <w:pPr>
        <w:jc w:val="both"/>
        <w:spacing w:after="0" w:line="256" w:lineRule="auto"/>
        <w:rPr>
          <w:sz w:val="20"/>
          <w:szCs w:val="20"/>
          <w:color w:val="auto"/>
        </w:rPr>
      </w:pPr>
      <w:r>
        <w:rPr>
          <w:rFonts w:ascii="Times New Roman" w:cs="Times New Roman" w:eastAsia="Times New Roman" w:hAnsi="Times New Roman"/>
          <w:sz w:val="21"/>
          <w:szCs w:val="21"/>
          <w:color w:val="auto"/>
        </w:rPr>
        <w:t>Sustainability Structuring Agent, or any Bank has any obligation to disclose any of such interests to the Borrower or its Affiliates. The Borrower agrees that it will not assert any claim against the Administrative Agent, any Lead Arranger, the Sustainability Structuring Agent or any Bank based on an alleged breach of fiduciary duty by such Person in connection with this Agreement and the transactions contemplated hereby.</w:t>
      </w:r>
    </w:p>
    <w:p>
      <w:pPr>
        <w:spacing w:after="0" w:line="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1"/>
          <w:szCs w:val="21"/>
          <w:color w:val="auto"/>
        </w:rPr>
        <w:t>(a)</w:t>
      </w:r>
    </w:p>
    <w:p>
      <w:pPr>
        <w:spacing w:after="0" w:line="36" w:lineRule="exact"/>
        <w:rPr>
          <w:sz w:val="20"/>
          <w:szCs w:val="20"/>
          <w:color w:val="auto"/>
        </w:rPr>
      </w:pPr>
    </w:p>
    <w:p>
      <w:pPr>
        <w:jc w:val="both"/>
        <w:ind w:firstLine="634"/>
        <w:spacing w:after="0" w:line="253" w:lineRule="auto"/>
        <w:tabs>
          <w:tab w:leader="none" w:pos="1253" w:val="left"/>
        </w:tabs>
        <w:numPr>
          <w:ilvl w:val="0"/>
          <w:numId w:val="298"/>
        </w:numPr>
        <w:rPr>
          <w:rFonts w:ascii="Times New Roman" w:cs="Times New Roman" w:eastAsia="Times New Roman" w:hAnsi="Times New Roman"/>
          <w:sz w:val="21"/>
          <w:szCs w:val="21"/>
          <w:u w:val="single" w:color="auto"/>
          <w:color w:val="0E32E1"/>
        </w:rPr>
      </w:pPr>
      <w:r>
        <w:rPr>
          <w:rFonts w:ascii="Times New Roman" w:cs="Times New Roman" w:eastAsia="Times New Roman" w:hAnsi="Times New Roman"/>
          <w:sz w:val="21"/>
          <w:szCs w:val="21"/>
          <w:u w:val="single" w:color="auto"/>
          <w:color w:val="0E32E1"/>
        </w:rPr>
        <w:t>The Borrower further acknowledges and agrees, and acknowledges its Subsidiaries’ understanding, that each Credit Party, together with its Affiliates, in addition to providing or participating in commercial lending facilities such as that provided hereunder, may be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53" w:lineRule="exact"/>
        <w:rPr>
          <w:rFonts w:ascii="Times New Roman" w:cs="Times New Roman" w:eastAsia="Times New Roman" w:hAnsi="Times New Roman"/>
          <w:sz w:val="21"/>
          <w:szCs w:val="21"/>
          <w:u w:val="single" w:color="auto"/>
          <w:color w:val="0E32E1"/>
        </w:rPr>
      </w:pPr>
    </w:p>
    <w:p>
      <w:pPr>
        <w:jc w:val="both"/>
        <w:ind w:firstLine="634"/>
        <w:spacing w:after="0" w:line="216" w:lineRule="auto"/>
        <w:tabs>
          <w:tab w:leader="none" w:pos="1254" w:val="left"/>
        </w:tabs>
        <w:numPr>
          <w:ilvl w:val="0"/>
          <w:numId w:val="298"/>
        </w:numPr>
        <w:rPr>
          <w:rFonts w:ascii="Times New Roman" w:cs="Times New Roman" w:eastAsia="Times New Roman" w:hAnsi="Times New Roman"/>
          <w:sz w:val="21"/>
          <w:szCs w:val="21"/>
          <w:u w:val="single" w:color="auto"/>
          <w:color w:val="0E32E1"/>
        </w:rPr>
      </w:pPr>
      <w:r>
        <w:rPr>
          <w:rFonts w:ascii="Times New Roman" w:cs="Times New Roman" w:eastAsia="Times New Roman" w:hAnsi="Times New Roman"/>
          <w:sz w:val="21"/>
          <w:szCs w:val="21"/>
          <w:u w:val="single" w:color="auto"/>
          <w:color w:val="0E32E1"/>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174"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12.26</w:t>
      </w:r>
      <w:r>
        <w:rPr>
          <w:sz w:val="20"/>
          <w:szCs w:val="20"/>
          <w:color w:val="auto"/>
        </w:rPr>
        <w:tab/>
      </w:r>
      <w:r>
        <w:rPr>
          <w:rFonts w:ascii="Times New Roman" w:cs="Times New Roman" w:eastAsia="Times New Roman" w:hAnsi="Times New Roman"/>
          <w:sz w:val="20"/>
          <w:szCs w:val="20"/>
          <w:u w:val="single" w:color="auto"/>
          <w:color w:val="auto"/>
        </w:rPr>
        <w:t>Acknowledgement and Consent to Bail-In of Affected Financial Institutions</w:t>
      </w:r>
      <w:r>
        <w:rPr>
          <w:rFonts w:ascii="Times New Roman" w:cs="Times New Roman" w:eastAsia="Times New Roman" w:hAnsi="Times New Roman"/>
          <w:sz w:val="20"/>
          <w:szCs w:val="20"/>
          <w:color w:val="auto"/>
        </w:rPr>
        <w:t>. Notwithstanding anything</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83" w:lineRule="exact"/>
        <w:rPr>
          <w:sz w:val="20"/>
          <w:szCs w:val="20"/>
          <w:color w:val="auto"/>
        </w:rPr>
      </w:pPr>
    </w:p>
    <w:p>
      <w:pPr>
        <w:ind w:firstLine="634"/>
        <w:spacing w:after="0" w:line="280" w:lineRule="auto"/>
        <w:tabs>
          <w:tab w:leader="none" w:pos="1254"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2"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effects of any Bail-In Action on any such liability, including, if applicable:</w:t>
      </w:r>
    </w:p>
    <w:p>
      <w:pPr>
        <w:spacing w:after="0" w:line="72"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1"/>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full or in part or cancellation of any such liability;</w:t>
      </w:r>
    </w:p>
    <w:p>
      <w:pPr>
        <w:spacing w:after="0" w:line="72" w:lineRule="exact"/>
        <w:rPr>
          <w:rFonts w:ascii="Times New Roman" w:cs="Times New Roman" w:eastAsia="Times New Roman" w:hAnsi="Times New Roman"/>
          <w:sz w:val="21"/>
          <w:szCs w:val="21"/>
          <w:color w:val="auto"/>
        </w:rPr>
      </w:pPr>
    </w:p>
    <w:p>
      <w:pPr>
        <w:jc w:val="both"/>
        <w:ind w:left="640" w:firstLine="622"/>
        <w:spacing w:after="0" w:line="265" w:lineRule="auto"/>
        <w:tabs>
          <w:tab w:leader="none" w:pos="1891"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120</w:t>
      </w:r>
    </w:p>
    <w:p>
      <w:pPr>
        <w:sectPr>
          <w:pgSz w:w="11900" w:h="16838" w:orient="portrait"/>
          <w:cols w:equalWidth="0" w:num="1">
            <w:col w:w="11240"/>
          </w:cols>
          <w:pgMar w:left="320" w:top="1382" w:right="339" w:bottom="1440" w:gutter="0" w:footer="0" w:header="0"/>
        </w:sectPr>
      </w:pPr>
    </w:p>
    <w:bookmarkStart w:id="424" w:name="page425"/>
    <w:bookmarkEnd w:id="424"/>
    <w:p>
      <w:pPr>
        <w:ind w:left="640"/>
        <w:spacing w:after="0" w:line="241" w:lineRule="auto"/>
        <w:rPr>
          <w:sz w:val="20"/>
          <w:szCs w:val="20"/>
          <w:color w:val="auto"/>
        </w:rPr>
      </w:pPr>
      <w:r>
        <w:rPr>
          <w:rFonts w:ascii="Times New Roman" w:cs="Times New Roman" w:eastAsia="Times New Roman" w:hAnsi="Times New Roman"/>
          <w:sz w:val="21"/>
          <w:szCs w:val="21"/>
          <w:color w:val="auto"/>
        </w:rPr>
        <w:t>shares or other instruments of ownership will be accepted by it in lieu of any rights with respect to any such liability under this Agreement or any other Loan Document; or</w:t>
      </w:r>
    </w:p>
    <w:p>
      <w:pPr>
        <w:spacing w:after="0" w:line="144" w:lineRule="exact"/>
        <w:rPr>
          <w:sz w:val="20"/>
          <w:szCs w:val="20"/>
          <w:color w:val="auto"/>
        </w:rPr>
      </w:pPr>
    </w:p>
    <w:p>
      <w:pPr>
        <w:ind w:left="640" w:firstLine="622"/>
        <w:spacing w:after="0" w:line="241" w:lineRule="auto"/>
        <w:tabs>
          <w:tab w:leader="none" w:pos="1897"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12.27 </w:t>
      </w:r>
      <w:r>
        <w:rPr>
          <w:rFonts w:ascii="Times New Roman" w:cs="Times New Roman" w:eastAsia="Times New Roman" w:hAnsi="Times New Roman"/>
          <w:sz w:val="21"/>
          <w:szCs w:val="21"/>
          <w:u w:val="single" w:color="auto"/>
          <w:color w:val="auto"/>
        </w:rPr>
        <w:t>Acknowledgement Regarding Any Supported QFCs</w:t>
      </w:r>
      <w:r>
        <w:rPr>
          <w:rFonts w:ascii="Times New Roman" w:cs="Times New Roman" w:eastAsia="Times New Roman" w:hAnsi="Times New Roman"/>
          <w:sz w:val="21"/>
          <w:szCs w:val="21"/>
          <w:color w:val="auto"/>
        </w:rPr>
        <w:t>. To the extent that the Loan Documents provide support, through a guarantee or otherwise, for interest rate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85"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In the event a Covered Entity that is party to a Supported QFC (each, a “</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121</w:t>
      </w:r>
    </w:p>
    <w:p>
      <w:pPr>
        <w:sectPr>
          <w:pgSz w:w="11900" w:h="16838" w:orient="portrait"/>
          <w:cols w:equalWidth="0" w:num="1">
            <w:col w:w="11240"/>
          </w:cols>
          <w:pgMar w:left="320" w:top="1356" w:right="339" w:bottom="1440" w:gutter="0" w:footer="0" w:header="0"/>
        </w:sectPr>
      </w:pPr>
    </w:p>
    <w:bookmarkStart w:id="425" w:name="page426"/>
    <w:bookmarkEnd w:id="425"/>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SCHEDULE 4</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SUSTAINABILITY TABLE</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KPI</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Baseline</w:t>
            </w: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140" w:type="dxa"/>
            <w:vAlign w:val="bottom"/>
            <w:tcBorders>
              <w:top w:val="single" w:sz="8" w:color="auto"/>
            </w:tcBorders>
            <w:gridSpan w:val="12"/>
          </w:tcPr>
          <w:p>
            <w:pPr>
              <w:ind w:left="20"/>
              <w:spacing w:after="0"/>
              <w:rPr>
                <w:sz w:val="20"/>
                <w:szCs w:val="20"/>
                <w:color w:val="auto"/>
              </w:rPr>
            </w:pPr>
            <w:r>
              <w:rPr>
                <w:rFonts w:ascii="Times New Roman" w:cs="Times New Roman" w:eastAsia="Times New Roman" w:hAnsi="Times New Roman"/>
                <w:sz w:val="17"/>
                <w:szCs w:val="17"/>
                <w:b w:val="1"/>
                <w:bCs w:val="1"/>
                <w:color w:val="auto"/>
              </w:rPr>
              <w:t>Annual Sustainability Targets and Thresholds</w:t>
            </w:r>
          </w:p>
        </w:tc>
        <w:tc>
          <w:tcPr>
            <w:tcW w:w="7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Borders>
              <w:top w:val="single" w:sz="8" w:color="auto"/>
              <w:right w:val="single" w:sz="8" w:color="auto"/>
            </w:tcBorders>
          </w:tcPr>
          <w:p>
            <w:pPr>
              <w:spacing w:after="0"/>
              <w:rPr>
                <w:sz w:val="17"/>
                <w:szCs w:val="17"/>
                <w:color w:val="auto"/>
              </w:rPr>
            </w:pPr>
          </w:p>
        </w:tc>
        <w:tc>
          <w:tcPr>
            <w:tcW w:w="15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Metrics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40" w:type="dxa"/>
            <w:vAlign w:val="bottom"/>
            <w:tcBorders>
              <w:left w:val="single" w:sz="8" w:color="auto"/>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9"/>
                <w:szCs w:val="19"/>
                <w:color w:val="EE2724"/>
                <w:strike w:val="1"/>
                <w:w w:val="94"/>
              </w:rPr>
              <w:t>2022</w:t>
            </w:r>
          </w:p>
        </w:tc>
        <w:tc>
          <w:tcPr>
            <w:tcW w:w="600" w:type="dxa"/>
            <w:vAlign w:val="bottom"/>
            <w:gridSpan w:val="2"/>
          </w:tcPr>
          <w:p>
            <w:pPr>
              <w:jc w:val="right"/>
              <w:ind w:right="160"/>
              <w:spacing w:after="0" w:line="203" w:lineRule="exact"/>
              <w:rPr>
                <w:sz w:val="20"/>
                <w:szCs w:val="20"/>
                <w:color w:val="auto"/>
              </w:rPr>
            </w:pPr>
            <w:r>
              <w:rPr>
                <w:rFonts w:ascii="Times New Roman" w:cs="Times New Roman" w:eastAsia="Times New Roman" w:hAnsi="Times New Roman"/>
                <w:sz w:val="19"/>
                <w:szCs w:val="19"/>
                <w:color w:val="0E32E1"/>
              </w:rPr>
              <w:t>2019</w:t>
            </w:r>
          </w:p>
        </w:tc>
        <w:tc>
          <w:tcPr>
            <w:tcW w:w="1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CY2024</w:t>
            </w:r>
          </w:p>
        </w:tc>
        <w:tc>
          <w:tcPr>
            <w:tcW w:w="13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CY2025</w:t>
            </w:r>
          </w:p>
        </w:tc>
        <w:tc>
          <w:tcPr>
            <w:tcW w:w="1320" w:type="dxa"/>
            <w:vAlign w:val="bottom"/>
            <w:tcBorders>
              <w:right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CY2026</w:t>
            </w:r>
          </w:p>
        </w:tc>
        <w:tc>
          <w:tcPr>
            <w:tcW w:w="13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CY2027</w:t>
            </w:r>
          </w:p>
        </w:tc>
        <w:tc>
          <w:tcPr>
            <w:tcW w:w="1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CY2028</w:t>
            </w:r>
          </w:p>
        </w:tc>
        <w:tc>
          <w:tcPr>
            <w:tcW w:w="13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CY2029</w:t>
            </w:r>
          </w:p>
        </w:tc>
        <w:tc>
          <w:tcPr>
            <w:tcW w:w="1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top w:val="single" w:sz="8" w:color="EE2724"/>
              <w:bottom w:val="single" w:sz="8" w:color="auto"/>
            </w:tcBorders>
          </w:tcPr>
          <w:p>
            <w:pPr>
              <w:spacing w:after="0"/>
              <w:rPr>
                <w:sz w:val="18"/>
                <w:szCs w:val="18"/>
                <w:color w:val="auto"/>
              </w:rPr>
            </w:pPr>
          </w:p>
        </w:tc>
        <w:tc>
          <w:tcPr>
            <w:tcW w:w="20" w:type="dxa"/>
            <w:vAlign w:val="bottom"/>
            <w:tcBorders>
              <w:top w:val="single" w:sz="8" w:color="EE2724"/>
              <w:bottom w:val="single" w:sz="8" w:color="auto"/>
            </w:tcBorders>
          </w:tcPr>
          <w:p>
            <w:pPr>
              <w:spacing w:after="0"/>
              <w:rPr>
                <w:sz w:val="18"/>
                <w:szCs w:val="18"/>
                <w:color w:val="auto"/>
              </w:rPr>
            </w:pPr>
          </w:p>
        </w:tc>
        <w:tc>
          <w:tcPr>
            <w:tcW w:w="440" w:type="dxa"/>
            <w:vAlign w:val="bottom"/>
            <w:tcBorders>
              <w:top w:val="single" w:sz="8" w:color="0E32E1"/>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0" w:type="dxa"/>
            <w:vAlign w:val="bottom"/>
            <w:tcBorders>
              <w:left w:val="single" w:sz="8" w:color="auto"/>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rPr>
              <w:t>&lt;</w:t>
            </w:r>
          </w:p>
        </w:tc>
        <w:tc>
          <w:tcPr>
            <w:tcW w:w="38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0"/>
              </w:rPr>
              <w:t>&lt;</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gridSpan w:val="2"/>
          </w:tcPr>
          <w:p>
            <w:pPr>
              <w:jc w:val="center"/>
              <w:ind w:right="440"/>
              <w:spacing w:after="0" w:line="176" w:lineRule="exact"/>
              <w:rPr>
                <w:sz w:val="20"/>
                <w:szCs w:val="20"/>
                <w:color w:val="auto"/>
              </w:rPr>
            </w:pPr>
            <w:r>
              <w:rPr>
                <w:rFonts w:ascii="Times New Roman" w:cs="Times New Roman" w:eastAsia="Times New Roman" w:hAnsi="Times New Roman"/>
                <w:sz w:val="17"/>
                <w:szCs w:val="17"/>
                <w:color w:val="auto"/>
              </w:rPr>
              <w:t>&lt;</w:t>
            </w:r>
          </w:p>
        </w:tc>
        <w:tc>
          <w:tcPr>
            <w:tcW w:w="200" w:type="dxa"/>
            <w:vAlign w:val="bottom"/>
            <w:tcBorders>
              <w:right w:val="single" w:sz="8" w:color="auto"/>
            </w:tcBorders>
          </w:tcPr>
          <w:p>
            <w:pPr>
              <w:spacing w:after="0"/>
              <w:rPr>
                <w:sz w:val="15"/>
                <w:szCs w:val="15"/>
                <w:color w:val="auto"/>
              </w:rPr>
            </w:pPr>
          </w:p>
        </w:tc>
        <w:tc>
          <w:tcPr>
            <w:tcW w:w="1100" w:type="dxa"/>
            <w:vAlign w:val="bottom"/>
            <w:gridSpan w:val="2"/>
          </w:tcPr>
          <w:p>
            <w:pPr>
              <w:jc w:val="center"/>
              <w:ind w:left="73"/>
              <w:spacing w:after="0" w:line="176" w:lineRule="exact"/>
              <w:rPr>
                <w:sz w:val="20"/>
                <w:szCs w:val="20"/>
                <w:color w:val="auto"/>
              </w:rPr>
            </w:pPr>
            <w:r>
              <w:rPr>
                <w:rFonts w:ascii="Times New Roman" w:cs="Times New Roman" w:eastAsia="Times New Roman" w:hAnsi="Times New Roman"/>
                <w:sz w:val="17"/>
                <w:szCs w:val="17"/>
                <w:color w:val="auto"/>
              </w:rPr>
              <w:t>&lt;</w:t>
            </w:r>
          </w:p>
        </w:tc>
        <w:tc>
          <w:tcPr>
            <w:tcW w:w="200" w:type="dxa"/>
            <w:vAlign w:val="bottom"/>
            <w:tcBorders>
              <w:right w:val="single" w:sz="8" w:color="auto"/>
            </w:tcBorders>
          </w:tcPr>
          <w:p>
            <w:pPr>
              <w:spacing w:after="0"/>
              <w:rPr>
                <w:sz w:val="15"/>
                <w:szCs w:val="15"/>
                <w:color w:val="auto"/>
              </w:rPr>
            </w:pPr>
          </w:p>
        </w:tc>
        <w:tc>
          <w:tcPr>
            <w:tcW w:w="680" w:type="dxa"/>
            <w:vAlign w:val="bottom"/>
          </w:tcPr>
          <w:p>
            <w:pPr>
              <w:jc w:val="center"/>
              <w:ind w:left="493"/>
              <w:spacing w:after="0" w:line="176" w:lineRule="exact"/>
              <w:rPr>
                <w:sz w:val="20"/>
                <w:szCs w:val="20"/>
                <w:color w:val="auto"/>
              </w:rPr>
            </w:pPr>
            <w:r>
              <w:rPr>
                <w:rFonts w:ascii="Times New Roman" w:cs="Times New Roman" w:eastAsia="Times New Roman" w:hAnsi="Times New Roman"/>
                <w:sz w:val="17"/>
                <w:szCs w:val="17"/>
                <w:color w:val="auto"/>
              </w:rPr>
              <w:t>&lt;</w:t>
            </w:r>
          </w:p>
        </w:tc>
        <w:tc>
          <w:tcPr>
            <w:tcW w:w="4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700" w:type="dxa"/>
            <w:vAlign w:val="bottom"/>
          </w:tcPr>
          <w:p>
            <w:pPr>
              <w:jc w:val="center"/>
              <w:ind w:left="513"/>
              <w:spacing w:after="0" w:line="176" w:lineRule="exact"/>
              <w:rPr>
                <w:sz w:val="20"/>
                <w:szCs w:val="20"/>
                <w:color w:val="auto"/>
              </w:rPr>
            </w:pPr>
            <w:r>
              <w:rPr>
                <w:rFonts w:ascii="Times New Roman" w:cs="Times New Roman" w:eastAsia="Times New Roman" w:hAnsi="Times New Roman"/>
                <w:sz w:val="17"/>
                <w:szCs w:val="17"/>
                <w:color w:val="auto"/>
              </w:rPr>
              <w:t>&lt;</w:t>
            </w:r>
          </w:p>
        </w:tc>
        <w:tc>
          <w:tcPr>
            <w:tcW w:w="4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6"/>
              </w:rPr>
              <w:t>KPI Target</w:t>
            </w:r>
          </w:p>
        </w:tc>
        <w:tc>
          <w:tcPr>
            <w:tcW w:w="0" w:type="dxa"/>
            <w:vAlign w:val="bottom"/>
          </w:tcPr>
          <w:p>
            <w:pPr>
              <w:spacing w:after="0"/>
              <w:rPr>
                <w:sz w:val="1"/>
                <w:szCs w:val="1"/>
                <w:color w:val="auto"/>
              </w:rPr>
            </w:pPr>
          </w:p>
        </w:tc>
      </w:tr>
      <w:tr>
        <w:trPr>
          <w:trHeight w:val="20"/>
        </w:trPr>
        <w:tc>
          <w:tcPr>
            <w:tcW w:w="840" w:type="dxa"/>
            <w:vAlign w:val="bottom"/>
            <w:tcBorders>
              <w:left w:val="single" w:sz="8" w:color="auto"/>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KPI</w:t>
            </w:r>
          </w:p>
        </w:tc>
        <w:tc>
          <w:tcPr>
            <w:tcW w:w="140" w:type="dxa"/>
            <w:vAlign w:val="bottom"/>
          </w:tcPr>
          <w:p>
            <w:pPr>
              <w:spacing w:after="0"/>
              <w:rPr>
                <w:sz w:val="15"/>
                <w:szCs w:val="15"/>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EE2724"/>
                <w:strike w:val="1"/>
                <w:w w:val="99"/>
              </w:rPr>
              <w:t>92,784</w:t>
            </w:r>
          </w:p>
        </w:tc>
        <w:tc>
          <w:tcPr>
            <w:tcW w:w="800" w:type="dxa"/>
            <w:vAlign w:val="bottom"/>
            <w:tcBorders>
              <w:right w:val="single" w:sz="8" w:color="auto"/>
            </w:tcBorders>
            <w:gridSpan w:val="4"/>
            <w:vMerge w:val="restart"/>
          </w:tcPr>
          <w:p>
            <w:pPr>
              <w:jc w:val="right"/>
              <w:ind w:right="180"/>
              <w:spacing w:after="0"/>
              <w:rPr>
                <w:sz w:val="20"/>
                <w:szCs w:val="20"/>
                <w:color w:val="auto"/>
              </w:rPr>
            </w:pPr>
            <w:r>
              <w:rPr>
                <w:rFonts w:ascii="Times New Roman" w:cs="Times New Roman" w:eastAsia="Times New Roman" w:hAnsi="Times New Roman"/>
                <w:sz w:val="19"/>
                <w:szCs w:val="19"/>
                <w:color w:val="0E32E1"/>
                <w:w w:val="97"/>
              </w:rPr>
              <w:t>206,554</w:t>
            </w:r>
          </w:p>
        </w:tc>
        <w:tc>
          <w:tcPr>
            <w:tcW w:w="840" w:type="dxa"/>
            <w:vAlign w:val="bottom"/>
            <w:tcBorders>
              <w:right w:val="single" w:sz="8" w:color="auto"/>
            </w:tcBorders>
            <w:gridSpan w:val="3"/>
          </w:tcPr>
          <w:p>
            <w:pPr>
              <w:jc w:val="center"/>
              <w:ind w:right="40"/>
              <w:spacing w:after="0" w:line="176" w:lineRule="exact"/>
              <w:rPr>
                <w:sz w:val="20"/>
                <w:szCs w:val="20"/>
                <w:color w:val="auto"/>
              </w:rPr>
            </w:pPr>
            <w:r>
              <w:rPr>
                <w:rFonts w:ascii="Times New Roman" w:cs="Times New Roman" w:eastAsia="Times New Roman" w:hAnsi="Times New Roman"/>
                <w:sz w:val="17"/>
                <w:szCs w:val="17"/>
                <w:color w:val="auto"/>
              </w:rPr>
              <w:t>90,464</w:t>
            </w:r>
          </w:p>
        </w:tc>
        <w:tc>
          <w:tcPr>
            <w:tcW w:w="66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EE2724"/>
                <w:strike w:val="1"/>
                <w:w w:val="94"/>
              </w:rPr>
              <w:t>88,203</w:t>
            </w:r>
          </w:p>
        </w:tc>
        <w:tc>
          <w:tcPr>
            <w:tcW w:w="52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7"/>
                <w:szCs w:val="17"/>
                <w:color w:val="0E32E1"/>
                <w:w w:val="98"/>
              </w:rPr>
              <w:t>82,374</w:t>
            </w:r>
          </w:p>
        </w:tc>
        <w:tc>
          <w:tcPr>
            <w:tcW w:w="180" w:type="dxa"/>
            <w:vAlign w:val="bottom"/>
            <w:tcBorders>
              <w:right w:val="single" w:sz="8" w:color="auto"/>
            </w:tcBorders>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EE2724"/>
                <w:strike w:val="1"/>
              </w:rPr>
              <w:t>85,998</w:t>
            </w:r>
          </w:p>
        </w:tc>
        <w:tc>
          <w:tcPr>
            <w:tcW w:w="740" w:type="dxa"/>
            <w:vAlign w:val="bottom"/>
            <w:tcBorders>
              <w:right w:val="single" w:sz="8" w:color="auto"/>
            </w:tcBorders>
            <w:gridSpan w:val="3"/>
          </w:tcPr>
          <w:p>
            <w:pPr>
              <w:jc w:val="right"/>
              <w:ind w:right="200"/>
              <w:spacing w:after="0" w:line="176" w:lineRule="exact"/>
              <w:rPr>
                <w:sz w:val="20"/>
                <w:szCs w:val="20"/>
                <w:color w:val="auto"/>
              </w:rPr>
            </w:pPr>
            <w:r>
              <w:rPr>
                <w:rFonts w:ascii="Times New Roman" w:cs="Times New Roman" w:eastAsia="Times New Roman" w:hAnsi="Times New Roman"/>
                <w:sz w:val="17"/>
                <w:szCs w:val="17"/>
                <w:color w:val="0E32E1"/>
              </w:rPr>
              <w:t>80,314</w:t>
            </w:r>
          </w:p>
        </w:tc>
        <w:tc>
          <w:tcPr>
            <w:tcW w:w="6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EE2724"/>
                <w:strike w:val="1"/>
              </w:rPr>
              <w:t>83,848</w:t>
            </w:r>
          </w:p>
        </w:tc>
        <w:tc>
          <w:tcPr>
            <w:tcW w:w="620" w:type="dxa"/>
            <w:vAlign w:val="bottom"/>
            <w:tcBorders>
              <w:right w:val="single" w:sz="8" w:color="auto"/>
            </w:tcBorders>
            <w:gridSpan w:val="2"/>
          </w:tcPr>
          <w:p>
            <w:pPr>
              <w:jc w:val="right"/>
              <w:ind w:right="200"/>
              <w:spacing w:after="0" w:line="176" w:lineRule="exact"/>
              <w:rPr>
                <w:sz w:val="20"/>
                <w:szCs w:val="20"/>
                <w:color w:val="auto"/>
              </w:rPr>
            </w:pPr>
            <w:r>
              <w:rPr>
                <w:rFonts w:ascii="Times New Roman" w:cs="Times New Roman" w:eastAsia="Times New Roman" w:hAnsi="Times New Roman"/>
                <w:sz w:val="17"/>
                <w:szCs w:val="17"/>
                <w:color w:val="0E32E1"/>
                <w:w w:val="85"/>
              </w:rPr>
              <w:t>78,306</w:t>
            </w:r>
          </w:p>
        </w:tc>
        <w:tc>
          <w:tcPr>
            <w:tcW w:w="6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EE2724"/>
                <w:strike w:val="1"/>
              </w:rPr>
              <w:t>81,752</w:t>
            </w:r>
          </w:p>
        </w:tc>
        <w:tc>
          <w:tcPr>
            <w:tcW w:w="620" w:type="dxa"/>
            <w:vAlign w:val="bottom"/>
            <w:tcBorders>
              <w:right w:val="single" w:sz="8" w:color="auto"/>
            </w:tcBorders>
            <w:gridSpan w:val="2"/>
          </w:tcPr>
          <w:p>
            <w:pPr>
              <w:jc w:val="right"/>
              <w:ind w:right="180"/>
              <w:spacing w:after="0" w:line="176" w:lineRule="exact"/>
              <w:rPr>
                <w:sz w:val="20"/>
                <w:szCs w:val="20"/>
                <w:color w:val="auto"/>
              </w:rPr>
            </w:pPr>
            <w:r>
              <w:rPr>
                <w:rFonts w:ascii="Times New Roman" w:cs="Times New Roman" w:eastAsia="Times New Roman" w:hAnsi="Times New Roman"/>
                <w:sz w:val="17"/>
                <w:szCs w:val="17"/>
                <w:color w:val="0E32E1"/>
                <w:w w:val="89"/>
              </w:rPr>
              <w:t>76,349</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EE2724"/>
                <w:strike w:val="1"/>
              </w:rPr>
              <w:t>79,708</w:t>
            </w:r>
          </w:p>
        </w:tc>
        <w:tc>
          <w:tcPr>
            <w:tcW w:w="620" w:type="dxa"/>
            <w:vAlign w:val="bottom"/>
            <w:tcBorders>
              <w:right w:val="single" w:sz="8" w:color="auto"/>
            </w:tcBorders>
            <w:gridSpan w:val="2"/>
          </w:tcPr>
          <w:p>
            <w:pPr>
              <w:jc w:val="right"/>
              <w:ind w:right="200"/>
              <w:spacing w:after="0" w:line="176" w:lineRule="exact"/>
              <w:rPr>
                <w:sz w:val="20"/>
                <w:szCs w:val="20"/>
                <w:color w:val="auto"/>
              </w:rPr>
            </w:pPr>
            <w:r>
              <w:rPr>
                <w:rFonts w:ascii="Times New Roman" w:cs="Times New Roman" w:eastAsia="Times New Roman" w:hAnsi="Times New Roman"/>
                <w:sz w:val="17"/>
                <w:szCs w:val="17"/>
                <w:color w:val="0E32E1"/>
                <w:w w:val="85"/>
              </w:rPr>
              <w:t>74,440</w:t>
            </w:r>
          </w:p>
        </w:tc>
        <w:tc>
          <w:tcPr>
            <w:tcW w:w="1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800" w:type="dxa"/>
            <w:vAlign w:val="bottom"/>
            <w:tcBorders>
              <w:right w:val="single" w:sz="8" w:color="auto"/>
            </w:tcBorders>
            <w:gridSpan w:val="4"/>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top w:val="single" w:sz="8" w:color="0E32E1"/>
              <w:bottom w:val="single" w:sz="8" w:color="auto"/>
            </w:tcBorders>
          </w:tcPr>
          <w:p>
            <w:pPr>
              <w:spacing w:after="0"/>
              <w:rPr>
                <w:sz w:val="18"/>
                <w:szCs w:val="18"/>
                <w:color w:val="auto"/>
              </w:rPr>
            </w:pPr>
          </w:p>
        </w:tc>
        <w:tc>
          <w:tcPr>
            <w:tcW w:w="420" w:type="dxa"/>
            <w:vAlign w:val="bottom"/>
            <w:tcBorders>
              <w:top w:val="single" w:sz="8" w:color="0E32E1"/>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top w:val="single" w:sz="8" w:color="0E32E1"/>
              <w:bottom w:val="single" w:sz="8" w:color="auto"/>
            </w:tcBorders>
          </w:tcPr>
          <w:p>
            <w:pPr>
              <w:spacing w:after="0"/>
              <w:rPr>
                <w:sz w:val="18"/>
                <w:szCs w:val="18"/>
                <w:color w:val="auto"/>
              </w:rPr>
            </w:pPr>
          </w:p>
        </w:tc>
        <w:tc>
          <w:tcPr>
            <w:tcW w:w="440" w:type="dxa"/>
            <w:vAlign w:val="bottom"/>
            <w:tcBorders>
              <w:top w:val="single" w:sz="8" w:color="0E32E1"/>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20" w:type="dxa"/>
            <w:vAlign w:val="bottom"/>
            <w:tcBorders>
              <w:top w:val="single" w:sz="8" w:color="0E32E1"/>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top w:val="single" w:sz="8" w:color="0E32E1"/>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top w:val="single" w:sz="8" w:color="0E32E1"/>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tcBorders>
              <w:left w:val="single" w:sz="8" w:color="auto"/>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800" w:type="dxa"/>
            <w:vAlign w:val="bottom"/>
            <w:tcBorders>
              <w:right w:val="single" w:sz="8" w:color="auto"/>
            </w:tcBorders>
            <w:gridSpan w:val="4"/>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40" w:type="dxa"/>
            <w:vAlign w:val="bottom"/>
            <w:tcBorders>
              <w:left w:val="single" w:sz="8" w:color="auto"/>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Borders>
              <w:top w:val="single" w:sz="8" w:color="0E32E1"/>
            </w:tcBorders>
          </w:tcPr>
          <w:p>
            <w:pPr>
              <w:spacing w:after="0"/>
              <w:rPr>
                <w:sz w:val="21"/>
                <w:szCs w:val="21"/>
                <w:color w:val="auto"/>
              </w:rPr>
            </w:pPr>
          </w:p>
        </w:tc>
        <w:tc>
          <w:tcPr>
            <w:tcW w:w="440" w:type="dxa"/>
            <w:vAlign w:val="bottom"/>
            <w:tcBorders>
              <w:top w:val="single" w:sz="8" w:color="0E32E1"/>
            </w:tcBorders>
          </w:tcPr>
          <w:p>
            <w:pPr>
              <w:spacing w:after="0"/>
              <w:rPr>
                <w:sz w:val="21"/>
                <w:szCs w:val="21"/>
                <w:color w:val="auto"/>
              </w:rPr>
            </w:pPr>
          </w:p>
        </w:tc>
        <w:tc>
          <w:tcPr>
            <w:tcW w:w="160" w:type="dxa"/>
            <w:vAlign w:val="bottom"/>
            <w:tcBorders>
              <w:top w:val="single" w:sz="8" w:color="0E32E1"/>
            </w:tcBorders>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84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460" w:type="dxa"/>
            <w:vAlign w:val="bottom"/>
            <w:gridSpan w:val="2"/>
          </w:tcPr>
          <w:p>
            <w:pPr>
              <w:jc w:val="center"/>
              <w:ind w:left="273"/>
              <w:spacing w:after="0" w:line="185" w:lineRule="exact"/>
              <w:rPr>
                <w:sz w:val="20"/>
                <w:szCs w:val="20"/>
                <w:color w:val="auto"/>
              </w:rPr>
            </w:pPr>
            <w:r>
              <w:rPr>
                <w:rFonts w:ascii="Times New Roman" w:cs="Times New Roman" w:eastAsia="Times New Roman" w:hAnsi="Times New Roman"/>
                <w:sz w:val="17"/>
                <w:szCs w:val="17"/>
                <w:color w:val="auto"/>
              </w:rPr>
              <w:t>&gt;</w:t>
            </w:r>
          </w:p>
        </w:tc>
        <w:tc>
          <w:tcPr>
            <w:tcW w:w="380" w:type="dxa"/>
            <w:vAlign w:val="bottom"/>
            <w:tcBorders>
              <w:right w:val="single" w:sz="8" w:color="auto"/>
            </w:tcBorders>
          </w:tcPr>
          <w:p>
            <w:pPr>
              <w:spacing w:after="0"/>
              <w:rPr>
                <w:sz w:val="16"/>
                <w:szCs w:val="16"/>
                <w:color w:val="auto"/>
              </w:rPr>
            </w:pPr>
          </w:p>
        </w:tc>
        <w:tc>
          <w:tcPr>
            <w:tcW w:w="720" w:type="dxa"/>
            <w:vAlign w:val="bottom"/>
            <w:gridSpan w:val="2"/>
          </w:tcPr>
          <w:p>
            <w:pPr>
              <w:jc w:val="center"/>
              <w:ind w:left="533"/>
              <w:spacing w:after="0" w:line="185" w:lineRule="exact"/>
              <w:rPr>
                <w:sz w:val="20"/>
                <w:szCs w:val="20"/>
                <w:color w:val="auto"/>
              </w:rPr>
            </w:pPr>
            <w:r>
              <w:rPr>
                <w:rFonts w:ascii="Times New Roman" w:cs="Times New Roman" w:eastAsia="Times New Roman" w:hAnsi="Times New Roman"/>
                <w:sz w:val="17"/>
                <w:szCs w:val="17"/>
                <w:color w:val="auto"/>
              </w:rPr>
              <w:t>&gt;</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120" w:type="dxa"/>
            <w:vAlign w:val="bottom"/>
            <w:gridSpan w:val="3"/>
          </w:tcPr>
          <w:p>
            <w:pPr>
              <w:jc w:val="center"/>
              <w:ind w:left="53"/>
              <w:spacing w:after="0" w:line="185" w:lineRule="exact"/>
              <w:rPr>
                <w:sz w:val="20"/>
                <w:szCs w:val="20"/>
                <w:color w:val="auto"/>
              </w:rPr>
            </w:pPr>
            <w:r>
              <w:rPr>
                <w:rFonts w:ascii="Times New Roman" w:cs="Times New Roman" w:eastAsia="Times New Roman" w:hAnsi="Times New Roman"/>
                <w:sz w:val="17"/>
                <w:szCs w:val="17"/>
                <w:color w:val="auto"/>
              </w:rPr>
              <w:t>&gt;</w:t>
            </w:r>
          </w:p>
        </w:tc>
        <w:tc>
          <w:tcPr>
            <w:tcW w:w="200" w:type="dxa"/>
            <w:vAlign w:val="bottom"/>
            <w:tcBorders>
              <w:right w:val="single" w:sz="8" w:color="auto"/>
            </w:tcBorders>
          </w:tcPr>
          <w:p>
            <w:pPr>
              <w:spacing w:after="0"/>
              <w:rPr>
                <w:sz w:val="16"/>
                <w:szCs w:val="16"/>
                <w:color w:val="auto"/>
              </w:rPr>
            </w:pPr>
          </w:p>
        </w:tc>
        <w:tc>
          <w:tcPr>
            <w:tcW w:w="1100" w:type="dxa"/>
            <w:vAlign w:val="bottom"/>
            <w:gridSpan w:val="2"/>
          </w:tcPr>
          <w:p>
            <w:pPr>
              <w:jc w:val="center"/>
              <w:ind w:left="73"/>
              <w:spacing w:after="0" w:line="185" w:lineRule="exact"/>
              <w:rPr>
                <w:sz w:val="20"/>
                <w:szCs w:val="20"/>
                <w:color w:val="auto"/>
              </w:rPr>
            </w:pPr>
            <w:r>
              <w:rPr>
                <w:rFonts w:ascii="Times New Roman" w:cs="Times New Roman" w:eastAsia="Times New Roman" w:hAnsi="Times New Roman"/>
                <w:sz w:val="17"/>
                <w:szCs w:val="17"/>
                <w:color w:val="auto"/>
              </w:rPr>
              <w:t>&gt;</w:t>
            </w:r>
          </w:p>
        </w:tc>
        <w:tc>
          <w:tcPr>
            <w:tcW w:w="200" w:type="dxa"/>
            <w:vAlign w:val="bottom"/>
            <w:tcBorders>
              <w:right w:val="single" w:sz="8" w:color="auto"/>
            </w:tcBorders>
          </w:tcPr>
          <w:p>
            <w:pPr>
              <w:spacing w:after="0"/>
              <w:rPr>
                <w:sz w:val="16"/>
                <w:szCs w:val="16"/>
                <w:color w:val="auto"/>
              </w:rPr>
            </w:pPr>
          </w:p>
        </w:tc>
        <w:tc>
          <w:tcPr>
            <w:tcW w:w="680" w:type="dxa"/>
            <w:vAlign w:val="bottom"/>
          </w:tcPr>
          <w:p>
            <w:pPr>
              <w:jc w:val="center"/>
              <w:ind w:left="493"/>
              <w:spacing w:after="0" w:line="185" w:lineRule="exact"/>
              <w:rPr>
                <w:sz w:val="20"/>
                <w:szCs w:val="20"/>
                <w:color w:val="auto"/>
              </w:rPr>
            </w:pPr>
            <w:r>
              <w:rPr>
                <w:rFonts w:ascii="Times New Roman" w:cs="Times New Roman" w:eastAsia="Times New Roman" w:hAnsi="Times New Roman"/>
                <w:sz w:val="17"/>
                <w:szCs w:val="17"/>
                <w:color w:val="auto"/>
              </w:rPr>
              <w:t>&gt;</w:t>
            </w:r>
          </w:p>
        </w:tc>
        <w:tc>
          <w:tcPr>
            <w:tcW w:w="4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700" w:type="dxa"/>
            <w:vAlign w:val="bottom"/>
          </w:tcPr>
          <w:p>
            <w:pPr>
              <w:jc w:val="center"/>
              <w:ind w:left="513"/>
              <w:spacing w:after="0" w:line="185" w:lineRule="exact"/>
              <w:rPr>
                <w:sz w:val="20"/>
                <w:szCs w:val="20"/>
                <w:color w:val="auto"/>
              </w:rPr>
            </w:pPr>
            <w:r>
              <w:rPr>
                <w:rFonts w:ascii="Times New Roman" w:cs="Times New Roman" w:eastAsia="Times New Roman" w:hAnsi="Times New Roman"/>
                <w:sz w:val="17"/>
                <w:szCs w:val="17"/>
                <w:color w:val="auto"/>
              </w:rPr>
              <w:t>&gt;</w:t>
            </w:r>
          </w:p>
        </w:tc>
        <w:tc>
          <w:tcPr>
            <w:tcW w:w="4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KPI Threshold</w:t>
            </w: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gridSpan w:val="3"/>
          </w:tcPr>
          <w:p>
            <w:pPr>
              <w:jc w:val="center"/>
              <w:ind w:right="40"/>
              <w:spacing w:after="0" w:line="189" w:lineRule="exact"/>
              <w:rPr>
                <w:sz w:val="20"/>
                <w:szCs w:val="20"/>
                <w:color w:val="auto"/>
              </w:rPr>
            </w:pPr>
            <w:r>
              <w:rPr>
                <w:rFonts w:ascii="Times New Roman" w:cs="Times New Roman" w:eastAsia="Times New Roman" w:hAnsi="Times New Roman"/>
                <w:sz w:val="17"/>
                <w:szCs w:val="17"/>
                <w:color w:val="auto"/>
              </w:rPr>
              <w:t>91,856</w:t>
            </w:r>
          </w:p>
        </w:tc>
        <w:tc>
          <w:tcPr>
            <w:tcW w:w="660" w:type="dxa"/>
            <w:vAlign w:val="bottom"/>
          </w:tcPr>
          <w:p>
            <w:pPr>
              <w:ind w:left="220"/>
              <w:spacing w:after="0" w:line="189" w:lineRule="exact"/>
              <w:rPr>
                <w:sz w:val="20"/>
                <w:szCs w:val="20"/>
                <w:color w:val="auto"/>
              </w:rPr>
            </w:pPr>
            <w:r>
              <w:rPr>
                <w:rFonts w:ascii="Times New Roman" w:cs="Times New Roman" w:eastAsia="Times New Roman" w:hAnsi="Times New Roman"/>
                <w:sz w:val="17"/>
                <w:szCs w:val="17"/>
                <w:color w:val="EE2724"/>
                <w:strike w:val="1"/>
                <w:w w:val="85"/>
              </w:rPr>
              <w:t>90,938</w:t>
            </w:r>
          </w:p>
        </w:tc>
        <w:tc>
          <w:tcPr>
            <w:tcW w:w="700" w:type="dxa"/>
            <w:vAlign w:val="bottom"/>
            <w:tcBorders>
              <w:right w:val="single" w:sz="8" w:color="auto"/>
            </w:tcBorders>
            <w:gridSpan w:val="4"/>
          </w:tcPr>
          <w:p>
            <w:pPr>
              <w:jc w:val="right"/>
              <w:ind w:right="180"/>
              <w:spacing w:after="0" w:line="189" w:lineRule="exact"/>
              <w:rPr>
                <w:sz w:val="20"/>
                <w:szCs w:val="20"/>
                <w:color w:val="auto"/>
              </w:rPr>
            </w:pPr>
            <w:r>
              <w:rPr>
                <w:rFonts w:ascii="Times New Roman" w:cs="Times New Roman" w:eastAsia="Times New Roman" w:hAnsi="Times New Roman"/>
                <w:sz w:val="17"/>
                <w:szCs w:val="17"/>
                <w:color w:val="0E32E1"/>
              </w:rPr>
              <w:t>85,473</w:t>
            </w: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EE2724"/>
                <w:strike w:val="1"/>
              </w:rPr>
              <w:t>90,028</w:t>
            </w:r>
          </w:p>
        </w:tc>
        <w:tc>
          <w:tcPr>
            <w:tcW w:w="740" w:type="dxa"/>
            <w:vAlign w:val="bottom"/>
            <w:tcBorders>
              <w:right w:val="single" w:sz="8" w:color="auto"/>
            </w:tcBorders>
            <w:gridSpan w:val="3"/>
          </w:tcPr>
          <w:p>
            <w:pPr>
              <w:jc w:val="right"/>
              <w:ind w:right="200"/>
              <w:spacing w:after="0" w:line="189" w:lineRule="exact"/>
              <w:rPr>
                <w:sz w:val="20"/>
                <w:szCs w:val="20"/>
                <w:color w:val="auto"/>
              </w:rPr>
            </w:pPr>
            <w:r>
              <w:rPr>
                <w:rFonts w:ascii="Times New Roman" w:cs="Times New Roman" w:eastAsia="Times New Roman" w:hAnsi="Times New Roman"/>
                <w:sz w:val="17"/>
                <w:szCs w:val="17"/>
                <w:color w:val="0E32E1"/>
              </w:rPr>
              <w:t>84,618</w:t>
            </w: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EE2724"/>
                <w:strike w:val="1"/>
              </w:rPr>
              <w:t>89,128</w:t>
            </w:r>
          </w:p>
        </w:tc>
        <w:tc>
          <w:tcPr>
            <w:tcW w:w="620" w:type="dxa"/>
            <w:vAlign w:val="bottom"/>
            <w:tcBorders>
              <w:right w:val="single" w:sz="8" w:color="auto"/>
            </w:tcBorders>
            <w:gridSpan w:val="2"/>
          </w:tcPr>
          <w:p>
            <w:pPr>
              <w:jc w:val="right"/>
              <w:ind w:right="200"/>
              <w:spacing w:after="0" w:line="189" w:lineRule="exact"/>
              <w:rPr>
                <w:sz w:val="20"/>
                <w:szCs w:val="20"/>
                <w:color w:val="auto"/>
              </w:rPr>
            </w:pPr>
            <w:r>
              <w:rPr>
                <w:rFonts w:ascii="Times New Roman" w:cs="Times New Roman" w:eastAsia="Times New Roman" w:hAnsi="Times New Roman"/>
                <w:sz w:val="17"/>
                <w:szCs w:val="17"/>
                <w:color w:val="0E32E1"/>
                <w:w w:val="85"/>
              </w:rPr>
              <w:t>83,772</w:t>
            </w: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EE2724"/>
                <w:strike w:val="1"/>
              </w:rPr>
              <w:t>88,237</w:t>
            </w:r>
          </w:p>
        </w:tc>
        <w:tc>
          <w:tcPr>
            <w:tcW w:w="620" w:type="dxa"/>
            <w:vAlign w:val="bottom"/>
            <w:tcBorders>
              <w:right w:val="single" w:sz="8" w:color="auto"/>
            </w:tcBorders>
            <w:gridSpan w:val="2"/>
          </w:tcPr>
          <w:p>
            <w:pPr>
              <w:jc w:val="right"/>
              <w:ind w:right="180"/>
              <w:spacing w:after="0" w:line="189" w:lineRule="exact"/>
              <w:rPr>
                <w:sz w:val="20"/>
                <w:szCs w:val="20"/>
                <w:color w:val="auto"/>
              </w:rPr>
            </w:pPr>
            <w:r>
              <w:rPr>
                <w:rFonts w:ascii="Times New Roman" w:cs="Times New Roman" w:eastAsia="Times New Roman" w:hAnsi="Times New Roman"/>
                <w:sz w:val="17"/>
                <w:szCs w:val="17"/>
                <w:color w:val="0E32E1"/>
                <w:w w:val="89"/>
              </w:rPr>
              <w:t>82,934</w:t>
            </w: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EE2724"/>
                <w:strike w:val="1"/>
              </w:rPr>
              <w:t>87,354</w:t>
            </w:r>
          </w:p>
        </w:tc>
        <w:tc>
          <w:tcPr>
            <w:tcW w:w="620" w:type="dxa"/>
            <w:vAlign w:val="bottom"/>
            <w:tcBorders>
              <w:right w:val="single" w:sz="8" w:color="auto"/>
            </w:tcBorders>
            <w:gridSpan w:val="2"/>
          </w:tcPr>
          <w:p>
            <w:pPr>
              <w:jc w:val="right"/>
              <w:ind w:right="200"/>
              <w:spacing w:after="0" w:line="189" w:lineRule="exact"/>
              <w:rPr>
                <w:sz w:val="20"/>
                <w:szCs w:val="20"/>
                <w:color w:val="auto"/>
              </w:rPr>
            </w:pPr>
            <w:r>
              <w:rPr>
                <w:rFonts w:ascii="Times New Roman" w:cs="Times New Roman" w:eastAsia="Times New Roman" w:hAnsi="Times New Roman"/>
                <w:sz w:val="17"/>
                <w:szCs w:val="17"/>
                <w:color w:val="0E32E1"/>
                <w:w w:val="85"/>
              </w:rPr>
              <w:t>82,105</w:t>
            </w:r>
          </w:p>
        </w:tc>
        <w:tc>
          <w:tcPr>
            <w:tcW w:w="1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top w:val="single" w:sz="8" w:color="0E32E1"/>
              <w:bottom w:val="single" w:sz="8" w:color="auto"/>
            </w:tcBorders>
          </w:tcPr>
          <w:p>
            <w:pPr>
              <w:spacing w:after="0"/>
              <w:rPr>
                <w:sz w:val="18"/>
                <w:szCs w:val="18"/>
                <w:color w:val="auto"/>
              </w:rPr>
            </w:pPr>
          </w:p>
        </w:tc>
        <w:tc>
          <w:tcPr>
            <w:tcW w:w="420" w:type="dxa"/>
            <w:vAlign w:val="bottom"/>
            <w:tcBorders>
              <w:top w:val="single" w:sz="8" w:color="0E32E1"/>
              <w:bottom w:val="single" w:sz="8" w:color="auto"/>
            </w:tcBorders>
          </w:tcPr>
          <w:p>
            <w:pPr>
              <w:spacing w:after="0"/>
              <w:rPr>
                <w:sz w:val="18"/>
                <w:szCs w:val="18"/>
                <w:color w:val="auto"/>
              </w:rPr>
            </w:pPr>
          </w:p>
        </w:tc>
        <w:tc>
          <w:tcPr>
            <w:tcW w:w="40" w:type="dxa"/>
            <w:vAlign w:val="bottom"/>
            <w:tcBorders>
              <w:top w:val="single" w:sz="8" w:color="0E32E1"/>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top w:val="single" w:sz="8" w:color="0E32E1"/>
              <w:bottom w:val="single" w:sz="8" w:color="auto"/>
            </w:tcBorders>
          </w:tcPr>
          <w:p>
            <w:pPr>
              <w:spacing w:after="0"/>
              <w:rPr>
                <w:sz w:val="18"/>
                <w:szCs w:val="18"/>
                <w:color w:val="auto"/>
              </w:rPr>
            </w:pPr>
          </w:p>
        </w:tc>
        <w:tc>
          <w:tcPr>
            <w:tcW w:w="440" w:type="dxa"/>
            <w:vAlign w:val="bottom"/>
            <w:tcBorders>
              <w:top w:val="single" w:sz="8" w:color="0E32E1"/>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20" w:type="dxa"/>
            <w:vAlign w:val="bottom"/>
            <w:tcBorders>
              <w:top w:val="single" w:sz="8" w:color="0E32E1"/>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top w:val="single" w:sz="8" w:color="0E32E1"/>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top w:val="single" w:sz="8" w:color="0E32E1"/>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78" w:right="319" w:bottom="1440" w:gutter="0" w:footer="0" w:header="0"/>
        </w:sectPr>
      </w:pPr>
    </w:p>
    <w:bookmarkStart w:id="426" w:name="page427"/>
    <w:bookmarkEnd w:id="426"/>
    <w:p>
      <w:pPr>
        <w:jc w:val="right"/>
        <w:spacing w:after="0"/>
        <w:rPr>
          <w:sz w:val="20"/>
          <w:szCs w:val="20"/>
          <w:color w:val="auto"/>
        </w:rPr>
      </w:pPr>
      <w:r>
        <w:rPr>
          <w:rFonts w:ascii="Times New Roman" w:cs="Times New Roman" w:eastAsia="Times New Roman" w:hAnsi="Times New Roman"/>
          <w:sz w:val="21"/>
          <w:szCs w:val="21"/>
          <w:color w:val="auto"/>
        </w:rPr>
        <w:t>Exhibit 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828675</wp:posOffset>
            </wp:positionV>
            <wp:extent cx="71361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1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FOURTH AMENDED AND RESTATED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REVOLVING CREDIT AGREEMENT</w:t>
      </w:r>
    </w:p>
    <w:p>
      <w:pPr>
        <w:spacing w:after="0" w:line="1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dated as of January 7, 2026,</w:t>
      </w:r>
    </w:p>
    <w:p>
      <w:pPr>
        <w:spacing w:after="0" w:line="2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among</w:t>
      </w:r>
    </w:p>
    <w:p>
      <w:pPr>
        <w:spacing w:after="0" w:line="21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1"/>
          <w:szCs w:val="21"/>
          <w:color w:val="auto"/>
        </w:rPr>
        <w:t>VORNADO REALTY L.P.,</w:t>
      </w:r>
    </w:p>
    <w:p>
      <w:pPr>
        <w:spacing w:after="0" w:line="3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1"/>
          <w:szCs w:val="21"/>
          <w:color w:val="auto"/>
        </w:rPr>
        <w:t>as Borrower,</w:t>
      </w:r>
    </w:p>
    <w:p>
      <w:pPr>
        <w:spacing w:after="0" w:line="20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color w:val="auto"/>
        </w:rPr>
        <w:t>THE BANKS SIGNATORY HERETO,</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each as a Bank,</w:t>
      </w:r>
    </w:p>
    <w:p>
      <w:pPr>
        <w:spacing w:after="0" w:line="19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as Administrative Agent,</w:t>
      </w:r>
    </w:p>
    <w:p>
      <w:pPr>
        <w:spacing w:after="0" w:line="31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1"/>
          <w:szCs w:val="21"/>
          <w:color w:val="auto"/>
        </w:rPr>
        <w:t>BANK OF AMERICA, N.A., BMO BANK, N.A.,</w:t>
      </w:r>
    </w:p>
    <w:p>
      <w:pPr>
        <w:spacing w:after="0" w:line="3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1"/>
          <w:szCs w:val="21"/>
          <w:color w:val="auto"/>
        </w:rPr>
        <w:t>PNC BANK, NATIONAL ASSOCIATION, U.S. BANK NATIONAL ASSOCIATION,</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and WELLS FARGO BANK, N.A.,</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Co-Syndication Agents,</w:t>
      </w:r>
    </w:p>
    <w:p>
      <w:pPr>
        <w:spacing w:after="0" w:line="193" w:lineRule="exact"/>
        <w:rPr>
          <w:sz w:val="20"/>
          <w:szCs w:val="20"/>
          <w:color w:val="auto"/>
        </w:rPr>
      </w:pPr>
    </w:p>
    <w:p>
      <w:pPr>
        <w:jc w:val="center"/>
        <w:ind w:left="500" w:right="1620"/>
        <w:spacing w:after="0" w:line="270" w:lineRule="auto"/>
        <w:rPr>
          <w:sz w:val="20"/>
          <w:szCs w:val="20"/>
          <w:color w:val="auto"/>
        </w:rPr>
      </w:pPr>
      <w:r>
        <w:rPr>
          <w:rFonts w:ascii="Times New Roman" w:cs="Times New Roman" w:eastAsia="Times New Roman" w:hAnsi="Times New Roman"/>
          <w:sz w:val="21"/>
          <w:szCs w:val="21"/>
          <w:color w:val="auto"/>
        </w:rPr>
        <w:t>CITIBANK, N.A., CITIZENS BANK, N.A., GOLDMAN SACHS BANK USA, M&amp;T BANK, MIZUHO BANK, LTD. and MORGAN STANLEY SENIOR FUNDING, INC., as Documentation Agents</w:t>
      </w:r>
    </w:p>
    <w:p>
      <w:pPr>
        <w:spacing w:after="0" w:line="15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and</w:t>
      </w: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J.P. MORGAN SECURITIES LLC, as Lead Sustainability Structuring Agent</w:t>
      </w:r>
    </w:p>
    <w:p>
      <w:pPr>
        <w:spacing w:after="0" w:line="2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color w:val="auto"/>
        </w:rPr>
        <w:t>ING CAPITAL LLC, as Sustainability Structuring Agent</w:t>
      </w:r>
    </w:p>
    <w:p>
      <w:pPr>
        <w:spacing w:after="0" w:line="2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1"/>
          <w:szCs w:val="21"/>
          <w:color w:val="auto"/>
        </w:rPr>
        <w:t>BOFA SECURITIES, INC., BMO CAPITAL MARKETS CORP.,</w:t>
      </w:r>
    </w:p>
    <w:p>
      <w:pPr>
        <w:spacing w:after="0" w:line="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1"/>
          <w:szCs w:val="21"/>
          <w:color w:val="auto"/>
        </w:rPr>
        <w:t>PNC CAPITAL MARKETS LLC, U.S. BANK NATIONAL ASSOCIATION, and</w:t>
      </w:r>
    </w:p>
    <w:p>
      <w:pPr>
        <w:spacing w:after="0" w:line="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1"/>
          <w:szCs w:val="21"/>
          <w:color w:val="auto"/>
        </w:rPr>
        <w:t>WELLS FARGO SECURITIES LLC,</w:t>
      </w:r>
    </w:p>
    <w:p>
      <w:pPr>
        <w:spacing w:after="0" w:line="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1"/>
          <w:szCs w:val="21"/>
          <w:color w:val="auto"/>
        </w:rPr>
        <w:t>as Joint Lead Arrangers and Joint Bookrunners</w:t>
      </w:r>
    </w:p>
    <w:p>
      <w:pPr>
        <w:spacing w:after="0" w:line="1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M&amp;T BANK and MIZUHO BANK, LTD.,</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288290</wp:posOffset>
            </wp:positionV>
            <wp:extent cx="71361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427" w:name="page428"/>
    <w:bookmarkEnd w:id="427"/>
    <w:p>
      <w:pPr>
        <w:jc w:val="center"/>
        <w:ind w:right="20"/>
        <w:spacing w:after="0"/>
        <w:rPr>
          <w:sz w:val="20"/>
          <w:szCs w:val="20"/>
          <w:color w:val="auto"/>
        </w:rPr>
      </w:pPr>
      <w:r>
        <w:rPr>
          <w:rFonts w:ascii="Times New Roman" w:cs="Times New Roman" w:eastAsia="Times New Roman" w:hAnsi="Times New Roman"/>
          <w:sz w:val="21"/>
          <w:szCs w:val="21"/>
          <w:color w:val="auto"/>
        </w:rPr>
        <w:t>TABLE OF CONTENTS</w:t>
      </w:r>
    </w:p>
    <w:p>
      <w:pPr>
        <w:jc w:val="right"/>
        <w:spacing w:after="0"/>
        <w:rPr>
          <w:sz w:val="20"/>
          <w:szCs w:val="20"/>
          <w:color w:val="auto"/>
        </w:rPr>
      </w:pPr>
      <w:r>
        <w:rPr>
          <w:rFonts w:ascii="Times New Roman" w:cs="Times New Roman" w:eastAsia="Times New Roman" w:hAnsi="Times New Roman"/>
          <w:sz w:val="21"/>
          <w:szCs w:val="2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ARTICLE I</w:t>
            </w:r>
          </w:p>
        </w:tc>
        <w:tc>
          <w:tcPr>
            <w:tcW w:w="82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DEFINITIONS; ETC.</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rPr>
              <w:t>1</w:t>
            </w:r>
          </w:p>
        </w:tc>
      </w:tr>
      <w:tr>
        <w:trPr>
          <w:trHeight w:val="301"/>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 Definitions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rPr>
              <w:t>1</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1.02. Accounting Terms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36</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1.03. Computation of Time Periods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36</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1.04. Rules of Construction</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37</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1.05. Interest Rates; Benchmark Notification</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37</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1.06. Letter of Credit Amounts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37</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1.07. Divisions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38</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1.08. Sustainability Adjustments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38</w:t>
            </w:r>
          </w:p>
        </w:tc>
      </w:tr>
      <w:tr>
        <w:trPr>
          <w:trHeight w:val="354"/>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rPr>
              <w:t>ARTICLE II</w:t>
            </w:r>
          </w:p>
        </w:tc>
        <w:tc>
          <w:tcPr>
            <w:tcW w:w="824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THE LOANS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41</w:t>
            </w:r>
          </w:p>
        </w:tc>
      </w:tr>
      <w:tr>
        <w:trPr>
          <w:trHeight w:val="301"/>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2.01. Ratable Loans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41</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2.02. [Reserved]</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42</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2.03. [Reserved.]</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42</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2.04. Advances, Generally</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42</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2.05. Procedures for Advances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43</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2.06. Interest Periods; Renewals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43</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2.07. Interest</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43</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2.08. Fees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44</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2.09. Notes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44</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2.10. Prepayments.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45</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2.11. Method of Payment.</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45</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2.12. Elections, Conversions or Continuation of Loans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46</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2.13. Minimum Amounts.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46</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2.14. Certain Notices Regarding Elections, Conversions and Continuations of Loans.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46</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2.15. Payments Generally</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47</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2.16. Changes of Loan Commitments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47</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2.17. Letters of Credit.</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50</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2.18. Extension Option</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56</w:t>
            </w:r>
          </w:p>
        </w:tc>
      </w:tr>
      <w:tr>
        <w:trPr>
          <w:trHeight w:val="354"/>
        </w:trPr>
        <w:tc>
          <w:tcPr>
            <w:tcW w:w="94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III  YIELD PROTECTION; ILLEGALITY; ETC.</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57</w:t>
            </w:r>
          </w:p>
        </w:tc>
      </w:tr>
      <w:tr>
        <w:trPr>
          <w:trHeight w:val="301"/>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3.01. Additional Costs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57</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3.02. Alternate Rate of Interest</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58</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3.03. Illegality</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61</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3.04. Treatment of Affected Loans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61</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3.05. Certain Compensation</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61</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3.06. Capital Adequacy</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62</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3.07. Substitution of Banks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62</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3.08. Obligation of Banks to Mitigate</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64</w:t>
            </w:r>
          </w:p>
        </w:tc>
      </w:tr>
      <w:tr>
        <w:trPr>
          <w:trHeight w:val="354"/>
        </w:trPr>
        <w:tc>
          <w:tcPr>
            <w:tcW w:w="1180" w:type="dxa"/>
            <w:vAlign w:val="bottom"/>
          </w:tcPr>
          <w:p>
            <w:pPr>
              <w:spacing w:after="0"/>
              <w:rPr>
                <w:sz w:val="20"/>
                <w:szCs w:val="20"/>
                <w:color w:val="auto"/>
              </w:rPr>
            </w:pPr>
            <w:r>
              <w:rPr>
                <w:rFonts w:ascii="Times New Roman" w:cs="Times New Roman" w:eastAsia="Times New Roman" w:hAnsi="Times New Roman"/>
                <w:sz w:val="21"/>
                <w:szCs w:val="21"/>
                <w:color w:val="auto"/>
                <w:w w:val="99"/>
              </w:rPr>
              <w:t>ARTICLE IV</w:t>
            </w:r>
          </w:p>
        </w:tc>
        <w:tc>
          <w:tcPr>
            <w:tcW w:w="824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CONDITIONS PRECEDENT</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64</w:t>
            </w:r>
          </w:p>
        </w:tc>
      </w:tr>
      <w:tr>
        <w:trPr>
          <w:trHeight w:val="301"/>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4.01. Conditions Precedent to the Loans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64</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4.02. Conditions Precedent to Advances After the Initial Advance</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66</w:t>
            </w:r>
          </w:p>
        </w:tc>
      </w:tr>
      <w:tr>
        <w:trPr>
          <w:trHeight w:val="327"/>
        </w:trPr>
        <w:tc>
          <w:tcPr>
            <w:tcW w:w="94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4.03. Deemed Representations</w:t>
            </w:r>
          </w:p>
        </w:tc>
        <w:tc>
          <w:tcPr>
            <w:tcW w:w="1220" w:type="dxa"/>
            <w:vAlign w:val="bottom"/>
          </w:tcPr>
          <w:p>
            <w:pPr>
              <w:ind w:left="1000"/>
              <w:spacing w:after="0"/>
              <w:rPr>
                <w:sz w:val="20"/>
                <w:szCs w:val="20"/>
                <w:color w:val="auto"/>
              </w:rPr>
            </w:pPr>
            <w:r>
              <w:rPr>
                <w:rFonts w:ascii="Times New Roman" w:cs="Times New Roman" w:eastAsia="Times New Roman" w:hAnsi="Times New Roman"/>
                <w:sz w:val="21"/>
                <w:szCs w:val="21"/>
                <w:color w:val="auto"/>
                <w:w w:val="95"/>
              </w:rPr>
              <w:t>67</w:t>
            </w:r>
          </w:p>
        </w:tc>
      </w:tr>
    </w:tbl>
    <w:p>
      <w:pPr>
        <w:sectPr>
          <w:pgSz w:w="11900" w:h="16838" w:orient="portrait"/>
          <w:cols w:equalWidth="0" w:num="1">
            <w:col w:w="11220"/>
          </w:cols>
          <w:pgMar w:left="340" w:top="90" w:right="339" w:bottom="1440" w:gutter="0" w:footer="0" w:header="0"/>
        </w:sectPr>
      </w:pPr>
    </w:p>
    <w:bookmarkStart w:id="428" w:name="page429"/>
    <w:bookmarkEnd w:id="428"/>
    <w:p>
      <w:pPr>
        <w:jc w:val="center"/>
        <w:ind w:right="20"/>
        <w:spacing w:after="0"/>
        <w:rPr>
          <w:sz w:val="20"/>
          <w:szCs w:val="20"/>
          <w:color w:val="auto"/>
        </w:rPr>
      </w:pPr>
      <w:r>
        <w:rPr>
          <w:rFonts w:ascii="Times New Roman" w:cs="Times New Roman" w:eastAsia="Times New Roman" w:hAnsi="Times New Roman"/>
          <w:sz w:val="21"/>
          <w:szCs w:val="21"/>
          <w:color w:val="auto"/>
        </w:rPr>
        <w:t>TABLE OF CONTENTS</w:t>
      </w:r>
    </w:p>
    <w:p>
      <w:pPr>
        <w:jc w:val="right"/>
        <w:spacing w:after="0"/>
        <w:rPr>
          <w:sz w:val="20"/>
          <w:szCs w:val="20"/>
          <w:color w:val="auto"/>
        </w:rPr>
      </w:pPr>
      <w:r>
        <w:rPr>
          <w:rFonts w:ascii="Times New Roman" w:cs="Times New Roman" w:eastAsia="Times New Roman" w:hAnsi="Times New Roman"/>
          <w:sz w:val="21"/>
          <w:szCs w:val="2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86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V  REPRESENTATIONS AND WARRANTIES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c>
          <w:tcPr>
            <w:tcW w:w="0" w:type="dxa"/>
            <w:vAlign w:val="bottom"/>
          </w:tcPr>
          <w:p>
            <w:pPr>
              <w:spacing w:after="0"/>
              <w:rPr>
                <w:sz w:val="1"/>
                <w:szCs w:val="1"/>
                <w:color w:val="auto"/>
              </w:rPr>
            </w:pPr>
          </w:p>
        </w:tc>
      </w:tr>
      <w:tr>
        <w:trPr>
          <w:trHeight w:val="301"/>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5.01. Existence</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5.02. Corporate/Partnership Powers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5.03. Power of Officers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5.04. Power and Authority; No Conflicts: Compliance With Laws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5.05. Legally Enforceable Agreements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5.06. Litigation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68</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5.07. Good Title to Properties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5.08. Taxes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5.09. ERISA</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5.10. No Default on Outstanding Judgments or Orders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5.11. No Defaults on Other Agreements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5.12. Government Regulation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5.13. Environmental Protection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5.14. Solvency</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5.15. Financial Statements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5.16. Valid Existence of Affiliates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5.17. Insurance</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5.18. Accuracy of Information; Full Disclosure</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5.19. Use of Proceeds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5.20. Governmental Approvals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5.21. Principal Offices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5.22. General Partner Status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5.23. Labor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5.24. Organizational Documents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5.25. Anti-Corruption Laws and Sanctions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5.26. Affected Financial Institutions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5.27 Outbound Investment Rules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w:t>
            </w:r>
          </w:p>
        </w:tc>
        <w:tc>
          <w:tcPr>
            <w:tcW w:w="0" w:type="dxa"/>
            <w:vAlign w:val="bottom"/>
          </w:tcPr>
          <w:p>
            <w:pPr>
              <w:spacing w:after="0"/>
              <w:rPr>
                <w:sz w:val="1"/>
                <w:szCs w:val="1"/>
                <w:color w:val="auto"/>
              </w:rPr>
            </w:pPr>
          </w:p>
        </w:tc>
      </w:tr>
      <w:tr>
        <w:trPr>
          <w:trHeight w:val="327"/>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ARTICLE VI</w:t>
            </w:r>
          </w:p>
        </w:tc>
        <w:tc>
          <w:tcPr>
            <w:tcW w:w="734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AFFIRMATIVE COVENANTS</w:t>
            </w: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73</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6.01. Maintenance of Existence</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6.02. Maintenance of Records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6.03. Maintenance of Insurance</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6.04. Compliance with Laws: Payment of Taxes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6.05. Right of Inspection</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6.06. Compliance With Environmental Laws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6.07. Payment of Costs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6.08. Maintenance of Properties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6.09. Reporting and Miscellaneous Document Requirements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c>
          <w:tcPr>
            <w:tcW w:w="0" w:type="dxa"/>
            <w:vAlign w:val="bottom"/>
          </w:tcPr>
          <w:p>
            <w:pPr>
              <w:spacing w:after="0"/>
              <w:rPr>
                <w:sz w:val="1"/>
                <w:szCs w:val="1"/>
                <w:color w:val="auto"/>
              </w:rPr>
            </w:pPr>
          </w:p>
        </w:tc>
      </w:tr>
      <w:tr>
        <w:trPr>
          <w:trHeight w:val="327"/>
        </w:trPr>
        <w:tc>
          <w:tcPr>
            <w:tcW w:w="1280" w:type="dxa"/>
            <w:vAlign w:val="bottom"/>
          </w:tcPr>
          <w:p>
            <w:pPr>
              <w:spacing w:after="0"/>
              <w:rPr>
                <w:sz w:val="20"/>
                <w:szCs w:val="20"/>
                <w:color w:val="auto"/>
              </w:rPr>
            </w:pPr>
            <w:r>
              <w:rPr>
                <w:rFonts w:ascii="Times New Roman" w:cs="Times New Roman" w:eastAsia="Times New Roman" w:hAnsi="Times New Roman"/>
                <w:sz w:val="21"/>
                <w:szCs w:val="21"/>
                <w:color w:val="auto"/>
              </w:rPr>
              <w:t>ARTICLE VII</w:t>
            </w:r>
          </w:p>
        </w:tc>
        <w:tc>
          <w:tcPr>
            <w:tcW w:w="73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NEGATIVE COVENANTS</w:t>
            </w: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77</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7.01. Mergers, Etc</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77</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7.02. Distributions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77</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7.03. Amendments to Organizational Documents.</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77</w:t>
            </w:r>
          </w:p>
        </w:tc>
        <w:tc>
          <w:tcPr>
            <w:tcW w:w="0" w:type="dxa"/>
            <w:vAlign w:val="bottom"/>
          </w:tcPr>
          <w:p>
            <w:pPr>
              <w:spacing w:after="0"/>
              <w:rPr>
                <w:sz w:val="1"/>
                <w:szCs w:val="1"/>
                <w:color w:val="auto"/>
              </w:rPr>
            </w:pPr>
          </w:p>
        </w:tc>
      </w:tr>
      <w:tr>
        <w:trPr>
          <w:trHeight w:val="327"/>
        </w:trPr>
        <w:tc>
          <w:tcPr>
            <w:tcW w:w="862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7.04. Use of Proceeds and Letters of Credit</w:t>
            </w:r>
          </w:p>
        </w:tc>
        <w:tc>
          <w:tcPr>
            <w:tcW w:w="2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c>
          <w:tcPr>
            <w:tcW w:w="0" w:type="dxa"/>
            <w:vAlign w:val="bottom"/>
          </w:tcPr>
          <w:p>
            <w:pPr>
              <w:spacing w:after="0"/>
              <w:rPr>
                <w:sz w:val="1"/>
                <w:szCs w:val="1"/>
                <w:color w:val="auto"/>
              </w:rPr>
            </w:pPr>
          </w:p>
        </w:tc>
      </w:tr>
    </w:tbl>
    <w:p>
      <w:pPr>
        <w:sectPr>
          <w:pgSz w:w="11900" w:h="16838" w:orient="portrait"/>
          <w:cols w:equalWidth="0" w:num="1">
            <w:col w:w="11220"/>
          </w:cols>
          <w:pgMar w:left="340" w:top="91" w:right="339" w:bottom="169" w:gutter="0" w:footer="0" w:header="0"/>
        </w:sectPr>
      </w:pPr>
    </w:p>
    <w:bookmarkStart w:id="429" w:name="page430"/>
    <w:bookmarkEnd w:id="4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30" w:name="page431"/>
    <w:bookmarkEnd w:id="430"/>
    <w:p>
      <w:pPr>
        <w:jc w:val="center"/>
        <w:ind w:right="20"/>
        <w:spacing w:after="0"/>
        <w:rPr>
          <w:sz w:val="20"/>
          <w:szCs w:val="20"/>
          <w:color w:val="auto"/>
        </w:rPr>
      </w:pPr>
      <w:r>
        <w:rPr>
          <w:rFonts w:ascii="Times New Roman" w:cs="Times New Roman" w:eastAsia="Times New Roman" w:hAnsi="Times New Roman"/>
          <w:sz w:val="21"/>
          <w:szCs w:val="21"/>
          <w:color w:val="auto"/>
        </w:rPr>
        <w:t>TABLE OF CONTENTS</w:t>
      </w:r>
    </w:p>
    <w:p>
      <w:pPr>
        <w:jc w:val="right"/>
        <w:spacing w:after="0"/>
        <w:rPr>
          <w:sz w:val="20"/>
          <w:szCs w:val="20"/>
          <w:color w:val="auto"/>
        </w:rPr>
      </w:pPr>
      <w:r>
        <w:rPr>
          <w:rFonts w:ascii="Times New Roman" w:cs="Times New Roman" w:eastAsia="Times New Roman" w:hAnsi="Times New Roman"/>
          <w:sz w:val="21"/>
          <w:szCs w:val="2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7.05. Outbound Investment Rule</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c>
          <w:tcPr>
            <w:tcW w:w="0" w:type="dxa"/>
            <w:vAlign w:val="bottom"/>
          </w:tcPr>
          <w:p>
            <w:pPr>
              <w:spacing w:after="0"/>
              <w:rPr>
                <w:sz w:val="1"/>
                <w:szCs w:val="1"/>
                <w:color w:val="auto"/>
              </w:rPr>
            </w:pPr>
          </w:p>
        </w:tc>
      </w:tr>
      <w:tr>
        <w:trPr>
          <w:trHeight w:val="327"/>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w w:val="99"/>
              </w:rPr>
              <w:t>ARTICLE VIII</w:t>
            </w:r>
          </w:p>
        </w:tc>
        <w:tc>
          <w:tcPr>
            <w:tcW w:w="8240" w:type="dxa"/>
            <w:vAlign w:val="bottom"/>
          </w:tcPr>
          <w:p>
            <w:pPr>
              <w:jc w:val="right"/>
              <w:ind w:right="5515"/>
              <w:spacing w:after="0"/>
              <w:rPr>
                <w:sz w:val="20"/>
                <w:szCs w:val="20"/>
                <w:color w:val="auto"/>
              </w:rPr>
            </w:pPr>
            <w:r>
              <w:rPr>
                <w:rFonts w:ascii="Times New Roman" w:cs="Times New Roman" w:eastAsia="Times New Roman" w:hAnsi="Times New Roman"/>
                <w:sz w:val="21"/>
                <w:szCs w:val="21"/>
                <w:color w:val="auto"/>
              </w:rPr>
              <w:t>FINANCIAL COVENANTS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c>
          <w:tcPr>
            <w:tcW w:w="0" w:type="dxa"/>
            <w:vAlign w:val="bottom"/>
          </w:tcPr>
          <w:p>
            <w:pPr>
              <w:spacing w:after="0"/>
              <w:rPr>
                <w:sz w:val="1"/>
                <w:szCs w:val="1"/>
                <w:color w:val="auto"/>
              </w:rPr>
            </w:pPr>
          </w:p>
        </w:tc>
      </w:tr>
      <w:tr>
        <w:trPr>
          <w:trHeight w:val="511"/>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8.01. [Intentionally Omitted]</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8.02. Ratio of Total Outstanding Indebtedness to Capitalization Value</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8.03. Intentionally Omitted</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8.04. Ratio of Combined EBITDA to Fixed Charges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8.05. Ratio of Unencumbered Combined EBITDA to Unsecured Interest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8.06. Ratio of Unsecured Indebtedness to Capitalization Value of Unencumbered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8.07. Ratio of Secured Indebtedness to Capitalization Value</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8.08. Debt of the General Partner</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80</w:t>
            </w:r>
          </w:p>
        </w:tc>
        <w:tc>
          <w:tcPr>
            <w:tcW w:w="0" w:type="dxa"/>
            <w:vAlign w:val="bottom"/>
          </w:tcPr>
          <w:p>
            <w:pPr>
              <w:spacing w:after="0"/>
              <w:rPr>
                <w:sz w:val="1"/>
                <w:szCs w:val="1"/>
                <w:color w:val="auto"/>
              </w:rPr>
            </w:pPr>
          </w:p>
        </w:tc>
      </w:tr>
      <w:tr>
        <w:trPr>
          <w:trHeight w:val="327"/>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ARTICLE IX</w:t>
            </w:r>
          </w:p>
        </w:tc>
        <w:tc>
          <w:tcPr>
            <w:tcW w:w="8240" w:type="dxa"/>
            <w:vAlign w:val="bottom"/>
          </w:tcPr>
          <w:p>
            <w:pPr>
              <w:jc w:val="right"/>
              <w:ind w:right="5995"/>
              <w:spacing w:after="0"/>
              <w:rPr>
                <w:sz w:val="20"/>
                <w:szCs w:val="20"/>
                <w:color w:val="auto"/>
              </w:rPr>
            </w:pPr>
            <w:r>
              <w:rPr>
                <w:rFonts w:ascii="Times New Roman" w:cs="Times New Roman" w:eastAsia="Times New Roman" w:hAnsi="Times New Roman"/>
                <w:sz w:val="21"/>
                <w:szCs w:val="21"/>
                <w:color w:val="auto"/>
                <w:w w:val="99"/>
              </w:rPr>
              <w:t>EVENTS OF DEFAULT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80</w:t>
            </w: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9.01. Events of Default</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80</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9.02. Remedies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9.03. Application of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w:t>
            </w:r>
          </w:p>
        </w:tc>
        <w:tc>
          <w:tcPr>
            <w:tcW w:w="0" w:type="dxa"/>
            <w:vAlign w:val="bottom"/>
          </w:tcPr>
          <w:p>
            <w:pPr>
              <w:spacing w:after="0"/>
              <w:rPr>
                <w:sz w:val="1"/>
                <w:szCs w:val="1"/>
                <w:color w:val="auto"/>
              </w:rPr>
            </w:pPr>
          </w:p>
        </w:tc>
      </w:tr>
      <w:tr>
        <w:trPr>
          <w:trHeight w:val="354"/>
        </w:trPr>
        <w:tc>
          <w:tcPr>
            <w:tcW w:w="95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X  ADMINISTRATIVE AGENT; RELATIONS AMONG BANKS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w:t>
            </w:r>
          </w:p>
        </w:tc>
        <w:tc>
          <w:tcPr>
            <w:tcW w:w="0" w:type="dxa"/>
            <w:vAlign w:val="bottom"/>
          </w:tcPr>
          <w:p>
            <w:pPr>
              <w:spacing w:after="0"/>
              <w:rPr>
                <w:sz w:val="1"/>
                <w:szCs w:val="1"/>
                <w:color w:val="auto"/>
              </w:rPr>
            </w:pPr>
          </w:p>
        </w:tc>
      </w:tr>
      <w:tr>
        <w:trPr>
          <w:trHeight w:val="301"/>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10.01. Appointment, Powers and Immunities of Administrative Agent</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10.02. Reliance by Administrative Agent</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10.03. Defaults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10.04. Rights of Agent as a Bank</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10.05. Indemnification of Agents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10.06. Non-Reliance on Agents and Other Banks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10.07. Failure of Administrative Agent to Act</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89</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10.08. Resignation or Removal of Administrative Agent</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89</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10.09. Amendments Concerning Agency Function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10.10. Liability of Administrative Agent</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10.11. Transfer of Agency Function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10.12. Non-Receipt of Funds by Administrative Agent; Erroneous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10.13.Payments Free of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10.14. Pro Rata Treatment</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95</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10.15. Sharing of Payments Among Banks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10.16. Possession of Documents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10.17. Syndication Agents, Documentation Agents, Etc.</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10.18. Certain ERISA Matters.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10.19. Sustainability Matters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98</w:t>
            </w:r>
          </w:p>
        </w:tc>
        <w:tc>
          <w:tcPr>
            <w:tcW w:w="0" w:type="dxa"/>
            <w:vAlign w:val="bottom"/>
          </w:tcPr>
          <w:p>
            <w:pPr>
              <w:spacing w:after="0"/>
              <w:rPr>
                <w:sz w:val="1"/>
                <w:szCs w:val="1"/>
                <w:color w:val="auto"/>
              </w:rPr>
            </w:pPr>
          </w:p>
        </w:tc>
      </w:tr>
      <w:tr>
        <w:trPr>
          <w:trHeight w:val="354"/>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ARTICLE XI</w:t>
            </w:r>
          </w:p>
        </w:tc>
        <w:tc>
          <w:tcPr>
            <w:tcW w:w="8240" w:type="dxa"/>
            <w:vAlign w:val="bottom"/>
          </w:tcPr>
          <w:p>
            <w:pPr>
              <w:jc w:val="right"/>
              <w:ind w:right="5515"/>
              <w:spacing w:after="0"/>
              <w:rPr>
                <w:sz w:val="20"/>
                <w:szCs w:val="20"/>
                <w:color w:val="auto"/>
              </w:rPr>
            </w:pPr>
            <w:r>
              <w:rPr>
                <w:rFonts w:ascii="Times New Roman" w:cs="Times New Roman" w:eastAsia="Times New Roman" w:hAnsi="Times New Roman"/>
                <w:sz w:val="21"/>
                <w:szCs w:val="21"/>
                <w:color w:val="auto"/>
                <w:w w:val="98"/>
              </w:rPr>
              <w:t>NATURE OF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98</w:t>
            </w:r>
          </w:p>
        </w:tc>
        <w:tc>
          <w:tcPr>
            <w:tcW w:w="0" w:type="dxa"/>
            <w:vAlign w:val="bottom"/>
          </w:tcPr>
          <w:p>
            <w:pPr>
              <w:spacing w:after="0"/>
              <w:rPr>
                <w:sz w:val="1"/>
                <w:szCs w:val="1"/>
                <w:color w:val="auto"/>
              </w:rPr>
            </w:pPr>
          </w:p>
        </w:tc>
      </w:tr>
      <w:tr>
        <w:trPr>
          <w:trHeight w:val="301"/>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11.01. Absolute and Unconditional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98</w:t>
            </w:r>
          </w:p>
        </w:tc>
        <w:tc>
          <w:tcPr>
            <w:tcW w:w="0" w:type="dxa"/>
            <w:vAlign w:val="bottom"/>
          </w:tcPr>
          <w:p>
            <w:pPr>
              <w:spacing w:after="0"/>
              <w:rPr>
                <w:sz w:val="1"/>
                <w:szCs w:val="1"/>
                <w:color w:val="auto"/>
              </w:rPr>
            </w:pPr>
          </w:p>
        </w:tc>
      </w:tr>
      <w:tr>
        <w:trPr>
          <w:trHeight w:val="327"/>
        </w:trPr>
        <w:tc>
          <w:tcPr>
            <w:tcW w:w="95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Section 11.02. Non-Recourse to VRT Principals and the General Partner</w:t>
            </w: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99</w:t>
            </w:r>
          </w:p>
        </w:tc>
        <w:tc>
          <w:tcPr>
            <w:tcW w:w="0" w:type="dxa"/>
            <w:vAlign w:val="bottom"/>
          </w:tcPr>
          <w:p>
            <w:pPr>
              <w:spacing w:after="0"/>
              <w:rPr>
                <w:sz w:val="1"/>
                <w:szCs w:val="1"/>
                <w:color w:val="auto"/>
              </w:rPr>
            </w:pPr>
          </w:p>
        </w:tc>
      </w:tr>
    </w:tbl>
    <w:p>
      <w:pPr>
        <w:sectPr>
          <w:pgSz w:w="11900" w:h="16838" w:orient="portrait"/>
          <w:cols w:equalWidth="0" w:num="1">
            <w:col w:w="11220"/>
          </w:cols>
          <w:pgMar w:left="340" w:top="91" w:right="339" w:bottom="1440" w:gutter="0" w:footer="0" w:header="0"/>
        </w:sectPr>
      </w:pPr>
    </w:p>
    <w:bookmarkStart w:id="431" w:name="page432"/>
    <w:bookmarkEnd w:id="431"/>
    <w:p>
      <w:pPr>
        <w:jc w:val="center"/>
        <w:ind w:right="20"/>
        <w:spacing w:after="0"/>
        <w:rPr>
          <w:sz w:val="20"/>
          <w:szCs w:val="20"/>
          <w:color w:val="auto"/>
        </w:rPr>
      </w:pPr>
      <w:r>
        <w:rPr>
          <w:rFonts w:ascii="Times New Roman" w:cs="Times New Roman" w:eastAsia="Times New Roman" w:hAnsi="Times New Roman"/>
          <w:sz w:val="21"/>
          <w:szCs w:val="21"/>
          <w:color w:val="auto"/>
        </w:rPr>
        <w:t>TABLE OF CONTENTS</w:t>
      </w:r>
    </w:p>
    <w:p>
      <w:pPr>
        <w:jc w:val="right"/>
        <w:spacing w:after="0"/>
        <w:rPr>
          <w:sz w:val="20"/>
          <w:szCs w:val="20"/>
          <w:color w:val="auto"/>
        </w:rPr>
      </w:pPr>
      <w:r>
        <w:rPr>
          <w:rFonts w:ascii="Times New Roman" w:cs="Times New Roman" w:eastAsia="Times New Roman" w:hAnsi="Times New Roman"/>
          <w:sz w:val="21"/>
          <w:szCs w:val="2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9340" w:type="dxa"/>
            <w:vAlign w:val="bottom"/>
          </w:tcPr>
          <w:p>
            <w:pPr>
              <w:spacing w:after="0"/>
              <w:rPr>
                <w:sz w:val="20"/>
                <w:szCs w:val="20"/>
                <w:color w:val="auto"/>
              </w:rPr>
            </w:pPr>
            <w:r>
              <w:rPr>
                <w:rFonts w:ascii="Times New Roman" w:cs="Times New Roman" w:eastAsia="Times New Roman" w:hAnsi="Times New Roman"/>
                <w:sz w:val="21"/>
                <w:szCs w:val="21"/>
                <w:color w:val="auto"/>
              </w:rPr>
              <w:t>ARTICLE XII  MISCELLANEOUS</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rPr>
              <w:t>99</w:t>
            </w:r>
          </w:p>
        </w:tc>
      </w:tr>
      <w:tr>
        <w:trPr>
          <w:trHeight w:val="301"/>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12.01. Binding Effect of Request for Advance</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rPr>
              <w:t>99</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12.02. Amendments and Waivers</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100</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12.03. Survival</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101</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12.04. Expenses; Indemnification</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101</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12.05. Assignment; Participation</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102</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12.06. Documentation Satisfactory</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105</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12.07. Notices</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105</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12.08. Setoff</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109</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12.09. Table of Contents; Headings</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109</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12.10. Severability</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109</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12.11. Counterparts</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109</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12.12. Integration</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110</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12.13. Governing Law</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110</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12.14. Waivers</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110</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12.15. Jurisdiction; Immunities</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111</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12.16. [Reserved]</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112</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12.17. [Reserved]</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112</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12.18. Intentionally Omitted.</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112</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12.19. USA Patriot Act</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112</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12.20. Defaulting Lenders</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113</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12.21. Use for Mortgages</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116</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12.22. [Reserved]</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116</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12.23. Confidentiality</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117</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12.24. Transitional Arrangements</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117</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12.25. No Advisory or Fiduciary Responsibility</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118</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12.26. Acknowledgement and Consent to Bail-In of Affected Financial Institutions</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120</w:t>
            </w:r>
          </w:p>
        </w:tc>
      </w:tr>
      <w:tr>
        <w:trPr>
          <w:trHeight w:val="327"/>
        </w:trPr>
        <w:tc>
          <w:tcPr>
            <w:tcW w:w="934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Section 12.27. Acknowledgement Regarding Any Supported QFCs</w:t>
            </w:r>
          </w:p>
        </w:tc>
        <w:tc>
          <w:tcPr>
            <w:tcW w:w="1400" w:type="dxa"/>
            <w:vAlign w:val="bottom"/>
          </w:tcPr>
          <w:p>
            <w:pPr>
              <w:ind w:left="1080"/>
              <w:spacing w:after="0"/>
              <w:rPr>
                <w:sz w:val="20"/>
                <w:szCs w:val="20"/>
                <w:color w:val="auto"/>
              </w:rPr>
            </w:pPr>
            <w:r>
              <w:rPr>
                <w:rFonts w:ascii="Times New Roman" w:cs="Times New Roman" w:eastAsia="Times New Roman" w:hAnsi="Times New Roman"/>
                <w:sz w:val="21"/>
                <w:szCs w:val="21"/>
                <w:color w:val="auto"/>
                <w:w w:val="95"/>
              </w:rPr>
              <w:t>120</w:t>
            </w:r>
          </w:p>
        </w:tc>
      </w:tr>
    </w:tbl>
    <w:p>
      <w:pPr>
        <w:sectPr>
          <w:pgSz w:w="11900" w:h="16838" w:orient="portrait"/>
          <w:cols w:equalWidth="0" w:num="1">
            <w:col w:w="11220"/>
          </w:cols>
          <w:pgMar w:left="340" w:top="90" w:right="339" w:bottom="1440" w:gutter="0" w:footer="0" w:header="0"/>
        </w:sectPr>
      </w:pPr>
    </w:p>
    <w:bookmarkStart w:id="432" w:name="page433"/>
    <w:bookmarkEnd w:id="432"/>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SCHEDULES AND EXHIBITS</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SCHEDULE 1</w:t>
            </w:r>
          </w:p>
        </w:tc>
        <w:tc>
          <w:tcPr>
            <w:tcW w:w="5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w:t>
            </w:r>
          </w:p>
        </w:tc>
        <w:tc>
          <w:tcPr>
            <w:tcW w:w="36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Loan Commitments</w:t>
            </w:r>
          </w:p>
        </w:tc>
      </w:tr>
      <w:tr>
        <w:trPr>
          <w:trHeight w:val="327"/>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SCHEDULE 1A</w:t>
            </w:r>
          </w:p>
        </w:tc>
        <w:tc>
          <w:tcPr>
            <w:tcW w:w="418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    Letter of Credit Commitments</w:t>
            </w:r>
          </w:p>
        </w:tc>
      </w:tr>
      <w:tr>
        <w:trPr>
          <w:trHeight w:val="327"/>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SCHEDULE 2</w:t>
            </w:r>
          </w:p>
        </w:tc>
        <w:tc>
          <w:tcPr>
            <w:tcW w:w="5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w:t>
            </w:r>
          </w:p>
        </w:tc>
        <w:tc>
          <w:tcPr>
            <w:tcW w:w="36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Other Investments</w:t>
            </w:r>
          </w:p>
        </w:tc>
      </w:tr>
      <w:tr>
        <w:trPr>
          <w:trHeight w:val="327"/>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SCHEDULE 2.17(j)</w:t>
            </w:r>
          </w:p>
        </w:tc>
        <w:tc>
          <w:tcPr>
            <w:tcW w:w="418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    Existing Letters of Credit</w:t>
            </w:r>
          </w:p>
        </w:tc>
      </w:tr>
      <w:tr>
        <w:trPr>
          <w:trHeight w:val="327"/>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SCHEDULE 2A</w:t>
            </w:r>
          </w:p>
        </w:tc>
        <w:tc>
          <w:tcPr>
            <w:tcW w:w="5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w:t>
            </w:r>
          </w:p>
        </w:tc>
        <w:tc>
          <w:tcPr>
            <w:tcW w:w="36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General Partner Investments</w:t>
            </w:r>
          </w:p>
        </w:tc>
      </w:tr>
      <w:tr>
        <w:trPr>
          <w:trHeight w:val="327"/>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SCHEDULE 3</w:t>
            </w:r>
          </w:p>
        </w:tc>
        <w:tc>
          <w:tcPr>
            <w:tcW w:w="418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    General Partner – Debt</w:t>
            </w:r>
          </w:p>
        </w:tc>
      </w:tr>
      <w:tr>
        <w:trPr>
          <w:trHeight w:val="327"/>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SCHEDULE 4</w:t>
            </w:r>
          </w:p>
        </w:tc>
        <w:tc>
          <w:tcPr>
            <w:tcW w:w="5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w:t>
            </w:r>
          </w:p>
        </w:tc>
        <w:tc>
          <w:tcPr>
            <w:tcW w:w="36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Sustainability Table</w:t>
            </w:r>
          </w:p>
        </w:tc>
      </w:tr>
      <w:tr>
        <w:trPr>
          <w:trHeight w:val="327"/>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SCHEDULE 5</w:t>
            </w:r>
          </w:p>
        </w:tc>
        <w:tc>
          <w:tcPr>
            <w:tcW w:w="5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w:t>
            </w:r>
          </w:p>
        </w:tc>
        <w:tc>
          <w:tcPr>
            <w:tcW w:w="36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Covered Land</w:t>
            </w:r>
          </w:p>
        </w:tc>
      </w:tr>
      <w:tr>
        <w:trPr>
          <w:trHeight w:val="589"/>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EXHIBIT A</w:t>
            </w:r>
          </w:p>
        </w:tc>
        <w:tc>
          <w:tcPr>
            <w:tcW w:w="5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w:t>
            </w:r>
          </w:p>
        </w:tc>
        <w:tc>
          <w:tcPr>
            <w:tcW w:w="36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Authorization Letter</w:t>
            </w:r>
          </w:p>
        </w:tc>
      </w:tr>
      <w:tr>
        <w:trPr>
          <w:trHeight w:val="327"/>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EXHIBIT B</w:t>
            </w:r>
          </w:p>
        </w:tc>
        <w:tc>
          <w:tcPr>
            <w:tcW w:w="5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w:t>
            </w:r>
          </w:p>
        </w:tc>
        <w:tc>
          <w:tcPr>
            <w:tcW w:w="36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Ratable Loan Note</w:t>
            </w:r>
          </w:p>
        </w:tc>
      </w:tr>
      <w:tr>
        <w:trPr>
          <w:trHeight w:val="327"/>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EXHIBIT C</w:t>
            </w:r>
          </w:p>
        </w:tc>
        <w:tc>
          <w:tcPr>
            <w:tcW w:w="5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w:t>
            </w:r>
          </w:p>
        </w:tc>
        <w:tc>
          <w:tcPr>
            <w:tcW w:w="36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[Reserved]</w:t>
            </w:r>
          </w:p>
        </w:tc>
      </w:tr>
      <w:tr>
        <w:trPr>
          <w:trHeight w:val="327"/>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EXHIBIT D</w:t>
            </w:r>
          </w:p>
        </w:tc>
        <w:tc>
          <w:tcPr>
            <w:tcW w:w="5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w:t>
            </w:r>
          </w:p>
        </w:tc>
        <w:tc>
          <w:tcPr>
            <w:tcW w:w="36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Solvency Certificate</w:t>
            </w:r>
          </w:p>
        </w:tc>
      </w:tr>
      <w:tr>
        <w:trPr>
          <w:trHeight w:val="327"/>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EXHIBIT E</w:t>
            </w:r>
          </w:p>
        </w:tc>
        <w:tc>
          <w:tcPr>
            <w:tcW w:w="418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    Assignment and Assumption Agreement</w:t>
            </w:r>
          </w:p>
        </w:tc>
      </w:tr>
      <w:tr>
        <w:trPr>
          <w:trHeight w:val="327"/>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EXHIBIT F</w:t>
            </w:r>
          </w:p>
        </w:tc>
        <w:tc>
          <w:tcPr>
            <w:tcW w:w="418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    List of Material Affiliates</w:t>
            </w:r>
          </w:p>
        </w:tc>
      </w:tr>
      <w:tr>
        <w:trPr>
          <w:trHeight w:val="327"/>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EXHIBIT G</w:t>
            </w:r>
          </w:p>
        </w:tc>
        <w:tc>
          <w:tcPr>
            <w:tcW w:w="5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w:t>
            </w:r>
          </w:p>
        </w:tc>
        <w:tc>
          <w:tcPr>
            <w:tcW w:w="36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Labor Matters</w:t>
            </w:r>
          </w:p>
        </w:tc>
      </w:tr>
      <w:tr>
        <w:trPr>
          <w:trHeight w:val="327"/>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EXHIBIT H</w:t>
            </w:r>
          </w:p>
        </w:tc>
        <w:tc>
          <w:tcPr>
            <w:tcW w:w="5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w:t>
            </w:r>
          </w:p>
        </w:tc>
        <w:tc>
          <w:tcPr>
            <w:tcW w:w="36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Tax Compliance Certificates</w:t>
            </w:r>
          </w:p>
        </w:tc>
      </w:tr>
      <w:tr>
        <w:trPr>
          <w:trHeight w:val="327"/>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EXHIBIT I</w:t>
            </w:r>
          </w:p>
        </w:tc>
        <w:tc>
          <w:tcPr>
            <w:tcW w:w="5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w:t>
            </w:r>
          </w:p>
        </w:tc>
        <w:tc>
          <w:tcPr>
            <w:tcW w:w="36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Pricing Certificate</w:t>
            </w:r>
          </w:p>
        </w:tc>
      </w:tr>
    </w:tbl>
    <w:p>
      <w:pPr>
        <w:sectPr>
          <w:pgSz w:w="11900" w:h="16838" w:orient="portrait"/>
          <w:cols w:equalWidth="0" w:num="1">
            <w:col w:w="10139"/>
          </w:cols>
          <w:pgMar w:left="320" w:top="1440" w:right="1440" w:bottom="1440" w:gutter="0" w:footer="0" w:header="0"/>
        </w:sectPr>
      </w:pPr>
    </w:p>
    <w:bookmarkStart w:id="433" w:name="page434"/>
    <w:bookmarkEnd w:id="433"/>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FOURTH AMENDED AND RESTATED REVOLVING CREDIT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January 7, 2026 among VORNADO REALTY L.P., a limited partnership organized and existing under the laws of the State of Delaware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JPMORGAN CHASE BANK, N.A., as agent for the Banks (in such capacity, together with its successors in such capacity,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BANK OF AMERICA, N.A., BMO BANK, N.A., PNC BANK, NATIONAL ASSOCIATION, WELLS FARGO BANK, N.A. and U.S. BANK NATIONAL ASSOCIATION, as Co-Syndication Agents, the Persons listed on the cover sheet hereto as “Documentation Agents” and “Sustainability Structuring Agents”, and JPMORGAN CHASE BANK, N.A., in its individual capacity and not as Administrative Agent, and the other lenders signatory hereto (said lenders signatory hereto and the lenders who from time to time become Banks pursuant to Section 3.07 or 12.05, each a “</w:t>
      </w:r>
      <w:r>
        <w:rPr>
          <w:rFonts w:ascii="Times New Roman" w:cs="Times New Roman" w:eastAsia="Times New Roman" w:hAnsi="Times New Roman"/>
          <w:sz w:val="21"/>
          <w:szCs w:val="21"/>
          <w:u w:val="single" w:color="auto"/>
          <w:color w:val="auto"/>
        </w:rPr>
        <w:t>Bank</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Banks</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WHEREAS, the Borrower, the Administrative Agent and certain of the Banks are parties to a Third Amended and Restated Revolving Credit Agreement dated as of June 30, 2022, as amended by Amendment No. 1 to Third Amended and Restated Revolving Credit Agreement dated as of May 14, 2024 (as so amended, the “</w:t>
      </w:r>
      <w:r>
        <w:rPr>
          <w:rFonts w:ascii="Times New Roman" w:cs="Times New Roman" w:eastAsia="Times New Roman" w:hAnsi="Times New Roman"/>
          <w:sz w:val="21"/>
          <w:szCs w:val="21"/>
          <w:u w:val="single" w:color="auto"/>
          <w:color w:val="auto"/>
        </w:rPr>
        <w:t>Existing 2022 Credit Agreement</w:t>
      </w:r>
      <w:r>
        <w:rPr>
          <w:rFonts w:ascii="Times New Roman" w:cs="Times New Roman" w:eastAsia="Times New Roman" w:hAnsi="Times New Roman"/>
          <w:sz w:val="21"/>
          <w:szCs w:val="21"/>
          <w:color w:val="auto"/>
        </w:rPr>
        <w:t>”), pursuant to which such Banks made available to the Borrower a revolving line of credit in the amount of One Billion Two Hundred Fifty Million Dollars ($1,250,000,000), which may be increased to Two Billion Dollars ($2,000,000,000);</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the Borrower has requested that the Administrative Agent and the Banks amend and restate the Existing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Credit Agreement in its entirety, and the Administrative Agent and the Banks are willing to so amend and restate the Existing 2022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Credit Agreement in its entirety as set forth herein;</w:t>
      </w:r>
    </w:p>
    <w:p>
      <w:pPr>
        <w:spacing w:after="0" w:line="193"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NOW, THEREFORE, in consideration of the premises and the mutual agreements, covenants and conditions hereinafter set forth, Borrower, the Administrative Agent and each of the Banks agree to amend and restate the Existing 2022 Credit Agreement in its entirety as follows: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DEFINITIONS; ETC.</w:t>
      </w:r>
    </w:p>
    <w:p>
      <w:pPr>
        <w:spacing w:after="0" w:line="204" w:lineRule="exact"/>
        <w:rPr>
          <w:sz w:val="20"/>
          <w:szCs w:val="20"/>
          <w:color w:val="auto"/>
        </w:rPr>
      </w:pPr>
    </w:p>
    <w:p>
      <w:pPr>
        <w:jc w:val="both"/>
        <w:ind w:firstLine="629"/>
        <w:spacing w:after="0" w:line="241"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xml:space="preserve"> As used in this Agreement the following terms have the following meanings (except as otherwise provided, terms defined in the singular have a correlative meaning when used in the plural, and vice versa):</w:t>
      </w:r>
    </w:p>
    <w:p>
      <w:pPr>
        <w:spacing w:after="0" w:line="170"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Acquisition Property</w:t>
      </w:r>
      <w:r>
        <w:rPr>
          <w:rFonts w:ascii="Times New Roman" w:cs="Times New Roman" w:eastAsia="Times New Roman" w:hAnsi="Times New Roman"/>
          <w:sz w:val="21"/>
          <w:szCs w:val="21"/>
          <w:color w:val="auto"/>
        </w:rPr>
        <w:t>” means, as of any date of determination, any Real Property Assets owned fewer than (a) thirty (30) months for office Real Property Assets located in New York City and (b) twenty-four (24) months for all other Real Property Assets; provided that Real Property Assets shall cease to be Acquisition Properties in the first fiscal quarter in which the Occupancy Rate of such Acquisition Property averaged eighty-five percent (85%) or more.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Additional Costs</w:t>
      </w:r>
      <w:r>
        <w:rPr>
          <w:rFonts w:ascii="Times New Roman" w:cs="Times New Roman" w:eastAsia="Times New Roman" w:hAnsi="Times New Roman"/>
          <w:sz w:val="21"/>
          <w:szCs w:val="21"/>
          <w:color w:val="auto"/>
        </w:rPr>
        <w:t>” has the meaning specified in Section 3.01.</w:t>
      </w:r>
    </w:p>
    <w:p>
      <w:pPr>
        <w:sectPr>
          <w:pgSz w:w="11900" w:h="16838" w:orient="portrait"/>
          <w:cols w:equalWidth="0" w:num="1">
            <w:col w:w="11240"/>
          </w:cols>
          <w:pgMar w:left="320" w:top="1251" w:right="339" w:bottom="1440" w:gutter="0" w:footer="0" w:header="0"/>
        </w:sectPr>
      </w:pPr>
    </w:p>
    <w:bookmarkStart w:id="434" w:name="page435"/>
    <w:bookmarkEnd w:id="434"/>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has the meaning specified in the preamble.</w:t>
      </w:r>
    </w:p>
    <w:p>
      <w:pPr>
        <w:spacing w:after="0" w:line="230"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Agent’s Office</w:t>
      </w:r>
      <w:r>
        <w:rPr>
          <w:rFonts w:ascii="Times New Roman" w:cs="Times New Roman" w:eastAsia="Times New Roman" w:hAnsi="Times New Roman"/>
          <w:sz w:val="21"/>
          <w:szCs w:val="21"/>
          <w:color w:val="auto"/>
        </w:rPr>
        <w:t>” means Administrative Agent’s office located at 270 Park Avenue, New York, New York 10017, or such other office in the United States as Administrative Agent may designate by written notice to Borrower and the Banks.</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 Agent.</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Bank</w:t>
      </w:r>
      <w:r>
        <w:rPr>
          <w:rFonts w:ascii="Times New Roman" w:cs="Times New Roman" w:eastAsia="Times New Roman" w:hAnsi="Times New Roman"/>
          <w:sz w:val="21"/>
          <w:szCs w:val="21"/>
          <w:color w:val="auto"/>
        </w:rPr>
        <w:t>” has the meaning specified in Section 3.07.</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Financial Institution</w:t>
      </w:r>
      <w:r>
        <w:rPr>
          <w:rFonts w:ascii="Times New Roman" w:cs="Times New Roman" w:eastAsia="Times New Roman" w:hAnsi="Times New Roman"/>
          <w:sz w:val="21"/>
          <w:szCs w:val="21"/>
          <w:color w:val="auto"/>
        </w:rPr>
        <w:t>” means (a) any EEA Financial Institution or (b) any UK Financial Institution.</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Loan</w:t>
      </w:r>
      <w:r>
        <w:rPr>
          <w:rFonts w:ascii="Times New Roman" w:cs="Times New Roman" w:eastAsia="Times New Roman" w:hAnsi="Times New Roman"/>
          <w:sz w:val="21"/>
          <w:szCs w:val="21"/>
          <w:color w:val="auto"/>
        </w:rPr>
        <w:t>” has the meaning specified in Section 3.04.</w:t>
      </w:r>
    </w:p>
    <w:p>
      <w:pPr>
        <w:spacing w:after="0" w:line="165"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any Person (the “first Person”), any other Person: (1) which directly or indirectly controls, or is controlled by, or is under common control with, the first Person. The term “control” means the possession, directly or indirectly, of the power, alone, to direct or cause the direction of the management and policies of a Person, whether through the ownership of voting securities, by contract, or otherwise.</w:t>
      </w:r>
    </w:p>
    <w:p>
      <w:pPr>
        <w:spacing w:after="0" w:line="167"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 means, individually and collectively, Administrative Agent, each Syndication Agent, each Documentation Agent, each Sustainability Structuring Agent and each Joint Lead Arranger.</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means this Third Amended and Restated Revolving Credit Agreement.</w:t>
      </w:r>
    </w:p>
    <w:p>
      <w:pPr>
        <w:spacing w:after="0" w:line="21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Anti-Corruption Laws</w:t>
      </w:r>
      <w:r>
        <w:rPr>
          <w:rFonts w:ascii="Times New Roman" w:cs="Times New Roman" w:eastAsia="Times New Roman" w:hAnsi="Times New Roman"/>
          <w:sz w:val="21"/>
          <w:szCs w:val="21"/>
          <w:color w:val="auto"/>
        </w:rPr>
        <w:t>” means all laws, rules, and regulations of any jurisdiction applicable to the Borrower or any of its Affiliates from time to time concerning or relating to bribery, corruption or money laundering.</w:t>
      </w:r>
    </w:p>
    <w:p>
      <w:pPr>
        <w:spacing w:after="0" w:line="14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Lending Office</w:t>
      </w:r>
      <w:r>
        <w:rPr>
          <w:rFonts w:ascii="Times New Roman" w:cs="Times New Roman" w:eastAsia="Times New Roman" w:hAnsi="Times New Roman"/>
          <w:sz w:val="21"/>
          <w:szCs w:val="21"/>
          <w:color w:val="auto"/>
        </w:rPr>
        <w:t>” means, for each Bank and for its Loans the lending office of such Bank (or of an Affiliate of such Bank) designated as such on its Administrative Questionnaire or in the applicable Assignment and Assumption Agreement, or such other office of such Bank (or of an Affiliate of such Bank) as such Bank may from time to time specify to Administrative Agent and Borrower as the office by which its Loans are to be made and maintained.</w:t>
      </w:r>
    </w:p>
    <w:p>
      <w:pPr>
        <w:spacing w:after="0" w:line="164"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Margin</w:t>
      </w:r>
      <w:r>
        <w:rPr>
          <w:rFonts w:ascii="Times New Roman" w:cs="Times New Roman" w:eastAsia="Times New Roman" w:hAnsi="Times New Roman"/>
          <w:sz w:val="21"/>
          <w:szCs w:val="21"/>
          <w:color w:val="auto"/>
        </w:rPr>
        <w:t>” means, with respect to Base Rate Loans, Term Benchmark Loans and RFR Loans, the respective percentages per annum determined, at any time, based on the range into which any Credit Rating then falls, in accordance with the table set forth below. Any change in any Credit Rating causing it to move to a different range on the table shall effect a change in the Applicable Margin as of the third Banking Day following the date on which such change is first announced by the applicable rating agency. Borrower shall have not less than two (2) Credit Ratings at all times, one of which shall be from S&amp;P or Moody’s. In the event that Borrower receives only two (2) Credit Ratings, and such Credit Ratings are not equivalent, the Applicable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251" w:right="339" w:bottom="1440" w:gutter="0" w:footer="0" w:header="0"/>
        </w:sectPr>
      </w:pPr>
    </w:p>
    <w:bookmarkStart w:id="435" w:name="page436"/>
    <w:bookmarkEnd w:id="435"/>
    <w:p>
      <w:pPr>
        <w:jc w:val="both"/>
        <w:spacing w:after="0" w:line="255" w:lineRule="auto"/>
        <w:rPr>
          <w:sz w:val="20"/>
          <w:szCs w:val="20"/>
          <w:color w:val="auto"/>
        </w:rPr>
      </w:pPr>
      <w:r>
        <w:rPr>
          <w:rFonts w:ascii="Times New Roman" w:cs="Times New Roman" w:eastAsia="Times New Roman" w:hAnsi="Times New Roman"/>
          <w:sz w:val="21"/>
          <w:szCs w:val="21"/>
          <w:color w:val="auto"/>
        </w:rPr>
        <w:t>Margin shall be the higher of the two Credit Ratings. In the event that Borrower receives more than two (2) Credit Ratings, and such Credit Ratings are not all equivalent, the Applicable Margin shall be (A) if the difference between the highest and the lowest such Credit Ratings is one ratings category (e.g. Baa2 by Moody’s and BBB- by S&amp;P or Fitch), the Applicable Margin shall be the rate per annum that would be applicable if the highest of the Credit Ratings were used; and (B) if the difference between the highest and the lowest such Credit Ratings is two ratings categories (e.g. Baa1 by Moody’s and BBB- by S&amp;P or Fitch) or more, the Applicable Margin shall be the rate per annum that would be applicable if the average of the two (2) highest Credit Ratings were used, provided that if such average is not a recognized rating category (i.e., the difference between the Credit Ratings is an even number of ratings categories), then the Applicable Margin shall be based on the lower of the two (2) highest Credit Ratings.</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5240" w:type="dxa"/>
            <w:vAlign w:val="bottom"/>
            <w:tcBorders>
              <w:top w:val="single" w:sz="8" w:color="auto"/>
              <w:left w:val="single" w:sz="8" w:color="auto"/>
              <w:right w:val="single" w:sz="8" w:color="auto"/>
            </w:tcBorders>
          </w:tcPr>
          <w:p>
            <w:pPr>
              <w:spacing w:after="0"/>
              <w:rPr>
                <w:sz w:val="15"/>
                <w:szCs w:val="15"/>
                <w:color w:val="auto"/>
              </w:rPr>
            </w:pPr>
          </w:p>
        </w:tc>
        <w:tc>
          <w:tcPr>
            <w:tcW w:w="2820" w:type="dxa"/>
            <w:vAlign w:val="bottom"/>
            <w:tcBorders>
              <w:top w:val="single" w:sz="8" w:color="auto"/>
              <w:right w:val="single" w:sz="8" w:color="auto"/>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Applicable Margin</w:t>
            </w:r>
          </w:p>
        </w:tc>
        <w:tc>
          <w:tcPr>
            <w:tcW w:w="3020" w:type="dxa"/>
            <w:vAlign w:val="bottom"/>
            <w:tcBorders>
              <w:top w:val="single" w:sz="8" w:color="auto"/>
              <w:right w:val="single" w:sz="8" w:color="auto"/>
            </w:tcBorders>
          </w:tcPr>
          <w:p>
            <w:pPr>
              <w:ind w:left="340"/>
              <w:spacing w:after="0" w:line="184" w:lineRule="exact"/>
              <w:rPr>
                <w:sz w:val="20"/>
                <w:szCs w:val="20"/>
                <w:color w:val="auto"/>
              </w:rPr>
            </w:pPr>
            <w:r>
              <w:rPr>
                <w:rFonts w:ascii="Times New Roman" w:cs="Times New Roman" w:eastAsia="Times New Roman" w:hAnsi="Times New Roman"/>
                <w:sz w:val="17"/>
                <w:szCs w:val="17"/>
                <w:color w:val="auto"/>
              </w:rPr>
              <w:t>Applicable Margin</w:t>
            </w:r>
          </w:p>
        </w:tc>
        <w:tc>
          <w:tcPr>
            <w:tcW w:w="0" w:type="dxa"/>
            <w:vAlign w:val="bottom"/>
          </w:tcPr>
          <w:p>
            <w:pPr>
              <w:spacing w:after="0"/>
              <w:rPr>
                <w:sz w:val="1"/>
                <w:szCs w:val="1"/>
                <w:color w:val="auto"/>
              </w:rPr>
            </w:pPr>
          </w:p>
        </w:tc>
      </w:tr>
      <w:tr>
        <w:trPr>
          <w:trHeight w:val="170"/>
        </w:trPr>
        <w:tc>
          <w:tcPr>
            <w:tcW w:w="5240" w:type="dxa"/>
            <w:vAlign w:val="bottom"/>
            <w:tcBorders>
              <w:left w:val="single" w:sz="8" w:color="auto"/>
              <w:right w:val="single" w:sz="8" w:color="auto"/>
            </w:tcBorders>
          </w:tcPr>
          <w:p>
            <w:pPr>
              <w:spacing w:after="0"/>
              <w:rPr>
                <w:sz w:val="14"/>
                <w:szCs w:val="14"/>
                <w:color w:val="auto"/>
              </w:rPr>
            </w:pPr>
          </w:p>
        </w:tc>
        <w:tc>
          <w:tcPr>
            <w:tcW w:w="2820" w:type="dxa"/>
            <w:vAlign w:val="bottom"/>
            <w:tcBorders>
              <w:right w:val="single" w:sz="8" w:color="auto"/>
            </w:tcBorders>
            <w:vMerge w:val="continue"/>
          </w:tcPr>
          <w:p>
            <w:pPr>
              <w:spacing w:after="0"/>
              <w:rPr>
                <w:sz w:val="14"/>
                <w:szCs w:val="14"/>
                <w:color w:val="auto"/>
              </w:rPr>
            </w:pPr>
          </w:p>
        </w:tc>
        <w:tc>
          <w:tcPr>
            <w:tcW w:w="3020" w:type="dxa"/>
            <w:vAlign w:val="bottom"/>
            <w:tcBorders>
              <w:right w:val="single" w:sz="8" w:color="auto"/>
            </w:tcBorders>
          </w:tcPr>
          <w:p>
            <w:pPr>
              <w:ind w:left="340"/>
              <w:spacing w:after="0" w:line="171" w:lineRule="exact"/>
              <w:rPr>
                <w:sz w:val="20"/>
                <w:szCs w:val="20"/>
                <w:color w:val="auto"/>
              </w:rPr>
            </w:pPr>
            <w:r>
              <w:rPr>
                <w:rFonts w:ascii="Times New Roman" w:cs="Times New Roman" w:eastAsia="Times New Roman" w:hAnsi="Times New Roman"/>
                <w:sz w:val="17"/>
                <w:szCs w:val="17"/>
                <w:color w:val="auto"/>
              </w:rPr>
              <w:t>for Term Benchmark Loans and RFR</w:t>
            </w:r>
          </w:p>
        </w:tc>
        <w:tc>
          <w:tcPr>
            <w:tcW w:w="0" w:type="dxa"/>
            <w:vAlign w:val="bottom"/>
          </w:tcPr>
          <w:p>
            <w:pPr>
              <w:spacing w:after="0"/>
              <w:rPr>
                <w:sz w:val="1"/>
                <w:szCs w:val="1"/>
                <w:color w:val="auto"/>
              </w:rPr>
            </w:pPr>
          </w:p>
        </w:tc>
      </w:tr>
      <w:tr>
        <w:trPr>
          <w:trHeight w:val="183"/>
        </w:trPr>
        <w:tc>
          <w:tcPr>
            <w:tcW w:w="5240" w:type="dxa"/>
            <w:vAlign w:val="bottom"/>
            <w:tcBorders>
              <w:left w:val="single" w:sz="8" w:color="auto"/>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7"/>
                <w:szCs w:val="17"/>
                <w:color w:val="auto"/>
              </w:rPr>
              <w:t>Borrower’s Credit Rating</w:t>
            </w:r>
          </w:p>
        </w:tc>
        <w:tc>
          <w:tcPr>
            <w:tcW w:w="2820" w:type="dxa"/>
            <w:vAlign w:val="bottom"/>
            <w:tcBorders>
              <w:right w:val="single" w:sz="8" w:color="auto"/>
            </w:tcBorders>
          </w:tcPr>
          <w:p>
            <w:pPr>
              <w:ind w:left="340"/>
              <w:spacing w:after="0" w:line="184" w:lineRule="exact"/>
              <w:rPr>
                <w:sz w:val="20"/>
                <w:szCs w:val="20"/>
                <w:color w:val="auto"/>
              </w:rPr>
            </w:pPr>
            <w:r>
              <w:rPr>
                <w:rFonts w:ascii="Times New Roman" w:cs="Times New Roman" w:eastAsia="Times New Roman" w:hAnsi="Times New Roman"/>
                <w:sz w:val="17"/>
                <w:szCs w:val="17"/>
                <w:color w:val="auto"/>
              </w:rPr>
              <w:t>for Base Rate Loans</w:t>
            </w:r>
          </w:p>
        </w:tc>
        <w:tc>
          <w:tcPr>
            <w:tcW w:w="3020" w:type="dxa"/>
            <w:vAlign w:val="bottom"/>
            <w:tcBorders>
              <w:right w:val="single" w:sz="8" w:color="auto"/>
            </w:tcBorders>
          </w:tcPr>
          <w:p>
            <w:pPr>
              <w:ind w:left="340"/>
              <w:spacing w:after="0" w:line="184" w:lineRule="exact"/>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23"/>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(S&amp;P or Fitch/Moody’s Ratings)</w:t>
            </w:r>
          </w:p>
        </w:tc>
        <w:tc>
          <w:tcPr>
            <w:tcW w:w="28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 per annum)</w:t>
            </w:r>
          </w:p>
        </w:tc>
        <w:tc>
          <w:tcPr>
            <w:tcW w:w="30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 per annum)</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A+/A1 or higher</w:t>
            </w:r>
          </w:p>
        </w:tc>
        <w:tc>
          <w:tcPr>
            <w:tcW w:w="2820" w:type="dxa"/>
            <w:vAlign w:val="bottom"/>
            <w:tcBorders>
              <w:bottom w:val="single" w:sz="8" w:color="auto"/>
              <w:right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rPr>
              <w:t>0.000</w:t>
            </w:r>
          </w:p>
        </w:tc>
        <w:tc>
          <w:tcPr>
            <w:tcW w:w="302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0.650</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A/A2</w:t>
            </w:r>
          </w:p>
        </w:tc>
        <w:tc>
          <w:tcPr>
            <w:tcW w:w="2820" w:type="dxa"/>
            <w:vAlign w:val="bottom"/>
            <w:tcBorders>
              <w:bottom w:val="single" w:sz="8" w:color="auto"/>
              <w:right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rPr>
              <w:t>0.000</w:t>
            </w:r>
          </w:p>
        </w:tc>
        <w:tc>
          <w:tcPr>
            <w:tcW w:w="302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0.700</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A-/A3</w:t>
            </w:r>
          </w:p>
        </w:tc>
        <w:tc>
          <w:tcPr>
            <w:tcW w:w="2820" w:type="dxa"/>
            <w:vAlign w:val="bottom"/>
            <w:tcBorders>
              <w:bottom w:val="single" w:sz="8" w:color="auto"/>
              <w:right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rPr>
              <w:t>0.000</w:t>
            </w:r>
          </w:p>
        </w:tc>
        <w:tc>
          <w:tcPr>
            <w:tcW w:w="302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0.725</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BBB+/Baa1</w:t>
            </w:r>
          </w:p>
        </w:tc>
        <w:tc>
          <w:tcPr>
            <w:tcW w:w="2820" w:type="dxa"/>
            <w:vAlign w:val="bottom"/>
            <w:tcBorders>
              <w:bottom w:val="single" w:sz="8" w:color="auto"/>
              <w:right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rPr>
              <w:t>0.000</w:t>
            </w:r>
          </w:p>
        </w:tc>
        <w:tc>
          <w:tcPr>
            <w:tcW w:w="302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0.775</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BBB/Baa2</w:t>
            </w:r>
          </w:p>
        </w:tc>
        <w:tc>
          <w:tcPr>
            <w:tcW w:w="2820" w:type="dxa"/>
            <w:vAlign w:val="bottom"/>
            <w:tcBorders>
              <w:bottom w:val="single" w:sz="8" w:color="auto"/>
              <w:right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rPr>
              <w:t>0.000</w:t>
            </w:r>
          </w:p>
        </w:tc>
        <w:tc>
          <w:tcPr>
            <w:tcW w:w="302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0.850</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BBB-/Baa3</w:t>
            </w:r>
          </w:p>
        </w:tc>
        <w:tc>
          <w:tcPr>
            <w:tcW w:w="2820" w:type="dxa"/>
            <w:vAlign w:val="bottom"/>
            <w:tcBorders>
              <w:bottom w:val="single" w:sz="8" w:color="auto"/>
              <w:right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rPr>
              <w:t>0.050</w:t>
            </w:r>
          </w:p>
        </w:tc>
        <w:tc>
          <w:tcPr>
            <w:tcW w:w="302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1.050</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BB+/Ba1</w:t>
            </w:r>
          </w:p>
        </w:tc>
        <w:tc>
          <w:tcPr>
            <w:tcW w:w="2820" w:type="dxa"/>
            <w:vAlign w:val="bottom"/>
            <w:tcBorders>
              <w:bottom w:val="single" w:sz="8" w:color="auto"/>
              <w:right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rPr>
              <w:t>0.250</w:t>
            </w:r>
          </w:p>
        </w:tc>
        <w:tc>
          <w:tcPr>
            <w:tcW w:w="302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1.250</w:t>
            </w:r>
          </w:p>
        </w:tc>
        <w:tc>
          <w:tcPr>
            <w:tcW w:w="0" w:type="dxa"/>
            <w:vAlign w:val="bottom"/>
          </w:tcPr>
          <w:p>
            <w:pPr>
              <w:spacing w:after="0"/>
              <w:rPr>
                <w:sz w:val="1"/>
                <w:szCs w:val="1"/>
                <w:color w:val="auto"/>
              </w:rPr>
            </w:pPr>
          </w:p>
        </w:tc>
      </w:tr>
      <w:tr>
        <w:trPr>
          <w:trHeight w:val="216"/>
        </w:trPr>
        <w:tc>
          <w:tcPr>
            <w:tcW w:w="52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Below BB+/Ba1 or unrated</w:t>
            </w:r>
          </w:p>
        </w:tc>
        <w:tc>
          <w:tcPr>
            <w:tcW w:w="2820" w:type="dxa"/>
            <w:vAlign w:val="bottom"/>
            <w:tcBorders>
              <w:bottom w:val="single" w:sz="8" w:color="auto"/>
              <w:right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rPr>
              <w:t>0.600</w:t>
            </w:r>
          </w:p>
        </w:tc>
        <w:tc>
          <w:tcPr>
            <w:tcW w:w="3020" w:type="dxa"/>
            <w:vAlign w:val="bottom"/>
            <w:tcBorders>
              <w:bottom w:val="single" w:sz="8" w:color="auto"/>
              <w:right w:val="single" w:sz="8" w:color="auto"/>
            </w:tcBorders>
          </w:tcPr>
          <w:p>
            <w:pPr>
              <w:jc w:val="right"/>
              <w:ind w:right="1253"/>
              <w:spacing w:after="0"/>
              <w:rPr>
                <w:sz w:val="20"/>
                <w:szCs w:val="20"/>
                <w:color w:val="auto"/>
              </w:rPr>
            </w:pPr>
            <w:r>
              <w:rPr>
                <w:rFonts w:ascii="Times New Roman" w:cs="Times New Roman" w:eastAsia="Times New Roman" w:hAnsi="Times New Roman"/>
                <w:sz w:val="17"/>
                <w:szCs w:val="17"/>
                <w:color w:val="auto"/>
              </w:rPr>
              <w:t>1.600</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264"/>
        <w:spacing w:after="0" w:line="263" w:lineRule="auto"/>
        <w:rPr>
          <w:sz w:val="20"/>
          <w:szCs w:val="20"/>
          <w:color w:val="auto"/>
        </w:rPr>
      </w:pPr>
      <w:r>
        <w:rPr>
          <w:rFonts w:ascii="Times New Roman" w:cs="Times New Roman" w:eastAsia="Times New Roman" w:hAnsi="Times New Roman"/>
          <w:sz w:val="21"/>
          <w:szCs w:val="21"/>
          <w:color w:val="auto"/>
        </w:rPr>
        <w:t>It is hereby understood and agreed that the Applicable Margin shall be adjusted from time to time based upon the Sustainability Margin Adjustment (to be calculated and applied as set forth in Section 1.08); provided that in no event shall the Applicable Margin be less than zero.</w:t>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Borrower Portal</w:t>
      </w:r>
      <w:r>
        <w:rPr>
          <w:rFonts w:ascii="Times New Roman" w:cs="Times New Roman" w:eastAsia="Times New Roman" w:hAnsi="Times New Roman"/>
          <w:sz w:val="21"/>
          <w:szCs w:val="21"/>
          <w:color w:val="auto"/>
        </w:rPr>
        <w:t>” has the meaning set forth in Section 12.07(e).</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Electronic Platform</w:t>
      </w:r>
      <w:r>
        <w:rPr>
          <w:rFonts w:ascii="Times New Roman" w:cs="Times New Roman" w:eastAsia="Times New Roman" w:hAnsi="Times New Roman"/>
          <w:sz w:val="21"/>
          <w:szCs w:val="21"/>
          <w:color w:val="auto"/>
        </w:rPr>
        <w:t>” has the meaning assigned in Section 12.07(d)(i).</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 has the meaning specified in Section 12.05(c).</w:t>
      </w:r>
    </w:p>
    <w:p>
      <w:pPr>
        <w:spacing w:after="0" w:line="125"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Assignment and Assumption Agreement</w:t>
      </w:r>
      <w:r>
        <w:rPr>
          <w:rFonts w:ascii="Times New Roman" w:cs="Times New Roman" w:eastAsia="Times New Roman" w:hAnsi="Times New Roman"/>
          <w:sz w:val="21"/>
          <w:szCs w:val="21"/>
          <w:color w:val="auto"/>
        </w:rPr>
        <w:t>” means an Assignment and Assumption Agreement, substantially in the form of EXHIBIT E or any other form (including electronic records generated by the use of an electronic platform) approved by the Administrative Agent and containing substantially the same terms as EXHIBIT E, pursuant to which a Bank assigns and an Assignee assumes rights and obligations in accordance with Section 12.05.</w:t>
      </w:r>
    </w:p>
    <w:p>
      <w:pPr>
        <w:spacing w:after="0" w:line="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Authorization Letter</w:t>
      </w:r>
      <w:r>
        <w:rPr>
          <w:rFonts w:ascii="Times New Roman" w:cs="Times New Roman" w:eastAsia="Times New Roman" w:hAnsi="Times New Roman"/>
          <w:sz w:val="21"/>
          <w:szCs w:val="21"/>
          <w:color w:val="auto"/>
        </w:rPr>
        <w:t>” means a letter agreement executed by Borrower in the form of EXHIBIT A.</w:t>
      </w:r>
    </w:p>
    <w:p>
      <w:pPr>
        <w:spacing w:after="0" w:line="125"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1"/>
          <w:szCs w:val="21"/>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252" w:right="339" w:bottom="1440" w:gutter="0" w:footer="0" w:header="0"/>
        </w:sectPr>
      </w:pPr>
    </w:p>
    <w:bookmarkStart w:id="436" w:name="page437"/>
    <w:bookmarkEnd w:id="436"/>
    <w:p>
      <w:pPr>
        <w:jc w:val="both"/>
        <w:spacing w:after="0" w:line="293" w:lineRule="auto"/>
        <w:rPr>
          <w:sz w:val="20"/>
          <w:szCs w:val="20"/>
          <w:color w:val="auto"/>
        </w:rPr>
      </w:pPr>
      <w:r>
        <w:rPr>
          <w:rFonts w:ascii="Times New Roman" w:cs="Times New Roman" w:eastAsia="Times New Roman" w:hAnsi="Times New Roman"/>
          <w:sz w:val="21"/>
          <w:szCs w:val="21"/>
          <w:color w:val="auto"/>
        </w:rPr>
        <w:t>pursuant to this Agreement as of such date and not including, for the avoidance of doubt, any tenor for such Benchmark that is then-removed from the definition of “Interest Period” pursuant to clause (e) of Section 3.02.</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Total Loan Commitment</w:t>
      </w:r>
      <w:r>
        <w:rPr>
          <w:rFonts w:ascii="Times New Roman" w:cs="Times New Roman" w:eastAsia="Times New Roman" w:hAnsi="Times New Roman"/>
          <w:sz w:val="21"/>
          <w:szCs w:val="21"/>
          <w:color w:val="auto"/>
        </w:rPr>
        <w:t>” has the meaning specified in Section 2.01(b).</w:t>
      </w:r>
    </w:p>
    <w:p>
      <w:pPr>
        <w:spacing w:after="0" w:line="112"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Action</w:t>
      </w:r>
      <w:r>
        <w:rPr>
          <w:rFonts w:ascii="Times New Roman" w:cs="Times New Roman" w:eastAsia="Times New Roman" w:hAnsi="Times New Roman"/>
          <w:sz w:val="21"/>
          <w:szCs w:val="21"/>
          <w:color w:val="auto"/>
        </w:rPr>
        <w:t>” means the exercise of any Write-Down and Conversion Powers by the applicable Resolution Authority in respect of any liability of an Affected Financial Institution.</w:t>
      </w:r>
    </w:p>
    <w:p>
      <w:pPr>
        <w:spacing w:after="0" w:line="39"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Legislation</w:t>
      </w:r>
      <w:r>
        <w:rPr>
          <w:rFonts w:ascii="Times New Roman" w:cs="Times New Roman" w:eastAsia="Times New Roman" w:hAnsi="Times New Roman"/>
          <w:sz w:val="21"/>
          <w:szCs w:val="21"/>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66"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Banks</w:t>
      </w:r>
      <w:r>
        <w:rPr>
          <w:rFonts w:ascii="Times New Roman" w:cs="Times New Roman" w:eastAsia="Times New Roman" w:hAnsi="Times New Roman"/>
          <w:sz w:val="21"/>
          <w:szCs w:val="21"/>
          <w:color w:val="auto"/>
        </w:rPr>
        <w:t>” have the respective meanings specified in the preamble. Unless the context otherwise requires, the term “Banks” includes the Fronting Banks.</w:t>
      </w:r>
    </w:p>
    <w:p>
      <w:pPr>
        <w:spacing w:after="0" w:line="26"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Affiliate</w:t>
      </w:r>
      <w:r>
        <w:rPr>
          <w:rFonts w:ascii="Times New Roman" w:cs="Times New Roman" w:eastAsia="Times New Roman" w:hAnsi="Times New Roman"/>
          <w:sz w:val="21"/>
          <w:szCs w:val="21"/>
          <w:color w:val="auto"/>
        </w:rPr>
        <w:t>” means, (a) with respect to any Bank, (i) a Person directly or indirectly controlling or controlled by or under direct or indirect common control with such Bank or (ii) any entity (whether a corporation, partnership, trust or otherwise) that is engaged in making, purchasing, holding or otherwise investing in bank loans and similar extensions of credit in the ordinary course of its business and is administered or managed by such Bank or a Person directly or indirectly controlling or controlled by or under direct or indirect common control with such Bank and (b) with respect to any Bank that is a fund which invests in bank loans and similar extensions of credit, any other fund that invests in bank loans and similar extensions of credit and is managed by the same investment advisor as such Bank or by a Person directly or indirectly controlling or controlled by or under direct or indirect common control with such investment advisor.</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Parties</w:t>
      </w:r>
      <w:r>
        <w:rPr>
          <w:rFonts w:ascii="Times New Roman" w:cs="Times New Roman" w:eastAsia="Times New Roman" w:hAnsi="Times New Roman"/>
          <w:sz w:val="21"/>
          <w:szCs w:val="21"/>
          <w:color w:val="auto"/>
        </w:rPr>
        <w:t>” means Administrative Agent and the Banks.</w:t>
      </w:r>
    </w:p>
    <w:p>
      <w:pPr>
        <w:spacing w:after="0" w:line="125"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Banking Day</w:t>
      </w:r>
      <w:r>
        <w:rPr>
          <w:rFonts w:ascii="Times New Roman" w:cs="Times New Roman" w:eastAsia="Times New Roman" w:hAnsi="Times New Roman"/>
          <w:sz w:val="21"/>
          <w:szCs w:val="21"/>
          <w:color w:val="auto"/>
        </w:rPr>
        <w:t>” means any day (other than a Saturday or a Sunday) on which banks are open for business in New York City; provided that, in addition to the foregoing, a Banking Day shall be any such day that is only a U.S. Government Securities Business Day, (a) in relation to Loans referencing the Term SOFR Rate and any interest rate settings, fundings, disbursements, settlements or payments of any such Loans referencing the Term SOFR Rate or any other dealings of such Loans referencing the Term SOFR Rate and (b) in relation to RFR Loans and any interest rate settings, fundings, disbursements, settlements or payments of any such RFR Loans, or any other dealings of such RFR Loans.</w:t>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Reply Period</w:t>
      </w:r>
      <w:r>
        <w:rPr>
          <w:rFonts w:ascii="Times New Roman" w:cs="Times New Roman" w:eastAsia="Times New Roman" w:hAnsi="Times New Roman"/>
          <w:sz w:val="21"/>
          <w:szCs w:val="21"/>
          <w:color w:val="auto"/>
        </w:rPr>
        <w:t>” has the meaning specified in Section 12.02.</w:t>
      </w:r>
    </w:p>
    <w:p>
      <w:pPr>
        <w:spacing w:after="0" w:line="165"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Code</w:t>
      </w:r>
      <w:r>
        <w:rPr>
          <w:rFonts w:ascii="Times New Roman" w:cs="Times New Roman" w:eastAsia="Times New Roman" w:hAnsi="Times New Roman"/>
          <w:sz w:val="21"/>
          <w:szCs w:val="21"/>
          <w:color w:val="auto"/>
        </w:rPr>
        <w:t>” means Title 11 of the United States Code, entitled “Bankruptcy”, as amended from time to time, and any successor or statute or statutes.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252" w:right="339" w:bottom="1440" w:gutter="0" w:footer="0" w:header="0"/>
        </w:sectPr>
      </w:pPr>
    </w:p>
    <w:bookmarkStart w:id="437" w:name="page438"/>
    <w:bookmarkEnd w:id="437"/>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Event</w:t>
      </w:r>
      <w:r>
        <w:rPr>
          <w:rFonts w:ascii="Times New Roman" w:cs="Times New Roman" w:eastAsia="Times New Roman" w:hAnsi="Times New Roman"/>
          <w:sz w:val="21"/>
          <w:szCs w:val="21"/>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publicly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Banks’ L/C Fee Rate</w:t>
      </w:r>
      <w:r>
        <w:rPr>
          <w:rFonts w:ascii="Times New Roman" w:cs="Times New Roman" w:eastAsia="Times New Roman" w:hAnsi="Times New Roman"/>
          <w:sz w:val="21"/>
          <w:szCs w:val="21"/>
          <w:color w:val="auto"/>
        </w:rPr>
        <w:t>” has the meaning specified in Section 2.17(g).</w:t>
      </w:r>
    </w:p>
    <w:p>
      <w:pPr>
        <w:spacing w:after="0" w:line="217"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w:t>
      </w:r>
      <w:r>
        <w:rPr>
          <w:rFonts w:ascii="Times New Roman" w:cs="Times New Roman" w:eastAsia="Times New Roman" w:hAnsi="Times New Roman"/>
          <w:sz w:val="21"/>
          <w:szCs w:val="21"/>
          <w:color w:val="auto"/>
        </w:rPr>
        <w:t>” means, for any day, a rate per annum equal to the greatest of (a) the Prime Rate in effect on such day, (b) the NYFRB Rate in effect on such day plus ½ of 1% and (c) the Term SOFR Rate for a one month Interest Period as published two U.S. Government Securities Business Days prior to such day (or if such day is not a Banking Day, the immediately preceding Banking Day) plus 1%; provided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Term SOFR Rate shall be effective from and including the effective date of such change in the Prime Rate, the NYFRB Rate or the Term SOFR Rate, respectively. If the Base Rate is being used as an alternate rate of interest pursuant to Section 3.02 (for the avoidance of doubt, only until the Benchmark Replacement has been determined pursuant to Section 3.02(b)), then the Base Rate shall be the greater of clauses (a) and (b) above and shall be determined without reference to clause (c) above. For the avoidance of doubt, if the Base Rate as determined pursuant to the foregoing would be less than 1.0%, such rate shall be deemed to be 1.0% for purposes of this Agreement.</w:t>
      </w:r>
    </w:p>
    <w:p>
      <w:pPr>
        <w:spacing w:after="0" w:line="193"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 Loan</w:t>
      </w:r>
      <w:r>
        <w:rPr>
          <w:rFonts w:ascii="Times New Roman" w:cs="Times New Roman" w:eastAsia="Times New Roman" w:hAnsi="Times New Roman"/>
          <w:sz w:val="21"/>
          <w:szCs w:val="21"/>
          <w:color w:val="auto"/>
        </w:rPr>
        <w:t>” means all or any portion (as the context requires) of a Bank’s Ratable Loan which shall accrue interest at a rate determined in relation to the Base Rate.</w:t>
      </w:r>
    </w:p>
    <w:p>
      <w:pPr>
        <w:spacing w:after="0" w:line="14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w:t>
      </w:r>
      <w:r>
        <w:rPr>
          <w:rFonts w:ascii="Times New Roman" w:cs="Times New Roman" w:eastAsia="Times New Roman" w:hAnsi="Times New Roman"/>
          <w:sz w:val="21"/>
          <w:szCs w:val="21"/>
          <w:color w:val="auto"/>
        </w:rPr>
        <w:t xml:space="preserve">” means, initially, with respect to any (i) Term Benchmark Loan, the Term SOFR Rate or (ii) RFR Loan, the Daily Effective SOFR Rate;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 Benchmark Transition Event, and the related Benchmark Replacement Date have occurred with respect to the Term SOFR Rate or Daily Effective SOFR Rate, as applicable, or the then-current Benchmark, then “Benchmark” means the applicable Benchmark Replacement to the extent that such Benchmark Replacement has replaced such prior benchmark rate pursuant to clause (b) of Section 3.02.</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means, for any Available Tenor: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251" w:right="339" w:bottom="1440" w:gutter="0" w:footer="0" w:header="0"/>
        </w:sectPr>
      </w:pPr>
    </w:p>
    <w:bookmarkStart w:id="438" w:name="page439"/>
    <w:bookmarkEnd w:id="438"/>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8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If the Benchmark Replacement as determined pursuant to the above would be less than the Floor, the Benchmark Replacement will be deemed to be the Floor for the purposes of this Agreement and the other Loan Documents.</w:t>
      </w:r>
    </w:p>
    <w:p>
      <w:pPr>
        <w:spacing w:after="0" w:line="144"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Adjustment</w:t>
      </w:r>
      <w:r>
        <w:rPr>
          <w:rFonts w:ascii="Times New Roman" w:cs="Times New Roman" w:eastAsia="Times New Roman" w:hAnsi="Times New Roman"/>
          <w:sz w:val="21"/>
          <w:szCs w:val="21"/>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79"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means, with respect to any Benchmark Replacement and/or any Term Benchmark Revolving Loan, any technical, administrative or operational changes (including changes to the definition of “Base Rate,” the definition of “Banking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73"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Date</w:t>
      </w:r>
      <w:r>
        <w:rPr>
          <w:rFonts w:ascii="Times New Roman" w:cs="Times New Roman" w:eastAsia="Times New Roman" w:hAnsi="Times New Roman"/>
          <w:sz w:val="21"/>
          <w:szCs w:val="21"/>
          <w:color w:val="auto"/>
        </w:rPr>
        <w:t>” means, with respect to any Benchmark, the earliest to occur of the following events with respect to such then-current Benchmark:</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251" w:right="339" w:bottom="1440" w:gutter="0" w:footer="0" w:header="0"/>
        </w:sectPr>
      </w:pPr>
    </w:p>
    <w:bookmarkStart w:id="439" w:name="page440"/>
    <w:bookmarkEnd w:id="439"/>
    <w:p>
      <w:pPr>
        <w:jc w:val="both"/>
        <w:ind w:firstLine="634"/>
        <w:spacing w:after="0" w:line="262" w:lineRule="auto"/>
        <w:tabs>
          <w:tab w:leader="none" w:pos="1118"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58" w:lineRule="exact"/>
        <w:rPr>
          <w:rFonts w:ascii="Times New Roman" w:cs="Times New Roman" w:eastAsia="Times New Roman" w:hAnsi="Times New Roman"/>
          <w:sz w:val="21"/>
          <w:szCs w:val="21"/>
          <w:color w:val="auto"/>
        </w:rPr>
      </w:pPr>
    </w:p>
    <w:p>
      <w:pPr>
        <w:jc w:val="both"/>
        <w:ind w:firstLine="634"/>
        <w:spacing w:after="0" w:line="255" w:lineRule="auto"/>
        <w:tabs>
          <w:tab w:leader="none" w:pos="1109"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p>
    <w:p>
      <w:pPr>
        <w:spacing w:after="0" w:line="6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64"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Transition Event</w:t>
      </w:r>
      <w:r>
        <w:rPr>
          <w:rFonts w:ascii="Times New Roman" w:cs="Times New Roman" w:eastAsia="Times New Roman" w:hAnsi="Times New Roman"/>
          <w:sz w:val="21"/>
          <w:szCs w:val="21"/>
          <w:color w:val="auto"/>
        </w:rPr>
        <w:t>” means, with respect to any Benchmark, the occurrence of one or more of the following events with respect to such then-current Benchmark:</w:t>
      </w:r>
    </w:p>
    <w:p>
      <w:pPr>
        <w:spacing w:after="0" w:line="26" w:lineRule="exact"/>
        <w:rPr>
          <w:sz w:val="20"/>
          <w:szCs w:val="20"/>
          <w:color w:val="auto"/>
        </w:rPr>
      </w:pPr>
    </w:p>
    <w:p>
      <w:pPr>
        <w:jc w:val="both"/>
        <w:ind w:firstLine="634"/>
        <w:spacing w:after="0" w:line="258" w:lineRule="auto"/>
        <w:tabs>
          <w:tab w:leader="none" w:pos="931"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64" w:lineRule="exact"/>
        <w:rPr>
          <w:rFonts w:ascii="Times New Roman" w:cs="Times New Roman" w:eastAsia="Times New Roman" w:hAnsi="Times New Roman"/>
          <w:sz w:val="21"/>
          <w:szCs w:val="21"/>
          <w:color w:val="auto"/>
        </w:rPr>
      </w:pPr>
    </w:p>
    <w:p>
      <w:pPr>
        <w:jc w:val="both"/>
        <w:ind w:firstLine="634"/>
        <w:spacing w:after="0" w:line="253" w:lineRule="auto"/>
        <w:tabs>
          <w:tab w:leader="none" w:pos="933"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such</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251" w:right="339" w:bottom="1440" w:gutter="0" w:footer="0" w:header="0"/>
        </w:sectPr>
      </w:pPr>
    </w:p>
    <w:bookmarkStart w:id="440" w:name="page441"/>
    <w:bookmarkEnd w:id="440"/>
    <w:p>
      <w:pPr>
        <w:spacing w:after="0" w:line="293" w:lineRule="auto"/>
        <w:rPr>
          <w:sz w:val="20"/>
          <w:szCs w:val="20"/>
          <w:color w:val="auto"/>
        </w:rPr>
      </w:pPr>
      <w:r>
        <w:rPr>
          <w:rFonts w:ascii="Times New Roman" w:cs="Times New Roman" w:eastAsia="Times New Roman" w:hAnsi="Times New Roman"/>
          <w:sz w:val="21"/>
          <w:szCs w:val="21"/>
          <w:color w:val="auto"/>
        </w:rPr>
        <w:t>Benchmark (or such component thereof) or, if such Benchmark is a term rate, any Available Tenor of such Benchmark (or such component thereof); or</w:t>
      </w:r>
    </w:p>
    <w:p>
      <w:pPr>
        <w:spacing w:after="0" w:line="78" w:lineRule="exact"/>
        <w:rPr>
          <w:sz w:val="20"/>
          <w:szCs w:val="20"/>
          <w:color w:val="auto"/>
        </w:rPr>
      </w:pPr>
    </w:p>
    <w:p>
      <w:pPr>
        <w:jc w:val="both"/>
        <w:ind w:firstLine="634"/>
        <w:spacing w:after="0" w:line="258" w:lineRule="auto"/>
        <w:tabs>
          <w:tab w:leader="none" w:pos="933"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27"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10"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3.02 and (y) ending at the time that a Benchmark Replacement has replaced such then-current Benchmark for all purposes hereunder and under any Loan Document in accordance with Section 3.02.</w:t>
      </w:r>
    </w:p>
    <w:p>
      <w:pPr>
        <w:spacing w:after="0" w:line="11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Certification</w:t>
      </w:r>
      <w:r>
        <w:rPr>
          <w:rFonts w:ascii="Times New Roman" w:cs="Times New Roman" w:eastAsia="Times New Roman" w:hAnsi="Times New Roman"/>
          <w:sz w:val="21"/>
          <w:szCs w:val="21"/>
          <w:color w:val="auto"/>
        </w:rPr>
        <w:t>” means a certification regarding beneficial ownership as required by the Beneficial Ownership Regulation.</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Regulation</w:t>
      </w:r>
      <w:r>
        <w:rPr>
          <w:rFonts w:ascii="Times New Roman" w:cs="Times New Roman" w:eastAsia="Times New Roman" w:hAnsi="Times New Roman"/>
          <w:sz w:val="21"/>
          <w:szCs w:val="21"/>
          <w:color w:val="auto"/>
        </w:rPr>
        <w:t>” means 31 C.F.R. § 1010.230.</w:t>
      </w:r>
    </w:p>
    <w:p>
      <w:pPr>
        <w:spacing w:after="0" w:line="178"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10"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BHC Act Affiliate</w:t>
      </w:r>
      <w:r>
        <w:rPr>
          <w:rFonts w:ascii="Times New Roman" w:cs="Times New Roman" w:eastAsia="Times New Roman" w:hAnsi="Times New Roman"/>
          <w:sz w:val="21"/>
          <w:szCs w:val="21"/>
          <w:color w:val="auto"/>
        </w:rPr>
        <w:t>” of a party means an “affiliate’ (as such term is defined under, and interpreted in accordance with, 12 U.S.C. 1841(k)) of such party.</w:t>
      </w:r>
    </w:p>
    <w:p>
      <w:pPr>
        <w:spacing w:after="0" w:line="1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has the meaning specified in the preamble.</w:t>
      </w:r>
    </w:p>
    <w:p>
      <w:pPr>
        <w:spacing w:after="0" w:line="165"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Borrower’s Accountants</w:t>
      </w:r>
      <w:r>
        <w:rPr>
          <w:rFonts w:ascii="Times New Roman" w:cs="Times New Roman" w:eastAsia="Times New Roman" w:hAnsi="Times New Roman"/>
          <w:sz w:val="21"/>
          <w:szCs w:val="21"/>
          <w:color w:val="auto"/>
        </w:rPr>
        <w:t>” means Deloitte LLP, any other “Big 4” accounting firm selected by Borrower (or a successor thereof), or such other accounting firm(s) selected by Borrower and reasonably acceptable to the Required Banks.</w:t>
      </w:r>
    </w:p>
    <w:p>
      <w:pPr>
        <w:spacing w:after="0" w:line="91"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Borrower’s Consolidated Financial Statements</w:t>
      </w:r>
      <w:r>
        <w:rPr>
          <w:rFonts w:ascii="Times New Roman" w:cs="Times New Roman" w:eastAsia="Times New Roman" w:hAnsi="Times New Roman"/>
          <w:sz w:val="21"/>
          <w:szCs w:val="21"/>
          <w:color w:val="auto"/>
        </w:rPr>
        <w:t>” means the consolidated balance sheet and related consolidated statements of operations, changes in equity and cash flows, and footnotes thereto, of the Borrower, in each case prepared in accordance with GAAP and as filed with the SEC as SEC Reports.</w:t>
      </w:r>
    </w:p>
    <w:p>
      <w:pPr>
        <w:spacing w:after="0" w:line="123"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Borrower’s Pro Rata Share</w:t>
      </w:r>
      <w:r>
        <w:rPr>
          <w:rFonts w:ascii="Times New Roman" w:cs="Times New Roman" w:eastAsia="Times New Roman" w:hAnsi="Times New Roman"/>
          <w:sz w:val="21"/>
          <w:szCs w:val="21"/>
          <w:color w:val="auto"/>
        </w:rPr>
        <w:t>” means an amount determined based on the pro rata ownership of the equity interests of a Person by Borrower and Borrower’s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251" w:right="339" w:bottom="1440" w:gutter="0" w:footer="0" w:header="0"/>
        </w:sectPr>
      </w:pPr>
    </w:p>
    <w:bookmarkStart w:id="441" w:name="page442"/>
    <w:bookmarkEnd w:id="441"/>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Capitalization Rate</w:t>
      </w:r>
      <w:r>
        <w:rPr>
          <w:rFonts w:ascii="Times New Roman" w:cs="Times New Roman" w:eastAsia="Times New Roman" w:hAnsi="Times New Roman"/>
          <w:sz w:val="21"/>
          <w:szCs w:val="21"/>
          <w:color w:val="auto"/>
        </w:rPr>
        <w:t>” means (i) 5.75% per annum for any multifamily Real Property Asset, (ii) 6.5% per annum for any office Real Property Asset, (iii) 6.0% per annum for any retail Real Property Asset, (iv) 7.25% per annum for any hotel Real Property Asset (including those owned by Real Property UJVs), (v) 8.0% per annum for any trade show space Real Property Asset (including those owned by Real Property UJVs), and (vi) 6.5% per annum for all other Real Property Assets.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Capitalization Value</w:t>
      </w:r>
      <w:r>
        <w:rPr>
          <w:rFonts w:ascii="Times New Roman" w:cs="Times New Roman" w:eastAsia="Times New Roman" w:hAnsi="Times New Roman"/>
          <w:sz w:val="21"/>
          <w:szCs w:val="21"/>
          <w:color w:val="auto"/>
        </w:rPr>
        <w:t>” means, at any time, the sum without duplication of:</w:t>
      </w:r>
    </w:p>
    <w:p>
      <w:pPr>
        <w:spacing w:after="0" w:line="112" w:lineRule="exact"/>
        <w:rPr>
          <w:sz w:val="20"/>
          <w:szCs w:val="20"/>
          <w:color w:val="auto"/>
        </w:rPr>
      </w:pPr>
    </w:p>
    <w:p>
      <w:pPr>
        <w:ind w:left="1260" w:hanging="626"/>
        <w:spacing w:after="0" w:line="252" w:lineRule="auto"/>
        <w:tabs>
          <w:tab w:leader="none" w:pos="1088"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Real Property Businesses (other than UJVs, Acquisition Properties, Development Properties and Covered Land), individually determined, Combined EBITDA from such businesses, for the most recently ended four consecutive calendar quarters, capitalized at the applicable Capitalization Rate;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in the case of any such Real Estate Business that was formerly an Acquisition Property or a Development Property and has ceased to be an Acquisition Property or a Development Property for fewer than four (4) consecutive calendar quarters, Capitalization Value for such Real Estate Business shall be equal to (x) if such Real Estate Business has ceased to be an Acquisition Property or a Development property for one calendar quarter, Combined EBITDA from such Real Estate Business for the most recently ended calendar quarter annualized (i.e., multiplied by four), capitalized at the applicable Capitalization Rate, (y) if such Real Estate Business has ceased to be an Acquisition Property or a Development Property for two consecutive calendar quarters, Combined EBITDA from such Real Estate Business for the most recently ended two consecutive calendar quarters annualized (i.e., multiplied by two), capitalized at the applicable Capitalization Rate, and (z) if such Real Estate Business has ceased to be an Acquisition Property or a Development Property for three consecutive calendar quarters, Combined EBITDA from such Real Estate Business for the most recently ended three consecutive calendar quarters annualized (i.e., multiplied by four-thirds), capitalized at the applicable Capitalization Rate;</w:t>
      </w:r>
    </w:p>
    <w:p>
      <w:pPr>
        <w:spacing w:after="0" w:line="73" w:lineRule="exact"/>
        <w:rPr>
          <w:rFonts w:ascii="Times New Roman" w:cs="Times New Roman" w:eastAsia="Times New Roman" w:hAnsi="Times New Roman"/>
          <w:sz w:val="21"/>
          <w:szCs w:val="21"/>
          <w:color w:val="auto"/>
        </w:rPr>
      </w:pPr>
    </w:p>
    <w:p>
      <w:pPr>
        <w:jc w:val="both"/>
        <w:ind w:left="1260" w:hanging="626"/>
        <w:spacing w:after="0" w:line="270" w:lineRule="auto"/>
        <w:tabs>
          <w:tab w:leader="none" w:pos="1242"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Acquisition Properties, individually determined, the greater of (x) Combined EBITDA from such business, for the most recently ended four consecutive calendar quarters, capitalized at the applicable Capitalization Rate and (y) the Gross Book Value of such businesses;</w:t>
      </w:r>
    </w:p>
    <w:p>
      <w:pPr>
        <w:spacing w:after="0" w:line="49" w:lineRule="exact"/>
        <w:rPr>
          <w:rFonts w:ascii="Times New Roman" w:cs="Times New Roman" w:eastAsia="Times New Roman" w:hAnsi="Times New Roman"/>
          <w:sz w:val="21"/>
          <w:szCs w:val="21"/>
          <w:color w:val="auto"/>
        </w:rPr>
      </w:pPr>
    </w:p>
    <w:p>
      <w:pPr>
        <w:ind w:left="1260" w:hanging="626"/>
        <w:spacing w:after="0" w:line="280" w:lineRule="auto"/>
        <w:tabs>
          <w:tab w:leader="none" w:pos="1193"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Development Properties and Covered Land, individually determined, the Gross Book Value of such Development Properties and Covered Land;</w:t>
      </w:r>
    </w:p>
    <w:p>
      <w:pPr>
        <w:spacing w:after="0" w:line="39" w:lineRule="exact"/>
        <w:rPr>
          <w:rFonts w:ascii="Times New Roman" w:cs="Times New Roman" w:eastAsia="Times New Roman" w:hAnsi="Times New Roman"/>
          <w:sz w:val="21"/>
          <w:szCs w:val="21"/>
          <w:color w:val="auto"/>
        </w:rPr>
      </w:pPr>
    </w:p>
    <w:p>
      <w:pPr>
        <w:ind w:left="1260" w:hanging="626"/>
        <w:spacing w:after="0" w:line="280" w:lineRule="auto"/>
        <w:tabs>
          <w:tab w:leader="none" w:pos="1219"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Other Investments, which do not have publicly traded shares, the Net Equity Value of such Other Investments;</w:t>
      </w:r>
    </w:p>
    <w:p>
      <w:pPr>
        <w:spacing w:after="0" w:line="39" w:lineRule="exact"/>
        <w:rPr>
          <w:rFonts w:ascii="Times New Roman" w:cs="Times New Roman" w:eastAsia="Times New Roman" w:hAnsi="Times New Roman"/>
          <w:sz w:val="21"/>
          <w:szCs w:val="21"/>
          <w:color w:val="auto"/>
        </w:rPr>
      </w:pPr>
    </w:p>
    <w:p>
      <w:pPr>
        <w:ind w:left="1260" w:hanging="626"/>
        <w:spacing w:after="0" w:line="270" w:lineRule="auto"/>
        <w:tabs>
          <w:tab w:leader="none" w:pos="1088"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Real Property UJVs, which do not have publicly traded shares, individually determined, the greater of (x) Combined EBITDA from such Real Property UJVs, for the most recently ended four consecutive calendar quarters, capitalized at the applicable Capitalization Rate, less Borrower’s Pro Rata Share of</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252" w:right="339" w:bottom="1440" w:gutter="0" w:footer="0" w:header="0"/>
        </w:sectPr>
      </w:pPr>
    </w:p>
    <w:bookmarkStart w:id="442" w:name="page443"/>
    <w:bookmarkEnd w:id="442"/>
    <w:p>
      <w:pPr>
        <w:ind w:left="1260"/>
        <w:spacing w:after="0" w:line="293" w:lineRule="auto"/>
        <w:rPr>
          <w:sz w:val="20"/>
          <w:szCs w:val="20"/>
          <w:color w:val="auto"/>
        </w:rPr>
      </w:pPr>
      <w:r>
        <w:rPr>
          <w:rFonts w:ascii="Times New Roman" w:cs="Times New Roman" w:eastAsia="Times New Roman" w:hAnsi="Times New Roman"/>
          <w:sz w:val="21"/>
          <w:szCs w:val="21"/>
          <w:color w:val="auto"/>
        </w:rPr>
        <w:t>any Indebtedness attributable to such Real Property UJVs, and (y) the Net Equity Value of such Real Property UJVs (subject to the last sentence of this definition); and</w:t>
      </w:r>
    </w:p>
    <w:p>
      <w:pPr>
        <w:spacing w:after="0" w:line="26" w:lineRule="exact"/>
        <w:rPr>
          <w:sz w:val="20"/>
          <w:szCs w:val="20"/>
          <w:color w:val="auto"/>
        </w:rPr>
      </w:pPr>
    </w:p>
    <w:p>
      <w:pPr>
        <w:ind w:left="1260" w:hanging="626"/>
        <w:spacing w:after="0" w:line="258" w:lineRule="auto"/>
        <w:tabs>
          <w:tab w:leader="none" w:pos="1100"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Borrower’s Pro Rata Share of Unrestricted Cash and Cash Equivalents, the book value of notes and mortgage loans receivable and capitalized development costs (exclusive of tenant improvements and tenant leasing commission costs), and the fair market value of publicly traded securities, at such time, all as determined in accordance with GAAP.</w:t>
      </w:r>
    </w:p>
    <w:p>
      <w:pPr>
        <w:spacing w:after="0" w:line="1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1"/>
          <w:szCs w:val="21"/>
          <w:color w:val="auto"/>
        </w:rPr>
        <w:t>For clarity, the parties acknowledge and agree that the calculations pursuant to clauses (1), (2), (3), and (5) above in this definition are intended to be made on a Real-Property-Asset-by-Real-Property-Asset basis.</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Notwithstanding the foregoing, the Real Property Asset at 350 Park Avenue in New York City shall be valued at $900,000,000 for purposes of this definition so long as the Borrower’s existing put option for such Real Estate Asset remains in full force and effect and any exercise by the counterparty to the put option of its option to form a joint venture to redevelop such Real Property Asset has not closed so long as Borrower would be entitled to exercise the put option if the counterparty defaulted on its obligation to close following exercise of the joint venture option.</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For the purposes of this definition, (1) for any Disposition of Real Property Assets by a Real Property Business during any calendar quarter, Combined EBITDA will be reduced by actual Combined EBITDA generated from such asset or assets, (2) the aggregate contribution to Capitalization Value in excess of 35% of the total Capitalization Value from all Real Property Businesses and Other Investments owned by UJVs shall not be included in Capitalization Value, and (3) the aggregate contribution to Capitalization Value from leasing commissions and management and development fees in excess of 15% of Combined EBITDA shall not be included in Capitalization Value. To the extent that liabilities of a Real Property UJV are Recourse to Borrower or the General Partner, then for purposes of clause (5)(y) above, the Net Equity Value of such Real Property UJV shall not be reduced by such Recourse liabilities.</w:t>
      </w:r>
    </w:p>
    <w:p>
      <w:pPr>
        <w:spacing w:after="0" w:line="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Capitalization Value of Unencumbered Assets</w:t>
      </w:r>
      <w:r>
        <w:rPr>
          <w:rFonts w:ascii="Times New Roman" w:cs="Times New Roman" w:eastAsia="Times New Roman" w:hAnsi="Times New Roman"/>
          <w:sz w:val="21"/>
          <w:szCs w:val="21"/>
          <w:color w:val="auto"/>
        </w:rPr>
        <w:t>” means, at any time, the sum without duplication of:</w:t>
      </w:r>
    </w:p>
    <w:p>
      <w:pPr>
        <w:spacing w:after="0" w:line="217" w:lineRule="exact"/>
        <w:rPr>
          <w:sz w:val="20"/>
          <w:szCs w:val="20"/>
          <w:color w:val="auto"/>
        </w:rPr>
      </w:pPr>
    </w:p>
    <w:p>
      <w:pPr>
        <w:jc w:val="right"/>
        <w:ind w:left="1260" w:hanging="626"/>
        <w:spacing w:after="0" w:line="267" w:lineRule="auto"/>
        <w:tabs>
          <w:tab w:leader="none" w:pos="1088"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Real Property Businesses (other than UJVs, Acquisition Properties, Development Properties and Covered Land) that are Unencumbered Assets, individually determined, Unencumbered Combined EBITDA from such businesses, for the most recently ended four consecutive calendar quarters, capitalized at the applicable Capitalization Rate;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in the case of any such Real Estate Business that was formerly an Acquisition Property or a Development Property and has ceased to be an Acquisition Property or a Development Property for fewer than four</w:t>
      </w:r>
    </w:p>
    <w:p>
      <w:pPr>
        <w:spacing w:after="0" w:line="2" w:lineRule="exact"/>
        <w:rPr>
          <w:rFonts w:ascii="Times New Roman" w:cs="Times New Roman" w:eastAsia="Times New Roman" w:hAnsi="Times New Roman"/>
          <w:sz w:val="20"/>
          <w:szCs w:val="20"/>
          <w:color w:val="auto"/>
        </w:rPr>
      </w:pPr>
    </w:p>
    <w:p>
      <w:pPr>
        <w:jc w:val="both"/>
        <w:ind w:left="126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(4) consecutive calendar quarters, Capitalization Value of Unencumbered Assets for such Real Estate Business shall be equal to (x) if such Real Estate Business has ceased to be an Acquisition Property or a Development property for one calendar quarter, Unencumbered Combined EBITDA from such Real Estate Business for the most recently ended calendar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251" w:right="339" w:bottom="1440" w:gutter="0" w:footer="0" w:header="0"/>
        </w:sectPr>
      </w:pPr>
    </w:p>
    <w:bookmarkStart w:id="443" w:name="page444"/>
    <w:bookmarkEnd w:id="443"/>
    <w:p>
      <w:pPr>
        <w:jc w:val="both"/>
        <w:ind w:left="626"/>
        <w:spacing w:after="0" w:line="255" w:lineRule="auto"/>
        <w:rPr>
          <w:sz w:val="20"/>
          <w:szCs w:val="20"/>
          <w:color w:val="auto"/>
        </w:rPr>
      </w:pPr>
      <w:r>
        <w:rPr>
          <w:rFonts w:ascii="Times New Roman" w:cs="Times New Roman" w:eastAsia="Times New Roman" w:hAnsi="Times New Roman"/>
          <w:sz w:val="21"/>
          <w:szCs w:val="21"/>
          <w:color w:val="auto"/>
        </w:rPr>
        <w:t>quarter annualized (i.e., multiplied by four), capitalized at the applicable Capitalization Rate, (y) if such Real Estate Business has ceased to be an Acquisition Property or a Development Property for two consecutive calendar quarters, Unencumbered Combined EBITDA from such Real Estate Business for the most recently ended two consecutive calendar quarters annualized (i.e., multiplied by two), capitalized at the applicable Capitalization Rate, and (z) if such Real Estate Business has ceased to be an Acquisition Property or a Development Property for three consecutive calendar quarters, Unencumbered Combined EBITDA from such Real Estate Business for the most recently ended three consecutive calendar quarters annualized (i.e., multiplied by four-thirds), capitalized at the applicable Capitalization Rate;</w:t>
      </w:r>
    </w:p>
    <w:p>
      <w:pPr>
        <w:spacing w:after="0" w:line="17" w:lineRule="exact"/>
        <w:rPr>
          <w:sz w:val="20"/>
          <w:szCs w:val="20"/>
          <w:color w:val="auto"/>
        </w:rPr>
      </w:pPr>
    </w:p>
    <w:p>
      <w:pPr>
        <w:jc w:val="both"/>
        <w:ind w:left="626" w:hanging="626"/>
        <w:spacing w:after="0" w:line="263" w:lineRule="auto"/>
        <w:tabs>
          <w:tab w:leader="none" w:pos="618"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Acquisition Properties that are Unencumbered Assets, individually determined, the greater of (x) Unencumbered Combined EBITDA from such business, for the most recently ended four consecutive calendar quarters, capitalized at the applicable Capitalization Rate and (y) the Gross Book Value of such businesses;</w:t>
      </w:r>
    </w:p>
    <w:p>
      <w:pPr>
        <w:spacing w:after="0" w:line="5" w:lineRule="exact"/>
        <w:rPr>
          <w:rFonts w:ascii="Times New Roman" w:cs="Times New Roman" w:eastAsia="Times New Roman" w:hAnsi="Times New Roman"/>
          <w:sz w:val="21"/>
          <w:szCs w:val="21"/>
          <w:color w:val="auto"/>
        </w:rPr>
      </w:pPr>
    </w:p>
    <w:p>
      <w:pPr>
        <w:ind w:left="626" w:hanging="626"/>
        <w:spacing w:after="0" w:line="279" w:lineRule="auto"/>
        <w:tabs>
          <w:tab w:leader="none" w:pos="487"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Development Properties and Covered Land that are Unencumbered Assets, individually determined, the Gross Book Value of such Development Properties and Covered Land;</w:t>
      </w:r>
    </w:p>
    <w:p>
      <w:pPr>
        <w:spacing w:after="0" w:line="1" w:lineRule="exact"/>
        <w:rPr>
          <w:rFonts w:ascii="Times New Roman" w:cs="Times New Roman" w:eastAsia="Times New Roman" w:hAnsi="Times New Roman"/>
          <w:sz w:val="21"/>
          <w:szCs w:val="21"/>
          <w:color w:val="auto"/>
        </w:rPr>
      </w:pPr>
    </w:p>
    <w:p>
      <w:pPr>
        <w:ind w:left="626" w:hanging="626"/>
        <w:spacing w:after="0" w:line="253" w:lineRule="auto"/>
        <w:tabs>
          <w:tab w:leader="none" w:pos="452"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Real Property UJVs (i) in which either (A) the Borrower has unilateral authority (directly or indirectly) to sell, transfer, encumber or otherwise dispose of the Real Property Assets (or interests in an entity that owns the Real Property Assets) owned by such Real Property UJV which authority may be subject to a right of first offer in favor of Borrower’s joint venture partner or (B) the Borrower has the right to sell its interest in such Real Property UJV (which right may be subject to a right of first offer in favor of its joint venture partner and other customary limitations) or is party to a customary buy-sell agreement with its joint venture partner that enables the Borrower to acquire such partner’s interests in such Real Property UJV and/or obligates such partner to acquire the Borrower’s interests in such Real Property UJV, in each case upon the occurrence of a triggering event, (ii) that are Unencumbered Assets and (iii) which do not have publicly traded shares, individually determined, the greater of (x) the Unencumbered Combined EBITDA from such Real Property UJVs, for the most recently ended four consecutive calendar quarters, capitalized at the applicable Capitalization Rate, and (y) the Net Equity Value of such Real Property UJVs; and</w:t>
      </w:r>
    </w:p>
    <w:p>
      <w:pPr>
        <w:spacing w:after="0" w:line="15" w:lineRule="exact"/>
        <w:rPr>
          <w:rFonts w:ascii="Times New Roman" w:cs="Times New Roman" w:eastAsia="Times New Roman" w:hAnsi="Times New Roman"/>
          <w:sz w:val="21"/>
          <w:szCs w:val="21"/>
          <w:color w:val="auto"/>
        </w:rPr>
      </w:pPr>
    </w:p>
    <w:p>
      <w:pPr>
        <w:ind w:left="626" w:hanging="626"/>
        <w:spacing w:after="0" w:line="256" w:lineRule="auto"/>
        <w:tabs>
          <w:tab w:leader="none" w:pos="472"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duplication, Borrower's Pro Rata Share of Unrestricted Cash and Cash Equivalents, the book value of notes and mortgage loans receivable and capitalized development costs (exclusive of tenant improvements and tenant leasing commission costs), leasing commissions and development fees (but, for clarity, excluding property management fees and fees of BMS Building Services, GMSC and similar affiliated building service providers which shall be treated as Real Property Businesses pursuant to clause (1) above) for the most recently ended four (4) consecutive calendar quarters multiplied by three (3), and the fair market value</w:t>
      </w:r>
    </w:p>
    <w:p>
      <w:pPr>
        <w:spacing w:after="0" w:line="200" w:lineRule="exact"/>
        <w:rPr>
          <w:sz w:val="20"/>
          <w:szCs w:val="20"/>
          <w:color w:val="auto"/>
        </w:rPr>
      </w:pPr>
    </w:p>
    <w:p>
      <w:pPr>
        <w:spacing w:after="0" w:line="324" w:lineRule="exact"/>
        <w:rPr>
          <w:sz w:val="20"/>
          <w:szCs w:val="20"/>
          <w:color w:val="auto"/>
        </w:rPr>
      </w:pPr>
    </w:p>
    <w:p>
      <w:pPr>
        <w:ind w:left="4886"/>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0606"/>
          </w:cols>
          <w:pgMar w:left="954" w:top="1251" w:right="339" w:bottom="1440" w:gutter="0" w:footer="0" w:header="0"/>
        </w:sectPr>
      </w:pPr>
    </w:p>
    <w:bookmarkStart w:id="444" w:name="page445"/>
    <w:bookmarkEnd w:id="444"/>
    <w:p>
      <w:pPr>
        <w:ind w:left="1260"/>
        <w:spacing w:after="0" w:line="293" w:lineRule="auto"/>
        <w:rPr>
          <w:sz w:val="20"/>
          <w:szCs w:val="20"/>
          <w:color w:val="auto"/>
        </w:rPr>
      </w:pPr>
      <w:r>
        <w:rPr>
          <w:rFonts w:ascii="Times New Roman" w:cs="Times New Roman" w:eastAsia="Times New Roman" w:hAnsi="Times New Roman"/>
          <w:sz w:val="21"/>
          <w:szCs w:val="21"/>
          <w:color w:val="auto"/>
        </w:rPr>
        <w:t>of publicly traded securities, in each case that are Unencumbered Assets of Borrower, at such time, all as determined in accordance with GAAP.</w:t>
      </w:r>
    </w:p>
    <w:p>
      <w:pPr>
        <w:spacing w:after="0" w:line="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Notwithstanding the foregoing, the Real Property Asset at 350 Park Avenue in New York City shall be valued at $900,000,000 for purposes of this definition so long as (x) such Real Property Asset is an Unencumbered Asset and (y) the Borrower’s existing put option for such Real Estate Asset remains in full force and effect and any exercise by the counterparty to the put option of its option to form a joint venture to redevelop such Real Property Asset has not closed so long as Borrower would be entitled to exercise the put option if the counterparty defaulted on its obligation to close following exercise of the joint venture option.</w:t>
      </w:r>
    </w:p>
    <w:p>
      <w:pPr>
        <w:spacing w:after="0" w:line="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For the purposes of this definition, (1) for any Disposition of Real Property Assets by a Real Property Business during any calendar quarter, Unencumbered Combined EBITDA will be reduced by actual Unencumbered Combined EBITDA generated from such asset or assets, (2) the aggregate contribution to Capitalization Value of Unencumbered Assets in excess of 20% of the total Capitalization Value of Unencumbered Assets from the aggregate of all Real Property Businesses owned by UJVs (other than the UJV known as Manhattan High Street Holdings LP), and notes and mortgage loans receivable that are Unencumbered Assets (including those owned by UJVs) at such time, as determined in accordance with GAAP, shall not be included in Capitalization Value of Unencumbered Assets, (3) the aggregate contribution to Capitalization Value of Unencumbered Assets from leasing commissions and management and development fees in excess of 15% of Unencumbered Combined EBITDA shall not be included in Capitalization Value of Unencumbered Assets and (4) the aggregate contribution to Capitalization Value of Unencumbered Assets from Development Properties (other than office Development Properties that are at least 75% pre-leased) and Covered Land in excess of 25% shall not be included in Capitalization Value of Unencumbered Assets.</w:t>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Lease</w:t>
      </w:r>
      <w:r>
        <w:rPr>
          <w:rFonts w:ascii="Times New Roman" w:cs="Times New Roman" w:eastAsia="Times New Roman" w:hAnsi="Times New Roman"/>
          <w:sz w:val="21"/>
          <w:szCs w:val="21"/>
          <w:color w:val="auto"/>
        </w:rPr>
        <w:t>” means any lease which has been or should be capitalized on the books of the lessee in accordance 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GAAP.</w:t>
      </w:r>
    </w:p>
    <w:p>
      <w:pPr>
        <w:spacing w:after="0" w:line="36"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or Cash Equivalents</w:t>
      </w:r>
      <w:r>
        <w:rPr>
          <w:rFonts w:ascii="Times New Roman" w:cs="Times New Roman" w:eastAsia="Times New Roman" w:hAnsi="Times New Roman"/>
          <w:sz w:val="21"/>
          <w:szCs w:val="21"/>
          <w:color w:val="auto"/>
        </w:rPr>
        <w:t>” means (a) cash; (b) marketable direct obligations issued or unconditionally guaranteed by the United States Government or issued by an agency thereof and backed by the full faith and credit of the United States, in each case maturing within one (1) year after the date of acquisition thereof; (c) marketable direct obligations issued by any state of the United States of America or any political subdivision of any such state or any public instrumentality thereof maturing within ninety (90) days after the date of acquisition thereof and, at the time of acquisition, having one of the two highest ratings obtainable from any two of S&amp;P, Moody’s or Fitch (or, if at any time no two of the foregoing shall be rating such obligations, then from such other nationally recognized rating services as are reasonably acceptable to Administrative Agent); (d) domestic corporate bonds, other than domestic corporate bonds issued by Borrower or any of its Affiliates, maturing no more than two (2) years after the date of acquisition thereof and, at the time of acquisition, having a rating of at least A or the equivalent from any two (2) of S&amp;P, Moody’s or Fitch (or, if at any time no two of the foregoing shall be rating such obligations, then from such other nationally recognized rating services as are reasonably acceptable to Administrative Agent); (e) variable-rate domestic corporate notes or medium term corporate notes, other than notes issued by Borrower or any of its Affiliates, maturing or resetting no more than one (1) year after the date of acquisition thereof and having a rating of</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251" w:right="339" w:bottom="1440" w:gutter="0" w:footer="0" w:header="0"/>
        </w:sectPr>
      </w:pPr>
    </w:p>
    <w:bookmarkStart w:id="445" w:name="page446"/>
    <w:bookmarkEnd w:id="445"/>
    <w:p>
      <w:pPr>
        <w:jc w:val="both"/>
        <w:spacing w:after="0" w:line="252" w:lineRule="auto"/>
        <w:rPr>
          <w:sz w:val="20"/>
          <w:szCs w:val="20"/>
          <w:color w:val="auto"/>
        </w:rPr>
      </w:pPr>
      <w:r>
        <w:rPr>
          <w:rFonts w:ascii="Times New Roman" w:cs="Times New Roman" w:eastAsia="Times New Roman" w:hAnsi="Times New Roman"/>
          <w:sz w:val="21"/>
          <w:szCs w:val="21"/>
          <w:color w:val="auto"/>
        </w:rPr>
        <w:t>at least A or the equivalent from two of S&amp;P, Moody’s or Fitch (or, if at any time no two of the foregoing shall be rating such obligations, then from such other nationally recognized rating services as are reasonably acceptable to Administrative Agent); (f) commercial paper (foreign and domestic) or master notes, other than commercial paper or master notes issued by Borrower or any of its Affiliates, and, at the time of acquisition, having a long-term rating of at least A or the equivalent from S&amp;P, Moody’s or Fitch and having a short-term rating of at least A-2 and P-2 from S&amp;P and Moody’s, respectively (or, if at any time neither S&amp;P nor Moody’s shall be rating such obligations, then the highest rating from such other nationally recognized rating services as are reasonably acceptable to Administrative Agent); (g) domestic and foreign certificates of deposit or domestic time deposits or foreign deposits or bankers’ acceptances (foreign or domestic) in Dollars, Hong Kong Dollars, Singapore Dollars, Pounds Sterling, Euros or Yen that are issued by a bank (I) which has, at the time of acquisition, a long-term rating of at least A or the equivalent from S&amp;P, Moody’s or Fitch (or, if at any time no two of the foregoing shall be rating such obligations, then from such other nationally recognized rating services as are reasonably acceptable to Administrative Agent) and (II) if a domestic bank, which is a member of the Federal Deposit Insurance Corporation; (h) overnight securities repurchase agreements, or reverse repurchase agreements secured by any of the foregoing types of securities or debt instruments, provided that the collateral supporting such repurchase agreements shall have a value not less than 101% of the principal amount of the repurchase agreement plus accrued interest; and (i) money market funds invested in investments substantially all of which consist of the items described in clauses (a) through (h) above.</w:t>
      </w:r>
    </w:p>
    <w:p>
      <w:pPr>
        <w:spacing w:after="0" w:line="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Charges</w:t>
      </w:r>
      <w:r>
        <w:rPr>
          <w:rFonts w:ascii="Times New Roman" w:cs="Times New Roman" w:eastAsia="Times New Roman" w:hAnsi="Times New Roman"/>
          <w:sz w:val="21"/>
          <w:szCs w:val="21"/>
          <w:color w:val="auto"/>
        </w:rPr>
        <w:t>” has the meaning specified in Section 2.07.</w:t>
      </w:r>
    </w:p>
    <w:p>
      <w:pPr>
        <w:spacing w:after="0" w:line="47"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Date</w:t>
      </w:r>
      <w:r>
        <w:rPr>
          <w:rFonts w:ascii="Times New Roman" w:cs="Times New Roman" w:eastAsia="Times New Roman" w:hAnsi="Times New Roman"/>
          <w:sz w:val="21"/>
          <w:szCs w:val="21"/>
          <w:color w:val="auto"/>
        </w:rPr>
        <w:t>” means the date on which the conditions specified in Section 4.01 are satisfied (or waived in accordance with Section 12.02).</w:t>
      </w:r>
    </w:p>
    <w:p>
      <w:pPr>
        <w:spacing w:after="0" w:line="2" w:lineRule="exact"/>
        <w:rPr>
          <w:sz w:val="20"/>
          <w:szCs w:val="20"/>
          <w:color w:val="auto"/>
        </w:rPr>
      </w:pPr>
    </w:p>
    <w:p>
      <w:pPr>
        <w:jc w:val="both"/>
        <w:ind w:firstLine="629"/>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CME Term SOFR Administrator</w:t>
      </w:r>
      <w:r>
        <w:rPr>
          <w:rFonts w:ascii="Times New Roman" w:cs="Times New Roman" w:eastAsia="Times New Roman" w:hAnsi="Times New Roman"/>
          <w:sz w:val="21"/>
          <w:szCs w:val="21"/>
          <w:color w:val="auto"/>
        </w:rPr>
        <w:t>” means CME Group Benchmark Administration Limited as administrator of the forward-looking term Secured Overnight Financing Rate (SOFR) (or a successor administrator).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w:t>
      </w:r>
    </w:p>
    <w:p>
      <w:pPr>
        <w:spacing w:after="0" w:line="47"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Combined EBITDA</w:t>
      </w:r>
      <w:r>
        <w:rPr>
          <w:rFonts w:ascii="Times New Roman" w:cs="Times New Roman" w:eastAsia="Times New Roman" w:hAnsi="Times New Roman"/>
          <w:sz w:val="21"/>
          <w:szCs w:val="21"/>
          <w:color w:val="auto"/>
        </w:rPr>
        <w:t>” means, for any period, the Borrower’s Pro Rata Share of net income or loss plus Interest Expense, income taxes, depreciation and amortization and excluding the effect of non-recurring items (such as, without limitation, (i) gains or losses from asset sales, (ii) gains or losses from debt restructurings or write-ups or forgiveness of indebtedness, and costs and expenses incurred during such period with respect to acquisitions, dispositions, investments, or debt or equity financings (whether or not consummated) during such period, and (iii) non-cash gains or losses from impairments, hedging transactions or foreign currency fluctuations), all as determined in accordance with GAAP, of Consolidated Businesses and UJVs (provided, however, that for purposes of determining the ratio of Combined EBITDA to Fixed Charges, Combined EBITDA of UJVs shall exclude UJVs that are not either Real Property UJVs or UJVs formed to make, acquire or manage mortgage loans, mezzanine loans and/or other real estate credit investments), as the case may be, multiplied by four, provided however, that Combined EBITDA shall include only general and administrative expenses that are attributable to the management and operation of the assets in accordance with GAAP and shall not include any corporate general and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251" w:right="33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21"/>
          <w:szCs w:val="21"/>
          <w:color w:val="auto"/>
        </w:rPr>
        <w:t>administrative expenses of Borrower, General Partner, Consolidated Businesses or UJVs (e.g., salaries of corporate officers).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Communications</w:t>
      </w:r>
      <w:r>
        <w:rPr>
          <w:rFonts w:ascii="Times New Roman" w:cs="Times New Roman" w:eastAsia="Times New Roman" w:hAnsi="Times New Roman"/>
          <w:sz w:val="21"/>
          <w:szCs w:val="21"/>
          <w:color w:val="auto"/>
        </w:rPr>
        <w:t>” has the meaning specified in Section 12.07(d)(iii).</w:t>
      </w:r>
    </w:p>
    <w:p>
      <w:pPr>
        <w:spacing w:after="0" w:line="165"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Businesses</w:t>
      </w:r>
      <w:r>
        <w:rPr>
          <w:rFonts w:ascii="Times New Roman" w:cs="Times New Roman" w:eastAsia="Times New Roman" w:hAnsi="Times New Roman"/>
          <w:sz w:val="21"/>
          <w:szCs w:val="21"/>
          <w:color w:val="auto"/>
        </w:rPr>
        <w:t>” means, at any time, the Borrower and Subsidiaries of the Borrower that the Borrower consolidates in its consolidated financial statements prepared in accordance with GAAP, provided, however, that UJVs which are consolidated in accordance with GAAP are not Consolidated Businesses.</w:t>
      </w:r>
    </w:p>
    <w:p>
      <w:pPr>
        <w:spacing w:after="0" w:line="110"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Continue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Continuation</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Continued</w:t>
      </w:r>
      <w:r>
        <w:rPr>
          <w:rFonts w:ascii="Times New Roman" w:cs="Times New Roman" w:eastAsia="Times New Roman" w:hAnsi="Times New Roman"/>
          <w:sz w:val="21"/>
          <w:szCs w:val="21"/>
          <w:color w:val="auto"/>
        </w:rPr>
        <w:t>” refer to the continuation pursuant to Section 2.12 of a Term Benchmark Loan as a Term Benchmark Loan from one Interest Period to the next interest Period.</w:t>
      </w:r>
    </w:p>
    <w:p>
      <w:pPr>
        <w:spacing w:after="0" w:line="78"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Convert</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Conversion</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Converted</w:t>
      </w:r>
      <w:r>
        <w:rPr>
          <w:rFonts w:ascii="Times New Roman" w:cs="Times New Roman" w:eastAsia="Times New Roman" w:hAnsi="Times New Roman"/>
          <w:sz w:val="21"/>
          <w:szCs w:val="21"/>
          <w:color w:val="auto"/>
        </w:rPr>
        <w:t>” refer to a conversion pursuant to Section 2.12 of (x) a Base Rate Loan into a Term Benchmark Loan or a RFR Loan, (y) a RFR Loan into a Base Rate Loan or a Term Benchmark Loan, or (z) a Term Benchmark Loan into a Base Rate Loan or a RFR Loan, each of which may be accompanied by the transfer by a Bank (at its sole discretion) of all or a portion of its Ratable Loan from one Applicable Lending Office to another.</w:t>
      </w:r>
    </w:p>
    <w:p>
      <w:pPr>
        <w:spacing w:after="0" w:line="114"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Corresponding Tenor</w:t>
      </w:r>
      <w:r>
        <w:rPr>
          <w:rFonts w:ascii="Times New Roman" w:cs="Times New Roman" w:eastAsia="Times New Roman" w:hAnsi="Times New Roman"/>
          <w:sz w:val="21"/>
          <w:szCs w:val="21"/>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means any of the following:</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 “covered entity” as that term is defined in, and interpreted in accordance with, 12 C.F.R. § 252.82(b);</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 “covered bank” as that term is defined in, and interpreted in accordance with, 12 C.F.R. § 47.3(b); or</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 “covered FSI” as that term is defined in, and interpreted in accordance with, 12 C.F.R. § 382.2(b).</w:t>
      </w:r>
    </w:p>
    <w:p>
      <w:pPr>
        <w:spacing w:after="0" w:line="178"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Land</w:t>
      </w:r>
      <w:r>
        <w:rPr>
          <w:rFonts w:ascii="Times New Roman" w:cs="Times New Roman" w:eastAsia="Times New Roman" w:hAnsi="Times New Roman"/>
          <w:sz w:val="21"/>
          <w:szCs w:val="21"/>
          <w:color w:val="auto"/>
        </w:rPr>
        <w:t xml:space="preserve">” means, initially, the Real Property Assets set forth on </w:t>
      </w:r>
      <w:r>
        <w:rPr>
          <w:rFonts w:ascii="Times New Roman" w:cs="Times New Roman" w:eastAsia="Times New Roman" w:hAnsi="Times New Roman"/>
          <w:sz w:val="21"/>
          <w:szCs w:val="21"/>
          <w:u w:val="single" w:color="auto"/>
          <w:color w:val="auto"/>
        </w:rPr>
        <w:t>Schedule 5</w:t>
      </w:r>
      <w:r>
        <w:rPr>
          <w:rFonts w:ascii="Times New Roman" w:cs="Times New Roman" w:eastAsia="Times New Roman" w:hAnsi="Times New Roman"/>
          <w:sz w:val="21"/>
          <w:szCs w:val="21"/>
          <w:color w:val="auto"/>
        </w:rPr>
        <w:t xml:space="preserve"> and any subsequent Real Property Asset acquired with the intention of developing or redeveloping the Real Property Asset or holding such Real Property Asset for the purpose of creating an assemblage for potential future development, in each case until such Real Estate Asset becomes a Development Property.</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has the meaning assigned to it in Section 12.27.</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Party</w:t>
      </w:r>
      <w:r>
        <w:rPr>
          <w:rFonts w:ascii="Times New Roman" w:cs="Times New Roman" w:eastAsia="Times New Roman" w:hAnsi="Times New Roman"/>
          <w:sz w:val="21"/>
          <w:szCs w:val="21"/>
          <w:color w:val="auto"/>
        </w:rPr>
        <w:t>” means the Administrative Agent, any Sustainability Structuring Agent, any Fronting Bank or any other Bank.</w:t>
      </w:r>
    </w:p>
    <w:p>
      <w:pPr>
        <w:spacing w:after="0" w:line="165"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Rating</w:t>
      </w:r>
      <w:r>
        <w:rPr>
          <w:rFonts w:ascii="Times New Roman" w:cs="Times New Roman" w:eastAsia="Times New Roman" w:hAnsi="Times New Roman"/>
          <w:sz w:val="21"/>
          <w:szCs w:val="21"/>
          <w:color w:val="auto"/>
        </w:rPr>
        <w:t>” means the rating assigned by Moody’s, S&amp;P, and/or Fitch to Borrower’s senior unsecured long-term indebtedness.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251" w:right="339" w:bottom="1440" w:gutter="0" w:footer="0" w:header="0"/>
        </w:sectPr>
      </w:pPr>
    </w:p>
    <w:bookmarkStart w:id="447" w:name="page448"/>
    <w:bookmarkEnd w:id="447"/>
    <w:p>
      <w:pPr>
        <w:jc w:val="both"/>
        <w:ind w:firstLine="629"/>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Effective SOFR Rate</w:t>
      </w:r>
      <w:r>
        <w:rPr>
          <w:rFonts w:ascii="Times New Roman" w:cs="Times New Roman" w:eastAsia="Times New Roman" w:hAnsi="Times New Roman"/>
          <w:sz w:val="21"/>
          <w:szCs w:val="21"/>
          <w:color w:val="auto"/>
        </w:rPr>
        <w:t>” means, for any day (a “</w:t>
      </w:r>
      <w:r>
        <w:rPr>
          <w:rFonts w:ascii="Times New Roman" w:cs="Times New Roman" w:eastAsia="Times New Roman" w:hAnsi="Times New Roman"/>
          <w:sz w:val="21"/>
          <w:szCs w:val="21"/>
          <w:u w:val="single" w:color="auto"/>
          <w:color w:val="auto"/>
        </w:rPr>
        <w:t>SOFR Rate Day</w:t>
      </w:r>
      <w:r>
        <w:rPr>
          <w:rFonts w:ascii="Times New Roman" w:cs="Times New Roman" w:eastAsia="Times New Roman" w:hAnsi="Times New Roman"/>
          <w:sz w:val="21"/>
          <w:szCs w:val="21"/>
          <w:color w:val="auto"/>
        </w:rPr>
        <w:t xml:space="preserve">”), a rate per annum equal to SOFR effective for such SOFR Rate Day (or, if not a Banking Day, the Banking Day preceding such SOFR Rate Day), in each case, as such SOFR is published by the SOFR Administrator on the SOFR Administrator’s Website;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Daily Effective SOFR Rate as so determined would be less than the Floor, such rate shall be deemed to be equal to the Floor for the purposes of this Agreement. Any change in Daily Effective SOFR Rate due to a change in SOFR shall be effective from and including the effective date of such change in SOFR without notice to the Borrower. If by 5:00 p.m. (New York City time) on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U.S. Government Securities Business Day immediately following any SOFR Rate Day, SOFR in respect of such SOFR Rate Day has not been published on the SOFR Administrator’s Website and a Benchmark Replacement Date with respect to the Daily Effective SOFR Rate has not occurred, then SOFR for such SOFR Rate Day will be SOFR as published in respect of the first preceding U.S. Government Securities Business Day for which such SOFR was published on the SOFR Administrator’s Website.</w:t>
      </w:r>
    </w:p>
    <w:p>
      <w:pPr>
        <w:spacing w:after="0" w:line="21"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w:t>
      </w:r>
      <w:r>
        <w:rPr>
          <w:rFonts w:ascii="Times New Roman" w:cs="Times New Roman" w:eastAsia="Times New Roman" w:hAnsi="Times New Roman"/>
          <w:sz w:val="21"/>
          <w:szCs w:val="21"/>
          <w:color w:val="auto"/>
        </w:rPr>
        <w:t>” means, at any time, without duplication, (i) all indebtedness and liabilities of a Person for borrowed money, secured or unsecured, including mortgage and other notes payable (but excluding any indebtedness to the extent secured by cash or cash equivalents or marketable securities, or defeased), as determined in accordance with GAAP, and (ii) without duplication, all liabilities of a Person consisting of indebtedness for borrowed money, determined in accordance with GAAP, that are or would be stated and quantified as contingent liabilities in the notes to the consolidated financial statements of such Person as of that date. For purposes of determining “Total Outstanding Indebtedness” and “Debt”, the term “without duplication” shall mean (without limitation) that amounts loaned from one Person to a second Person that under GAAP would be consolidated with the first Person shall not be treated as Debt of the second Person.</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means any event which with the giving of notice or lapse of time, or both, would become an Event of Default.</w:t>
      </w:r>
    </w:p>
    <w:p>
      <w:pPr>
        <w:spacing w:after="0" w:line="60"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means any Bank that (a) has failed, within three Banking Days of the date required to be funded or paid, to (i) fund any portion of its Loans, (ii) fund any portion of its participations in Letters of Credit or (iii) pay over to any Credit Party any other amount required to be paid by it hereunder, unless, in the case of clause (i) above, such Bank notifies the Administrative Agent in writing that such failure is the result of such Bank’s good faith determination that a condition precedent to funding (specifically identified and including the particular default, if any) has not been satisfied, or, in the case of clause (iii) above, such Bank notifies the Administrative Agent in writing that such failure is the result of a good faith dispute which has been specifically identified,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Bank’s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Banking Days after request by the Administrative Agent, a Fronting Bank or Borrower, acting in good faith, to provide a certification in writing from an authorized officer of such Bank that it will comply with its obligations to fund prospective Loans and participations in then outstanding Letters of Credit under this Agreement, provided that such</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251" w:right="339" w:bottom="1440" w:gutter="0" w:footer="0" w:header="0"/>
        </w:sectPr>
      </w:pPr>
    </w:p>
    <w:bookmarkStart w:id="448" w:name="page449"/>
    <w:bookmarkEnd w:id="448"/>
    <w:p>
      <w:pPr>
        <w:jc w:val="both"/>
        <w:spacing w:after="0" w:line="262" w:lineRule="auto"/>
        <w:rPr>
          <w:sz w:val="20"/>
          <w:szCs w:val="20"/>
          <w:color w:val="auto"/>
        </w:rPr>
      </w:pPr>
      <w:r>
        <w:rPr>
          <w:rFonts w:ascii="Times New Roman" w:cs="Times New Roman" w:eastAsia="Times New Roman" w:hAnsi="Times New Roman"/>
          <w:sz w:val="21"/>
          <w:szCs w:val="21"/>
          <w:color w:val="auto"/>
        </w:rPr>
        <w:t>Bank shall cease to be a Defaulting Lender pursuant to this clause (c) upon the Administrative Agent’s, such Fronting Bank’s or Borrower’s (with simultaneous notice to the Administrative Agent) (as applicable) receipt of such certification in form and substance reasonably satisfactory to it or them (as applicable), or (d) has, or has a direct or indirect parent company that has, become the subject of a Bankruptcy Event or a Bail-In Action.</w:t>
      </w:r>
    </w:p>
    <w:p>
      <w:pPr>
        <w:spacing w:after="0" w:line="7"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Rate</w:t>
      </w:r>
      <w:r>
        <w:rPr>
          <w:rFonts w:ascii="Times New Roman" w:cs="Times New Roman" w:eastAsia="Times New Roman" w:hAnsi="Times New Roman"/>
          <w:sz w:val="21"/>
          <w:szCs w:val="21"/>
          <w:color w:val="auto"/>
        </w:rPr>
        <w:t>” means a rate per annum equal to: (1) with respect to Base Rate Loans or RFR Loans, a variable rate of three percent (3%) plus the rate of interest then in effect thereon (including the Applicable Margin); and (2) with respect to Term Benchmark Loans, a fixed rate of three percent (3%) plus the rate(s) of interest in effect thereon (including the Applicable Margin) at the time of any Default or Event of Default until the end of the then current Interest Period therefor and, thereafter, a variable rate of three percent (3%) plus the rate of interest for a Base Rate Loan (including the Applicable Margin).</w:t>
      </w:r>
    </w:p>
    <w:p>
      <w:pPr>
        <w:spacing w:after="0" w:line="169"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Development Property</w:t>
      </w:r>
      <w:r>
        <w:rPr>
          <w:rFonts w:ascii="Times New Roman" w:cs="Times New Roman" w:eastAsia="Times New Roman" w:hAnsi="Times New Roman"/>
          <w:sz w:val="21"/>
          <w:szCs w:val="21"/>
          <w:color w:val="auto"/>
        </w:rPr>
        <w:t>” means any Real Property Assets which are owned by the Borrower or any of its Consolidated Businesses or any UJV, and which are under development or redevelopment, provided that Real Property Assets shall cease to be Development Properties as of the earlier to occur of (a) the date which is (i) thirty (30) months after the earlier of (x) completion of construction thereof (as evidenced by a permanent certificate of occupancy or its equivalent permitting the use and occupancy thereof for their regular intended uses) and (y) the date on which no portion of such asset is construction in process in accordance with GAAP for office Real Property Assets located in New York City and (ii) twenty-four (24) months after the earlier of (x) completion of construction thereof (as evidenced by a permanent certificate of occupancy or its equivalent permitting the use and occupancy thereof for their regular intended uses) and (y) the date on which no portion of such asset is construction in process in accordance with GAAP for all other Real Property Assets, and (b) the last day of the first fiscal quarter in which the Occupancy Rate of such Development Property has averaged eighty-five percent (85%) or more; provided that Penn 1 and Penn 2 in New York City will be treated as Development Properties until December 31, 2026 and the condominiums at 220 Central Park South in New York City will be treated as a Development Property until December 31, 2026. Notwithstanding the foregoing, Borrower may irrevocably elect by written notice to the Administrative Agent (which may be by email) to cease treating any asset as a Development Property as of a date earlier than that provided by this definition.</w:t>
      </w:r>
    </w:p>
    <w:p>
      <w:pPr>
        <w:spacing w:after="0" w:line="183"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Disposition</w:t>
      </w:r>
      <w:r>
        <w:rPr>
          <w:rFonts w:ascii="Times New Roman" w:cs="Times New Roman" w:eastAsia="Times New Roman" w:hAnsi="Times New Roman"/>
          <w:sz w:val="21"/>
          <w:szCs w:val="21"/>
          <w:color w:val="auto"/>
        </w:rPr>
        <w:t>” means a sale (whether by assignment, transfer or Capital Lease) of an asset (whether effected pursuant to a division or otherwise).</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Dollars</w:t>
      </w:r>
      <w:r>
        <w:rPr>
          <w:rFonts w:ascii="Times New Roman" w:cs="Times New Roman" w:eastAsia="Times New Roman" w:hAnsi="Times New Roman"/>
          <w:sz w:val="21"/>
          <w:szCs w:val="21"/>
          <w:color w:val="auto"/>
        </w:rPr>
        <w:t>” and the sign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 lawful money of the United States of America.</w:t>
      </w:r>
    </w:p>
    <w:p>
      <w:pPr>
        <w:spacing w:after="0" w:line="217"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Financial Institution</w:t>
      </w:r>
      <w:r>
        <w:rPr>
          <w:rFonts w:ascii="Times New Roman" w:cs="Times New Roman" w:eastAsia="Times New Roman" w:hAnsi="Times New Roman"/>
          <w:sz w:val="21"/>
          <w:szCs w:val="21"/>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251" w:right="339" w:bottom="1440" w:gutter="0" w:footer="0" w:header="0"/>
        </w:sectPr>
      </w:pPr>
    </w:p>
    <w:bookmarkStart w:id="449" w:name="page450"/>
    <w:bookmarkEnd w:id="449"/>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Member Country</w:t>
      </w:r>
      <w:r>
        <w:rPr>
          <w:rFonts w:ascii="Times New Roman" w:cs="Times New Roman" w:eastAsia="Times New Roman" w:hAnsi="Times New Roman"/>
          <w:sz w:val="21"/>
          <w:szCs w:val="21"/>
          <w:color w:val="auto"/>
        </w:rPr>
        <w:t>” means any of the member states of the European Union, Iceland, Liechtenstein, and Norway.</w:t>
      </w:r>
    </w:p>
    <w:p>
      <w:pPr>
        <w:spacing w:after="0" w:line="178"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Resolution Authority</w:t>
      </w:r>
      <w:r>
        <w:rPr>
          <w:rFonts w:ascii="Times New Roman" w:cs="Times New Roman" w:eastAsia="Times New Roman" w:hAnsi="Times New Roman"/>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10"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Election</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Elected</w:t>
      </w:r>
      <w:r>
        <w:rPr>
          <w:rFonts w:ascii="Times New Roman" w:cs="Times New Roman" w:eastAsia="Times New Roman" w:hAnsi="Times New Roman"/>
          <w:sz w:val="21"/>
          <w:szCs w:val="21"/>
          <w:color w:val="auto"/>
        </w:rPr>
        <w:t>” refer to elections, if any, by Borrower pursuant to Section 2.12 to have all or a portion of an advance of the Ratable Loans be outstanding as Term Benchmark Loans.</w:t>
      </w:r>
    </w:p>
    <w:p>
      <w:pPr>
        <w:spacing w:after="0" w:line="105"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Signature</w:t>
      </w:r>
      <w:r>
        <w:rPr>
          <w:rFonts w:ascii="Times New Roman" w:cs="Times New Roman" w:eastAsia="Times New Roman" w:hAnsi="Times New Roman"/>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88" w:lineRule="exact"/>
        <w:rPr>
          <w:sz w:val="20"/>
          <w:szCs w:val="20"/>
          <w:color w:val="auto"/>
        </w:rPr>
      </w:pPr>
    </w:p>
    <w:p>
      <w:pPr>
        <w:jc w:val="both"/>
        <w:ind w:firstLine="629"/>
        <w:spacing w:after="0" w:line="23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System</w:t>
      </w:r>
      <w:r>
        <w:rPr>
          <w:rFonts w:ascii="Times New Roman" w:cs="Times New Roman" w:eastAsia="Times New Roman" w:hAnsi="Times New Roman"/>
          <w:sz w:val="21"/>
          <w:szCs w:val="21"/>
          <w:color w:val="auto"/>
        </w:rPr>
        <w:t>” means any electronic system, including e-mail, e-fax, Intralinks</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ClearPar®, Debt Domain, Syndtrak and any other Internet or extranet-based site, whether such electronic system is owned, operated or hosted by the Administrative Agent and any of its Affiliates or any other Person, providing for access to data protected by passcodes or other security system(s) and chosen by the Administrative Agent to be its electronic transmission system.</w:t>
      </w:r>
    </w:p>
    <w:p>
      <w:pPr>
        <w:spacing w:after="0" w:line="14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Discharge</w:t>
      </w:r>
      <w:r>
        <w:rPr>
          <w:rFonts w:ascii="Times New Roman" w:cs="Times New Roman" w:eastAsia="Times New Roman" w:hAnsi="Times New Roman"/>
          <w:sz w:val="21"/>
          <w:szCs w:val="21"/>
          <w:color w:val="auto"/>
        </w:rPr>
        <w:t>” means any discharge or release of any Hazardous Materials in violation of any applicable Environmental Law.</w:t>
      </w:r>
    </w:p>
    <w:p>
      <w:pPr>
        <w:spacing w:after="0" w:line="91"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w:t>
      </w:r>
      <w:r>
        <w:rPr>
          <w:rFonts w:ascii="Times New Roman" w:cs="Times New Roman" w:eastAsia="Times New Roman" w:hAnsi="Times New Roman"/>
          <w:sz w:val="21"/>
          <w:szCs w:val="21"/>
          <w:color w:val="auto"/>
        </w:rPr>
        <w:t>” means any applicable Law relating to pollution or the environment, including Laws relating to noise or to emissions, discharges, releases or threatened releases of Hazardous Materials into the work place, the community or the environment, or otherwise relating to the generation, manufacture, processing, distribution, use, treatment, storage, disposal, transport or handling of Hazardous Materials.</w:t>
      </w:r>
    </w:p>
    <w:p>
      <w:pPr>
        <w:spacing w:after="0" w:line="111"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Notice</w:t>
      </w:r>
      <w:r>
        <w:rPr>
          <w:rFonts w:ascii="Times New Roman" w:cs="Times New Roman" w:eastAsia="Times New Roman" w:hAnsi="Times New Roman"/>
          <w:sz w:val="21"/>
          <w:szCs w:val="21"/>
          <w:color w:val="auto"/>
        </w:rPr>
        <w:t>” means any written complaint, order, citation, letter, inquiry, notice or other written communication from any Person (1) affecting or relating to Borrower’s compliance with any Environmental Law in connection with any activity or operations at any time conducted by Borrower, (2) relating to the occurrence or presence of or exposure to or possible or threatened or alleged occurrence or presence of or exposure to Environmental Discharges or Hazardous Materials at any of Borrower’s locations or facilities, including, without limitation: (a) the existence of any contamination or possible or threatened contamination at any such location or facility and (b) remediation of any Environmental Discharge or Hazardous Materials at any such location or facility or any part thereof; and (3) any violation or alleged violation of any relevant Environmental Law.</w:t>
      </w:r>
    </w:p>
    <w:p>
      <w:pPr>
        <w:spacing w:after="0" w:line="6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Employee Retirement Income Security Act of 1974, including the rules and regulations promulgated thereunder.</w:t>
      </w:r>
    </w:p>
    <w:p>
      <w:pPr>
        <w:spacing w:after="0" w:line="39"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Affiliate</w:t>
      </w:r>
      <w:r>
        <w:rPr>
          <w:rFonts w:ascii="Times New Roman" w:cs="Times New Roman" w:eastAsia="Times New Roman" w:hAnsi="Times New Roman"/>
          <w:sz w:val="21"/>
          <w:szCs w:val="21"/>
          <w:color w:val="auto"/>
        </w:rPr>
        <w:t>” means any corporation or trade or business which is a member of the same controlled group of organizations (within the meaning of Section 414(b) of the Code) as Borrower or General Partner or is under common control (within the meaning of Section 414(c)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251" w:right="339" w:bottom="1440" w:gutter="0" w:footer="0" w:header="0"/>
        </w:sectPr>
      </w:pPr>
    </w:p>
    <w:bookmarkStart w:id="450" w:name="page451"/>
    <w:bookmarkEnd w:id="450"/>
    <w:p>
      <w:pPr>
        <w:jc w:val="both"/>
        <w:spacing w:after="0" w:line="279" w:lineRule="auto"/>
        <w:rPr>
          <w:sz w:val="20"/>
          <w:szCs w:val="20"/>
          <w:color w:val="auto"/>
        </w:rPr>
      </w:pPr>
      <w:r>
        <w:rPr>
          <w:rFonts w:ascii="Times New Roman" w:cs="Times New Roman" w:eastAsia="Times New Roman" w:hAnsi="Times New Roman"/>
          <w:sz w:val="21"/>
          <w:szCs w:val="21"/>
          <w:color w:val="auto"/>
        </w:rPr>
        <w:t>of the Code) with Borrower or General Partner or is required to be treated as a single employer with Borrower or General Partner under Section 414(m) or 414(o) of the Code.</w:t>
      </w:r>
    </w:p>
    <w:p>
      <w:pPr>
        <w:spacing w:after="0" w:line="2"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 Bail-In Legislation Schedule</w:t>
      </w:r>
      <w:r>
        <w:rPr>
          <w:rFonts w:ascii="Times New Roman" w:cs="Times New Roman" w:eastAsia="Times New Roman" w:hAnsi="Times New Roman"/>
          <w:sz w:val="21"/>
          <w:szCs w:val="21"/>
          <w:color w:val="auto"/>
        </w:rPr>
        <w:t>” means the EU Bail-In Legislation Schedule published by the Loan Market Association (or any successor person), as in effect from time to time.</w:t>
      </w:r>
    </w:p>
    <w:p>
      <w:pPr>
        <w:spacing w:after="0" w:line="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has the meaning specified in Section 9.01.</w:t>
      </w:r>
    </w:p>
    <w:p>
      <w:pPr>
        <w:spacing w:after="0" w:line="112"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means any of the following Taxes imposed on or with respect to a Recipient or required to be withheld or deducted from a payment to a Recipient: (a) Taxes imposed on or measured by net income (however denominated), profits or gains, franchise Taxes (imposed in lieu of income Taxes), and branch profits Taxes (or any similar Taxes), in each case, (i) imposed as a result of such Recipient being organized under the laws of, or having its principal office or, in the case of any Bank, its applicable lending office located in, the jurisdiction imposing such Tax (or any political subdivision thereof) or (ii) that are Other Connection Taxes, (b) in the case of a Bank, U.S. Federal withholding Taxes imposed on amounts payable to or for the account of such Bank with respect to an applicable interest in a Loan, Letter of Credit or Loan Commitment pursuant to a law in effect on the date on which (i) such Bank acquires such interest in such Loan, Letter of Credit or Loan Commitment (other than pursuant to an assignment requested by the Borrower under Section 3.07) or (ii) such Bank changes its lending office, except in each case to the extent that, pursuant to Section 10.13, amounts with respect to such Taxes were payable either to such Bank's assignor immediately before such Bank acquired the applicable interest in a Loan, Letter of Credit or Loan Commitment or to such Bank immediately before it changed its lending office, (c) Taxes attributable to such Recipient's failure to comply with Section 10.13 and (d) any U.S. Federal withholding Taxes imposed under FATCA.</w:t>
      </w:r>
    </w:p>
    <w:p>
      <w:pPr>
        <w:spacing w:after="0" w:line="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Execution Date</w:t>
      </w:r>
      <w:r>
        <w:rPr>
          <w:rFonts w:ascii="Times New Roman" w:cs="Times New Roman" w:eastAsia="Times New Roman" w:hAnsi="Times New Roman"/>
          <w:sz w:val="21"/>
          <w:szCs w:val="21"/>
          <w:color w:val="auto"/>
        </w:rPr>
        <w:t>” means the date of this Agreement.</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2022 Credit Agreement</w:t>
      </w:r>
      <w:r>
        <w:rPr>
          <w:rFonts w:ascii="Times New Roman" w:cs="Times New Roman" w:eastAsia="Times New Roman" w:hAnsi="Times New Roman"/>
          <w:sz w:val="21"/>
          <w:szCs w:val="21"/>
          <w:color w:val="auto"/>
        </w:rPr>
        <w:t>” has the meaning specified in the recitals.</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Exiting Bank</w:t>
      </w:r>
      <w:r>
        <w:rPr>
          <w:rFonts w:ascii="Times New Roman" w:cs="Times New Roman" w:eastAsia="Times New Roman" w:hAnsi="Times New Roman"/>
          <w:sz w:val="21"/>
          <w:szCs w:val="21"/>
          <w:color w:val="auto"/>
        </w:rPr>
        <w:t>” has the meaning specified in Section 12.24(a).</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Extension Date</w:t>
      </w:r>
      <w:r>
        <w:rPr>
          <w:rFonts w:ascii="Times New Roman" w:cs="Times New Roman" w:eastAsia="Times New Roman" w:hAnsi="Times New Roman"/>
          <w:sz w:val="21"/>
          <w:szCs w:val="21"/>
          <w:color w:val="auto"/>
        </w:rPr>
        <w:t>” has the meaning specified in Section 2.18.</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Extension Notice</w:t>
      </w:r>
      <w:r>
        <w:rPr>
          <w:rFonts w:ascii="Times New Roman" w:cs="Times New Roman" w:eastAsia="Times New Roman" w:hAnsi="Times New Roman"/>
          <w:sz w:val="21"/>
          <w:szCs w:val="21"/>
          <w:color w:val="auto"/>
        </w:rPr>
        <w:t>” has the meaning specified in Section 2.18.</w:t>
      </w:r>
    </w:p>
    <w:p>
      <w:pPr>
        <w:spacing w:after="0" w:line="112"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Facility Fee</w:t>
      </w:r>
      <w:r>
        <w:rPr>
          <w:rFonts w:ascii="Times New Roman" w:cs="Times New Roman" w:eastAsia="Times New Roman" w:hAnsi="Times New Roman"/>
          <w:sz w:val="21"/>
          <w:szCs w:val="21"/>
          <w:color w:val="auto"/>
        </w:rPr>
        <w:t>” means the respective percentages per annum determined, at any time, based on the range into which any Credit Rating then falls, in accordance with the table set forth below. Any change in any Credit Rating causing it to move to a different range on the table shall be effective as of the third Banking Day following the date on which such change is first announced by the applicable rating agency. Borrower shall have not less than two (2) Credit Ratings at all times, one of which shall be from S&amp;P or Moody’s. In the event that Borrower receives only two (2) Credit Ratings, and such Credit Ratings are not equivalent, the Facility Fee shall be the higher of the two Credit Ratings. In the event that Borrower receives more than two (2) Credit Ratings, and such Credit Ratings are not all equivalent, the Facility Fee shall be (A) if the difference between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251" w:right="339" w:bottom="1440" w:gutter="0" w:footer="0" w:header="0"/>
        </w:sectPr>
      </w:pPr>
    </w:p>
    <w:bookmarkStart w:id="451" w:name="page452"/>
    <w:bookmarkEnd w:id="451"/>
    <w:p>
      <w:pPr>
        <w:jc w:val="both"/>
        <w:spacing w:after="0" w:line="256" w:lineRule="auto"/>
        <w:rPr>
          <w:sz w:val="20"/>
          <w:szCs w:val="20"/>
          <w:color w:val="auto"/>
        </w:rPr>
      </w:pPr>
      <w:r>
        <w:rPr>
          <w:rFonts w:ascii="Times New Roman" w:cs="Times New Roman" w:eastAsia="Times New Roman" w:hAnsi="Times New Roman"/>
          <w:sz w:val="21"/>
          <w:szCs w:val="21"/>
          <w:color w:val="auto"/>
        </w:rPr>
        <w:t>highest and the lowest such Credit Ratings is one ratings category (e.g. Baa2 by Moody’s and BBB- by S&amp;P or Fitch), the Facility Fee shall be the rate per annum that would be applicable if the highest of the Credit Ratings were used; and (B) if the difference between the highest and the lowest such Credit Ratings is two ratings categories (e.g. Baa1 by Moody’s and BBB- by S&amp;P or Fitch) or more, the Facility Fee shall be the rate per annum that would be applicable if the average of the two (2) highest Credit Ratings were used, provided that if such average is not a recognized rating category (i.e., the difference between the Credit Ratings is an even number of ratings categories), then the Facility Fee shall be based on the lower of the two (2) highest Credit Ratings.</w:t>
      </w:r>
    </w:p>
    <w:p>
      <w:pPr>
        <w:spacing w:after="0" w:line="75"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Borrower’s Credit Rating</w:t>
            </w:r>
          </w:p>
        </w:tc>
        <w:tc>
          <w:tcPr>
            <w:tcW w:w="18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Facility Fee</w:t>
            </w:r>
          </w:p>
        </w:tc>
      </w:tr>
      <w:tr>
        <w:trPr>
          <w:trHeight w:val="189"/>
        </w:trPr>
        <w:tc>
          <w:tcPr>
            <w:tcW w:w="60" w:type="dxa"/>
            <w:vAlign w:val="bottom"/>
          </w:tcPr>
          <w:p>
            <w:pPr>
              <w:spacing w:after="0"/>
              <w:rPr>
                <w:sz w:val="16"/>
                <w:szCs w:val="16"/>
                <w:color w:val="auto"/>
              </w:rPr>
            </w:pPr>
          </w:p>
        </w:tc>
        <w:tc>
          <w:tcPr>
            <w:tcW w:w="22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(S&amp;P or Fitch/Moody’s Ratings)</w:t>
            </w:r>
          </w:p>
        </w:tc>
        <w:tc>
          <w:tcPr>
            <w:tcW w:w="1860" w:type="dxa"/>
            <w:vAlign w:val="bottom"/>
          </w:tcPr>
          <w:p>
            <w:pPr>
              <w:spacing w:after="0"/>
              <w:rPr>
                <w:sz w:val="16"/>
                <w:szCs w:val="16"/>
                <w:color w:val="auto"/>
              </w:rPr>
            </w:pPr>
          </w:p>
        </w:tc>
        <w:tc>
          <w:tcPr>
            <w:tcW w:w="2920" w:type="dxa"/>
            <w:vAlign w:val="bottom"/>
            <w:gridSpan w:val="2"/>
          </w:tcPr>
          <w:p>
            <w:pPr>
              <w:jc w:val="center"/>
              <w:ind w:left="1793"/>
              <w:spacing w:after="0" w:line="189" w:lineRule="exact"/>
              <w:rPr>
                <w:sz w:val="20"/>
                <w:szCs w:val="20"/>
                <w:color w:val="auto"/>
              </w:rPr>
            </w:pPr>
            <w:r>
              <w:rPr>
                <w:rFonts w:ascii="Times New Roman" w:cs="Times New Roman" w:eastAsia="Times New Roman" w:hAnsi="Times New Roman"/>
                <w:sz w:val="17"/>
                <w:szCs w:val="17"/>
                <w:color w:val="auto"/>
              </w:rPr>
              <w:t>(% per annum)</w:t>
            </w:r>
          </w:p>
        </w:tc>
      </w:tr>
      <w:tr>
        <w:trPr>
          <w:trHeight w:val="20"/>
        </w:trPr>
        <w:tc>
          <w:tcPr>
            <w:tcW w:w="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63"/>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A+/A1 or higher</w:t>
            </w:r>
          </w:p>
        </w:tc>
        <w:tc>
          <w:tcPr>
            <w:tcW w:w="2920" w:type="dxa"/>
            <w:vAlign w:val="bottom"/>
            <w:gridSpan w:val="2"/>
          </w:tcPr>
          <w:p>
            <w:pPr>
              <w:jc w:val="center"/>
              <w:ind w:left="1793"/>
              <w:spacing w:after="0"/>
              <w:rPr>
                <w:sz w:val="20"/>
                <w:szCs w:val="20"/>
                <w:color w:val="auto"/>
              </w:rPr>
            </w:pPr>
            <w:r>
              <w:rPr>
                <w:rFonts w:ascii="Times New Roman" w:cs="Times New Roman" w:eastAsia="Times New Roman" w:hAnsi="Times New Roman"/>
                <w:sz w:val="17"/>
                <w:szCs w:val="17"/>
                <w:color w:val="auto"/>
              </w:rPr>
              <w:t>0.100</w:t>
            </w:r>
          </w:p>
        </w:tc>
      </w:tr>
      <w:tr>
        <w:trPr>
          <w:trHeight w:val="223"/>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A/A2</w:t>
            </w:r>
          </w:p>
        </w:tc>
        <w:tc>
          <w:tcPr>
            <w:tcW w:w="2920" w:type="dxa"/>
            <w:vAlign w:val="bottom"/>
            <w:gridSpan w:val="2"/>
          </w:tcPr>
          <w:p>
            <w:pPr>
              <w:jc w:val="center"/>
              <w:ind w:left="1793"/>
              <w:spacing w:after="0"/>
              <w:rPr>
                <w:sz w:val="20"/>
                <w:szCs w:val="20"/>
                <w:color w:val="auto"/>
              </w:rPr>
            </w:pPr>
            <w:r>
              <w:rPr>
                <w:rFonts w:ascii="Times New Roman" w:cs="Times New Roman" w:eastAsia="Times New Roman" w:hAnsi="Times New Roman"/>
                <w:sz w:val="17"/>
                <w:szCs w:val="17"/>
                <w:color w:val="auto"/>
              </w:rPr>
              <w:t>0.100</w:t>
            </w:r>
          </w:p>
        </w:tc>
      </w:tr>
      <w:tr>
        <w:trPr>
          <w:trHeight w:val="223"/>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A-/A3</w:t>
            </w:r>
          </w:p>
        </w:tc>
        <w:tc>
          <w:tcPr>
            <w:tcW w:w="2920" w:type="dxa"/>
            <w:vAlign w:val="bottom"/>
            <w:gridSpan w:val="2"/>
          </w:tcPr>
          <w:p>
            <w:pPr>
              <w:jc w:val="center"/>
              <w:ind w:left="1793"/>
              <w:spacing w:after="0"/>
              <w:rPr>
                <w:sz w:val="20"/>
                <w:szCs w:val="20"/>
                <w:color w:val="auto"/>
              </w:rPr>
            </w:pPr>
            <w:r>
              <w:rPr>
                <w:rFonts w:ascii="Times New Roman" w:cs="Times New Roman" w:eastAsia="Times New Roman" w:hAnsi="Times New Roman"/>
                <w:sz w:val="17"/>
                <w:szCs w:val="17"/>
                <w:color w:val="auto"/>
              </w:rPr>
              <w:t>0.125</w:t>
            </w:r>
          </w:p>
        </w:tc>
      </w:tr>
      <w:tr>
        <w:trPr>
          <w:trHeight w:val="223"/>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BBB+/Baa1</w:t>
            </w:r>
          </w:p>
        </w:tc>
        <w:tc>
          <w:tcPr>
            <w:tcW w:w="2920" w:type="dxa"/>
            <w:vAlign w:val="bottom"/>
            <w:gridSpan w:val="2"/>
          </w:tcPr>
          <w:p>
            <w:pPr>
              <w:jc w:val="center"/>
              <w:ind w:left="1793"/>
              <w:spacing w:after="0"/>
              <w:rPr>
                <w:sz w:val="20"/>
                <w:szCs w:val="20"/>
                <w:color w:val="auto"/>
              </w:rPr>
            </w:pPr>
            <w:r>
              <w:rPr>
                <w:rFonts w:ascii="Times New Roman" w:cs="Times New Roman" w:eastAsia="Times New Roman" w:hAnsi="Times New Roman"/>
                <w:sz w:val="17"/>
                <w:szCs w:val="17"/>
                <w:color w:val="auto"/>
              </w:rPr>
              <w:t>0.150</w:t>
            </w:r>
          </w:p>
        </w:tc>
      </w:tr>
      <w:tr>
        <w:trPr>
          <w:trHeight w:val="223"/>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BBB/Baa2</w:t>
            </w:r>
          </w:p>
        </w:tc>
        <w:tc>
          <w:tcPr>
            <w:tcW w:w="2920" w:type="dxa"/>
            <w:vAlign w:val="bottom"/>
            <w:gridSpan w:val="2"/>
          </w:tcPr>
          <w:p>
            <w:pPr>
              <w:jc w:val="center"/>
              <w:ind w:left="1793"/>
              <w:spacing w:after="0"/>
              <w:rPr>
                <w:sz w:val="20"/>
                <w:szCs w:val="20"/>
                <w:color w:val="auto"/>
              </w:rPr>
            </w:pPr>
            <w:r>
              <w:rPr>
                <w:rFonts w:ascii="Times New Roman" w:cs="Times New Roman" w:eastAsia="Times New Roman" w:hAnsi="Times New Roman"/>
                <w:sz w:val="17"/>
                <w:szCs w:val="17"/>
                <w:color w:val="auto"/>
              </w:rPr>
              <w:t>0.200</w:t>
            </w:r>
          </w:p>
        </w:tc>
      </w:tr>
      <w:tr>
        <w:trPr>
          <w:trHeight w:val="223"/>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BBB-/Baa3</w:t>
            </w:r>
          </w:p>
        </w:tc>
        <w:tc>
          <w:tcPr>
            <w:tcW w:w="2920" w:type="dxa"/>
            <w:vAlign w:val="bottom"/>
            <w:gridSpan w:val="2"/>
          </w:tcPr>
          <w:p>
            <w:pPr>
              <w:jc w:val="center"/>
              <w:ind w:left="1793"/>
              <w:spacing w:after="0"/>
              <w:rPr>
                <w:sz w:val="20"/>
                <w:szCs w:val="20"/>
                <w:color w:val="auto"/>
              </w:rPr>
            </w:pPr>
            <w:r>
              <w:rPr>
                <w:rFonts w:ascii="Times New Roman" w:cs="Times New Roman" w:eastAsia="Times New Roman" w:hAnsi="Times New Roman"/>
                <w:sz w:val="17"/>
                <w:szCs w:val="17"/>
                <w:color w:val="auto"/>
              </w:rPr>
              <w:t>0.250</w:t>
            </w:r>
          </w:p>
        </w:tc>
      </w:tr>
      <w:tr>
        <w:trPr>
          <w:trHeight w:val="223"/>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BB+/Ba1</w:t>
            </w:r>
          </w:p>
        </w:tc>
        <w:tc>
          <w:tcPr>
            <w:tcW w:w="2920" w:type="dxa"/>
            <w:vAlign w:val="bottom"/>
            <w:gridSpan w:val="2"/>
          </w:tcPr>
          <w:p>
            <w:pPr>
              <w:jc w:val="center"/>
              <w:ind w:left="1793"/>
              <w:spacing w:after="0"/>
              <w:rPr>
                <w:sz w:val="20"/>
                <w:szCs w:val="20"/>
                <w:color w:val="auto"/>
              </w:rPr>
            </w:pPr>
            <w:r>
              <w:rPr>
                <w:rFonts w:ascii="Times New Roman" w:cs="Times New Roman" w:eastAsia="Times New Roman" w:hAnsi="Times New Roman"/>
                <w:sz w:val="17"/>
                <w:szCs w:val="17"/>
                <w:color w:val="auto"/>
              </w:rPr>
              <w:t>0.300</w:t>
            </w:r>
          </w:p>
        </w:tc>
      </w:tr>
      <w:tr>
        <w:trPr>
          <w:trHeight w:val="228"/>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Below BB+/Ba1 or unrated</w:t>
            </w:r>
          </w:p>
        </w:tc>
        <w:tc>
          <w:tcPr>
            <w:tcW w:w="2920" w:type="dxa"/>
            <w:vAlign w:val="bottom"/>
            <w:gridSpan w:val="2"/>
          </w:tcPr>
          <w:p>
            <w:pPr>
              <w:jc w:val="center"/>
              <w:ind w:left="1793"/>
              <w:spacing w:after="0"/>
              <w:rPr>
                <w:sz w:val="20"/>
                <w:szCs w:val="20"/>
                <w:color w:val="auto"/>
              </w:rPr>
            </w:pPr>
            <w:r>
              <w:rPr>
                <w:rFonts w:ascii="Times New Roman" w:cs="Times New Roman" w:eastAsia="Times New Roman" w:hAnsi="Times New Roman"/>
                <w:sz w:val="17"/>
                <w:szCs w:val="17"/>
                <w:color w:val="auto"/>
              </w:rPr>
              <w:t>0.350</w:t>
            </w:r>
          </w:p>
        </w:tc>
      </w:tr>
    </w:tbl>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 xml:space="preserve">It is hereby understood and agreed that the Facility Fee shall be adjusted from time to time on an annual basis based upon the Sustainability Facility Fee Adjustment (to be calculated and applied as set forth in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 provided that in no event shall the Facility Fee be less than zero.</w:t>
      </w: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or any fiscal or regulatory legislation, rules or practices adopted pursuant to any intergovernmental agreement entered into in connection with the implementation of such Sections of the Code.</w:t>
      </w:r>
    </w:p>
    <w:p>
      <w:pPr>
        <w:spacing w:after="0" w:line="27"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Funds Effective Rate</w:t>
      </w:r>
      <w:r>
        <w:rPr>
          <w:rFonts w:ascii="Times New Roman" w:cs="Times New Roman" w:eastAsia="Times New Roman" w:hAnsi="Times New Roman"/>
          <w:sz w:val="21"/>
          <w:szCs w:val="21"/>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Banking Day by the NYFRB as the effective federal funds rate;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Federal Funds Effective Rate as so determined would be less than 0%, such rate shall be deemed to be 0% for the purposes of this Agreement.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Reserve Board</w:t>
      </w:r>
      <w:r>
        <w:rPr>
          <w:rFonts w:ascii="Times New Roman" w:cs="Times New Roman" w:eastAsia="Times New Roman" w:hAnsi="Times New Roman"/>
          <w:sz w:val="21"/>
          <w:szCs w:val="21"/>
          <w:color w:val="auto"/>
        </w:rPr>
        <w:t>” means the Board of Governors of the Federal Reserve System of the United States of America.</w:t>
      </w:r>
    </w:p>
    <w:p>
      <w:pPr>
        <w:spacing w:after="0" w:line="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means each period from January 1 to December 31.</w:t>
      </w:r>
    </w:p>
    <w:p>
      <w:pPr>
        <w:spacing w:after="0" w:line="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Fitch</w:t>
      </w:r>
      <w:r>
        <w:rPr>
          <w:rFonts w:ascii="Times New Roman" w:cs="Times New Roman" w:eastAsia="Times New Roman" w:hAnsi="Times New Roman"/>
          <w:sz w:val="21"/>
          <w:szCs w:val="21"/>
          <w:color w:val="auto"/>
        </w:rPr>
        <w:t>” means Fitch, Inc. and its successors.</w:t>
      </w:r>
    </w:p>
    <w:p>
      <w:pPr>
        <w:spacing w:after="0" w:line="60" w:lineRule="exact"/>
        <w:rPr>
          <w:sz w:val="20"/>
          <w:szCs w:val="20"/>
          <w:color w:val="auto"/>
        </w:rPr>
      </w:pPr>
    </w:p>
    <w:p>
      <w:pPr>
        <w:jc w:val="both"/>
        <w:ind w:firstLine="629"/>
        <w:spacing w:after="0" w:line="27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Charges</w:t>
      </w:r>
      <w:r>
        <w:rPr>
          <w:rFonts w:ascii="Times New Roman" w:cs="Times New Roman" w:eastAsia="Times New Roman" w:hAnsi="Times New Roman"/>
          <w:sz w:val="20"/>
          <w:szCs w:val="20"/>
          <w:color w:val="auto"/>
        </w:rPr>
        <w:t>” means, without duplication, in respect of any period of four consecutive quarters, the sum of (i) the Borrower’s Pro Rata Share of Interest Expense for such period attributable to Debt in respect of Consolidated Businesses and Real Property UJVs, as well as to any other Debt that is Recourse to the Borrower, multiplied by four (4); and (ii) distributions during such period on preferred units of the Borrower, as determined on a consolidated basis, in accordance with GAAP, multiplied by four (4).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251" w:right="339" w:bottom="1440" w:gutter="0" w:footer="0" w:header="0"/>
        </w:sectPr>
      </w:pPr>
    </w:p>
    <w:bookmarkStart w:id="452" w:name="page453"/>
    <w:bookmarkEnd w:id="452"/>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Floor</w:t>
      </w:r>
      <w:r>
        <w:rPr>
          <w:rFonts w:ascii="Times New Roman" w:cs="Times New Roman" w:eastAsia="Times New Roman" w:hAnsi="Times New Roman"/>
          <w:sz w:val="21"/>
          <w:szCs w:val="21"/>
          <w:color w:val="auto"/>
        </w:rPr>
        <w:t>” means the benchmark rate floor, if any, provided in this Agreement initially (as of the execution of this Agreement, the modification, amendment or renewal of this Agreement or otherwise) with respect to the Term SOFR Rate or the Daily Effective SOFR Rate, as applicable. For the avoidance of doubt the initial Floor for each of Term SOFR Rate and the Daily Effective SOFR Rate shall be 0.0%.</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Bank</w:t>
      </w:r>
      <w:r>
        <w:rPr>
          <w:rFonts w:ascii="Times New Roman" w:cs="Times New Roman" w:eastAsia="Times New Roman" w:hAnsi="Times New Roman"/>
          <w:sz w:val="21"/>
          <w:szCs w:val="21"/>
          <w:color w:val="auto"/>
        </w:rPr>
        <w:t>” means a Bank that is not a U.S. Person.</w:t>
      </w:r>
    </w:p>
    <w:p>
      <w:pPr>
        <w:spacing w:after="0" w:line="217"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Fronting Bank</w:t>
      </w:r>
      <w:r>
        <w:rPr>
          <w:rFonts w:ascii="Times New Roman" w:cs="Times New Roman" w:eastAsia="Times New Roman" w:hAnsi="Times New Roman"/>
          <w:sz w:val="21"/>
          <w:szCs w:val="21"/>
          <w:color w:val="auto"/>
        </w:rPr>
        <w:t>” means JPMorgan Chase Bank, N.A., Bank of America, N.A., Wells Fargo Bank, N.A., U.S. Bank National Association, PNC Bank, National Association, BMO Bank, N.A. or another Bank that shall have agreed to be designated by Borrower from among those Banks identified by Administrative Agent as being a permissible Fronting Bank pursuant to Section 2.17, each in its capacity as the issuer of Letters of Credit hereunder and its successors in such capacity. A Fronting Bank may, in its discretion, arrange for Letters of Credit to be issued by one of its Affiliates, in which case “Fronting Bank” shall include such Affiliate. When used herein, “Fronting Bank” shall mean the applicable Fronting Bank, each Fronting Bank, any Fronting Bank or all of the Fronting Banks, as the context may require.</w:t>
      </w:r>
    </w:p>
    <w:p>
      <w:pPr>
        <w:spacing w:after="0" w:line="182"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means accounting principles generally accepted in the United States of America as in effect from time to time, applied on a basis consistent with those used in the preparation of the financial statements referred to in Section 5.15 (captioned “Financial Statements”) (except for changes concurred to by Borrower’s Accountants); provided that, if the Borrower notifies the Administrative Agent that the Borrower requests an amendment to any provision hereof to eliminate the effect of any change occurring after the date hereof in GAAP or in the application of any such change on the operation of such provision, or if the Administrative Agent notifies the Borrower that the Required Banks request an amendment to any provision hereof for such purpose, in either case, regardless of whether any such notice is given before or after such change in GAAP or in the application of any such change, then such provision shall be interpreted on the basis of GAAP as in effect and applied for purposes of this Agreement immediately before such change shall have become effective.</w:t>
      </w:r>
    </w:p>
    <w:p>
      <w:pPr>
        <w:spacing w:after="0" w:line="171"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General Partner</w:t>
      </w:r>
      <w:r>
        <w:rPr>
          <w:rFonts w:ascii="Times New Roman" w:cs="Times New Roman" w:eastAsia="Times New Roman" w:hAnsi="Times New Roman"/>
          <w:sz w:val="21"/>
          <w:szCs w:val="21"/>
          <w:color w:val="auto"/>
        </w:rPr>
        <w:t>” means Vornado Realty Trust, a real estate investment trust organized and existing under the laws of the State of Maryland and the sole general partner of Borrower.</w:t>
      </w:r>
    </w:p>
    <w:p>
      <w:pPr>
        <w:spacing w:after="0" w:line="131"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Faith Contest</w:t>
      </w:r>
      <w:r>
        <w:rPr>
          <w:rFonts w:ascii="Times New Roman" w:cs="Times New Roman" w:eastAsia="Times New Roman" w:hAnsi="Times New Roman"/>
          <w:sz w:val="21"/>
          <w:szCs w:val="21"/>
          <w:color w:val="auto"/>
        </w:rPr>
        <w:t>” means the contest of an item if: (1) the item is diligently contested in good faith, and, if appropriate, by proceedings timely instituted; (2) adequate reserves are established with respect to the contested item; (3) during the period of such contest, the enforcement of any contested item is effectively stayed; and (4) the failure to pay or comply with the contested item during the period of the contest is not likely to result in a Material Adverse Change.</w:t>
      </w:r>
    </w:p>
    <w:p>
      <w:pPr>
        <w:spacing w:after="0" w:line="167"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any nation or government, any state or other political subdivision thereof, and any agency, authority, regulatory body, central bank or other entity exercising executive, legislative, judicial, regulatory or administrative functions of or pertaining to government (including any supra-national bodies such as the European Union or the European Central Bank).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251" w:right="339" w:bottom="1440" w:gutter="0" w:footer="0" w:header="0"/>
        </w:sectPr>
      </w:pPr>
    </w:p>
    <w:bookmarkStart w:id="453" w:name="page454"/>
    <w:bookmarkEnd w:id="453"/>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Gross Book Value</w:t>
      </w:r>
      <w:r>
        <w:rPr>
          <w:rFonts w:ascii="Times New Roman" w:cs="Times New Roman" w:eastAsia="Times New Roman" w:hAnsi="Times New Roman"/>
          <w:sz w:val="21"/>
          <w:szCs w:val="21"/>
          <w:color w:val="auto"/>
        </w:rPr>
        <w:t>” means the undepreciated book value of assets comprising a business net of impairments, determined in accordance with GAAP.</w:t>
      </w:r>
    </w:p>
    <w:p>
      <w:pPr>
        <w:spacing w:after="0" w:line="131"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means any pollutant, effluents, emissions, contaminants, toxic or hazardous wastes or substances, as any of those terms are defined from time to time in or for the purposes of any relevant Environmental Law, including asbestos fibers and friable asbestos, polychlorinated biphenyls, and any petroleum or hydrocarbon-based products or derivatives.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Commitments</w:t>
      </w:r>
      <w:r>
        <w:rPr>
          <w:rFonts w:ascii="Times New Roman" w:cs="Times New Roman" w:eastAsia="Times New Roman" w:hAnsi="Times New Roman"/>
          <w:sz w:val="21"/>
          <w:szCs w:val="21"/>
          <w:color w:val="auto"/>
        </w:rPr>
        <w:t>” has the meaning specified in Section 2.16(c).</w:t>
      </w:r>
    </w:p>
    <w:p>
      <w:pPr>
        <w:spacing w:after="0" w:line="228"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u w:val="single" w:color="auto"/>
          <w:color w:val="auto"/>
        </w:rPr>
        <w:t>Indemnified Taxes</w:t>
      </w:r>
      <w:r>
        <w:rPr>
          <w:rFonts w:ascii="Times New Roman" w:cs="Times New Roman" w:eastAsia="Times New Roman" w:hAnsi="Times New Roman"/>
          <w:sz w:val="21"/>
          <w:szCs w:val="21"/>
          <w:color w:val="auto"/>
        </w:rPr>
        <w:t>” means (a) Taxes, other than Excluded Taxes, imposed on or with respect to any payment made by or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account of any obligation of the Borrower under any Loan Document and (b) to the extent not otherwise described in (a) hereof, Other Taxes.</w:t>
      </w:r>
    </w:p>
    <w:p>
      <w:pPr>
        <w:spacing w:after="0" w:line="161"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Initial Advance</w:t>
      </w:r>
      <w:r>
        <w:rPr>
          <w:rFonts w:ascii="Times New Roman" w:cs="Times New Roman" w:eastAsia="Times New Roman" w:hAnsi="Times New Roman"/>
          <w:sz w:val="21"/>
          <w:szCs w:val="21"/>
          <w:color w:val="auto"/>
        </w:rPr>
        <w:t>” means the first advance of proceeds of the Loans and/or issuance of Letters of Credit (including the deemed issuance of Letters of Credit pursuant to Section 2.17(j)).</w:t>
      </w:r>
    </w:p>
    <w:p>
      <w:pPr>
        <w:spacing w:after="0" w:line="144"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Expense</w:t>
      </w:r>
      <w:r>
        <w:rPr>
          <w:rFonts w:ascii="Times New Roman" w:cs="Times New Roman" w:eastAsia="Times New Roman" w:hAnsi="Times New Roman"/>
          <w:sz w:val="21"/>
          <w:szCs w:val="21"/>
          <w:color w:val="auto"/>
        </w:rPr>
        <w:t>” means, for any period of four consecutive quarters, the consolidated interest expense, whether paid, accrued or capitalized (without deduction of consolidated interest income) of Borrower that is attributable to Borrower’s Pro Rata Share in its Consolidated Businesses in respect of Real Property Businesses, including, without limitation or duplication (or, to the extent not so included, with the addition of), (1) the portion of any rental obligation in respect of any Capital Lease obligation allocable to interest expense in accordance with GAAP; (2) the amortization of Debt discounts and premiums; (3) any payments or fees (other than upfront fees) with respect to interest rate swap or similar agreements; and (4) the interest expense and items listed in clauses (1) through (3) above applicable to each of the UJVs (to the extent not included above) multiplied by Borrower’s Pro Rata Share in the UJVs in respect of Real Property Businesses, in all cases as reflected in the Borrower’s Consolidated Financial Statements, provided that there shall be excluded from Interest Expense capitalized interest covered by an interest reserve established under a loan facility (such as capitalized construction interest provided for in a construction loan). “Interest Expense” shall not include the non-cash portion of interest expense attributable to convertible Debt determined in accordance with ASC 470-20.</w:t>
      </w:r>
    </w:p>
    <w:p>
      <w:pPr>
        <w:spacing w:after="0" w:line="186" w:lineRule="exact"/>
        <w:rPr>
          <w:sz w:val="20"/>
          <w:szCs w:val="20"/>
          <w:color w:val="auto"/>
        </w:rPr>
      </w:pPr>
    </w:p>
    <w:p>
      <w:pPr>
        <w:jc w:val="both"/>
        <w:ind w:firstLine="62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xml:space="preserve">” means (a) with respect to any Base Rate Loan, (i) the first (1st) Banking Day of each calendar quarter for the preceding calendar quarter, (ii) at maturity, whether by acceleration or otherwise, and (iii) upon any termination of the Total Loan Commitment in its entirety under Section 2.16(a) hereof, (b) with respect to any Term Benchmark Loan, (i) the last day of each Interest Period applicable to such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in the case of a Term Benchmark Loan with an Interest Period of more than three months’ duration, </w:t>
      </w:r>
      <w:r>
        <w:rPr>
          <w:rFonts w:ascii="Times New Roman" w:cs="Times New Roman" w:eastAsia="Times New Roman" w:hAnsi="Times New Roman"/>
          <w:sz w:val="21"/>
          <w:szCs w:val="21"/>
          <w:u w:val="single" w:color="auto"/>
          <w:color w:val="auto"/>
        </w:rPr>
        <w:t>then</w:t>
      </w:r>
      <w:r>
        <w:rPr>
          <w:rFonts w:ascii="Times New Roman" w:cs="Times New Roman" w:eastAsia="Times New Roman" w:hAnsi="Times New Roman"/>
          <w:sz w:val="21"/>
          <w:szCs w:val="21"/>
          <w:color w:val="auto"/>
        </w:rPr>
        <w:t xml:space="preserve"> each day prior to the last day of such Interest Period that occurs at intervals of three months’ duration after the first day of such Interest Period, (ii) at maturity, whether by acceleration or otherwise, and (iii) upon any termination of the Total Loan Commitment in its entirety under Section 2.16(a) hereof, and (c) with respect to any RFR Loan, (i)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Banking Day of each calendar month for the preceding calendar month, (ii) at maturity, whether by acceleration or otherwise, and (iii) upon any termination of the Total Loan Commitment in its entirety under Section 2.16(a) hereof.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251" w:right="339" w:bottom="1440" w:gutter="0" w:footer="0" w:header="0"/>
        </w:sectPr>
      </w:pPr>
    </w:p>
    <w:bookmarkStart w:id="454" w:name="page455"/>
    <w:bookmarkEnd w:id="454"/>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means, with respect to any Term Benchmark Loan, the period commencing on the date of such Loan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 if any Interest Period would end on a day other than a Banking Day, such Interest Period shall be extended to the next succeeding Banking Day unless such next succeeding Banking Day would fall in the next calendar month, in which case such Interest Period shall end on the next preceding Banking Day, (ii) any Interest Period that commences on the last Banking Day of a calendar month (or on a day for which there is no numerically corresponding day in the last calendar month of such Interest Period) shall end on the last Banking Day of the last calendar month of such Interest Period and (iii) no tenor that has been removed from this definition pursuant to Section 3.02(e) shall be available for specification in such borrowing request or notice of Election, Conversion or Continuation. For purposes hereof, the date of a Loan initially shall be the date on which the borrowing of such Loan is made and thereafter shall be the effective date of the most recent conversion or continuation of such Loan.</w:t>
      </w:r>
    </w:p>
    <w:p>
      <w:pPr>
        <w:spacing w:after="0" w:line="173"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ISP</w:t>
      </w:r>
      <w:r>
        <w:rPr>
          <w:rFonts w:ascii="Times New Roman" w:cs="Times New Roman" w:eastAsia="Times New Roman" w:hAnsi="Times New Roman"/>
          <w:sz w:val="21"/>
          <w:szCs w:val="21"/>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31"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Joint Lead Arrangers</w:t>
      </w:r>
      <w:r>
        <w:rPr>
          <w:rFonts w:ascii="Times New Roman" w:cs="Times New Roman" w:eastAsia="Times New Roman" w:hAnsi="Times New Roman"/>
          <w:sz w:val="21"/>
          <w:szCs w:val="21"/>
          <w:color w:val="auto"/>
        </w:rPr>
        <w:t>” means the financial institutions listed on the cover page to this Agreement as a “joint lead arranger”, including the Lead Arrangers.</w:t>
      </w:r>
    </w:p>
    <w:p>
      <w:pPr>
        <w:spacing w:after="0" w:line="142"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w:t>
      </w:r>
      <w:r>
        <w:rPr>
          <w:rFonts w:ascii="Times New Roman" w:cs="Times New Roman" w:eastAsia="Times New Roman" w:hAnsi="Times New Roman"/>
          <w:sz w:val="21"/>
          <w:szCs w:val="21"/>
          <w:color w:val="auto"/>
        </w:rPr>
        <w:t xml:space="preserve">” means Scope 1 and Scope 2 emissions, as defined in </w:t>
      </w:r>
      <w:r>
        <w:rPr>
          <w:rFonts w:ascii="Times New Roman" w:cs="Times New Roman" w:eastAsia="Times New Roman" w:hAnsi="Times New Roman"/>
          <w:sz w:val="21"/>
          <w:szCs w:val="21"/>
          <w:i w:val="1"/>
          <w:iCs w:val="1"/>
          <w:color w:val="auto"/>
        </w:rPr>
        <w:t>The Greenhouse Gas Protocol: A Corporate Accounting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Reporting Standard: Revised Edition </w:t>
      </w:r>
      <w:r>
        <w:rPr>
          <w:rFonts w:ascii="Times New Roman" w:cs="Times New Roman" w:eastAsia="Times New Roman" w:hAnsi="Times New Roman"/>
          <w:sz w:val="21"/>
          <w:szCs w:val="21"/>
          <w:color w:val="auto"/>
        </w:rPr>
        <w:t>as published by the World Business Council for Sustainable Development and the World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Resources Institute and in effect on the date of this Agreement, and as calculated at the end of a fiscal year and which shall be reported in the applicable KPI Metrics Report.</w:t>
      </w:r>
    </w:p>
    <w:p>
      <w:pPr>
        <w:spacing w:after="0" w:line="162"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 Applicable Margin Adjustment Amount</w:t>
      </w:r>
      <w:r>
        <w:rPr>
          <w:rFonts w:ascii="Times New Roman" w:cs="Times New Roman" w:eastAsia="Times New Roman" w:hAnsi="Times New Roman"/>
          <w:sz w:val="21"/>
          <w:szCs w:val="21"/>
          <w:color w:val="auto"/>
        </w:rPr>
        <w:t>” means, with respect to any period between Sustainability Pricing Adjustment Dates, (a) positive 0.04%, if the KPI for such period as set forth in the KPI Metrics Report is greater than the KPI Threshold for such period, (b) 0.00%, if the KPI for such period as set forth in the KPI Metrics Report is less than or equal to the KPI Threshold for such period but greater than the KPI Target for such period, and (c) negative 0.04%, if the KPI for such period as set forth in the KPI Metrics Report is less than or equal to the KPI Target for such period.</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 Facility Fee Adjustment Amount</w:t>
      </w:r>
      <w:r>
        <w:rPr>
          <w:rFonts w:ascii="Times New Roman" w:cs="Times New Roman" w:eastAsia="Times New Roman" w:hAnsi="Times New Roman"/>
          <w:sz w:val="21"/>
          <w:szCs w:val="21"/>
          <w:color w:val="auto"/>
        </w:rPr>
        <w:t>” means, with respect to any period between Sustainability Pricing Adjustment Dates,</w:t>
      </w:r>
    </w:p>
    <w:p>
      <w:pPr>
        <w:spacing w:after="0" w:line="31" w:lineRule="exact"/>
        <w:rPr>
          <w:sz w:val="20"/>
          <w:szCs w:val="20"/>
          <w:color w:val="auto"/>
        </w:rPr>
      </w:pPr>
    </w:p>
    <w:p>
      <w:pPr>
        <w:ind w:left="300" w:hanging="295"/>
        <w:spacing w:after="0"/>
        <w:tabs>
          <w:tab w:leader="none" w:pos="300"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0.01%, if the KPI for such period as set forth in the KPI Metrics Report is greater than the KPI Threshold for such period,</w:t>
      </w:r>
    </w:p>
    <w:p>
      <w:pPr>
        <w:spacing w:after="0" w:line="18" w:lineRule="exact"/>
        <w:rPr>
          <w:rFonts w:ascii="Times New Roman" w:cs="Times New Roman" w:eastAsia="Times New Roman" w:hAnsi="Times New Roman"/>
          <w:sz w:val="20"/>
          <w:szCs w:val="20"/>
          <w:color w:val="auto"/>
        </w:rPr>
      </w:pPr>
    </w:p>
    <w:p>
      <w:pPr>
        <w:jc w:val="both"/>
        <w:ind w:firstLine="5"/>
        <w:spacing w:after="0" w:line="258" w:lineRule="auto"/>
        <w:tabs>
          <w:tab w:leader="none" w:pos="300"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0.00%, if the KPI for such period as set forth in the KPI Metrics Report is less than or equal to the KPI Threshold for such period but greater than the KPI Target for such period, and (c) negative 0.01%, if the KPI for such period as set forth in the KPI Metrics Report is less than or equal to KPI Target for such period.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252" w:right="339" w:bottom="1440" w:gutter="0" w:footer="0" w:header="0"/>
        </w:sectPr>
      </w:pPr>
    </w:p>
    <w:bookmarkStart w:id="455" w:name="page456"/>
    <w:bookmarkEnd w:id="455"/>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 Metrics Report</w:t>
      </w:r>
      <w:r>
        <w:rPr>
          <w:rFonts w:ascii="Times New Roman" w:cs="Times New Roman" w:eastAsia="Times New Roman" w:hAnsi="Times New Roman"/>
          <w:sz w:val="21"/>
          <w:szCs w:val="21"/>
          <w:color w:val="auto"/>
        </w:rPr>
        <w:t>” means an annual report (it being understood that this annual report may take the form of the annual Sustainability Report) audited by the Sustainability Assurance Provider that sets forth the calculations for the KPI for a specific calendar year.</w:t>
      </w:r>
    </w:p>
    <w:p>
      <w:pPr>
        <w:spacing w:after="0" w:line="15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 Target</w:t>
      </w:r>
      <w:r>
        <w:rPr>
          <w:rFonts w:ascii="Times New Roman" w:cs="Times New Roman" w:eastAsia="Times New Roman" w:hAnsi="Times New Roman"/>
          <w:sz w:val="21"/>
          <w:szCs w:val="21"/>
          <w:color w:val="auto"/>
        </w:rPr>
        <w:t xml:space="preserve">” means, with respect to any calendar year, the KPI Target for such calendar year as set forth in the Sustainability Table, as the same may be adjusted from time to time as a result of a Sustainability Recalculation Event or otherwise in accordance with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 Threshold</w:t>
      </w:r>
      <w:r>
        <w:rPr>
          <w:rFonts w:ascii="Times New Roman" w:cs="Times New Roman" w:eastAsia="Times New Roman" w:hAnsi="Times New Roman"/>
          <w:sz w:val="21"/>
          <w:szCs w:val="21"/>
          <w:color w:val="auto"/>
        </w:rPr>
        <w:t xml:space="preserve">” means, with respect to any calendar year, the KPI Threshold for such calendar year as set forth in the Sustainability Table, as the same may be adjusted from time to time as a result of a Sustainability Recalculation Event or otherwise in accordance with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means any federal, state or local statute, law, rule, regulation, ordinance, order, code, or rule of common law, now or hereafter in effect, and in each case as amended, and any judicial or administrative interpretation thereof by a Governmental Authority or otherwise, including any judicial or administrative order, consent decree or judgment.</w:t>
      </w:r>
    </w:p>
    <w:p>
      <w:pPr>
        <w:spacing w:after="0" w:line="175"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Exposure</w:t>
      </w:r>
      <w:r>
        <w:rPr>
          <w:rFonts w:ascii="Times New Roman" w:cs="Times New Roman" w:eastAsia="Times New Roman" w:hAnsi="Times New Roman"/>
          <w:sz w:val="21"/>
          <w:szCs w:val="21"/>
          <w:color w:val="auto"/>
        </w:rPr>
        <w:t>” means, at any time, the sum of (a) the aggregate undrawn amount of all outstanding Letters of Credit at such time plus (b) the aggregate amount of all drawings under Letters of Credit that have not yet been reimbursed by or on behalf of the Borrower (including, for clarity, by means of advances of Loans pursuant to this Agreement) at such time. The LC Exposure of any Bank at any time shall be its Pro Rata Share of the total LC Exposure at such time.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0"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Lead Arrangers</w:t>
      </w:r>
      <w:r>
        <w:rPr>
          <w:rFonts w:ascii="Times New Roman" w:cs="Times New Roman" w:eastAsia="Times New Roman" w:hAnsi="Times New Roman"/>
          <w:sz w:val="21"/>
          <w:szCs w:val="21"/>
          <w:color w:val="auto"/>
        </w:rPr>
        <w:t>” means JPMorgan Chase Bank, N.A., BofA Securities, Inc., BMO Capital Markets Corp., PNC Capital Markets LLC, Wells Fargo Securities LLC and U.S. Bank National Association.</w:t>
      </w:r>
    </w:p>
    <w:p>
      <w:pPr>
        <w:spacing w:after="0" w:line="14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Lender-Related Person</w:t>
      </w:r>
      <w:r>
        <w:rPr>
          <w:rFonts w:ascii="Times New Roman" w:cs="Times New Roman" w:eastAsia="Times New Roman" w:hAnsi="Times New Roman"/>
          <w:sz w:val="21"/>
          <w:szCs w:val="21"/>
          <w:color w:val="auto"/>
        </w:rPr>
        <w:t>” means the Administrative Agent, any Lead Arranger, any Fronting Bank and any Bank, and any Affiliates, directors, officers, employees, agents and advisors of any of the foregoing Persons.</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has the meaning specified in Section 2.17(a).</w:t>
      </w:r>
    </w:p>
    <w:p>
      <w:pPr>
        <w:spacing w:after="0" w:line="217"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Commitment</w:t>
      </w:r>
      <w:r>
        <w:rPr>
          <w:rFonts w:ascii="Times New Roman" w:cs="Times New Roman" w:eastAsia="Times New Roman" w:hAnsi="Times New Roman"/>
          <w:sz w:val="21"/>
          <w:szCs w:val="21"/>
          <w:color w:val="auto"/>
        </w:rPr>
        <w:t xml:space="preserve">” means, with respect to each Fronting Bank, the commitment of each Fronting Bank to issue Letters of Credit hereunder. The initial amount of each Fronting Bank’s Letter of Credit Commitment is set forth on </w:t>
      </w:r>
      <w:r>
        <w:rPr>
          <w:rFonts w:ascii="Times New Roman" w:cs="Times New Roman" w:eastAsia="Times New Roman" w:hAnsi="Times New Roman"/>
          <w:sz w:val="21"/>
          <w:szCs w:val="21"/>
          <w:u w:val="single" w:color="auto"/>
          <w:color w:val="auto"/>
        </w:rPr>
        <w:t>Schedule 1A</w:t>
      </w:r>
      <w:r>
        <w:rPr>
          <w:rFonts w:ascii="Times New Roman" w:cs="Times New Roman" w:eastAsia="Times New Roman" w:hAnsi="Times New Roman"/>
          <w:sz w:val="21"/>
          <w:szCs w:val="21"/>
          <w:color w:val="auto"/>
        </w:rPr>
        <w:t xml:space="preserve"> attached hereto, or if a Fronting Bank has otherwise assumed a Letter of Credit Commitment after the Closing Date, the amount set forth for such Fronting Bank as its Letter of Credit Commitment in the Register maintained by the Administrative Agent. The Letter of Credit Commitment of a Fronting Bank may be modified from time to time by agreement between such Fronting Bank and the Borrower, and notified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252" w:right="339" w:bottom="1440" w:gutter="0" w:footer="0" w:header="0"/>
        </w:sectPr>
      </w:pPr>
    </w:p>
    <w:bookmarkStart w:id="456" w:name="page457"/>
    <w:bookmarkEnd w:id="456"/>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Liabilities</w:t>
      </w:r>
      <w:r>
        <w:rPr>
          <w:rFonts w:ascii="Times New Roman" w:cs="Times New Roman" w:eastAsia="Times New Roman" w:hAnsi="Times New Roman"/>
          <w:sz w:val="21"/>
          <w:szCs w:val="21"/>
          <w:color w:val="auto"/>
        </w:rPr>
        <w:t>” means any losses, claims (including intraparty claims), demands, damages or liabilities of any kind.</w:t>
      </w:r>
    </w:p>
    <w:p>
      <w:pPr>
        <w:spacing w:after="0" w:line="230"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any mortgage, deed of trust, pledge, security interest, hypothecation, assignment for collateral purposes, deposit arrangement, lien (statutory or other), or other security agreement or charge of any kind or nature whatsoever of any third party (excluding any right of setoff but including, without limitation, any conditional sale or other title retention agreement, any financing lease having substantially the same economic effect as any of the foregoing, and the filing of any financing statement under the Uniform Commercial Code or comparable law of any jurisdiction to evidence any of the foregoing).</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means, with respect to each Bank, its Ratable Loan (including any New Term Loan(s) (if any)), collectively.</w:t>
      </w:r>
    </w:p>
    <w:p>
      <w:pPr>
        <w:spacing w:after="0" w:line="217"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Commitment</w:t>
      </w:r>
      <w:r>
        <w:rPr>
          <w:rFonts w:ascii="Times New Roman" w:cs="Times New Roman" w:eastAsia="Times New Roman" w:hAnsi="Times New Roman"/>
          <w:sz w:val="21"/>
          <w:szCs w:val="21"/>
          <w:color w:val="auto"/>
        </w:rPr>
        <w:t xml:space="preserve">” means, with respect to each Bank, the obligation to make a Ratable Loan in the principal amount set forth on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attached hereto and incorporated herein, as such amount may be reduced or increased from time to time in accordance with the provisions of Section 2.16 or pursuant to assignments made under Section 12.05(c) (and upon the execution of an amendment agreement described in Section 2.16(c)(ii) or Assignment and Assumption Agreements, the definition of Loan Commitment shall be deemed revised to reflect the Incremental Commitment or the assignment being effected pursuant to each such Assignment and Assumption Agreement, as the case may be).</w:t>
      </w:r>
    </w:p>
    <w:p>
      <w:pPr>
        <w:spacing w:after="0" w:line="17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 means this Agreement, the Notes, the Authorization Letter and the Solvency Certificate, any amendments, modifications or supplements thereto, and any other agreements entered into in connection with this Agreement that are designated as “Loan Documents”.</w:t>
      </w:r>
    </w:p>
    <w:p>
      <w:pPr>
        <w:spacing w:after="0" w:line="16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Change</w:t>
      </w:r>
      <w:r>
        <w:rPr>
          <w:rFonts w:ascii="Times New Roman" w:cs="Times New Roman" w:eastAsia="Times New Roman" w:hAnsi="Times New Roman"/>
          <w:sz w:val="21"/>
          <w:szCs w:val="21"/>
          <w:color w:val="auto"/>
        </w:rPr>
        <w:t>” means either (1) a material adverse change in the status of the business, results of operations, financial condition, or property of Borrower or (2) any event or occurrence of whatever nature which is likely to have a material adverse effect on the ability of Borrower to perform its obligations under the Loan Documents.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Affiliates</w:t>
      </w:r>
      <w:r>
        <w:rPr>
          <w:rFonts w:ascii="Times New Roman" w:cs="Times New Roman" w:eastAsia="Times New Roman" w:hAnsi="Times New Roman"/>
          <w:sz w:val="21"/>
          <w:szCs w:val="21"/>
          <w:color w:val="auto"/>
        </w:rPr>
        <w:t>” means the Affiliates of Borrower listed on EXHIBIT F.</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means February 15, 2030, subject to extension pursuant to Section 2.18.</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Maximum Rate</w:t>
      </w:r>
      <w:r>
        <w:rPr>
          <w:rFonts w:ascii="Times New Roman" w:cs="Times New Roman" w:eastAsia="Times New Roman" w:hAnsi="Times New Roman"/>
          <w:sz w:val="21"/>
          <w:szCs w:val="21"/>
          <w:color w:val="auto"/>
        </w:rPr>
        <w:t>” has the meaning specified in Section 2.07.</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Moody’s</w:t>
      </w:r>
      <w:r>
        <w:rPr>
          <w:rFonts w:ascii="Times New Roman" w:cs="Times New Roman" w:eastAsia="Times New Roman" w:hAnsi="Times New Roman"/>
          <w:sz w:val="21"/>
          <w:szCs w:val="21"/>
          <w:color w:val="auto"/>
        </w:rPr>
        <w:t>” means Moody’s Investors Service, Inc. and its successors.</w:t>
      </w:r>
    </w:p>
    <w:p>
      <w:pPr>
        <w:spacing w:after="0" w:line="21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Multiemployer Plan</w:t>
      </w:r>
      <w:r>
        <w:rPr>
          <w:rFonts w:ascii="Times New Roman" w:cs="Times New Roman" w:eastAsia="Times New Roman" w:hAnsi="Times New Roman"/>
          <w:sz w:val="21"/>
          <w:szCs w:val="21"/>
          <w:color w:val="auto"/>
        </w:rPr>
        <w:t>” means a Plan defined as such in Section 3(37) of ERISA to which contributions have been or are required to be made by Borrower or General Partner or any ERISA Affiliate and which is covered by Title IV of ERISA.</w:t>
      </w:r>
    </w:p>
    <w:p>
      <w:pPr>
        <w:spacing w:after="0" w:line="14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Equity Value</w:t>
      </w:r>
      <w:r>
        <w:rPr>
          <w:rFonts w:ascii="Times New Roman" w:cs="Times New Roman" w:eastAsia="Times New Roman" w:hAnsi="Times New Roman"/>
          <w:sz w:val="21"/>
          <w:szCs w:val="21"/>
          <w:color w:val="auto"/>
        </w:rPr>
        <w:t>” means, at any time, the total assets of the applicable business less the total liabilities of such business less the amounts attributable to the minority interest in such</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40"/>
          </w:cols>
          <w:pgMar w:left="320" w:top="1251" w:right="339" w:bottom="1440" w:gutter="0" w:footer="0" w:header="0"/>
        </w:sectPr>
      </w:pPr>
    </w:p>
    <w:bookmarkStart w:id="457" w:name="page458"/>
    <w:bookmarkEnd w:id="457"/>
    <w:p>
      <w:pPr>
        <w:jc w:val="both"/>
        <w:spacing w:after="0" w:line="293" w:lineRule="auto"/>
        <w:rPr>
          <w:sz w:val="20"/>
          <w:szCs w:val="20"/>
          <w:color w:val="auto"/>
        </w:rPr>
      </w:pPr>
      <w:r>
        <w:rPr>
          <w:rFonts w:ascii="Times New Roman" w:cs="Times New Roman" w:eastAsia="Times New Roman" w:hAnsi="Times New Roman"/>
          <w:sz w:val="21"/>
          <w:szCs w:val="21"/>
          <w:color w:val="auto"/>
        </w:rPr>
        <w:t>business, in each case as determined on a consolidated basis, in accordance with GAAP, subject to the last sentence of the definition of Capitalization Value.</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Ratable Bank</w:t>
      </w:r>
      <w:r>
        <w:rPr>
          <w:rFonts w:ascii="Times New Roman" w:cs="Times New Roman" w:eastAsia="Times New Roman" w:hAnsi="Times New Roman"/>
          <w:sz w:val="21"/>
          <w:szCs w:val="21"/>
          <w:color w:val="auto"/>
        </w:rPr>
        <w:t>” has the meaning specified in Section 2.16(c).</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Ratable Commitments</w:t>
      </w:r>
      <w:r>
        <w:rPr>
          <w:rFonts w:ascii="Times New Roman" w:cs="Times New Roman" w:eastAsia="Times New Roman" w:hAnsi="Times New Roman"/>
          <w:sz w:val="21"/>
          <w:szCs w:val="21"/>
          <w:color w:val="auto"/>
        </w:rPr>
        <w:t>” has the meaning specified in Section 2.16(c).</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Ratable Loan</w:t>
      </w:r>
      <w:r>
        <w:rPr>
          <w:rFonts w:ascii="Times New Roman" w:cs="Times New Roman" w:eastAsia="Times New Roman" w:hAnsi="Times New Roman"/>
          <w:sz w:val="21"/>
          <w:szCs w:val="21"/>
          <w:color w:val="auto"/>
        </w:rPr>
        <w:t>” has the meaning specified in Section 2.16(c).</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Term Bank</w:t>
      </w:r>
      <w:r>
        <w:rPr>
          <w:rFonts w:ascii="Times New Roman" w:cs="Times New Roman" w:eastAsia="Times New Roman" w:hAnsi="Times New Roman"/>
          <w:sz w:val="21"/>
          <w:szCs w:val="21"/>
          <w:color w:val="auto"/>
        </w:rPr>
        <w:t>” has the meaning specified in Section 2.16(c).</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Term Commitments</w:t>
      </w:r>
      <w:r>
        <w:rPr>
          <w:rFonts w:ascii="Times New Roman" w:cs="Times New Roman" w:eastAsia="Times New Roman" w:hAnsi="Times New Roman"/>
          <w:sz w:val="21"/>
          <w:szCs w:val="21"/>
          <w:color w:val="auto"/>
        </w:rPr>
        <w:t>” has the meaning specified in Section 2.16(c).</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Term Loan</w:t>
      </w:r>
      <w:r>
        <w:rPr>
          <w:rFonts w:ascii="Times New Roman" w:cs="Times New Roman" w:eastAsia="Times New Roman" w:hAnsi="Times New Roman"/>
          <w:sz w:val="21"/>
          <w:szCs w:val="21"/>
          <w:color w:val="auto"/>
        </w:rPr>
        <w:t>” has the meaning specified in Section 2.16(c).</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have the respective meanings specified in Section 2.09.</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w:t>
      </w:r>
      <w:r>
        <w:rPr>
          <w:rFonts w:ascii="Times New Roman" w:cs="Times New Roman" w:eastAsia="Times New Roman" w:hAnsi="Times New Roman"/>
          <w:sz w:val="21"/>
          <w:szCs w:val="21"/>
          <w:color w:val="auto"/>
        </w:rPr>
        <w:t>” means the Federal Reserve Bank of New York.</w:t>
      </w:r>
    </w:p>
    <w:p>
      <w:pPr>
        <w:spacing w:after="0" w:line="217"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 Rate</w:t>
      </w:r>
      <w:r>
        <w:rPr>
          <w:rFonts w:ascii="Times New Roman" w:cs="Times New Roman" w:eastAsia="Times New Roman" w:hAnsi="Times New Roman"/>
          <w:sz w:val="21"/>
          <w:szCs w:val="21"/>
          <w:color w:val="auto"/>
        </w:rPr>
        <w:t xml:space="preserve">” means, for any day, the greater of (a) the Federal Funds Effective Rate in effect on such day and (b) the Overnight Bank Funding Rate in effect on such day (or for any day that is not a Banking Day, for the immediately preceding Banking Day); provided that if none of such rates are published for any day that is a Banking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if any of the aforesaid rates shall be less than zero, such rate shall be deemed to be zero for purposes of this Agreement.</w:t>
      </w:r>
    </w:p>
    <w:p>
      <w:pPr>
        <w:spacing w:after="0" w:line="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NYFRB’s Website</w:t>
      </w:r>
      <w:r>
        <w:rPr>
          <w:rFonts w:ascii="Times New Roman" w:cs="Times New Roman" w:eastAsia="Times New Roman" w:hAnsi="Times New Roman"/>
          <w:sz w:val="21"/>
          <w:szCs w:val="21"/>
          <w:color w:val="auto"/>
        </w:rPr>
        <w:t>” means the website of the NYFRB at http://www.newyorkfed.org, or any successor source.</w:t>
      </w:r>
    </w:p>
    <w:p>
      <w:pPr>
        <w:spacing w:after="0" w:line="178"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means each and every obligation, covenant and agreement of Borrower, now or hereafter existing, contained in this Agreement, and any of the other Loan Documents, whether for principal, reimbursement obligations, interest, fees, expenses, indemnities or otherwise, and any amendments or supplements thereto, extensions or renewals thereof or replacements therefor, including but not limited to all indebtedness, obligations and liabilities of Borrower to Administrative Agent and any Bank now existing or hereafter incurred under or arising out of or in connection with the Notes, this Agreement, the other Loan Documents, and any documents or instruments executed in connection therewith; in each case whether direct or indirect, joint or several, absolute or contingent, liquidated or unliquidated, now or hereafter existing, renewed or restructured, whether or not from time to time decreased or extinguished and later increased, created or incurred, and including all indebtedness of Borrower under any instrument now or hereafter evidencing or securing any of the foregoing.</w:t>
      </w:r>
    </w:p>
    <w:p>
      <w:pPr>
        <w:spacing w:after="0" w:line="171"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Occupancy Rate</w:t>
      </w:r>
      <w:r>
        <w:rPr>
          <w:rFonts w:ascii="Times New Roman" w:cs="Times New Roman" w:eastAsia="Times New Roman" w:hAnsi="Times New Roman"/>
          <w:sz w:val="21"/>
          <w:szCs w:val="21"/>
          <w:color w:val="auto"/>
        </w:rPr>
        <w:t>” means, with respect to a Real Property Asset at any time, the ratio, expressed as a percentage, of (a) the net rentable square footage of such Real Property Asset leased and occupied by tenants (excluding any tenants that have vacated such Real Property Asset and have not entered into a valid sublease for such space) that are (x) paying rent at rates not materially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251" w:right="339" w:bottom="1440" w:gutter="0" w:footer="0" w:header="0"/>
        </w:sectPr>
      </w:pPr>
    </w:p>
    <w:bookmarkStart w:id="458" w:name="page459"/>
    <w:bookmarkEnd w:id="458"/>
    <w:p>
      <w:pPr>
        <w:jc w:val="both"/>
        <w:spacing w:after="0" w:line="258" w:lineRule="auto"/>
        <w:rPr>
          <w:sz w:val="20"/>
          <w:szCs w:val="20"/>
          <w:color w:val="auto"/>
        </w:rPr>
      </w:pPr>
      <w:r>
        <w:rPr>
          <w:rFonts w:ascii="Times New Roman" w:cs="Times New Roman" w:eastAsia="Times New Roman" w:hAnsi="Times New Roman"/>
          <w:sz w:val="21"/>
          <w:szCs w:val="21"/>
          <w:color w:val="auto"/>
        </w:rPr>
        <w:t>less than rates generally prevailing at the time the applicable lease was entered into and (y) not more than 90 days delinquent in the payment of rent or in bankruptcy to (b) the aggregate net rentable square footage of such Real Property Asset. For purposes of the definition of “Occupancy Rate”, a tenant shall be deemed to actually occupy a Real Property Asset notwithstanding a temporary cessation of operations for renovation, repairs or other temporary reason, or for the purpose of completing tenant build-out or that is otherwise scheduled to be open for business within 90 days of the date of such determination.</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means The Office of Foreign Assets Control of the United States Department of the Treasury.</w:t>
      </w:r>
    </w:p>
    <w:p>
      <w:pPr>
        <w:spacing w:after="0" w:line="230"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Connection Taxes</w:t>
      </w:r>
      <w:r>
        <w:rPr>
          <w:rFonts w:ascii="Times New Roman" w:cs="Times New Roman" w:eastAsia="Times New Roman" w:hAnsi="Times New Roman"/>
          <w:sz w:val="21"/>
          <w:szCs w:val="21"/>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71"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Investment</w:t>
      </w:r>
      <w:r>
        <w:rPr>
          <w:rFonts w:ascii="Times New Roman" w:cs="Times New Roman" w:eastAsia="Times New Roman" w:hAnsi="Times New Roman"/>
          <w:sz w:val="21"/>
          <w:szCs w:val="21"/>
          <w:color w:val="auto"/>
        </w:rPr>
        <w:t xml:space="preserve">” means a Consolidated Business or UJV that does not own primarily Real Property Assets or publicly traded securities, including, without limitation, those entities more particularly set forth on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 xml:space="preserve"> attached hereto.</w:t>
      </w:r>
    </w:p>
    <w:p>
      <w:pPr>
        <w:spacing w:after="0" w:line="131"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3.07).</w:t>
      </w:r>
    </w:p>
    <w:p>
      <w:pPr>
        <w:spacing w:after="0" w:line="18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Outbound Investment Rules</w:t>
      </w:r>
      <w:r>
        <w:rPr>
          <w:rFonts w:ascii="Times New Roman" w:cs="Times New Roman" w:eastAsia="Times New Roman" w:hAnsi="Times New Roman"/>
          <w:sz w:val="21"/>
          <w:szCs w:val="21"/>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6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Overnight Bank Funding Rate</w:t>
      </w:r>
      <w:r>
        <w:rPr>
          <w:rFonts w:ascii="Times New Roman" w:cs="Times New Roman" w:eastAsia="Times New Roman" w:hAnsi="Times New Roman"/>
          <w:sz w:val="21"/>
          <w:szCs w:val="21"/>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Banking Day by the NYFRB as an overnight bank funding rate.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means, with respect to any Bank, any Person controlling such Bank.</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has the meaning specified in Section 12.05(b).</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has the meaning specified in Section 12.05(b).</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has the meaning specified in Section 12.19.</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251" w:right="339" w:bottom="1440" w:gutter="0" w:footer="0" w:header="0"/>
        </w:sectPr>
      </w:pPr>
    </w:p>
    <w:bookmarkStart w:id="459" w:name="page460"/>
    <w:bookmarkEnd w:id="459"/>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has the meaning specified in Section 10.12(b).</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Payment Notice</w:t>
      </w:r>
      <w:r>
        <w:rPr>
          <w:rFonts w:ascii="Times New Roman" w:cs="Times New Roman" w:eastAsia="Times New Roman" w:hAnsi="Times New Roman"/>
          <w:sz w:val="21"/>
          <w:szCs w:val="21"/>
          <w:color w:val="auto"/>
        </w:rPr>
        <w:t>” has the meaning specified in Section 10.12(b).</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Payor</w:t>
      </w:r>
      <w:r>
        <w:rPr>
          <w:rFonts w:ascii="Times New Roman" w:cs="Times New Roman" w:eastAsia="Times New Roman" w:hAnsi="Times New Roman"/>
          <w:sz w:val="21"/>
          <w:szCs w:val="21"/>
          <w:color w:val="auto"/>
        </w:rPr>
        <w:t>” has the meaning specified in Section 10.12.</w:t>
      </w:r>
    </w:p>
    <w:p>
      <w:pPr>
        <w:spacing w:after="0" w:line="112" w:lineRule="exact"/>
        <w:rPr>
          <w:sz w:val="20"/>
          <w:szCs w:val="20"/>
          <w:color w:val="auto"/>
        </w:rPr>
      </w:pPr>
    </w:p>
    <w:p>
      <w:pPr>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PBGC</w:t>
      </w:r>
      <w:r>
        <w:rPr>
          <w:rFonts w:ascii="Times New Roman" w:cs="Times New Roman" w:eastAsia="Times New Roman" w:hAnsi="Times New Roman"/>
          <w:sz w:val="21"/>
          <w:szCs w:val="21"/>
          <w:color w:val="auto"/>
        </w:rPr>
        <w:t>” means the Pension Benefit Guaranty Corporation and any entity succeeding to any or all of its functions under ERISA.</w:t>
      </w:r>
    </w:p>
    <w:p>
      <w:pPr>
        <w:spacing w:after="0" w:line="39"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 individual, partnership, corporation, business trust, joint stock company, trust, unincorporated association, joint venture, limited liability company, Governmental Authority or other entity of whatever nature.</w:t>
      </w:r>
    </w:p>
    <w:p>
      <w:pPr>
        <w:spacing w:after="0" w:line="26"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any employee benefit or other plan (other than a Multiemployer Plan) established or maintained, or to which contributions have been or are required to be made, by Borrower or General Partner or any ERISA Affiliate and which is covered by Title IV of ERISA or to which Section 412 of the Code applies.</w:t>
      </w:r>
    </w:p>
    <w:p>
      <w:pPr>
        <w:spacing w:after="0" w:line="56" w:lineRule="exact"/>
        <w:rPr>
          <w:sz w:val="20"/>
          <w:szCs w:val="20"/>
          <w:color w:val="auto"/>
        </w:rPr>
      </w:pPr>
    </w:p>
    <w:p>
      <w:pPr>
        <w:jc w:val="both"/>
        <w:ind w:firstLine="629"/>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 Asset Regulations</w:t>
      </w:r>
      <w:r>
        <w:rPr>
          <w:rFonts w:ascii="Times New Roman" w:cs="Times New Roman" w:eastAsia="Times New Roman" w:hAnsi="Times New Roman"/>
          <w:sz w:val="21"/>
          <w:szCs w:val="21"/>
          <w:color w:val="auto"/>
        </w:rPr>
        <w:t xml:space="preserve">” means 29 CFR § 2510.3-101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as modified by Section 3(42) of ERISA, as amended from time to time.</w:t>
      </w:r>
    </w:p>
    <w:p>
      <w:pPr>
        <w:spacing w:after="0" w:line="50"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presence</w:t>
      </w:r>
      <w:r>
        <w:rPr>
          <w:rFonts w:ascii="Times New Roman" w:cs="Times New Roman" w:eastAsia="Times New Roman" w:hAnsi="Times New Roman"/>
          <w:sz w:val="21"/>
          <w:szCs w:val="21"/>
          <w:color w:val="auto"/>
        </w:rPr>
        <w:t>”, when used in connection with any Environmental Discharge or Hazardous Materials, means and includes presence, generation, manufacture, installation, treatment, use, storage, handling, repair, encapsulation, disposal, transportation, spill, discharge and release.</w:t>
      </w:r>
    </w:p>
    <w:p>
      <w:pPr>
        <w:spacing w:after="0" w:line="110"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Pricing Certificate</w:t>
      </w:r>
      <w:r>
        <w:rPr>
          <w:rFonts w:ascii="Times New Roman" w:cs="Times New Roman" w:eastAsia="Times New Roman" w:hAnsi="Times New Roman"/>
          <w:sz w:val="21"/>
          <w:szCs w:val="21"/>
          <w:color w:val="auto"/>
        </w:rPr>
        <w:t xml:space="preserve">” means a certificate substantially in the form of </w:t>
      </w:r>
      <w:r>
        <w:rPr>
          <w:rFonts w:ascii="Times New Roman" w:cs="Times New Roman" w:eastAsia="Times New Roman" w:hAnsi="Times New Roman"/>
          <w:sz w:val="21"/>
          <w:szCs w:val="21"/>
          <w:u w:val="single" w:color="auto"/>
          <w:color w:val="auto"/>
        </w:rPr>
        <w:t>Exhibit I</w:t>
      </w:r>
      <w:r>
        <w:rPr>
          <w:rFonts w:ascii="Times New Roman" w:cs="Times New Roman" w:eastAsia="Times New Roman" w:hAnsi="Times New Roman"/>
          <w:sz w:val="21"/>
          <w:szCs w:val="21"/>
          <w:color w:val="auto"/>
        </w:rPr>
        <w:t xml:space="preserve"> executed by the chief executive officer, chief operating officer, chief financial officer, chief sustainability officer, treasurer, assistant treasurer, controller or senior vice president of finance of the Borrower certifying and attaching (a) a true and correct copy of the KPI Metrics Report for the most recently ended calendar year and setting forth the Sustainability Margin Adjustment and the Sustainability Facility Fee Adjustment, in each case for the period covered thereby and computations in reasonable detail in respect thereof, (b) if applicable, information detailing any change in the Borrower’s internal policies related to sustainability that has been disclosed to the SEC as required pursuant to its promulgated rules and regulations since the Closing Date (for the first certificate delivered hereunder) or the date of the most recently delivered Pricing Certificate (for each subsequent certificate); and (c) a true and correct review report of the Sustainability Assurance Provider, which report (i) measures, verifies, calculates and certifies the KPI set forth in the Pricing Certificate or the KPI Metrics Report, as applicable, for the most recently ended calendar year and (ii) confirms that the Sustainability Assurance Provider is not aware of any modifications that should be made to such computations in order for them to be presented in all material respects in conformity with the Standard for Sustainability Reporting.</w:t>
      </w:r>
    </w:p>
    <w:p>
      <w:pPr>
        <w:spacing w:after="0" w:line="127" w:lineRule="exact"/>
        <w:rPr>
          <w:sz w:val="20"/>
          <w:szCs w:val="20"/>
          <w:color w:val="auto"/>
        </w:rPr>
      </w:pPr>
    </w:p>
    <w:p>
      <w:pPr>
        <w:jc w:val="both"/>
        <w:ind w:firstLine="629"/>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Prime Rate</w:t>
      </w:r>
      <w:r>
        <w:rPr>
          <w:rFonts w:ascii="Times New Roman" w:cs="Times New Roman" w:eastAsia="Times New Roman" w:hAnsi="Times New Roman"/>
          <w:sz w:val="21"/>
          <w:szCs w:val="21"/>
          <w:color w:val="auto"/>
        </w:rPr>
        <w:t>” means the rate of interest last quoted by The Wall Street Journal as the “Prime Rate” in the U.S. or, if The Wall Street Journal ceases to quote such rate, the rate published by the Federal Reserve Board in Federal Reserve Statistical Release H.15</w:t>
      </w:r>
    </w:p>
    <w:p>
      <w:pPr>
        <w:spacing w:after="0" w:line="2" w:lineRule="exact"/>
        <w:rPr>
          <w:sz w:val="20"/>
          <w:szCs w:val="20"/>
          <w:color w:val="auto"/>
        </w:rPr>
      </w:pPr>
    </w:p>
    <w:p>
      <w:pPr>
        <w:jc w:val="both"/>
        <w:ind w:firstLine="5"/>
        <w:spacing w:after="0" w:line="251" w:lineRule="auto"/>
        <w:tabs>
          <w:tab w:leader="none" w:pos="533"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 Each change in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251" w:right="33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21"/>
          <w:szCs w:val="21"/>
          <w:color w:val="auto"/>
        </w:rPr>
        <w:t>the Prime Rate shall be effective from and including the date such change is publicly announced or quoted as being effective.</w:t>
      </w:r>
    </w:p>
    <w:p>
      <w:pPr>
        <w:spacing w:after="0" w:line="178"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 Rata Share</w:t>
      </w:r>
      <w:r>
        <w:rPr>
          <w:rFonts w:ascii="Times New Roman" w:cs="Times New Roman" w:eastAsia="Times New Roman" w:hAnsi="Times New Roman"/>
          <w:sz w:val="21"/>
          <w:szCs w:val="21"/>
          <w:color w:val="auto"/>
        </w:rPr>
        <w:t>” means, with respect to each Bank, the percentage of the Total Loan Commitment represented by such Bank’s Loan Commitment; provided that solely in the case of Section 12.20(c) when a Defaulting Lender shall exist,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Share</w:t>
      </w:r>
      <w:r>
        <w:rPr>
          <w:rFonts w:ascii="Times New Roman" w:cs="Times New Roman" w:eastAsia="Times New Roman" w:hAnsi="Times New Roman"/>
          <w:sz w:val="21"/>
          <w:szCs w:val="21"/>
          <w:color w:val="auto"/>
        </w:rPr>
        <w:t>” shall mean the percentage of the Total Loan Commitment (disregarding any Defaulting Lender’s Loan Commitment) represented by such Bank’s Loan Commitment. If the Loan Commitments have terminated or expired, the Pro Rata Share shall be determined based upon the Loan Commitments most recently in effect, giving effect to any assignments and to any Bank’s status as a Defaulting Lender at the time of determination.</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Prohibited Transaction</w:t>
      </w:r>
      <w:r>
        <w:rPr>
          <w:rFonts w:ascii="Times New Roman" w:cs="Times New Roman" w:eastAsia="Times New Roman" w:hAnsi="Times New Roman"/>
          <w:sz w:val="21"/>
          <w:szCs w:val="21"/>
          <w:color w:val="auto"/>
        </w:rPr>
        <w:t>” means any non-exempt transaction set forth in Section 406 of ERISA or Section 4975 of the Code.</w:t>
      </w:r>
    </w:p>
    <w:p>
      <w:pPr>
        <w:spacing w:after="0" w:line="21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PTE</w:t>
      </w:r>
      <w:r>
        <w:rPr>
          <w:rFonts w:ascii="Times New Roman" w:cs="Times New Roman" w:eastAsia="Times New Roman" w:hAnsi="Times New Roman"/>
          <w:sz w:val="21"/>
          <w:szCs w:val="21"/>
          <w:color w:val="auto"/>
        </w:rPr>
        <w:t>” means a prohibited transaction class exemption issued by the U.S. Department of Labor, as any such exemption may be amended from time to time.</w:t>
      </w:r>
    </w:p>
    <w:p>
      <w:pPr>
        <w:spacing w:after="0" w:line="14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QFC</w:t>
      </w:r>
      <w:r>
        <w:rPr>
          <w:rFonts w:ascii="Times New Roman" w:cs="Times New Roman" w:eastAsia="Times New Roman" w:hAnsi="Times New Roman"/>
          <w:sz w:val="21"/>
          <w:szCs w:val="21"/>
          <w:color w:val="auto"/>
        </w:rPr>
        <w:t>” has the meaning assigned to the term “qualified financial contract” in, and shall be interpreted in accordance with, 12 U.S.C. 5390(c)(8)(D).</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QFC Credit Support</w:t>
      </w:r>
      <w:r>
        <w:rPr>
          <w:rFonts w:ascii="Times New Roman" w:cs="Times New Roman" w:eastAsia="Times New Roman" w:hAnsi="Times New Roman"/>
          <w:sz w:val="21"/>
          <w:szCs w:val="21"/>
          <w:color w:val="auto"/>
        </w:rPr>
        <w:t>” has the meaning assigned to it in Section 12.27.</w:t>
      </w:r>
    </w:p>
    <w:p>
      <w:pPr>
        <w:spacing w:after="0" w:line="217"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Qualified Institution</w:t>
      </w:r>
      <w:r>
        <w:rPr>
          <w:rFonts w:ascii="Times New Roman" w:cs="Times New Roman" w:eastAsia="Times New Roman" w:hAnsi="Times New Roman"/>
          <w:sz w:val="21"/>
          <w:szCs w:val="21"/>
          <w:color w:val="auto"/>
        </w:rPr>
        <w:t>” means a Bank, or one or more banks, finance companies, insurance or other financial institutions which (A) has (or, in the case of a banking institution which is a subsidiary, such banking institution’s parent has) a rating of its senior debt obligations of not less than BBB+ by S&amp;P or Baal by Moody’s or a comparable rating by a rating agency reasonably acceptable to the Administrative Agent and (B) has (or, in the case of a banking institution which is a subsidiary, such banking institution’s parent has) total assets in excess of Ten Billion Dollars ($10,000,000,000), but shall exclude any natural person, any Defaulting Lender and the Borrower or any of its Affiliates.</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Ratable Loan</w:t>
      </w:r>
      <w:r>
        <w:rPr>
          <w:rFonts w:ascii="Times New Roman" w:cs="Times New Roman" w:eastAsia="Times New Roman" w:hAnsi="Times New Roman"/>
          <w:sz w:val="21"/>
          <w:szCs w:val="21"/>
          <w:color w:val="auto"/>
        </w:rPr>
        <w:t>” has the meaning specified in Section 2.01(b).</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Ratable Loan Note</w:t>
      </w:r>
      <w:r>
        <w:rPr>
          <w:rFonts w:ascii="Times New Roman" w:cs="Times New Roman" w:eastAsia="Times New Roman" w:hAnsi="Times New Roman"/>
          <w:sz w:val="21"/>
          <w:szCs w:val="21"/>
          <w:color w:val="auto"/>
        </w:rPr>
        <w:t>” has the meaning specified in Section 2.09.</w:t>
      </w:r>
    </w:p>
    <w:p>
      <w:pPr>
        <w:spacing w:after="0" w:line="217"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Real Property Asset</w:t>
      </w:r>
      <w:r>
        <w:rPr>
          <w:rFonts w:ascii="Times New Roman" w:cs="Times New Roman" w:eastAsia="Times New Roman" w:hAnsi="Times New Roman"/>
          <w:sz w:val="21"/>
          <w:szCs w:val="21"/>
          <w:color w:val="auto"/>
        </w:rPr>
        <w:t>” means an asset from which income is, or upon completion expected by the Borrower to be, derived predominantly from contractual rent payments under leases with unaffiliated third party tenants, hotel operations, tradeshow operations, signage or leasing commissions and management and development fees, and shall include those investments in mortgages and mortgage participations owned by the Borrower as to which the Borrower has demonstrated to the Administrative Agent, in the Administrative Agent’s reasonable discretion, that Borrower has control of the decision-making functions of management and leasing of such mortgaged properties, has control of the economic benefits of such mortgaged properties, and holds the right to acquire such mortgaged properties.</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Real Property Business</w:t>
      </w:r>
      <w:r>
        <w:rPr>
          <w:rFonts w:ascii="Times New Roman" w:cs="Times New Roman" w:eastAsia="Times New Roman" w:hAnsi="Times New Roman"/>
          <w:sz w:val="21"/>
          <w:szCs w:val="21"/>
          <w:color w:val="auto"/>
        </w:rPr>
        <w:t>” means a Consolidated Business or UJV that owns primarily Real Property Assets.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251" w:right="339" w:bottom="1440" w:gutter="0" w:footer="0" w:header="0"/>
        </w:sectPr>
      </w:pPr>
    </w:p>
    <w:bookmarkStart w:id="461" w:name="page462"/>
    <w:bookmarkEnd w:id="461"/>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Real Property UJV</w:t>
      </w:r>
      <w:r>
        <w:rPr>
          <w:rFonts w:ascii="Times New Roman" w:cs="Times New Roman" w:eastAsia="Times New Roman" w:hAnsi="Times New Roman"/>
          <w:sz w:val="21"/>
          <w:szCs w:val="21"/>
          <w:color w:val="auto"/>
        </w:rPr>
        <w:t>” means a UJV that is a Real Property Business.</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Recipient</w:t>
      </w:r>
      <w:r>
        <w:rPr>
          <w:rFonts w:ascii="Times New Roman" w:cs="Times New Roman" w:eastAsia="Times New Roman" w:hAnsi="Times New Roman"/>
          <w:sz w:val="21"/>
          <w:szCs w:val="21"/>
          <w:color w:val="auto"/>
        </w:rPr>
        <w:t>” means the Administrative Agent, any Bank and any Fronting Bank, as applicable.</w:t>
      </w:r>
    </w:p>
    <w:p>
      <w:pPr>
        <w:spacing w:after="0" w:line="217"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Recourse</w:t>
      </w:r>
      <w:r>
        <w:rPr>
          <w:rFonts w:ascii="Times New Roman" w:cs="Times New Roman" w:eastAsia="Times New Roman" w:hAnsi="Times New Roman"/>
          <w:sz w:val="21"/>
          <w:szCs w:val="21"/>
          <w:color w:val="auto"/>
        </w:rPr>
        <w:t>” means, with reference to any obligation or liability, any liability or obligation that is not Without Recourse to the obligor thereunder, directly or indirectly. For purposes hereof, a Person shall not be deemed to be “indirectly” liable for the liabilities or obligations of an obligor solely by reason of the fact that such Person has an ownership interest in such obligor, provided that such Person is not otherwise legally liable, directly or indirectly, for such obligor’s liabilities or obligations (e.g. by reason of a guaranty or contribution obligation, by operation of law or by reason of such Person being a general partner of such obligor). A guaranty of Debt issued by Borrower or General Partner (as distinguished from a Subsidiary) shall be Recourse, but a guaranty for completion of improvements, a carry guaranty and a recourse carve-out guaranty customarily given in connection with Debt shall be deemed Without Recourse, unless and except to the extent of a claim made under such guaranty that remains unpaid.</w:t>
      </w:r>
    </w:p>
    <w:p>
      <w:pPr>
        <w:spacing w:after="0" w:line="177"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Reference Time</w:t>
      </w:r>
      <w:r>
        <w:rPr>
          <w:rFonts w:ascii="Times New Roman" w:cs="Times New Roman" w:eastAsia="Times New Roman" w:hAnsi="Times New Roman"/>
          <w:sz w:val="21"/>
          <w:szCs w:val="21"/>
          <w:color w:val="auto"/>
        </w:rPr>
        <w:t>” with respect to any setting of the then-current Benchmark means (1) if such Benchmark is the Term SOFR Rate, 5:00 a.m. (Chicago time) on the day that is two U.S. Government Securities Business Days preceding the date of such setting,</w:t>
      </w:r>
    </w:p>
    <w:p>
      <w:pPr>
        <w:ind w:firstLine="5"/>
        <w:spacing w:after="0" w:line="267" w:lineRule="auto"/>
        <w:tabs>
          <w:tab w:leader="none" w:pos="308"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RFR for such Benchmark is Daily Effective SOFR Rate, then the date of such setting or (3) if such Benchmark is none of the Term SOFR Rate or Daily Effective SOFR Rate, the time determined by the Administrative Agent in its reasonable discretion.</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Refinancing Mortgage</w:t>
      </w:r>
      <w:r>
        <w:rPr>
          <w:rFonts w:ascii="Times New Roman" w:cs="Times New Roman" w:eastAsia="Times New Roman" w:hAnsi="Times New Roman"/>
          <w:sz w:val="21"/>
          <w:szCs w:val="21"/>
          <w:color w:val="auto"/>
        </w:rPr>
        <w:t>” has the meaning specified in Section 12.21.</w:t>
      </w:r>
    </w:p>
    <w:p>
      <w:pPr>
        <w:spacing w:after="0" w:line="21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 D</w:t>
      </w:r>
      <w:r>
        <w:rPr>
          <w:rFonts w:ascii="Times New Roman" w:cs="Times New Roman" w:eastAsia="Times New Roman" w:hAnsi="Times New Roman"/>
          <w:sz w:val="21"/>
          <w:szCs w:val="21"/>
          <w:color w:val="auto"/>
        </w:rPr>
        <w:t>” means Regulation D of the Board of Governors of the Federal Reserve System, as the same may be amended or supplemented from time to time, or any similar Law from time to time in effect.</w:t>
      </w:r>
    </w:p>
    <w:p>
      <w:pPr>
        <w:spacing w:after="0" w:line="15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 U</w:t>
      </w:r>
      <w:r>
        <w:rPr>
          <w:rFonts w:ascii="Times New Roman" w:cs="Times New Roman" w:eastAsia="Times New Roman" w:hAnsi="Times New Roman"/>
          <w:sz w:val="21"/>
          <w:szCs w:val="21"/>
          <w:color w:val="auto"/>
        </w:rPr>
        <w:t>” means Regulation U of the Board of Governors of the Federal Reserve System, as the same may be amended or supplemented from time to time, or any similar Law from time to time in effect.</w:t>
      </w:r>
    </w:p>
    <w:p>
      <w:pPr>
        <w:spacing w:after="0" w:line="144"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Regulatory Change</w:t>
      </w:r>
      <w:r>
        <w:rPr>
          <w:rFonts w:ascii="Times New Roman" w:cs="Times New Roman" w:eastAsia="Times New Roman" w:hAnsi="Times New Roman"/>
          <w:sz w:val="21"/>
          <w:szCs w:val="21"/>
          <w:color w:val="auto"/>
        </w:rPr>
        <w:t xml:space="preserve">” means the occurrence after the date of this Agreement or, with respect to any Bank, such later date on which such Bank becomes a party to this Agreement, of (a) the adoption of or taking effect of any law, rule, regulation or treaty, (b) any change in any law, rule, regulation or treaty or in the interpretation or application thereof by any Governmental Authority or (c) compliance by any Bank or any Fronting Bank (or, for purposes of Section 3.06, by any lending office of such Bank or by such Bank's or such Fronting Bank's holding company, if any) with any request, guideline or directive (whether or not having the force of law) of any Governmental Authority made or issued after the date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251" w:right="339" w:bottom="1440" w:gutter="0" w:footer="0" w:header="0"/>
        </w:sectPr>
      </w:pPr>
    </w:p>
    <w:bookmarkStart w:id="462" w:name="page463"/>
    <w:bookmarkEnd w:id="462"/>
    <w:p>
      <w:pPr>
        <w:jc w:val="both"/>
        <w:spacing w:after="0" w:line="270" w:lineRule="auto"/>
        <w:rPr>
          <w:sz w:val="20"/>
          <w:szCs w:val="20"/>
          <w:color w:val="auto"/>
        </w:rPr>
      </w:pPr>
      <w:r>
        <w:rPr>
          <w:rFonts w:ascii="Times New Roman" w:cs="Times New Roman" w:eastAsia="Times New Roman" w:hAnsi="Times New Roman"/>
          <w:sz w:val="21"/>
          <w:szCs w:val="21"/>
          <w:color w:val="auto"/>
        </w:rPr>
        <w:t>Basel III, shall be deemed to be a “Regulatory Change,” regardless of the date enacted, adopted or issued, provided, however, that if the applicable Bank shall have implemented changes prior to the Execution Date in response to any such requests, rules, guidelines or directives, then the same shall not be deemed to be a Regulatory Change with respect to such Bank.</w:t>
      </w:r>
    </w:p>
    <w:p>
      <w:pPr>
        <w:spacing w:after="0" w:line="1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REIT</w:t>
      </w:r>
      <w:r>
        <w:rPr>
          <w:rFonts w:ascii="Times New Roman" w:cs="Times New Roman" w:eastAsia="Times New Roman" w:hAnsi="Times New Roman"/>
          <w:sz w:val="21"/>
          <w:szCs w:val="21"/>
          <w:color w:val="auto"/>
        </w:rPr>
        <w:t>” means a “real estate investment trust,” as such term is defined in Section 856 of the Code.</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Documents</w:t>
      </w:r>
      <w:r>
        <w:rPr>
          <w:rFonts w:ascii="Times New Roman" w:cs="Times New Roman" w:eastAsia="Times New Roman" w:hAnsi="Times New Roman"/>
          <w:sz w:val="21"/>
          <w:szCs w:val="21"/>
          <w:color w:val="auto"/>
        </w:rPr>
        <w:t>” has the meaning specified in Section 11.02.</w:t>
      </w:r>
    </w:p>
    <w:p>
      <w:pPr>
        <w:spacing w:after="0" w:line="165"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Governmental Body</w:t>
      </w:r>
      <w:r>
        <w:rPr>
          <w:rFonts w:ascii="Times New Roman" w:cs="Times New Roman" w:eastAsia="Times New Roman" w:hAnsi="Times New Roman"/>
          <w:sz w:val="21"/>
          <w:szCs w:val="21"/>
          <w:color w:val="auto"/>
        </w:rPr>
        <w:t>” means, the Federal Reserve Board and/or the NYFRB, the CME Term SOFR Administrator, as applicable, or a committee officially endorsed or convened by the Federal Reserve Board and/or the NYFRB or, in each case, any successor thereto.</w:t>
      </w:r>
    </w:p>
    <w:p>
      <w:pPr>
        <w:spacing w:after="0" w:line="102"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Rate</w:t>
      </w:r>
      <w:r>
        <w:rPr>
          <w:rFonts w:ascii="Times New Roman" w:cs="Times New Roman" w:eastAsia="Times New Roman" w:hAnsi="Times New Roman"/>
          <w:sz w:val="21"/>
          <w:szCs w:val="21"/>
          <w:color w:val="auto"/>
        </w:rPr>
        <w:t>” means (i) with respect to any Term Benchmark Loan, the Term SOFR Rate or (ii) with respect to any RFR Loan, the Daily Effective SOFR Rate, as applicable.</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Replacement Bank</w:t>
      </w:r>
      <w:r>
        <w:rPr>
          <w:rFonts w:ascii="Times New Roman" w:cs="Times New Roman" w:eastAsia="Times New Roman" w:hAnsi="Times New Roman"/>
          <w:sz w:val="21"/>
          <w:szCs w:val="21"/>
          <w:color w:val="auto"/>
        </w:rPr>
        <w:t>” has the meaning specified in Section 3.07.</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Replacement Notice</w:t>
      </w:r>
      <w:r>
        <w:rPr>
          <w:rFonts w:ascii="Times New Roman" w:cs="Times New Roman" w:eastAsia="Times New Roman" w:hAnsi="Times New Roman"/>
          <w:sz w:val="21"/>
          <w:szCs w:val="21"/>
          <w:color w:val="auto"/>
        </w:rPr>
        <w:t>” has the meaning specified in Section 3.07.</w:t>
      </w:r>
    </w:p>
    <w:p>
      <w:pPr>
        <w:spacing w:after="0" w:line="178"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Reportable Event</w:t>
      </w:r>
      <w:r>
        <w:rPr>
          <w:rFonts w:ascii="Times New Roman" w:cs="Times New Roman" w:eastAsia="Times New Roman" w:hAnsi="Times New Roman"/>
          <w:sz w:val="21"/>
          <w:szCs w:val="21"/>
          <w:color w:val="auto"/>
        </w:rPr>
        <w:t>” means any of the events set forth in Section 4043(c) of ERISA, other than those events as to which the thirty (30) day notice period is waived by the PBGC.</w:t>
      </w:r>
    </w:p>
    <w:p>
      <w:pPr>
        <w:spacing w:after="0" w:line="91"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Banks</w:t>
      </w:r>
      <w:r>
        <w:rPr>
          <w:rFonts w:ascii="Times New Roman" w:cs="Times New Roman" w:eastAsia="Times New Roman" w:hAnsi="Times New Roman"/>
          <w:sz w:val="21"/>
          <w:szCs w:val="21"/>
          <w:color w:val="auto"/>
        </w:rPr>
        <w:t xml:space="preserve">” means at any time Banks having Loan Commitments and outstanding New Term Loans (if any) aggregating at least 51% of the sum of the Total Loan Commitments plus the outstanding principal amount of the New Term Loans (if any) of all of the Banks (excluding, however, any Defaulting Lender) at such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following the termination of the Loan Commitments, the “Required Banks” shall be the Banks holding at least 51% of the then aggregate unpaid principal amount of the Loans (excluding, however, any Defaulting Lender).</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Payment</w:t>
      </w:r>
      <w:r>
        <w:rPr>
          <w:rFonts w:ascii="Times New Roman" w:cs="Times New Roman" w:eastAsia="Times New Roman" w:hAnsi="Times New Roman"/>
          <w:sz w:val="21"/>
          <w:szCs w:val="21"/>
          <w:color w:val="auto"/>
        </w:rPr>
        <w:t>” has the meaning set forth in Section 10.12.</w:t>
      </w:r>
    </w:p>
    <w:p>
      <w:pPr>
        <w:spacing w:after="0" w:line="165"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Resolution Authority</w:t>
      </w:r>
      <w:r>
        <w:rPr>
          <w:rFonts w:ascii="Times New Roman" w:cs="Times New Roman" w:eastAsia="Times New Roman" w:hAnsi="Times New Roman"/>
          <w:sz w:val="21"/>
          <w:szCs w:val="21"/>
          <w:color w:val="auto"/>
        </w:rPr>
        <w:t>” means an EEA Resolution Authority or, with respect to any UK Financial Institution, a UK Resolution Authority.</w:t>
      </w:r>
    </w:p>
    <w:p>
      <w:pPr>
        <w:spacing w:after="0" w:line="1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Loan</w:t>
      </w:r>
      <w:r>
        <w:rPr>
          <w:rFonts w:ascii="Times New Roman" w:cs="Times New Roman" w:eastAsia="Times New Roman" w:hAnsi="Times New Roman"/>
          <w:sz w:val="21"/>
          <w:szCs w:val="21"/>
          <w:color w:val="auto"/>
        </w:rPr>
        <w:t>” means a Loan that bears interest at a rate based on the Daily Effective SOFR Rate.</w:t>
      </w:r>
    </w:p>
    <w:p>
      <w:pPr>
        <w:spacing w:after="0" w:line="165"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Country</w:t>
      </w:r>
      <w:r>
        <w:rPr>
          <w:rFonts w:ascii="Times New Roman" w:cs="Times New Roman" w:eastAsia="Times New Roman" w:hAnsi="Times New Roman"/>
          <w:sz w:val="21"/>
          <w:szCs w:val="21"/>
          <w:color w:val="auto"/>
        </w:rPr>
        <w:t>” means, at any time, a country, region or territory which is itself the subject or target of any Sanctions (at the time of this Agreement, including but not limited to Cuba, the Crimea Region of Ukraine, the so-called Luhansk People’s Republic, the so-called Donetsk People’s Republic, the Kherson and Zaporizhzhia Regions of Ukraine, Iran, and North Korea).</w:t>
      </w:r>
    </w:p>
    <w:p>
      <w:pPr>
        <w:spacing w:after="0" w:line="110"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Person</w:t>
      </w:r>
      <w:r>
        <w:rPr>
          <w:rFonts w:ascii="Times New Roman" w:cs="Times New Roman" w:eastAsia="Times New Roman" w:hAnsi="Times New Roman"/>
          <w:sz w:val="21"/>
          <w:szCs w:val="21"/>
          <w:color w:val="auto"/>
        </w:rPr>
        <w:t>” means, at any time, (a) any Person listed in any Sanctions-related list of designated Persons maintained by the U.S. Government, including by OFAC or the U.S. Department of State, or by the United Nations Security Council, the European Union, any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1251" w:right="339" w:bottom="1440" w:gutter="0" w:footer="0" w:header="0"/>
        </w:sectPr>
      </w:pPr>
    </w:p>
    <w:bookmarkStart w:id="463" w:name="page464"/>
    <w:bookmarkEnd w:id="463"/>
    <w:p>
      <w:pPr>
        <w:jc w:val="both"/>
        <w:spacing w:after="0" w:line="270" w:lineRule="auto"/>
        <w:rPr>
          <w:sz w:val="20"/>
          <w:szCs w:val="20"/>
          <w:color w:val="auto"/>
        </w:rPr>
      </w:pPr>
      <w:r>
        <w:rPr>
          <w:rFonts w:ascii="Times New Roman" w:cs="Times New Roman" w:eastAsia="Times New Roman" w:hAnsi="Times New Roman"/>
          <w:sz w:val="21"/>
          <w:szCs w:val="21"/>
          <w:color w:val="auto"/>
        </w:rPr>
        <w:t>European Union member state, His Majesty’s Treasury of the United Kingdom or any other relevant sanctions authority, (b) any Person operating, organized or resident in a Sanctioned Country, (c) any Person owned or controlled by any such Person or Persons described in the foregoing clauses (a) or (b), or (d) any Person otherwise the subject of Sanctions.</w:t>
      </w:r>
    </w:p>
    <w:p>
      <w:pPr>
        <w:spacing w:after="0" w:line="102"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means economic or financial sanctions, trade embargoes or similar restrictions imposed, administered or enforced from time to time by (a) the U.S. government, including those administered by OFAC or the U.S. Department of State, or (b) the United Nations Security Council, the European Union, any European Union member state, His Majesty’s Treasury of the United Kingdom or other relevant sanctions authority.</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United States Securities and Exchange Commission.</w:t>
      </w:r>
    </w:p>
    <w:p>
      <w:pPr>
        <w:spacing w:after="0" w:line="165"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 Reports</w:t>
      </w:r>
      <w:r>
        <w:rPr>
          <w:rFonts w:ascii="Times New Roman" w:cs="Times New Roman" w:eastAsia="Times New Roman" w:hAnsi="Times New Roman"/>
          <w:sz w:val="21"/>
          <w:szCs w:val="21"/>
          <w:color w:val="auto"/>
        </w:rPr>
        <w:t>” means the reports required to be delivered to the Securities and Exchange Commission pursuant to the Securities Exchange Act of 1934, as amended.</w:t>
      </w:r>
    </w:p>
    <w:p>
      <w:pPr>
        <w:spacing w:after="0" w:line="91"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Indebtedness</w:t>
      </w:r>
      <w:r>
        <w:rPr>
          <w:rFonts w:ascii="Times New Roman" w:cs="Times New Roman" w:eastAsia="Times New Roman" w:hAnsi="Times New Roman"/>
          <w:sz w:val="21"/>
          <w:szCs w:val="21"/>
          <w:color w:val="auto"/>
        </w:rPr>
        <w:t>” means, at any time, that portion of Total Outstanding Indebtedness that is not Unsecured Indebtedness.</w:t>
      </w:r>
    </w:p>
    <w:p>
      <w:pPr>
        <w:spacing w:after="0" w:line="1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Indebtedness Adjustment</w:t>
      </w:r>
      <w:r>
        <w:rPr>
          <w:rFonts w:ascii="Times New Roman" w:cs="Times New Roman" w:eastAsia="Times New Roman" w:hAnsi="Times New Roman"/>
          <w:sz w:val="21"/>
          <w:szCs w:val="21"/>
          <w:color w:val="auto"/>
        </w:rPr>
        <w:t>” has the meaning set forth in Section 8.07.</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w:t>
      </w:r>
      <w:r>
        <w:rPr>
          <w:rFonts w:ascii="Times New Roman" w:cs="Times New Roman" w:eastAsia="Times New Roman" w:hAnsi="Times New Roman"/>
          <w:sz w:val="21"/>
          <w:szCs w:val="21"/>
          <w:color w:val="auto"/>
        </w:rPr>
        <w:t>” has the meaning set forth in Section 2.16(c).</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w:t>
      </w:r>
      <w:r>
        <w:rPr>
          <w:rFonts w:ascii="Times New Roman" w:cs="Times New Roman" w:eastAsia="Times New Roman" w:hAnsi="Times New Roman"/>
          <w:sz w:val="21"/>
          <w:szCs w:val="21"/>
          <w:color w:val="auto"/>
        </w:rPr>
        <w:t>” means a rate equal to the secured overnight financing rate as administered by the SOFR Administrator.</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means the NYFRB (or a successor administrator of the secured overnight financing rate).</w:t>
      </w:r>
    </w:p>
    <w:p>
      <w:pPr>
        <w:spacing w:after="0" w:line="165"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Administrator’s Website</w:t>
      </w:r>
      <w:r>
        <w:rPr>
          <w:rFonts w:ascii="Times New Roman" w:cs="Times New Roman" w:eastAsia="Times New Roman" w:hAnsi="Times New Roman"/>
          <w:sz w:val="21"/>
          <w:szCs w:val="21"/>
          <w:color w:val="auto"/>
        </w:rPr>
        <w:t>” means the NYFRB’s website, currently at http://www.newyorkfed.org, or any successor source for the secured overnight financing rate identified as such by the SOFR Administrator from time to time.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Rate Day</w:t>
      </w:r>
      <w:r>
        <w:rPr>
          <w:rFonts w:ascii="Times New Roman" w:cs="Times New Roman" w:eastAsia="Times New Roman" w:hAnsi="Times New Roman"/>
          <w:sz w:val="21"/>
          <w:szCs w:val="21"/>
          <w:color w:val="auto"/>
        </w:rPr>
        <w:t>” has the meaning specified in the definition of “Daily Effective SOFR Rate”.</w:t>
      </w:r>
    </w:p>
    <w:p>
      <w:pPr>
        <w:spacing w:after="0" w:line="165"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Solvency Certificate</w:t>
      </w:r>
      <w:r>
        <w:rPr>
          <w:rFonts w:ascii="Times New Roman" w:cs="Times New Roman" w:eastAsia="Times New Roman" w:hAnsi="Times New Roman"/>
          <w:sz w:val="21"/>
          <w:szCs w:val="21"/>
          <w:color w:val="auto"/>
        </w:rPr>
        <w:t>” means a certificate in substantially the form of EXHIBIT D, to be delivered by Borrower pursuant to the terms of this Agreement.</w:t>
      </w:r>
    </w:p>
    <w:p>
      <w:pPr>
        <w:spacing w:after="0" w:line="91"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Solvent</w:t>
      </w:r>
      <w:r>
        <w:rPr>
          <w:rFonts w:ascii="Times New Roman" w:cs="Times New Roman" w:eastAsia="Times New Roman" w:hAnsi="Times New Roman"/>
          <w:sz w:val="21"/>
          <w:szCs w:val="21"/>
          <w:color w:val="auto"/>
        </w:rPr>
        <w:t>” means, when used with respect to any Person, that (1) the fair value of the property of such Person, on a going concern basis, is greater than the total amount of liabilities (including, without limitation, contingent liabilities) of such Person; (2) the present fair saleable value of the assets of such Person, on a going concern basis, is not less than the amount that will be required to pay the probable liabilities of such Person on its debts as they become absolute and matured; (3) such Person does not intend to, and does not believe that it will, incur debts or liabilities beyond such Person’s ability to pay as such debts and liabilities mature; (4) such Person is not engaged in business or a transaction, and is not about to engage in business or a transaction, for which such Person’s property would constitute unreasonably small capital after giving due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251" w:right="339" w:bottom="1440" w:gutter="0" w:footer="0" w:header="0"/>
        </w:sectPr>
      </w:pPr>
    </w:p>
    <w:bookmarkStart w:id="464" w:name="page465"/>
    <w:bookmarkEnd w:id="464"/>
    <w:p>
      <w:pPr>
        <w:jc w:val="both"/>
        <w:spacing w:after="0" w:line="262" w:lineRule="auto"/>
        <w:rPr>
          <w:sz w:val="20"/>
          <w:szCs w:val="20"/>
          <w:color w:val="auto"/>
        </w:rPr>
      </w:pPr>
      <w:r>
        <w:rPr>
          <w:rFonts w:ascii="Times New Roman" w:cs="Times New Roman" w:eastAsia="Times New Roman" w:hAnsi="Times New Roman"/>
          <w:sz w:val="21"/>
          <w:szCs w:val="21"/>
          <w:color w:val="auto"/>
        </w:rPr>
        <w:t>consideration to the prevailing practice in the industry in which such Person is engaged; and (5) such Person has sufficient resources, provided that such resources are prudently utilized, to satisfy all of such Person’s obligations. Contingent liabilities will be computed at the amount that, in light of all the facts and circumstances existing at such time, represents the amount that can reasonably be expected to become an actual or matured liability.</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S&amp;P</w:t>
      </w:r>
      <w:r>
        <w:rPr>
          <w:rFonts w:ascii="Times New Roman" w:cs="Times New Roman" w:eastAsia="Times New Roman" w:hAnsi="Times New Roman"/>
          <w:sz w:val="21"/>
          <w:szCs w:val="21"/>
          <w:color w:val="auto"/>
        </w:rPr>
        <w:t>” means S&amp;P Global Ratings and its successors.</w:t>
      </w:r>
    </w:p>
    <w:p>
      <w:pPr>
        <w:spacing w:after="0" w:line="217" w:lineRule="exact"/>
        <w:rPr>
          <w:sz w:val="20"/>
          <w:szCs w:val="20"/>
          <w:color w:val="auto"/>
        </w:rPr>
      </w:pPr>
    </w:p>
    <w:p>
      <w:pPr>
        <w:jc w:val="both"/>
        <w:ind w:firstLine="629"/>
        <w:spacing w:after="0" w:line="28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for Sustainability Reporting</w:t>
      </w:r>
      <w:r>
        <w:rPr>
          <w:rFonts w:ascii="Times New Roman" w:cs="Times New Roman" w:eastAsia="Times New Roman" w:hAnsi="Times New Roman"/>
          <w:sz w:val="20"/>
          <w:szCs w:val="20"/>
          <w:color w:val="auto"/>
        </w:rPr>
        <w:t>” means the Global Reporting Initiative; provided, that Borrower may, by written notice to Administrative Agent, adopt a new Standard for Sustainability Reporting in connection with Borrower’s compliance with any rules, regulations or guidance promulgated by the SEC or any other Governmental Authority with respect to sustainability reporting.</w:t>
      </w:r>
    </w:p>
    <w:p>
      <w:pPr>
        <w:spacing w:after="0" w:line="138"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with respect to any Person, a corporation, partnership, joint venture, limited liability company or other entity, fifty percent (50%) or more of the outstanding voting stock, partnership interests or membership interests, as the case may be, of which are owned, directly or indirectly, by that Person or by one or more other Subsidiaries of that Person and over which that Person or one or more other Subsidiaries of that Person exercise sole control. For the purposes of this definition, “voting stock” means stock having voting power for the election of directors or trustees, as the case may be, whether at all times or only so long as no senior class of stock has voting power for the election of directors or trustees by reason of any contingency, and “control” means the power to direct the management and policies of a Person, directly or indirectly, whether through the ownership of voting securities, by contract or otherwise.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Supported QFC</w:t>
      </w:r>
      <w:r>
        <w:rPr>
          <w:rFonts w:ascii="Times New Roman" w:cs="Times New Roman" w:eastAsia="Times New Roman" w:hAnsi="Times New Roman"/>
          <w:sz w:val="21"/>
          <w:szCs w:val="21"/>
          <w:color w:val="auto"/>
        </w:rPr>
        <w:t>” has the meaning assigned to it in Section 12.27.</w:t>
      </w:r>
    </w:p>
    <w:p>
      <w:pPr>
        <w:spacing w:after="0" w:line="230"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Assurance Provider</w:t>
      </w:r>
      <w:r>
        <w:rPr>
          <w:rFonts w:ascii="Times New Roman" w:cs="Times New Roman" w:eastAsia="Times New Roman" w:hAnsi="Times New Roman"/>
          <w:sz w:val="21"/>
          <w:szCs w:val="21"/>
          <w:color w:val="auto"/>
        </w:rPr>
        <w:t>” means a qualified external reviewer, independent of the Borrower and its Subsidiaries, with relevant expertise, such as an auditor, environmental consultant and/or independent ratings agency of recognized national standing that shall apply auditing standards and methodology consistent with the Standard for Sustainability Reporting. As of the date hereof, the term Sustainability Assurance Provider means Deloitte &amp; Touche LLP; provided that a replacement sustainability assurance provider may be designated from time to time by the Borrower if any such replacement Sustainability Assurance Provider</w:t>
      </w:r>
    </w:p>
    <w:p>
      <w:pPr>
        <w:spacing w:after="0" w:line="2" w:lineRule="exact"/>
        <w:rPr>
          <w:sz w:val="20"/>
          <w:szCs w:val="20"/>
          <w:color w:val="auto"/>
        </w:rPr>
      </w:pPr>
    </w:p>
    <w:p>
      <w:pPr>
        <w:jc w:val="both"/>
        <w:ind w:firstLine="5"/>
        <w:spacing w:after="0" w:line="251" w:lineRule="auto"/>
        <w:tabs>
          <w:tab w:leader="none" w:pos="306"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(i) a qualified external reviewer, independent of the Borrower and its Subsidiaries, with relevant expertise, such as an auditor, environmental consultant and/or independent ratings agency of recognized national standing or (ii) another firm designated by the Borrower and reasonably approved by the Administrative Agent, and (b) shall apply substantially the same auditing standards and methodology used in the most recently delivered KPI Metrics Report, except for any changes to such standards and/or methodology that (i) are consistent with then generally accepted industry standards or SEC requirements or (ii) if not so consistent, are proposed by the Borrower and reasonably approved by the Administrative Agent.</w:t>
      </w:r>
    </w:p>
    <w:p>
      <w:pPr>
        <w:spacing w:after="0" w:line="188"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Facility Fee Adjustment</w:t>
      </w:r>
      <w:r>
        <w:rPr>
          <w:rFonts w:ascii="Times New Roman" w:cs="Times New Roman" w:eastAsia="Times New Roman" w:hAnsi="Times New Roman"/>
          <w:sz w:val="21"/>
          <w:szCs w:val="21"/>
          <w:color w:val="auto"/>
        </w:rPr>
        <w:t>” means, with respect to any KPI Metrics Report, for any period between Sustainability Pricing Adjustment Dates, an amount (whether positive, negative or zero), expressed as a percentage, equal to the KPI Facility Fee Adjustment Amount (whether positive, negative or zero) for such period.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1251" w:right="339" w:bottom="1440" w:gutter="0" w:footer="0" w:header="0"/>
        </w:sectPr>
      </w:pPr>
    </w:p>
    <w:bookmarkStart w:id="465" w:name="page466"/>
    <w:bookmarkEnd w:id="465"/>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Margin Adjustment</w:t>
      </w:r>
      <w:r>
        <w:rPr>
          <w:rFonts w:ascii="Times New Roman" w:cs="Times New Roman" w:eastAsia="Times New Roman" w:hAnsi="Times New Roman"/>
          <w:sz w:val="21"/>
          <w:szCs w:val="21"/>
          <w:color w:val="auto"/>
        </w:rPr>
        <w:t>” means, with respect to any KPI Metrics Report, for any period between Sustainability Pricing Adjustment Dates, an amount (whether positive, negative or zero), expressed as a percentage, equal to the KPI Applicable Margin Adjustment Amount (whether positive, negative or zero) for such period.</w:t>
      </w:r>
    </w:p>
    <w:p>
      <w:pPr>
        <w:spacing w:after="0" w:line="1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u w:val="single" w:color="auto"/>
          <w:color w:val="auto"/>
        </w:rPr>
        <w:t>Sustainability Pricing Adjustment Date</w:t>
      </w:r>
      <w:r>
        <w:rPr>
          <w:rFonts w:ascii="Times New Roman" w:cs="Times New Roman" w:eastAsia="Times New Roman" w:hAnsi="Times New Roman"/>
          <w:sz w:val="21"/>
          <w:szCs w:val="21"/>
          <w:color w:val="auto"/>
        </w:rPr>
        <w:t>” has the meaning specified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 1.08(a)</w:t>
      </w:r>
      <w:r>
        <w:rPr>
          <w:rFonts w:ascii="Times New Roman" w:cs="Times New Roman" w:eastAsia="Times New Roman" w:hAnsi="Times New Roman"/>
          <w:sz w:val="21"/>
          <w:szCs w:val="21"/>
          <w:color w:val="auto"/>
        </w:rPr>
        <w:t>.</w:t>
      </w:r>
    </w:p>
    <w:p>
      <w:pPr>
        <w:spacing w:after="0" w:line="167"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Recalculation Event</w:t>
      </w:r>
      <w:r>
        <w:rPr>
          <w:rFonts w:ascii="Times New Roman" w:cs="Times New Roman" w:eastAsia="Times New Roman" w:hAnsi="Times New Roman"/>
          <w:sz w:val="21"/>
          <w:szCs w:val="21"/>
          <w:color w:val="auto"/>
        </w:rPr>
        <w:t>” means (i) any acquisition, disposition, merger or similar transaction or series of related transactions consummated by the Borrower and its Subsidiaries (otherwise in accordance with the provisions of this Agreement) whereby, as a result of the consummation of such transaction or series of related transactions the KPI would reasonably be expected to be (as determined in good faith by the Borrower), or shall be, increased or decreased by 5% or more (on a consolidated basis) as compared to the KPI in effect immediately prior to the consummation of such transaction or (ii) any change or anticipated change in Law (including rules, regulations and guidance promulgated by the SEC or any other Governmental Authority) applicable to any party hereto the result of which shall (A) prohibit or limit the use of the KPI hereunder, (B) prohibit or modify any sustainability calculation hereunder in any material respect or cause any other violation of any sustainability provision hereunder, or impose or modify any reporting obligation in respect thereof, (C) cause the Borrower to fail to attain or maintain the KPI or target or threshold with respect thereto or (D) prohibit or otherwise limit such party’s ability to make or maintain the Loans hereunder after applying the sustainability provisions hereunder.</w:t>
      </w:r>
    </w:p>
    <w:p>
      <w:pPr>
        <w:spacing w:after="0" w:line="121"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Report</w:t>
      </w:r>
      <w:r>
        <w:rPr>
          <w:rFonts w:ascii="Times New Roman" w:cs="Times New Roman" w:eastAsia="Times New Roman" w:hAnsi="Times New Roman"/>
          <w:sz w:val="21"/>
          <w:szCs w:val="21"/>
          <w:color w:val="auto"/>
        </w:rPr>
        <w:t>” means the annual non-financial disclosure report prepared in accordance with the Standard for Sustainability Reporting publicly reported by the Borrower and published on an Internet or intranet website to which each Bank and the Administrative Agent have been granted access free of charge (or at the expense of the Borrower), it being understood and agreed that the applicable Sustainability Report shall be such disclosure report as in effect and available on the date of delivery of the applicable Pricing Certificate.</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Table</w:t>
      </w:r>
      <w:r>
        <w:rPr>
          <w:rFonts w:ascii="Times New Roman" w:cs="Times New Roman" w:eastAsia="Times New Roman" w:hAnsi="Times New Roman"/>
          <w:sz w:val="21"/>
          <w:szCs w:val="21"/>
          <w:color w:val="auto"/>
        </w:rPr>
        <w:t xml:space="preserve">” means the Sustainability Table set forth on </w:t>
      </w:r>
      <w:r>
        <w:rPr>
          <w:rFonts w:ascii="Times New Roman" w:cs="Times New Roman" w:eastAsia="Times New Roman" w:hAnsi="Times New Roman"/>
          <w:sz w:val="21"/>
          <w:szCs w:val="21"/>
          <w:u w:val="single" w:color="auto"/>
          <w:color w:val="auto"/>
        </w:rPr>
        <w:t>Schedule 4</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02"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Benchmark</w:t>
      </w:r>
      <w:r>
        <w:rPr>
          <w:rFonts w:ascii="Times New Roman" w:cs="Times New Roman" w:eastAsia="Times New Roman" w:hAnsi="Times New Roman"/>
          <w:sz w:val="21"/>
          <w:szCs w:val="21"/>
          <w:color w:val="auto"/>
        </w:rPr>
        <w:t>” when used in reference to any Loan, refers to whether such Loan is bearing interest at a rate determined by reference to the Term SOFR Rate.</w:t>
      </w:r>
    </w:p>
    <w:p>
      <w:pPr>
        <w:spacing w:after="0" w:line="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has the meaning assigned to it under the definition of Term SOFR Reference Rate.</w:t>
      </w:r>
    </w:p>
    <w:p>
      <w:pPr>
        <w:spacing w:after="0" w:line="165"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Rate</w:t>
      </w:r>
      <w:r>
        <w:rPr>
          <w:rFonts w:ascii="Times New Roman" w:cs="Times New Roman" w:eastAsia="Times New Roman" w:hAnsi="Times New Roman"/>
          <w:sz w:val="21"/>
          <w:szCs w:val="21"/>
          <w:color w:val="auto"/>
        </w:rPr>
        <w:t xml:space="preserve">” means, with respect to any Term Benchmark Loan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if the Term SOFR Rate as so determined would be less than the Floor, such rate shall be deemed to be equal to the Floor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40"/>
          </w:cols>
          <w:pgMar w:left="320" w:top="1251" w:right="339" w:bottom="1440" w:gutter="0" w:footer="0" w:header="0"/>
        </w:sectPr>
      </w:pPr>
    </w:p>
    <w:bookmarkStart w:id="466" w:name="page467"/>
    <w:bookmarkEnd w:id="466"/>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Reference Rate</w:t>
      </w:r>
      <w:r>
        <w:rPr>
          <w:rFonts w:ascii="Times New Roman" w:cs="Times New Roman" w:eastAsia="Times New Roman" w:hAnsi="Times New Roman"/>
          <w:sz w:val="21"/>
          <w:szCs w:val="21"/>
          <w:color w:val="auto"/>
        </w:rPr>
        <w:t>” means, for any day and time (such day, the “</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with respect to any Term Benchmark Loan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Banking Days prior to such Term SOFR Determination Day.</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Loan Commitment</w:t>
      </w:r>
      <w:r>
        <w:rPr>
          <w:rFonts w:ascii="Times New Roman" w:cs="Times New Roman" w:eastAsia="Times New Roman" w:hAnsi="Times New Roman"/>
          <w:sz w:val="21"/>
          <w:szCs w:val="21"/>
          <w:color w:val="auto"/>
        </w:rPr>
        <w:t>” means an amount equal to the aggregate amount of all Loan Commitments.</w:t>
      </w:r>
    </w:p>
    <w:p>
      <w:pPr>
        <w:spacing w:after="0" w:line="165"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Outstanding Indebtedness</w:t>
      </w:r>
      <w:r>
        <w:rPr>
          <w:rFonts w:ascii="Times New Roman" w:cs="Times New Roman" w:eastAsia="Times New Roman" w:hAnsi="Times New Roman"/>
          <w:sz w:val="21"/>
          <w:szCs w:val="21"/>
          <w:color w:val="auto"/>
        </w:rPr>
        <w:t>” means, at any time, without duplication, the sum of Debt of the Borrower, the Borrower’s Pro Rata Share of Debt in respect of Consolidated Businesses, and any Debt of UJVs to the extent Recourse to the Borrower, as determined on a consolidated basis in accordance with GAAP.</w:t>
      </w:r>
    </w:p>
    <w:p>
      <w:pPr>
        <w:spacing w:after="0" w:line="102"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UJVs</w:t>
      </w:r>
      <w:r>
        <w:rPr>
          <w:rFonts w:ascii="Times New Roman" w:cs="Times New Roman" w:eastAsia="Times New Roman" w:hAnsi="Times New Roman"/>
          <w:sz w:val="21"/>
          <w:szCs w:val="21"/>
          <w:color w:val="auto"/>
        </w:rPr>
        <w:t>” means, at any time, (1) investments of the Borrower that are accounted for under the equity method in the Borrower’s Consolidated Financial Statements prepared in accordance with GAAP and (2) investments of the Borrower in which the Borrower owns less than 50% of the equity interests and that are consolidated in the Borrower’s Consolidated Financial Statements prepared in accordance with GAAP.</w:t>
      </w:r>
    </w:p>
    <w:p>
      <w:pPr>
        <w:spacing w:after="0" w:line="127"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Financial Institutions</w:t>
      </w:r>
      <w:r>
        <w:rPr>
          <w:rFonts w:ascii="Times New Roman" w:cs="Times New Roman" w:eastAsia="Times New Roman" w:hAnsi="Times New Roman"/>
          <w:sz w:val="21"/>
          <w:szCs w:val="21"/>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4"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Resolution Authority</w:t>
      </w:r>
      <w:r>
        <w:rPr>
          <w:rFonts w:ascii="Times New Roman" w:cs="Times New Roman" w:eastAsia="Times New Roman" w:hAnsi="Times New Roman"/>
          <w:sz w:val="21"/>
          <w:szCs w:val="21"/>
          <w:color w:val="auto"/>
        </w:rPr>
        <w:t>” means the Bank of England or any other public administrative authority having responsibility for the resolution of any UK Financial Institution.</w:t>
      </w:r>
    </w:p>
    <w:p>
      <w:pPr>
        <w:spacing w:after="0" w:line="78"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Unadjusted Benchmark Replacement</w:t>
      </w:r>
      <w:r>
        <w:rPr>
          <w:rFonts w:ascii="Times New Roman" w:cs="Times New Roman" w:eastAsia="Times New Roman" w:hAnsi="Times New Roman"/>
          <w:sz w:val="21"/>
          <w:szCs w:val="21"/>
          <w:color w:val="auto"/>
        </w:rPr>
        <w:t>” means the applicable Benchmark Replacement excluding the related Benchmark Replacement Adjustment.</w:t>
      </w:r>
    </w:p>
    <w:p>
      <w:pPr>
        <w:spacing w:after="0" w:line="91"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Unencumbered Assets</w:t>
      </w:r>
      <w:r>
        <w:rPr>
          <w:rFonts w:ascii="Times New Roman" w:cs="Times New Roman" w:eastAsia="Times New Roman" w:hAnsi="Times New Roman"/>
          <w:sz w:val="21"/>
          <w:szCs w:val="21"/>
          <w:color w:val="auto"/>
        </w:rPr>
        <w:t>” means, collectively, assets, reflected in the Borrower’s Consolidated Financial Statements, owned in whole or in part, directly or indirectly, by Borrower and not subject to any Lien to secure all or any portion of Secured Indebtedness or to any negative pledge or similar agreement, and assets of Consolidated Businesses and UJVs which are not subject to any Lien to secure all or any portion of Secured Indebtedness or to any negative pledge or similar agreement, provided that any such Consolidated Business or UJV is not the borrower or guarantor of any Unsecured Indebtedness. For clarity, (i) an agreement that conditions the ability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251" w:right="339" w:bottom="1440" w:gutter="0" w:footer="0" w:header="0"/>
        </w:sectPr>
      </w:pPr>
    </w:p>
    <w:bookmarkStart w:id="467" w:name="page468"/>
    <w:bookmarkEnd w:id="467"/>
    <w:p>
      <w:pPr>
        <w:jc w:val="both"/>
        <w:spacing w:after="0" w:line="255" w:lineRule="auto"/>
        <w:rPr>
          <w:sz w:val="20"/>
          <w:szCs w:val="20"/>
          <w:color w:val="auto"/>
        </w:rPr>
      </w:pPr>
      <w:r>
        <w:rPr>
          <w:rFonts w:ascii="Times New Roman" w:cs="Times New Roman" w:eastAsia="Times New Roman" w:hAnsi="Times New Roman"/>
          <w:sz w:val="21"/>
          <w:szCs w:val="21"/>
          <w:color w:val="auto"/>
        </w:rPr>
        <w:t>to encumber assets upon the maintenance of one or more specified ratios but that does not generally prohibit the encumbrance of assets, or the encumbrance of specific assets, shall not constitute a negative pledge or similar agreement, (ii) any Refinancing Mortgage may be disregarded for purposes of determining whether any asset subject to such Refinancing Mortgage constitutes an Unencumbered Asset and (iii) in the event Borrower owns, directly or indirectly in whole or in part, both the fee estate in an asset and a separate leasehold estate in the same asset (or both a senior leasehold estate and a separate junior leasehold estate in the same asset) and one such estate is subject to a Lien to secure Secured Indebtedness or a negative pledge such that it would not be treated as an Unencumbered Asset but the other such estate is not subject to any such Lien or negative pledge, Borrower shall be entitled to treat each estate as a separate asset for purposes of determining whether each estate is an Unencumbered Asset.</w:t>
      </w:r>
    </w:p>
    <w:p>
      <w:pPr>
        <w:spacing w:after="0" w:line="69"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Unencumbered Combined EBITDA</w:t>
      </w:r>
      <w:r>
        <w:rPr>
          <w:rFonts w:ascii="Times New Roman" w:cs="Times New Roman" w:eastAsia="Times New Roman" w:hAnsi="Times New Roman"/>
          <w:sz w:val="21"/>
          <w:szCs w:val="21"/>
          <w:color w:val="auto"/>
        </w:rPr>
        <w:t xml:space="preserve">” means that portion of Combined EBITDA attributable to Unencumbered Assets;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Unencumbered Combined EBITDA shall include only general and administrative expenses that are attributable to the management and operation of the Unencumbered Assets in accordance with GAAP and shall not include any corporate general and administrative expenses of Borrower, General Partner, Consolidated Businesses or UJVs (e.g., salaries of corporate officers).</w:t>
      </w:r>
    </w:p>
    <w:p>
      <w:pPr>
        <w:spacing w:after="0" w:line="75"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Unfunded Current Liability</w:t>
      </w:r>
      <w:r>
        <w:rPr>
          <w:rFonts w:ascii="Times New Roman" w:cs="Times New Roman" w:eastAsia="Times New Roman" w:hAnsi="Times New Roman"/>
          <w:sz w:val="21"/>
          <w:szCs w:val="21"/>
          <w:color w:val="auto"/>
        </w:rPr>
        <w:t>” of any Plan means the amount, if any, by which the actuarial present value of accumulated plan benefits as of the close of its most recent plan year, based upon the actuarial assumptions used by such Plan’s actuary in the most recent annual valuation of such Plan, exceeds the fair market value of the assets allocable thereto, determined in accordance with Section 412 of the Code.</w:t>
      </w:r>
    </w:p>
    <w:p>
      <w:pPr>
        <w:spacing w:after="0" w:line="62"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Unrestricted Cash and Cash Equivalents</w:t>
      </w:r>
      <w:r>
        <w:rPr>
          <w:rFonts w:ascii="Times New Roman" w:cs="Times New Roman" w:eastAsia="Times New Roman" w:hAnsi="Times New Roman"/>
          <w:sz w:val="21"/>
          <w:szCs w:val="21"/>
          <w:color w:val="auto"/>
        </w:rPr>
        <w:t>” means Cash or Cash Equivalents owned by Borrower, and Borrower’s Pro Rata Share of any Cash or Cash Equivalents owned by any Consolidated Businesses or UJV, that are not subject to any pledge, lien or control agreement, less amounts placed with third parties as deposits or security for contractual obligations.</w:t>
      </w:r>
    </w:p>
    <w:p>
      <w:pPr>
        <w:spacing w:after="0" w:line="49"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Unsecured Indebtedness</w:t>
      </w:r>
      <w:r>
        <w:rPr>
          <w:rFonts w:ascii="Times New Roman" w:cs="Times New Roman" w:eastAsia="Times New Roman" w:hAnsi="Times New Roman"/>
          <w:sz w:val="21"/>
          <w:szCs w:val="21"/>
          <w:color w:val="auto"/>
        </w:rPr>
        <w:t>” means, at any time, Total Outstanding Indebtedness that is not secured by a lien on assets of the Borrower, a Consolidated Business or a UJV, as the case may be.</w:t>
      </w:r>
    </w:p>
    <w:p>
      <w:pPr>
        <w:spacing w:after="0" w:line="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Unsecured Indebtedness Adjustment</w:t>
      </w:r>
      <w:r>
        <w:rPr>
          <w:rFonts w:ascii="Times New Roman" w:cs="Times New Roman" w:eastAsia="Times New Roman" w:hAnsi="Times New Roman"/>
          <w:sz w:val="21"/>
          <w:szCs w:val="21"/>
          <w:color w:val="auto"/>
        </w:rPr>
        <w:t>” has the meaning set forth in Section 8.06.</w:t>
      </w:r>
    </w:p>
    <w:p>
      <w:pPr>
        <w:spacing w:after="0" w:line="125"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Unsecured Interest Expense</w:t>
      </w:r>
      <w:r>
        <w:rPr>
          <w:rFonts w:ascii="Times New Roman" w:cs="Times New Roman" w:eastAsia="Times New Roman" w:hAnsi="Times New Roman"/>
          <w:sz w:val="21"/>
          <w:szCs w:val="21"/>
          <w:color w:val="auto"/>
        </w:rPr>
        <w:t>” means, for any period, the Borrower’s Pro Rata Share of Interest Expense attributable to Total Outstanding Indebtedness constituting Unsecured Indebtedness.</w:t>
      </w:r>
    </w:p>
    <w:p>
      <w:pPr>
        <w:spacing w:after="0" w:line="39"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Government Securities Business Day</w:t>
      </w:r>
      <w:r>
        <w:rPr>
          <w:rFonts w:ascii="Times New Roman" w:cs="Times New Roman" w:eastAsia="Times New Roman" w:hAnsi="Times New Roman"/>
          <w:sz w:val="21"/>
          <w:szCs w:val="21"/>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58"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Person</w:t>
      </w:r>
      <w:r>
        <w:rPr>
          <w:rFonts w:ascii="Times New Roman" w:cs="Times New Roman" w:eastAsia="Times New Roman" w:hAnsi="Times New Roman"/>
          <w:sz w:val="21"/>
          <w:szCs w:val="21"/>
          <w:color w:val="auto"/>
        </w:rPr>
        <w:t>” means (i) for purposes of Sections 5.27 and 7.05 hereof, any United States citizen, lawful permanent resident, entity organized under the laws of the United States or any jurisdiction within the United States, including any foreign branch of any such entity, or any person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251" w:right="33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21"/>
          <w:szCs w:val="21"/>
          <w:color w:val="auto"/>
        </w:rPr>
        <w:t>in the United States and (ii) for all other purposes, a “United States person” within the meaning of Section 7701(a)(30) of the Code.</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Special Resolution Regime</w:t>
      </w:r>
      <w:r>
        <w:rPr>
          <w:rFonts w:ascii="Times New Roman" w:cs="Times New Roman" w:eastAsia="Times New Roman" w:hAnsi="Times New Roman"/>
          <w:sz w:val="21"/>
          <w:szCs w:val="21"/>
          <w:color w:val="auto"/>
        </w:rPr>
        <w:t>” has the meaning assigned to it in Section 12.27.</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Tax Compliance Certificate</w:t>
      </w:r>
      <w:r>
        <w:rPr>
          <w:rFonts w:ascii="Times New Roman" w:cs="Times New Roman" w:eastAsia="Times New Roman" w:hAnsi="Times New Roman"/>
          <w:sz w:val="21"/>
          <w:szCs w:val="21"/>
          <w:color w:val="auto"/>
        </w:rPr>
        <w:t>” has the meaning assigned to such term in Section 10.13(f)(ii)(B)(3).</w:t>
      </w:r>
    </w:p>
    <w:p>
      <w:pPr>
        <w:spacing w:after="0" w:line="217"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VRT Principals</w:t>
      </w:r>
      <w:r>
        <w:rPr>
          <w:rFonts w:ascii="Times New Roman" w:cs="Times New Roman" w:eastAsia="Times New Roman" w:hAnsi="Times New Roman"/>
          <w:sz w:val="21"/>
          <w:szCs w:val="21"/>
          <w:color w:val="auto"/>
        </w:rPr>
        <w:t>” means the trustees, executive officers and directors of Borrower (other than General Partner) or General Partner at any applicable time.</w:t>
      </w:r>
    </w:p>
    <w:p>
      <w:pPr>
        <w:spacing w:after="0" w:line="14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Without Recourse</w:t>
      </w:r>
      <w:r>
        <w:rPr>
          <w:rFonts w:ascii="Times New Roman" w:cs="Times New Roman" w:eastAsia="Times New Roman" w:hAnsi="Times New Roman"/>
          <w:sz w:val="21"/>
          <w:szCs w:val="21"/>
          <w:color w:val="auto"/>
        </w:rPr>
        <w:t>” means, with reference to any obligation or liability, any obligation or liability for which the obligor thereunder is not liable or obligated other than as to its interest in a designated asset or assets only, subject to such exceptions to the non-recourse nature of such obligation or liability (such as, but not limited to, fraud, misappropriation, misapplication and environmental indemnities), as are usual and customary in like transactions involving institutional lenders at the time of the incurrence of such obligation or liability.</w:t>
      </w:r>
    </w:p>
    <w:p>
      <w:pPr>
        <w:spacing w:after="0" w:line="169"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Write-Down and Conversion Powers</w:t>
      </w:r>
      <w:r>
        <w:rPr>
          <w:rFonts w:ascii="Times New Roman" w:cs="Times New Roman" w:eastAsia="Times New Roman" w:hAnsi="Times New Roman"/>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4" w:lineRule="exact"/>
        <w:rPr>
          <w:sz w:val="20"/>
          <w:szCs w:val="20"/>
          <w:color w:val="auto"/>
        </w:rPr>
      </w:pPr>
    </w:p>
    <w:p>
      <w:pPr>
        <w:jc w:val="both"/>
        <w:ind w:firstLine="707"/>
        <w:spacing w:after="0" w:line="253"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u w:val="single" w:color="auto"/>
          <w:color w:val="auto"/>
        </w:rPr>
        <w:t>Accounting Terms.</w:t>
      </w:r>
      <w:r>
        <w:rPr>
          <w:rFonts w:ascii="Times New Roman" w:cs="Times New Roman" w:eastAsia="Times New Roman" w:hAnsi="Times New Roman"/>
          <w:sz w:val="21"/>
          <w:szCs w:val="21"/>
          <w:color w:val="auto"/>
        </w:rPr>
        <w:t xml:space="preserve"> All accounting terms not specifically defined herein shall be construed in accordance with GAAP, and, except as otherwise provided herein, all financial data required to be delivered hereunder shall be prepared in accordance with GAAP.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Debt or other liabilities of the Borrower or any Subsidiary at “fair value”, as defined therein, so that such Debt and other liabilities will be valued at the historical cost basis, which generally is the contractual amount owed adjusted for amortization or accretion of any premium or discount, and (ii) in a manner such that any obligations relating to a lease that was accounted for by a Person as an operating lease as of December 31, 2018 and any similar lease entered into after December 31, 2018 by such Person shall be accounted for as obligations relating to an operating lease and not as a Capital Lease.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251" w:right="339" w:bottom="1440" w:gutter="0" w:footer="0" w:header="0"/>
        </w:sectPr>
      </w:pPr>
    </w:p>
    <w:bookmarkStart w:id="469" w:name="page470"/>
    <w:bookmarkEnd w:id="469"/>
    <w:p>
      <w:pPr>
        <w:jc w:val="both"/>
        <w:ind w:firstLine="707"/>
        <w:spacing w:after="0" w:line="270"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Computation of Time Periods.</w:t>
      </w:r>
      <w:r>
        <w:rPr>
          <w:rFonts w:ascii="Times New Roman" w:cs="Times New Roman" w:eastAsia="Times New Roman" w:hAnsi="Times New Roman"/>
          <w:sz w:val="21"/>
          <w:szCs w:val="21"/>
          <w:color w:val="auto"/>
        </w:rPr>
        <w:t xml:space="preserve"> Except as otherwise provided herein, in this Agreement, in the computation of periods of time from a specified date to a later specified date, the word “from” means “from and including” and words “to” and “until” each means “to but excluding”.</w:t>
      </w:r>
    </w:p>
    <w:p>
      <w:pPr>
        <w:spacing w:after="0" w:line="154" w:lineRule="exact"/>
        <w:rPr>
          <w:sz w:val="20"/>
          <w:szCs w:val="20"/>
          <w:color w:val="auto"/>
        </w:rPr>
      </w:pPr>
    </w:p>
    <w:p>
      <w:pPr>
        <w:jc w:val="both"/>
        <w:ind w:firstLine="707"/>
        <w:spacing w:after="0" w:line="255" w:lineRule="auto"/>
        <w:rPr>
          <w:sz w:val="20"/>
          <w:szCs w:val="20"/>
          <w:color w:val="auto"/>
        </w:rPr>
      </w:pPr>
      <w:r>
        <w:rPr>
          <w:rFonts w:ascii="Times New Roman" w:cs="Times New Roman" w:eastAsia="Times New Roman" w:hAnsi="Times New Roman"/>
          <w:sz w:val="21"/>
          <w:szCs w:val="21"/>
          <w:color w:val="auto"/>
        </w:rPr>
        <w:t xml:space="preserve">SECTION 1.04 </w:t>
      </w:r>
      <w:r>
        <w:rPr>
          <w:rFonts w:ascii="Times New Roman" w:cs="Times New Roman" w:eastAsia="Times New Roman" w:hAnsi="Times New Roman"/>
          <w:sz w:val="21"/>
          <w:szCs w:val="21"/>
          <w:u w:val="single" w:color="auto"/>
          <w:color w:val="auto"/>
        </w:rPr>
        <w:t>Rules of Construction.</w:t>
      </w:r>
      <w:r>
        <w:rPr>
          <w:rFonts w:ascii="Times New Roman" w:cs="Times New Roman" w:eastAsia="Times New Roman" w:hAnsi="Times New Roman"/>
          <w:sz w:val="21"/>
          <w:szCs w:val="21"/>
          <w:color w:val="auto"/>
        </w:rPr>
        <w:t xml:space="preserve"> When used in this Agreement: (1) “or” is not exclusive; (2) a reference to a Law includes any amendment or modification to such Law; (3) a reference to a Person includes its permitted successors and permitted assigns; (4) except as provided otherwise, all references to the singular shall include the plural and vice versa; (5) except as provided in this Agreement, a reference to an agreement, instrument or document shall include such agreement, instrument or document as the same may be amended, modified or supplemented from time to time in accordance with its terms and as permitted by the Loan Documents; (6) all references to Articles or Sections shall be to Articles and Sections of this Agreement unless otherwise indicated; and (7) all Exhibits to this Agreement shall be incorporated into this Agreement.</w:t>
      </w:r>
    </w:p>
    <w:p>
      <w:pPr>
        <w:spacing w:after="0" w:line="169" w:lineRule="exact"/>
        <w:rPr>
          <w:sz w:val="20"/>
          <w:szCs w:val="20"/>
          <w:color w:val="auto"/>
        </w:rPr>
      </w:pPr>
    </w:p>
    <w:p>
      <w:pPr>
        <w:jc w:val="both"/>
        <w:ind w:firstLine="707"/>
        <w:spacing w:after="0" w:line="251" w:lineRule="auto"/>
        <w:rPr>
          <w:sz w:val="20"/>
          <w:szCs w:val="20"/>
          <w:color w:val="auto"/>
        </w:rPr>
      </w:pPr>
      <w:r>
        <w:rPr>
          <w:rFonts w:ascii="Times New Roman" w:cs="Times New Roman" w:eastAsia="Times New Roman" w:hAnsi="Times New Roman"/>
          <w:sz w:val="21"/>
          <w:szCs w:val="21"/>
          <w:color w:val="auto"/>
        </w:rPr>
        <w:t xml:space="preserve">SECTION 1.05 </w:t>
      </w:r>
      <w:r>
        <w:rPr>
          <w:rFonts w:ascii="Times New Roman" w:cs="Times New Roman" w:eastAsia="Times New Roman" w:hAnsi="Times New Roman"/>
          <w:sz w:val="21"/>
          <w:szCs w:val="21"/>
          <w:u w:val="single" w:color="auto"/>
          <w:color w:val="auto"/>
        </w:rPr>
        <w:t>Interest Rates; Benchmark Notification.</w:t>
      </w:r>
      <w:r>
        <w:rPr>
          <w:rFonts w:ascii="Times New Roman" w:cs="Times New Roman" w:eastAsia="Times New Roman" w:hAnsi="Times New Roman"/>
          <w:sz w:val="21"/>
          <w:szCs w:val="21"/>
          <w:color w:val="auto"/>
        </w:rPr>
        <w:t xml:space="preserve"> The interest rate on a Loan denominated in dollars may be derived from an interest rate benchmark that may be discontinued or is, or may in the future become, the subject of regulatory reform. Upon the occurrence of a Benchmark Transition Event, Section 3.02(b)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Bank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82" w:lineRule="exact"/>
        <w:rPr>
          <w:sz w:val="20"/>
          <w:szCs w:val="20"/>
          <w:color w:val="auto"/>
        </w:rPr>
      </w:pPr>
    </w:p>
    <w:p>
      <w:pPr>
        <w:jc w:val="both"/>
        <w:ind w:firstLine="707"/>
        <w:spacing w:after="0" w:line="258" w:lineRule="auto"/>
        <w:rPr>
          <w:sz w:val="20"/>
          <w:szCs w:val="20"/>
          <w:color w:val="auto"/>
        </w:rPr>
      </w:pPr>
      <w:r>
        <w:rPr>
          <w:rFonts w:ascii="Times New Roman" w:cs="Times New Roman" w:eastAsia="Times New Roman" w:hAnsi="Times New Roman"/>
          <w:sz w:val="21"/>
          <w:szCs w:val="21"/>
          <w:color w:val="auto"/>
        </w:rPr>
        <w:t xml:space="preserve">SECTION 1.06 </w:t>
      </w:r>
      <w:r>
        <w:rPr>
          <w:rFonts w:ascii="Times New Roman" w:cs="Times New Roman" w:eastAsia="Times New Roman" w:hAnsi="Times New Roman"/>
          <w:sz w:val="21"/>
          <w:szCs w:val="21"/>
          <w:u w:val="single" w:color="auto"/>
          <w:color w:val="auto"/>
        </w:rPr>
        <w:t>Letter of Credit Amounts.</w:t>
      </w:r>
      <w:r>
        <w:rPr>
          <w:rFonts w:ascii="Times New Roman" w:cs="Times New Roman" w:eastAsia="Times New Roman" w:hAnsi="Times New Roman"/>
          <w:sz w:val="21"/>
          <w:szCs w:val="21"/>
          <w:color w:val="auto"/>
        </w:rPr>
        <w:t xml:space="preserve"> Unless otherwise specified herein, the amount of a Letter of Credit at any time shall be deemed to be the amount of such Letter of Credit available to be drawn at such time; provided that with respect to any Letter of Credit that, by its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40"/>
          </w:cols>
          <w:pgMar w:left="320" w:top="1252" w:right="339" w:bottom="1440" w:gutter="0" w:footer="0" w:header="0"/>
        </w:sectPr>
      </w:pPr>
    </w:p>
    <w:bookmarkStart w:id="470" w:name="page471"/>
    <w:bookmarkEnd w:id="470"/>
    <w:p>
      <w:pPr>
        <w:jc w:val="both"/>
        <w:ind w:firstLine="707"/>
        <w:spacing w:after="0" w:line="258" w:lineRule="auto"/>
        <w:rPr>
          <w:sz w:val="20"/>
          <w:szCs w:val="20"/>
          <w:color w:val="auto"/>
        </w:rPr>
      </w:pPr>
      <w:r>
        <w:rPr>
          <w:rFonts w:ascii="Times New Roman" w:cs="Times New Roman" w:eastAsia="Times New Roman" w:hAnsi="Times New Roman"/>
          <w:sz w:val="21"/>
          <w:szCs w:val="21"/>
          <w:color w:val="auto"/>
        </w:rPr>
        <w:t xml:space="preserve">SECTION 1.07 </w:t>
      </w:r>
      <w:r>
        <w:rPr>
          <w:rFonts w:ascii="Times New Roman" w:cs="Times New Roman" w:eastAsia="Times New Roman" w:hAnsi="Times New Roman"/>
          <w:sz w:val="21"/>
          <w:szCs w:val="21"/>
          <w:u w:val="single" w:color="auto"/>
          <w:color w:val="auto"/>
        </w:rPr>
        <w:t>Divisions.</w:t>
      </w:r>
      <w:r>
        <w:rPr>
          <w:rFonts w:ascii="Times New Roman" w:cs="Times New Roman" w:eastAsia="Times New Roman" w:hAnsi="Times New Roman"/>
          <w:sz w:val="21"/>
          <w:szCs w:val="21"/>
          <w:color w:val="auto"/>
        </w:rPr>
        <w:t xml:space="preserve">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 xml:space="preserve">SECTION 1.08 </w:t>
      </w:r>
      <w:r>
        <w:rPr>
          <w:rFonts w:ascii="Times New Roman" w:cs="Times New Roman" w:eastAsia="Times New Roman" w:hAnsi="Times New Roman"/>
          <w:sz w:val="21"/>
          <w:szCs w:val="21"/>
          <w:u w:val="single" w:color="auto"/>
          <w:color w:val="auto"/>
        </w:rPr>
        <w:t>Sustainability Adjustments.</w:t>
      </w:r>
    </w:p>
    <w:p>
      <w:pPr>
        <w:spacing w:after="0" w:line="125" w:lineRule="exact"/>
        <w:rPr>
          <w:sz w:val="20"/>
          <w:szCs w:val="20"/>
          <w:color w:val="auto"/>
        </w:rPr>
      </w:pPr>
    </w:p>
    <w:p>
      <w:pPr>
        <w:jc w:val="both"/>
        <w:ind w:firstLine="634"/>
        <w:spacing w:after="0" w:line="252" w:lineRule="auto"/>
        <w:tabs>
          <w:tab w:leader="none" w:pos="1254" w:val="left"/>
        </w:tabs>
        <w:numPr>
          <w:ilvl w:val="0"/>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date on which Borrower provides a Pricing Certificate in respect of the most recently ended calendar year, commencing with the calendar year ended December 31, 2025, (i) the Applicable Margin shall be increased or decreased (or not adjusted), as applicable, pursuant to the Sustainability Margin Adjustment as set forth in such Pricing Certificate and (ii) the Facility Fee shall be increased or decreased (or not adjusted), as applicable, pursuant to the Sustainability Facility Fee Adjustment as set forth in such Pricing Certificate. For purposes of the foregoing, (A) the Sustainability Margin Adjustment and the Sustainability Facility Fee Adjustment shall be determined and applied as of the fifth Banking Day following receipt by the Administrative Agent of a Pricing Certificate delivered pursuant to Section 1.08(f) based upon the KPI Metric set forth in such Pricing Certificate and the calculations of the Sustainability Margin Adjustment and the Sustainability Facility Fee Adjustment therein (such day, the “</w:t>
      </w:r>
      <w:r>
        <w:rPr>
          <w:rFonts w:ascii="Times New Roman" w:cs="Times New Roman" w:eastAsia="Times New Roman" w:hAnsi="Times New Roman"/>
          <w:sz w:val="21"/>
          <w:szCs w:val="21"/>
          <w:u w:val="single" w:color="auto"/>
          <w:color w:val="auto"/>
        </w:rPr>
        <w:t>Sustainability Pricing Adjustment Date</w:t>
      </w:r>
      <w:r>
        <w:rPr>
          <w:rFonts w:ascii="Times New Roman" w:cs="Times New Roman" w:eastAsia="Times New Roman" w:hAnsi="Times New Roman"/>
          <w:sz w:val="21"/>
          <w:szCs w:val="21"/>
          <w:color w:val="auto"/>
        </w:rPr>
        <w:t>”) and (B) each change in the Applicable Margin and Facility Fee resulting from a Pricing Certificate shall be effective during the period commencing on and including the applicable Sustainability Pricing Adjustment Date and ending on the date immediately preceding the next such Sustainability Pricing Adjustment Date (or, in the case of non-delivery of a Pricing Certificate, the last day such Pricing Certificate could have been delivered pursuant to the terms of Section 1.08(f)).</w:t>
      </w:r>
    </w:p>
    <w:p>
      <w:pPr>
        <w:spacing w:after="0" w:line="74" w:lineRule="exact"/>
        <w:rPr>
          <w:rFonts w:ascii="Times New Roman" w:cs="Times New Roman" w:eastAsia="Times New Roman" w:hAnsi="Times New Roman"/>
          <w:sz w:val="21"/>
          <w:szCs w:val="21"/>
          <w:color w:val="auto"/>
        </w:rPr>
      </w:pPr>
    </w:p>
    <w:p>
      <w:pPr>
        <w:jc w:val="both"/>
        <w:ind w:firstLine="634"/>
        <w:spacing w:after="0" w:line="256" w:lineRule="auto"/>
        <w:tabs>
          <w:tab w:leader="none" w:pos="1253" w:val="left"/>
        </w:tabs>
        <w:numPr>
          <w:ilvl w:val="0"/>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only one Pricing Certificate may be delivered in respect of any calendar year. It is further understood and agreed that the Applicable Margin will never be reduced or increased by more than 0.04% and the Facility Fee will never be reduced or increased by more than 0.01%, pursuant to the Sustainability Margin Adjustment and the Sustainability Facility Fee Adjustment, respectively, during any calendar year. For the avoidance of doubt, any adjustment to the Applicable Margin or Facility Fee by reason of meeting the KPI Metric in any year shall not be cumulative year-over-year. Each applicable adjustment shall only apply until the date on which the next adjustment is due to take place.</w:t>
      </w:r>
    </w:p>
    <w:p>
      <w:pPr>
        <w:spacing w:after="0" w:line="65" w:lineRule="exact"/>
        <w:rPr>
          <w:rFonts w:ascii="Times New Roman" w:cs="Times New Roman" w:eastAsia="Times New Roman" w:hAnsi="Times New Roman"/>
          <w:sz w:val="21"/>
          <w:szCs w:val="21"/>
          <w:color w:val="auto"/>
        </w:rPr>
      </w:pPr>
    </w:p>
    <w:p>
      <w:pPr>
        <w:jc w:val="both"/>
        <w:ind w:firstLine="634"/>
        <w:spacing w:after="0" w:line="258" w:lineRule="auto"/>
        <w:tabs>
          <w:tab w:leader="none" w:pos="1254" w:val="left"/>
        </w:tabs>
        <w:numPr>
          <w:ilvl w:val="0"/>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hereby understood and agreed that if no such Pricing Certificate is delivered by Borrower with regard to a particular calendar year within the period set forth in Section 1.08(f), the Sustainability Margin Adjustment will be positive 0.04% and the Sustainability Facility Fee Adjustment will be positive 0.01% commencing on the last day such Pricing Certificate could have been delivered pursuant to the terms of Section 1.08(f) and continuing until Borrower delivers a Pricing Certificate to the Administrative Agent for the applicable calendar year.</w:t>
      </w:r>
    </w:p>
    <w:p>
      <w:pPr>
        <w:spacing w:after="0" w:line="64" w:lineRule="exact"/>
        <w:rPr>
          <w:rFonts w:ascii="Times New Roman" w:cs="Times New Roman" w:eastAsia="Times New Roman" w:hAnsi="Times New Roman"/>
          <w:sz w:val="21"/>
          <w:szCs w:val="21"/>
          <w:color w:val="auto"/>
        </w:rPr>
      </w:pPr>
    </w:p>
    <w:p>
      <w:pPr>
        <w:jc w:val="both"/>
        <w:ind w:firstLine="634"/>
        <w:spacing w:after="0" w:line="263" w:lineRule="auto"/>
        <w:tabs>
          <w:tab w:leader="none" w:pos="1253" w:val="left"/>
        </w:tabs>
        <w:numPr>
          <w:ilvl w:val="0"/>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(i)(A) any Bank becomes aware of any material inaccuracy in the Sustainability Margin Adjustment, the Sustainability Facility Fee Adjustment or the KPI Metric as reported in a Pricing Certificate (any such material inaccuracy, a “</w:t>
      </w:r>
      <w:r>
        <w:rPr>
          <w:rFonts w:ascii="Times New Roman" w:cs="Times New Roman" w:eastAsia="Times New Roman" w:hAnsi="Times New Roman"/>
          <w:sz w:val="21"/>
          <w:szCs w:val="21"/>
          <w:u w:val="single" w:color="auto"/>
          <w:color w:val="auto"/>
        </w:rPr>
        <w:t>Pricing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Certificate Inaccuracy</w:t>
      </w:r>
      <w:r>
        <w:rPr>
          <w:rFonts w:ascii="Times New Roman" w:cs="Times New Roman" w:eastAsia="Times New Roman" w:hAnsi="Times New Roman"/>
          <w:sz w:val="21"/>
          <w:szCs w:val="21"/>
          <w:color w:val="auto"/>
        </w:rPr>
        <w:t>”) and such</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240"/>
          </w:cols>
          <w:pgMar w:left="320" w:top="1251" w:right="339" w:bottom="1440" w:gutter="0" w:footer="0" w:header="0"/>
        </w:sectPr>
      </w:pPr>
    </w:p>
    <w:bookmarkStart w:id="471" w:name="page472"/>
    <w:bookmarkEnd w:id="471"/>
    <w:p>
      <w:pPr>
        <w:jc w:val="both"/>
        <w:spacing w:after="0" w:line="245" w:lineRule="auto"/>
        <w:rPr>
          <w:sz w:val="20"/>
          <w:szCs w:val="20"/>
          <w:color w:val="auto"/>
        </w:rPr>
      </w:pPr>
      <w:r>
        <w:rPr>
          <w:rFonts w:ascii="Times New Roman" w:cs="Times New Roman" w:eastAsia="Times New Roman" w:hAnsi="Times New Roman"/>
          <w:sz w:val="21"/>
          <w:szCs w:val="21"/>
          <w:color w:val="auto"/>
        </w:rPr>
        <w:t>Bank delivers, not later than 10 Banking Days after obtaining knowledge thereof, a written notice to the Administrative Agent describing such Pricing Certificate Inaccuracy in reasonable detail (which description shall be shared with each Bank and the Borrower), or (B) the Borrower becomes aware of a Pricing Certificate Inaccuracy and the Borrower and the Administrative Agent shall mutually agree that there was a Pricing Certificate Inaccuracy at the time of delivery of a Pricing Certificate, and (ii) in either case, a proper calculation of the Sustainability Margin Adjustment, the Sustainability Facility Fee Adjustment or the KPI Metric would have resulted in no adjustment or an increase in the Applicable Margin or Facility Fee for any period, (x) commencing on the fifth Banking Day following delivery of a corrected Sustainability Certificate to the Administrative Agent, the Applicable Margin and Facility Fee shall be adjusted to reflect such corrected calculations of the Sustainability Margin Adjustment and the Sustainability Facility Fee Adjustment and (y) the Borrower shall be obligated to pay to the Administrative Agent for the account of the applicable Banks or the applicable Fronting Banks, as the case may be, promptly on demand by the Administrative Agent (or, after the occurrence of an actual or deemed entry of an order for relief with respect to any Borrower under the Bankruptcy Code (or any comparable event under non-U.S. Debtor Relief Laws), automatically and without further action by the Administrative Agent, any Bank or any Fronting Bank), but in any event within 10 Banking Days after the Borrower has received written notice of (in the case of clause (d)(i)(A) above), or has agreed in writing that there was (in the case of clause (d)(i)(B) above), a Pricing Certificate Inaccuracy, an amount equal to the excess of (1) the amount of interest and fees that should have been paid for such period over (2) the amount of interest and fees actually paid for such period. If Borrower becomes aware of any Pricing Certificate Inaccuracy and, in connection therewith, if a proper calculation of the Sustainability Margin Adjustment, Sustainability Facility Fee Adjustment or the KPI Metric would have resulted in a decrease in the Applicable Margin or Facility Fee for any period, then, upon receipt by the Administrative Agent of notice from the Borrower of such Pricing Certificate Inaccuracy (which notice shall include corrections to the calculations of the Sustainability Margin Adjustment or the KPI Metric, as applicable), commencing on the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Banking Day following receipt by the Administrative Agent of such notice, the Applicable Margin and Facility Fee shall be adjusted (but only with respect to periods commencing after such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Banking Day) to reflect the corrected calculations of the Sustainability Margin Adjustment, Sustainability Facility Fee Adjustment or the KPI Metric, as applicable, for all periods occurring no sooner than 10 Banking Days after receipt by the Administrative Agent of such notice. For the avoidance of any doubt, the parties agree that any such adjustment to reflect a decrease in the Applicable Margin or Facility Fee for any period shall only be effective on a prospective basis and shall not require any adjustments to amounts previously paid by the Borrower prior to the discovery of a Pricing Certificate Inaccuracy.</w:t>
      </w:r>
    </w:p>
    <w:p>
      <w:pPr>
        <w:spacing w:after="0" w:line="80" w:lineRule="exact"/>
        <w:rPr>
          <w:sz w:val="20"/>
          <w:szCs w:val="20"/>
          <w:color w:val="auto"/>
        </w:rPr>
      </w:pPr>
    </w:p>
    <w:p>
      <w:pPr>
        <w:jc w:val="both"/>
        <w:ind w:firstLine="249"/>
        <w:spacing w:after="0" w:line="236" w:lineRule="auto"/>
        <w:rPr>
          <w:sz w:val="20"/>
          <w:szCs w:val="20"/>
          <w:color w:val="auto"/>
        </w:rPr>
      </w:pPr>
      <w:r>
        <w:rPr>
          <w:rFonts w:ascii="Times New Roman" w:cs="Times New Roman" w:eastAsia="Times New Roman" w:hAnsi="Times New Roman"/>
          <w:sz w:val="21"/>
          <w:szCs w:val="21"/>
          <w:color w:val="auto"/>
        </w:rPr>
        <w:t xml:space="preserve">It is understood and agreed that any Pricing Certificate Inaccuracy shall not constitute a Default or Event of Default or otherwise result in the failure of any condition precedent to any advance or the issuance of any letter of credit;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the Borrower complies with the terms of this Section 1.08(d) and Section 6.09(17) with respect to such Pricing Certificate Inaccuracy. Notwithstanding anything to the contrary herein, unless such amounts shall be due upon the occurrence of an actual or deemed entry of an order for relief with respect to Borrower under the Bankruptcy Code (or any comparable event under non-U.S. Debtor Relief Laws), (a) any additional amounts required to be paid pursuant to the immediately preceding paragraph shall not be due and payable until 10 Banking Days after the Borrower has received written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ectPr>
          <w:pgSz w:w="11900" w:h="16838" w:orient="portrait"/>
          <w:cols w:equalWidth="0" w:num="1">
            <w:col w:w="11240"/>
          </w:cols>
          <w:pgMar w:left="320" w:top="1251" w:right="339" w:bottom="1440" w:gutter="0" w:footer="0" w:header="0"/>
        </w:sectPr>
      </w:pPr>
    </w:p>
    <w:bookmarkStart w:id="472" w:name="page473"/>
    <w:bookmarkEnd w:id="472"/>
    <w:p>
      <w:pPr>
        <w:jc w:val="both"/>
        <w:spacing w:after="0" w:line="239" w:lineRule="auto"/>
        <w:rPr>
          <w:sz w:val="20"/>
          <w:szCs w:val="20"/>
          <w:color w:val="auto"/>
        </w:rPr>
      </w:pPr>
      <w:r>
        <w:rPr>
          <w:rFonts w:ascii="Times New Roman" w:cs="Times New Roman" w:eastAsia="Times New Roman" w:hAnsi="Times New Roman"/>
          <w:sz w:val="21"/>
          <w:szCs w:val="21"/>
          <w:color w:val="auto"/>
        </w:rPr>
        <w:t>notice of (in the case of clause (d)(i)(A) above), or has agreed in writing that there was (in the case of clause (d)(i)(B) above), a Pricing Certificate Inaccuracy (such date, the “</w:t>
      </w:r>
      <w:r>
        <w:rPr>
          <w:rFonts w:ascii="Times New Roman" w:cs="Times New Roman" w:eastAsia="Times New Roman" w:hAnsi="Times New Roman"/>
          <w:sz w:val="21"/>
          <w:szCs w:val="21"/>
          <w:u w:val="single" w:color="auto"/>
          <w:color w:val="auto"/>
        </w:rPr>
        <w:t>Certificate Inaccuracy Payment Date</w:t>
      </w:r>
      <w:r>
        <w:rPr>
          <w:rFonts w:ascii="Times New Roman" w:cs="Times New Roman" w:eastAsia="Times New Roman" w:hAnsi="Times New Roman"/>
          <w:sz w:val="21"/>
          <w:szCs w:val="21"/>
          <w:color w:val="auto"/>
        </w:rPr>
        <w:t>”), (b) any nonpayment of such additional amounts prior to the Certificate Inaccuracy Payment Date shall not constitute a Default (whether retroactively or otherwise) and (c) none of such additional amounts shall be deemed overdue prior to the Certificate Inaccuracy Payment Date or shall accrue interest at the Default Rate prior to the Certificate Inaccuracy Payment Date.</w:t>
      </w:r>
    </w:p>
    <w:p>
      <w:pPr>
        <w:spacing w:after="0" w:line="160" w:lineRule="exact"/>
        <w:rPr>
          <w:sz w:val="20"/>
          <w:szCs w:val="20"/>
          <w:color w:val="auto"/>
        </w:rPr>
      </w:pPr>
    </w:p>
    <w:p>
      <w:pPr>
        <w:jc w:val="both"/>
        <w:ind w:firstLine="634"/>
        <w:spacing w:after="0" w:line="234" w:lineRule="auto"/>
        <w:tabs>
          <w:tab w:leader="none" w:pos="1254"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hereby agrees that neither the Administrative Agent nor any Sustainability Structuring Agent shall have (x) any duty to ascertain, inquire into or otherwise independently verify any sustainability related information or any other information or materials provided by the Borrower and used in connection with the sustainability provisions of the credit facility described in this Agreement, including with respect to the applicable KPI Metrics nor (y) any responsibility for (or liability in respect of) the completeness or accuracy of such information. Each party hereto hereby agrees that neither the Administrative Agent nor any Sustainability Structuring Agent nor any Lead Arranger shall have any responsibility for (or liability in respect of) reviewing, auditing or otherwise evaluating any calculation by the Borrower of any Sustainability Facility Fee Adjustment or any Sustainability Margin Adjustment (or any of the data or computations that are part of or related to any such calculation) set forth in any Pricing Certificate or notice as to a Pricing Certificate Inaccuracy (and the Administrative Agent and each Sustainability Structuring Agent may rely conclusively on any such certificate or notice, without further inquiry).</w:t>
      </w:r>
    </w:p>
    <w:p>
      <w:pPr>
        <w:spacing w:after="0" w:line="160" w:lineRule="exact"/>
        <w:rPr>
          <w:rFonts w:ascii="Times New Roman" w:cs="Times New Roman" w:eastAsia="Times New Roman" w:hAnsi="Times New Roman"/>
          <w:sz w:val="21"/>
          <w:szCs w:val="21"/>
          <w:color w:val="auto"/>
        </w:rPr>
      </w:pPr>
    </w:p>
    <w:p>
      <w:pPr>
        <w:jc w:val="both"/>
        <w:ind w:firstLine="634"/>
        <w:spacing w:after="0" w:line="234" w:lineRule="auto"/>
        <w:tabs>
          <w:tab w:leader="none" w:pos="1257"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soon as available and in any event within 120 days following the end of each calendar year (commencing with the calendar year ending December 31, 2025), Borrower shall deliver a Pricing Certificate to the Administrative Agent (and the Administrative Agent shall promptly provide a copy to each Bank) for the most recently-ended calendar year;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for any calendar year the Borrower may elect not to deliver a Pricing Certificate, and such election shall not constitute a Default or Event of Default (but such failure to so deliver a Pricing Certificate by the end of such 120-day period shall result in the Sustainability Margin Adjustment and the Sustainability Fee Adjustment being applied as set forth in Section 1.08(c)). In the event (i) Borrower’s fiscal year is changed to a non-calendar year fiscal year or (ii) Borrower elects, in accordance with applicable rules, regulations or guidance of the SEC, to disclose its annual sustainability reporting with or following the filing of its quarterly report on Form 10-Q for the second quarter of its fiscal year, Borrower will be permitted to adjust the timing of delivery of the Pricing Certificate at its election to be coordinated with fiscal year and periodic reporting schedule.</w:t>
      </w:r>
    </w:p>
    <w:p>
      <w:pPr>
        <w:spacing w:after="0" w:line="160" w:lineRule="exact"/>
        <w:rPr>
          <w:rFonts w:ascii="Times New Roman" w:cs="Times New Roman" w:eastAsia="Times New Roman" w:hAnsi="Times New Roman"/>
          <w:sz w:val="21"/>
          <w:szCs w:val="21"/>
          <w:color w:val="auto"/>
        </w:rPr>
      </w:pPr>
    </w:p>
    <w:p>
      <w:pPr>
        <w:jc w:val="both"/>
        <w:ind w:firstLine="634"/>
        <w:spacing w:after="0" w:line="234" w:lineRule="auto"/>
        <w:tabs>
          <w:tab w:leader="none" w:pos="1253" w:val="left"/>
        </w:tabs>
        <w:numPr>
          <w:ilvl w:val="0"/>
          <w:numId w:val="3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the date hereof, there occurs any Sustainability Recalculation Event, and either (i) the Borrower notifies the Administrative Agent in writing that the Borrower requests an amendment to any provision hereof to eliminate, accommodate or otherwise take into account the effect of such Sustainability Recalculation Event, or (ii) the Administrative Agent notifies the Borrower that the Required Banks request an amendment to any provision or provisions hereof for such purpose (it being understood and agreed that any such notice may be given before or after such Sustainability Recalculation Event has occurred), then (A) the Borrower and the Administrative Agent shall negotiate in good faith to amend the provisions hereof to eliminate, accommodate or otherwise take into account the effect of such Sustainability Recalculation Event for the period from and after the occurrence of such Sustainability Recalculation Event, and (B) the provisions of this Agreement shall be interpreted on the basis of the provisions in effect and applied immediately prior to such Sustainability Recalculation Event for a period 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238" w:right="339" w:bottom="1440" w:gutter="0" w:footer="0" w:header="0"/>
        </w:sectPr>
      </w:pPr>
    </w:p>
    <w:bookmarkStart w:id="473" w:name="page474"/>
    <w:bookmarkEnd w:id="473"/>
    <w:p>
      <w:pPr>
        <w:jc w:val="both"/>
        <w:spacing w:after="0" w:line="234" w:lineRule="auto"/>
        <w:rPr>
          <w:sz w:val="20"/>
          <w:szCs w:val="20"/>
          <w:color w:val="auto"/>
        </w:rPr>
      </w:pPr>
      <w:r>
        <w:rPr>
          <w:rFonts w:ascii="Times New Roman" w:cs="Times New Roman" w:eastAsia="Times New Roman" w:hAnsi="Times New Roman"/>
          <w:sz w:val="21"/>
          <w:szCs w:val="21"/>
          <w:color w:val="auto"/>
        </w:rPr>
        <w:t>not more than 30 days following the date of any such notice (unless the provisions hereof shall have been amended in accordance herewith or such notice shall have been withdrawn). If, after 30 days following the date of any such notice, the consent of the Borrower, the Administrative Agent and the requisite Banks under Section 12.02 has not been obtained (provided that adjustments to the KPI Target, KPI Threshold, Standard for Sustainability Reporting and/or Sustainability Table in connection with a Sustainability Recalculation Event shall not be deemed to be an amendment described in clause (1) of Section 12.02), (x) on the one-year anniversary of the date a delivered Pricing Certificate was most recently delivered or due and not delivered, as applicable, the Applicable Margin shall be calculated without regard to this Section 1.08, which Section and related definitions shall have no further force or effect, and (y) thereafter, no party to this Agreement shall make any public or private representations or description of the credit facility described in this Agreement as a sustainability-linked loan.</w:t>
      </w:r>
    </w:p>
    <w:p>
      <w:pPr>
        <w:spacing w:after="0" w:line="173" w:lineRule="exact"/>
        <w:rPr>
          <w:sz w:val="20"/>
          <w:szCs w:val="20"/>
          <w:color w:val="auto"/>
        </w:rPr>
      </w:pPr>
    </w:p>
    <w:p>
      <w:pPr>
        <w:jc w:val="both"/>
        <w:ind w:firstLine="634"/>
        <w:spacing w:after="0" w:line="234" w:lineRule="auto"/>
        <w:tabs>
          <w:tab w:leader="none" w:pos="1253"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reserves the right to adjust the baseline set forth in the Sustainability Table, in consultation with the Lead Sustainability Structuring Agent, in alignment with mandatory regulatory disclosure requirements and/or a new Science-Based Target (SBTi) aligned goal but the Sustainability Table shall maintain the 2.5% annual improvement for each year as the KPI Target and 1% annual improvement for each year as the KPI Threshold, in each case, from the 2019 baseline as so adjusted. In the event that the baseline is so adjusted, the Borrower, the Administrative Agent and the Lead Sustainability Structuring Agent shall amend the Sustainability Table in accordance with the foregoing sentence, and the Administrative Agent shall provide the amended Sustainability Table to the Banks.</w:t>
      </w:r>
    </w:p>
    <w:p>
      <w:pPr>
        <w:spacing w:after="0" w:line="15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II</w:t>
      </w:r>
    </w:p>
    <w:p>
      <w:pPr>
        <w:spacing w:after="0" w:line="17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color w:val="auto"/>
        </w:rPr>
        <w:t>THE LOANS</w:t>
      </w:r>
    </w:p>
    <w:p>
      <w:pPr>
        <w:spacing w:after="0" w:line="178" w:lineRule="exact"/>
        <w:rPr>
          <w:sz w:val="20"/>
          <w:szCs w:val="20"/>
          <w:color w:val="auto"/>
        </w:rPr>
      </w:pPr>
    </w:p>
    <w:p>
      <w:pPr>
        <w:ind w:firstLine="629"/>
        <w:spacing w:after="0" w:line="220" w:lineRule="auto"/>
        <w:rPr>
          <w:sz w:val="20"/>
          <w:szCs w:val="20"/>
          <w:color w:val="auto"/>
        </w:rPr>
      </w:pPr>
      <w:r>
        <w:rPr>
          <w:rFonts w:ascii="Times New Roman" w:cs="Times New Roman" w:eastAsia="Times New Roman" w:hAnsi="Times New Roman"/>
          <w:sz w:val="21"/>
          <w:szCs w:val="21"/>
          <w:color w:val="auto"/>
        </w:rPr>
        <w:t xml:space="preserve">SECTION 2.01. </w:t>
      </w:r>
      <w:r>
        <w:rPr>
          <w:rFonts w:ascii="Times New Roman" w:cs="Times New Roman" w:eastAsia="Times New Roman" w:hAnsi="Times New Roman"/>
          <w:sz w:val="21"/>
          <w:szCs w:val="21"/>
          <w:u w:val="single" w:color="auto"/>
          <w:color w:val="auto"/>
        </w:rPr>
        <w:t>Ratable Loans</w:t>
      </w:r>
      <w:r>
        <w:rPr>
          <w:rFonts w:ascii="Times New Roman" w:cs="Times New Roman" w:eastAsia="Times New Roman" w:hAnsi="Times New Roman"/>
          <w:sz w:val="21"/>
          <w:szCs w:val="21"/>
          <w:color w:val="auto"/>
        </w:rPr>
        <w:t>. (a) Subject to the terms and conditions of this Agreement, the Banks agree to make loans to Borrower as provided in this Article II.</w:t>
      </w:r>
    </w:p>
    <w:p>
      <w:pPr>
        <w:jc w:val="both"/>
        <w:ind w:firstLine="634"/>
        <w:spacing w:after="0" w:line="212" w:lineRule="auto"/>
        <w:tabs>
          <w:tab w:leader="none" w:pos="1253"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Banks severally agrees to make a loan to Borrower in Dollars (each such loan by a Bank, a “</w:t>
      </w:r>
      <w:r>
        <w:rPr>
          <w:rFonts w:ascii="Times New Roman" w:cs="Times New Roman" w:eastAsia="Times New Roman" w:hAnsi="Times New Roman"/>
          <w:sz w:val="21"/>
          <w:szCs w:val="21"/>
          <w:u w:val="single" w:color="auto"/>
          <w:color w:val="auto"/>
        </w:rPr>
        <w:t>Ratable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in an amount up to its Loan Commitment pursuant to which such Bank shall from time to time advance and readvance to Borrower an amount equal to its Pro Rata Share of the excess (the “</w:t>
      </w:r>
      <w:r>
        <w:rPr>
          <w:rFonts w:ascii="Times New Roman" w:cs="Times New Roman" w:eastAsia="Times New Roman" w:hAnsi="Times New Roman"/>
          <w:sz w:val="21"/>
          <w:szCs w:val="21"/>
          <w:u w:val="single" w:color="auto"/>
          <w:color w:val="auto"/>
        </w:rPr>
        <w:t>Available Total Loan Commitment</w:t>
      </w:r>
      <w:r>
        <w:rPr>
          <w:rFonts w:ascii="Times New Roman" w:cs="Times New Roman" w:eastAsia="Times New Roman" w:hAnsi="Times New Roman"/>
          <w:sz w:val="21"/>
          <w:szCs w:val="21"/>
          <w:color w:val="auto"/>
        </w:rPr>
        <w:t>”) of the Total Loan Commitment minus the sum of (1) all advances previously drawn and currently outstanding made by the Banks which remain unpaid and (2) the LC Exposure. Within the limits set forth herein, Borrower may borrow from time to time under this paragraph (b) and prepay from time to time pursuant to Section 2.10 (subject, however, to the restrictions on prepayment set forth in said Section), and thereafter reborrow pursuant to this paragraph (b). The Ratable Loans may be outstanding as: (1) Base Rate Loans; (2) Term Benchmark Loans; (3) RFR Loans; or (4) a combination of the foregoing, as Borrower shall elect and notify Administrative Agent in accordance with Section 2.14. Each Term Benchmark Loan, Base Rate Loan and RFR Loan of each Bank shall be maintained at such Bank’s Applicable Lending Office.</w:t>
      </w:r>
    </w:p>
    <w:p>
      <w:pPr>
        <w:spacing w:after="0" w:line="148" w:lineRule="exact"/>
        <w:rPr>
          <w:rFonts w:ascii="Times New Roman" w:cs="Times New Roman" w:eastAsia="Times New Roman" w:hAnsi="Times New Roman"/>
          <w:sz w:val="21"/>
          <w:szCs w:val="21"/>
          <w:color w:val="auto"/>
        </w:rPr>
      </w:pPr>
    </w:p>
    <w:p>
      <w:pPr>
        <w:jc w:val="both"/>
        <w:ind w:firstLine="634"/>
        <w:spacing w:after="0" w:line="224" w:lineRule="auto"/>
        <w:tabs>
          <w:tab w:leader="none" w:pos="1254" w:val="left"/>
        </w:tabs>
        <w:numPr>
          <w:ilvl w:val="0"/>
          <w:numId w:val="3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of the Banks under this Agreement are several, and no Bank shall be responsible for the failure of any other Bank to make any advance of a Loan to be made by such other Bank. However, the failure of any Bank to make any advance of each Loan to be made by it hereunder on the date specified therefor shall not relieve any other Bank of its obligation to make any advance of its Loans specified hereby to be made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ectPr>
          <w:pgSz w:w="11900" w:h="16838" w:orient="portrait"/>
          <w:cols w:equalWidth="0" w:num="1">
            <w:col w:w="11240"/>
          </w:cols>
          <w:pgMar w:left="320" w:top="1239" w:right="339" w:bottom="1440" w:gutter="0" w:footer="0" w:header="0"/>
        </w:sectPr>
      </w:pPr>
    </w:p>
    <w:bookmarkStart w:id="474" w:name="page475"/>
    <w:bookmarkEnd w:id="474"/>
    <w:p>
      <w:pPr>
        <w:ind w:left="640"/>
        <w:spacing w:after="0"/>
        <w:rPr>
          <w:sz w:val="20"/>
          <w:szCs w:val="20"/>
          <w:color w:val="auto"/>
        </w:rPr>
      </w:pPr>
      <w:r>
        <w:rPr>
          <w:rFonts w:ascii="Times New Roman" w:cs="Times New Roman" w:eastAsia="Times New Roman" w:hAnsi="Times New Roman"/>
          <w:sz w:val="21"/>
          <w:szCs w:val="21"/>
          <w:color w:val="auto"/>
        </w:rPr>
        <w:t>SECTION 2.02 [Reserved].</w:t>
      </w:r>
    </w:p>
    <w:p>
      <w:pPr>
        <w:spacing w:after="0" w:line="230"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2.03.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112"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2.04. </w:t>
      </w:r>
      <w:r>
        <w:rPr>
          <w:rFonts w:ascii="Times New Roman" w:cs="Times New Roman" w:eastAsia="Times New Roman" w:hAnsi="Times New Roman"/>
          <w:sz w:val="21"/>
          <w:szCs w:val="21"/>
          <w:u w:val="single" w:color="auto"/>
          <w:color w:val="auto"/>
        </w:rPr>
        <w:t>Advances, Generally</w:t>
      </w:r>
      <w:r>
        <w:rPr>
          <w:rFonts w:ascii="Times New Roman" w:cs="Times New Roman" w:eastAsia="Times New Roman" w:hAnsi="Times New Roman"/>
          <w:sz w:val="21"/>
          <w:szCs w:val="21"/>
          <w:color w:val="auto"/>
        </w:rPr>
        <w:t>. The Initial Advance shall be at least One Million Dollars ($1,000,000) and in an integral multiple of One Hundred Thousand Dollars ($100,000) and shall be made upon satisfaction of the conditions set forth in Section 4.01. Subsequent advances shall be made upon satisfaction of the conditions set forth in Section 4.02. The amount of each advance subsequent to the Initial Advance shall, subject to Section 2.13, be at least One Million Dollars ($1,000,000) (unless less than One Million Dollars ($1,000,000) is available for disbursement pursuant to the terms hereof at the time of any subsequent advance, in which case the amount of such subsequent advance shall be equal to such remaining availability) and in an integral multiple of One Hundred Thousand Dollars ($100,000).</w:t>
      </w:r>
    </w:p>
    <w:p>
      <w:pPr>
        <w:spacing w:after="0" w:line="169"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Each advance shall be subject, in addition to the limitations and conditions applicable to advances of the Loans generally, to Administrative Agent’s receipt, on or immediately prior to the date the request for such advance is made, of a certificate from the officer requesting the advance certifying that Borrower is in compliance with all covenants enumerated in paragraphs 3(a) and 3(b) of Section 6.09 and containing covenant compliance calculations with respect to Sections 8.02 and 8.06 only, that include the proforma adjustments described below, which calculations shall demonstrate Borrower’s compliance with covenants on a proforma basis.</w:t>
      </w:r>
    </w:p>
    <w:p>
      <w:pPr>
        <w:spacing w:after="0" w:line="169"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In connection with each advance of Loan proceeds, the following proforma adjustments shall be made to the covenant compliance calculations required with respect to Sections 8.02 and 8.06 as of the end of the most recently ended calendar quarter for which financial results are required hereunder to have been reported by Borrower:</w:t>
      </w:r>
    </w:p>
    <w:p>
      <w:pPr>
        <w:spacing w:after="0" w:line="175" w:lineRule="exact"/>
        <w:rPr>
          <w:sz w:val="20"/>
          <w:szCs w:val="20"/>
          <w:color w:val="auto"/>
        </w:rPr>
      </w:pPr>
    </w:p>
    <w:p>
      <w:pPr>
        <w:jc w:val="both"/>
        <w:ind w:left="640" w:firstLine="622"/>
        <w:spacing w:after="0" w:line="258" w:lineRule="auto"/>
        <w:tabs>
          <w:tab w:leader="none" w:pos="1885"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Outstanding Indebtedness and Unsecured Indebtedness (or Secured Indebtedness in the event of an advance in respect of a Refinancing Mortgage which Borrower elects to treat as Secured Indebtedness) shall be adjusted by adding thereto, respectively, all Debt and Unsecured Indebtedness (or Secured Indebtedness if applicable), respectively, that is incurred by Borrower in connection with such advance;</w:t>
      </w:r>
    </w:p>
    <w:p>
      <w:pPr>
        <w:spacing w:after="0" w:line="140" w:lineRule="exact"/>
        <w:rPr>
          <w:rFonts w:ascii="Times New Roman" w:cs="Times New Roman" w:eastAsia="Times New Roman" w:hAnsi="Times New Roman"/>
          <w:sz w:val="21"/>
          <w:szCs w:val="21"/>
          <w:color w:val="auto"/>
        </w:rPr>
      </w:pPr>
    </w:p>
    <w:p>
      <w:pPr>
        <w:jc w:val="both"/>
        <w:ind w:left="640" w:firstLine="622"/>
        <w:spacing w:after="0" w:line="221" w:lineRule="auto"/>
        <w:tabs>
          <w:tab w:leader="none" w:pos="1891"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Capitalization Value, shall be adjusted by adding thereto the purchase price of any Real Property Assets (including capitalized acquisition costs determined in accordance with GAAP) or the Net Equity Value of any Other Investments, together with the Borrower’s Pro Rata Share of any Unrestricted Cash and Cash Equivalents, the book value of notes and mortgage loans receivable and marketable securities and the cost of non-marketable securities that are acquired in connection with such advance; and</w:t>
      </w:r>
    </w:p>
    <w:p>
      <w:pPr>
        <w:spacing w:after="0" w:line="145" w:lineRule="exact"/>
        <w:rPr>
          <w:rFonts w:ascii="Times New Roman" w:cs="Times New Roman" w:eastAsia="Times New Roman" w:hAnsi="Times New Roman"/>
          <w:sz w:val="21"/>
          <w:szCs w:val="21"/>
          <w:color w:val="auto"/>
        </w:rPr>
      </w:pPr>
    </w:p>
    <w:p>
      <w:pPr>
        <w:jc w:val="both"/>
        <w:ind w:left="640" w:firstLine="622"/>
        <w:spacing w:after="0" w:line="221" w:lineRule="auto"/>
        <w:tabs>
          <w:tab w:leader="none" w:pos="1897"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Capitalization Value of Unencumbered Assets, if applicable, shall be adjusted by adding thereto the purchase price of any Real Property Assets (including capitalized acquisition costs determined in accordance with GAAP) that are Unencumbered Assets together with Borrower’s Pro Rata Share of any Unrestricted Cash and Cash Equivalents, if applicable, the book value of notes and mortgage loans receivable and marketable securities and the cost of non-marketable securities that are acquired in connection with such advance.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252" w:right="339" w:bottom="1440" w:gutter="0" w:footer="0" w:header="0"/>
        </w:sectPr>
      </w:pPr>
    </w:p>
    <w:bookmarkStart w:id="475" w:name="page476"/>
    <w:bookmarkEnd w:id="475"/>
    <w:p>
      <w:pPr>
        <w:jc w:val="both"/>
        <w:ind w:firstLine="629"/>
        <w:spacing w:after="0" w:line="212" w:lineRule="auto"/>
        <w:rPr>
          <w:sz w:val="20"/>
          <w:szCs w:val="20"/>
          <w:color w:val="auto"/>
        </w:rPr>
      </w:pPr>
      <w:r>
        <w:rPr>
          <w:rFonts w:ascii="Times New Roman" w:cs="Times New Roman" w:eastAsia="Times New Roman" w:hAnsi="Times New Roman"/>
          <w:sz w:val="21"/>
          <w:szCs w:val="21"/>
          <w:color w:val="auto"/>
        </w:rPr>
        <w:t>SECTION 2.05. Procedures for Advances. In the case of advances of Ratable Loans, Borrower shall submit to Administrative Agent a request for each advance signed by an authorized officer of the Borrower (provided that if such request is submitted through an Approved Borrower Portal, such signature requirement may be waived at the sole discretion of the Administrative Agent), stating the type and date of such advance (and Interest Period, if a Term Benchmark Loan), the amount requested and the expected purpose for which such advance is to be used, no later than 11:00 a.m. (New York time) on the date, in the case of advances of Base Rate Loans and RFR Loans, which is the proposed date of such Base Rate Loan or RFR Loan, and, in the case of advances of Term Benchmark Loans, which is three (3) Banking Days, prior to the date such advance is to be made. Administrative Agent, upon its receipt and approval of the request for advance, will so notify the Banks. Not later than 12:00 p.m. (New York time) on the date of each advance (or 1:00 p.m. (New York time) in the case of a Base Rate Loan or a RFR Loan for which the Borrower has made a Loan request on such date), each Bank shall, through its Applicable Lending Office and subject to the conditions of this Agreement, make the amount to be advanced by it on such day available to Administrative Agent, at Administrative Agent’s Office and in immediately available funds for the account of Borrower. The amount so received by Administrative Agent shall, subject to the conditions of this Agreement, be made available to Borrower, in immediately available funds, by Administrative Agent’s to an account designated by Borrower.</w:t>
      </w:r>
    </w:p>
    <w:p>
      <w:pPr>
        <w:spacing w:after="0" w:line="157" w:lineRule="exact"/>
        <w:rPr>
          <w:sz w:val="20"/>
          <w:szCs w:val="20"/>
          <w:color w:val="auto"/>
        </w:rPr>
      </w:pPr>
    </w:p>
    <w:p>
      <w:pPr>
        <w:jc w:val="both"/>
        <w:ind w:firstLine="629"/>
        <w:spacing w:after="0" w:line="216" w:lineRule="auto"/>
        <w:rPr>
          <w:sz w:val="20"/>
          <w:szCs w:val="20"/>
          <w:color w:val="auto"/>
        </w:rPr>
      </w:pPr>
      <w:r>
        <w:rPr>
          <w:rFonts w:ascii="Times New Roman" w:cs="Times New Roman" w:eastAsia="Times New Roman" w:hAnsi="Times New Roman"/>
          <w:sz w:val="21"/>
          <w:szCs w:val="21"/>
          <w:color w:val="auto"/>
        </w:rPr>
        <w:t>SECTION 2.06. Interest Periods; Renewals. In the case of the Term Benchmark Loans, Borrower shall select an Interest Period of any duration in accordance with the definition of Interest Period in Section 1.01, subject to the following limitations: (1) no Interest Period may extend beyond the Maturity Date; (2) if an Interest Period would end on a day which is not a Banking Day, such Interest Period shall be extended to the next Banking Day, unless such Banking Day would fall in the next calendar month, in which event such Interest Period shall end on the immediately preceding Banking Day; and (3) only eight (8) discrete segments of a Bank’s Ratable Loans that are Term Benchmark Loans for a designated Interest Period pursuant to a particular Election, Conversion or Continuation, may be outstanding at any one time (each such segment of each Bank’s Ratable Loan corresponding to a proportionate segment of each of the other Banks’ Ratable Loans).</w:t>
      </w:r>
    </w:p>
    <w:p>
      <w:pPr>
        <w:spacing w:after="0" w:line="148" w:lineRule="exact"/>
        <w:rPr>
          <w:sz w:val="20"/>
          <w:szCs w:val="20"/>
          <w:color w:val="auto"/>
        </w:rPr>
      </w:pPr>
    </w:p>
    <w:p>
      <w:pPr>
        <w:jc w:val="both"/>
        <w:ind w:firstLine="629"/>
        <w:spacing w:after="0" w:line="241" w:lineRule="auto"/>
        <w:rPr>
          <w:sz w:val="20"/>
          <w:szCs w:val="20"/>
          <w:color w:val="auto"/>
        </w:rPr>
      </w:pPr>
      <w:r>
        <w:rPr>
          <w:rFonts w:ascii="Times New Roman" w:cs="Times New Roman" w:eastAsia="Times New Roman" w:hAnsi="Times New Roman"/>
          <w:sz w:val="21"/>
          <w:szCs w:val="21"/>
          <w:color w:val="auto"/>
        </w:rPr>
        <w:t>Upon notice to Administrative Agent as provided in Section 2.14, Borrower may Continue any Term Benchmark Loan on the last day of the Interest Period of the same or different duration in accordance with the limitations provided above.</w:t>
      </w:r>
    </w:p>
    <w:p>
      <w:pPr>
        <w:spacing w:after="0" w:line="144" w:lineRule="exact"/>
        <w:rPr>
          <w:sz w:val="20"/>
          <w:szCs w:val="20"/>
          <w:color w:val="auto"/>
        </w:rPr>
      </w:pPr>
    </w:p>
    <w:p>
      <w:pPr>
        <w:jc w:val="both"/>
        <w:ind w:firstLine="629"/>
        <w:spacing w:after="0" w:line="219" w:lineRule="auto"/>
        <w:rPr>
          <w:sz w:val="20"/>
          <w:szCs w:val="20"/>
          <w:color w:val="auto"/>
        </w:rPr>
      </w:pPr>
      <w:r>
        <w:rPr>
          <w:rFonts w:ascii="Times New Roman" w:cs="Times New Roman" w:eastAsia="Times New Roman" w:hAnsi="Times New Roman"/>
          <w:sz w:val="21"/>
          <w:szCs w:val="21"/>
          <w:color w:val="auto"/>
        </w:rPr>
        <w:t>SECTION 2.07. Interest. Borrower shall pay interest to Administrative Agent for the account of the applicable Bank on the outstanding and unpaid principal amount of the Loans, at a rate per annum as follows: (1) for Base Rate Loans at a rate equal to the Base Rate plus the Applicable Margin; (2) for Term Benchmark Loans at a rate equal to the applicable Term SOFR Rate for the Interest Period in effect for such Loan plus the Applicable Margin; and (3) for RFR Loans at a rate equal to the Daily Effective SOFR Rate plus the Applicable Margin. Any principal amount not paid when due (when scheduled, at acceleration or otherwise) shall bear interest thereafter, payable on demand, at the Default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ectPr>
          <w:pgSz w:w="11900" w:h="16838" w:orient="portrait"/>
          <w:cols w:equalWidth="0" w:num="1">
            <w:col w:w="11240"/>
          </w:cols>
          <w:pgMar w:left="320" w:top="1225" w:right="339" w:bottom="1440" w:gutter="0" w:footer="0" w:header="0"/>
        </w:sectPr>
      </w:pPr>
    </w:p>
    <w:bookmarkStart w:id="476" w:name="page477"/>
    <w:bookmarkEnd w:id="476"/>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The interest rate on Base Rate Loans shall change when the Base Rate changes, and the interest rate on RFR Loans shall change when Daily Effective SOFR Rate changes. Interest shall be calculated for the actual number of days elapsed on the basis of a year consisting of three hundred sixty (360) days (except that interest computed by reference to the Base Rate when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Base Rate, Term SOFR Rate or Daily Effective SOFR Rate shall be determined by the Administrative Agent, and such determination shall be conclusive absent manifest error.</w:t>
      </w:r>
    </w:p>
    <w:p>
      <w:pPr>
        <w:spacing w:after="0" w:line="174"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1"/>
          <w:szCs w:val="21"/>
          <w:u w:val="single" w:color="auto"/>
          <w:color w:val="auto"/>
        </w:rPr>
        <w:t>Charges</w:t>
      </w:r>
      <w:r>
        <w:rPr>
          <w:rFonts w:ascii="Times New Roman" w:cs="Times New Roman" w:eastAsia="Times New Roman" w:hAnsi="Times New Roman"/>
          <w:sz w:val="21"/>
          <w:szCs w:val="21"/>
          <w:color w:val="auto"/>
        </w:rPr>
        <w:t>”), shall exceed the maximum lawful rate (the “</w:t>
      </w:r>
      <w:r>
        <w:rPr>
          <w:rFonts w:ascii="Times New Roman" w:cs="Times New Roman" w:eastAsia="Times New Roman" w:hAnsi="Times New Roman"/>
          <w:sz w:val="21"/>
          <w:szCs w:val="21"/>
          <w:u w:val="single" w:color="auto"/>
          <w:color w:val="auto"/>
        </w:rPr>
        <w:t>Maximum Rate</w:t>
      </w:r>
      <w:r>
        <w:rPr>
          <w:rFonts w:ascii="Times New Roman" w:cs="Times New Roman" w:eastAsia="Times New Roman" w:hAnsi="Times New Roman"/>
          <w:sz w:val="21"/>
          <w:szCs w:val="21"/>
          <w:color w:val="auto"/>
        </w:rPr>
        <w:t>”) which may be contracted for, charged, taken, received or reserved by the Bank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paragraph shall be cumulated and the interest and Charges payable to such Bank in respect of other Loans or periods shall be increased (but not above the Maximum Rate therefor) until such cumulated amount, together with interest thereon at the Federal Funds Effective Rate to the date of repayment, shall have been received by such Bank.</w:t>
      </w:r>
    </w:p>
    <w:p>
      <w:pPr>
        <w:spacing w:after="0" w:line="185"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 xml:space="preserve">Accrued interest shall be due and payable in arrears, in the case of Base Rate Loans, Term Benchmark Loans and RFR Loans on each Interest Payment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interest accruing at the Default Rate shall be due and payable on demand.</w:t>
      </w:r>
    </w:p>
    <w:p>
      <w:pPr>
        <w:spacing w:after="0" w:line="118" w:lineRule="exact"/>
        <w:rPr>
          <w:sz w:val="20"/>
          <w:szCs w:val="20"/>
          <w:color w:val="auto"/>
        </w:rPr>
      </w:pPr>
    </w:p>
    <w:p>
      <w:pPr>
        <w:jc w:val="both"/>
        <w:ind w:firstLine="629"/>
        <w:spacing w:after="0" w:line="219" w:lineRule="auto"/>
        <w:rPr>
          <w:sz w:val="20"/>
          <w:szCs w:val="20"/>
          <w:color w:val="auto"/>
        </w:rPr>
      </w:pPr>
      <w:r>
        <w:rPr>
          <w:rFonts w:ascii="Times New Roman" w:cs="Times New Roman" w:eastAsia="Times New Roman" w:hAnsi="Times New Roman"/>
          <w:sz w:val="21"/>
          <w:szCs w:val="21"/>
          <w:color w:val="auto"/>
        </w:rPr>
        <w:t xml:space="preserve">SECTION 2.08. </w:t>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xml:space="preserve"> Borrower shall, during the term of the Loans commencing as of the Closing Date, pay to Administrative Agent for the account of each Bank a facility fee computed, on the daily Loan Commitment of such Bank, by multiplying the aggregate Loan Commitments on such day by an amount equal to the daily Facility Fee, calculated on the basis of a year of three hundred sixty (360) days for the actual number of days elapsed. The accrued Facility Fee shall be due and payable in arrears on the fifteenth day of January, April, July and October of each year, commencing on the first such date after the Closing Date, and upon the Maturity Date (as the case may be accelerated) or earlier termination of the Loan Commitments.</w:t>
      </w:r>
    </w:p>
    <w:p>
      <w:pPr>
        <w:spacing w:after="0" w:line="145" w:lineRule="exact"/>
        <w:rPr>
          <w:sz w:val="20"/>
          <w:szCs w:val="20"/>
          <w:color w:val="auto"/>
        </w:rPr>
      </w:pPr>
    </w:p>
    <w:p>
      <w:pPr>
        <w:jc w:val="both"/>
        <w:ind w:firstLine="629"/>
        <w:spacing w:after="0" w:line="219" w:lineRule="auto"/>
        <w:rPr>
          <w:sz w:val="20"/>
          <w:szCs w:val="20"/>
          <w:color w:val="auto"/>
        </w:rPr>
      </w:pPr>
      <w:r>
        <w:rPr>
          <w:rFonts w:ascii="Times New Roman" w:cs="Times New Roman" w:eastAsia="Times New Roman" w:hAnsi="Times New Roman"/>
          <w:sz w:val="21"/>
          <w:szCs w:val="21"/>
          <w:color w:val="auto"/>
        </w:rPr>
        <w:t xml:space="preserve">SECTION 2.09.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xml:space="preserve"> Unless otherwise requested by a Bank, any Ratable Loans made by each Bank under this Agreement shall be evidenced by, and repaid with interest in accordance with, a promissory note of Borrower in the form of EXHIBIT B duly completed and executed by Borrower, in a principal amount equal to such Bank’s Loan Commitment, payable to such Bank for the account of its Applicable Lending Office (each such note, as the same may hereafter be amended, modified, extended, severed, assigned, substituted, renewed or restated from time to time, including any substitute note pursuant to Section 3.07 or 12.05, a </w:t>
      </w:r>
      <w:r>
        <w:rPr>
          <w:rFonts w:ascii="Times New Roman" w:cs="Times New Roman" w:eastAsia="Times New Roman" w:hAnsi="Times New Roman"/>
          <w:sz w:val="21"/>
          <w:szCs w:val="21"/>
          <w:u w:val="single" w:color="auto"/>
          <w:color w:val="auto"/>
        </w:rPr>
        <w:t>“Ratable Loan Note”</w:t>
      </w:r>
      <w:r>
        <w:rPr>
          <w:rFonts w:ascii="Times New Roman" w:cs="Times New Roman" w:eastAsia="Times New Roman" w:hAnsi="Times New Roman"/>
          <w:sz w:val="21"/>
          <w:szCs w:val="21"/>
          <w:color w:val="auto"/>
        </w:rPr>
        <w:t>). A particular Bank’s Ratable Loan Note(s) are referred to collectively in this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44</w:t>
      </w:r>
    </w:p>
    <w:p>
      <w:pPr>
        <w:sectPr>
          <w:pgSz w:w="11900" w:h="16838" w:orient="portrait"/>
          <w:cols w:equalWidth="0" w:num="1">
            <w:col w:w="11240"/>
          </w:cols>
          <w:pgMar w:left="320" w:top="1251" w:right="339" w:bottom="1440" w:gutter="0" w:footer="0" w:header="0"/>
        </w:sectPr>
      </w:pPr>
    </w:p>
    <w:bookmarkStart w:id="477" w:name="page478"/>
    <w:bookmarkEnd w:id="477"/>
    <w:p>
      <w:pPr>
        <w:jc w:val="both"/>
        <w:spacing w:after="0" w:line="216" w:lineRule="auto"/>
        <w:rPr>
          <w:sz w:val="20"/>
          <w:szCs w:val="20"/>
          <w:color w:val="auto"/>
        </w:rPr>
      </w:pPr>
      <w:r>
        <w:rPr>
          <w:rFonts w:ascii="Times New Roman" w:cs="Times New Roman" w:eastAsia="Times New Roman" w:hAnsi="Times New Roman"/>
          <w:sz w:val="21"/>
          <w:szCs w:val="21"/>
          <w:color w:val="auto"/>
        </w:rPr>
        <w:t xml:space="preserve">Agreement as such Bank’s “Note”; all such Ratable Loan Notes and interests are referred to collectively in this Agreement as the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The Ratable Loans shall mature, and all outstanding principal and accrued interest and other Obligations shall be paid in full, on the Maturity Date, as the same may be accelerated in accordance with this Agreement. Each Bank is hereby authorized by Borrower to endorse on the schedule attached to the Ratable Loan Note held by it, the amount of each advance, and each payment of principal received by such Bank for the account of its Applicable Lending Office(s) on account of its Ratable Loans, which endorsement shall, in the absence of manifest error, be conclusive as to the outstanding balance of the Ratable Loans made by such Bank. The failure by any Bank to make such notations with respect to the Loans or each advance or payment shall not limit or otherwise affect the obligations of Borrower under this Agreement or the Notes.</w:t>
      </w:r>
    </w:p>
    <w:p>
      <w:pPr>
        <w:spacing w:after="0" w:line="174"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In connection with a Refinancing Mortgage, Borrower shall deliver to the Administrative Agent, a mortgage note, payable to the Administrative Agent for the account of the Banks, which shall be secured by the applicable Refinancing Mortgage. Such note shall be in such form as shall be requested by Borrower, subject to the Administrative Agent’s reasonable approval. Each reference in this Agreement to the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shall be deemed to refer to and include any or all of such mortgage notes, as the context may require.</w:t>
      </w:r>
    </w:p>
    <w:p>
      <w:pPr>
        <w:spacing w:after="0" w:line="137"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2.10.</w:t>
      </w:r>
      <w:r>
        <w:rPr>
          <w:sz w:val="20"/>
          <w:szCs w:val="20"/>
          <w:color w:val="auto"/>
        </w:rPr>
        <w:tab/>
      </w:r>
      <w:r>
        <w:rPr>
          <w:rFonts w:ascii="Times New Roman" w:cs="Times New Roman" w:eastAsia="Times New Roman" w:hAnsi="Times New Roman"/>
          <w:sz w:val="20"/>
          <w:szCs w:val="20"/>
          <w:u w:val="single" w:color="auto"/>
          <w:color w:val="auto"/>
        </w:rPr>
        <w:t>Prepayments</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21"/>
          <w:szCs w:val="21"/>
          <w:color w:val="auto"/>
        </w:rPr>
        <w:t>Without prepayment premium or penalty but subject to Section 3.05, Borrower may, upon at least one (1) Banking Day’s notice (by 2:00 p.m. New York time) to Administrative Agent in the case of the Base Rate Loans and RFR Loans, and at least three</w:t>
      </w:r>
    </w:p>
    <w:p>
      <w:pPr>
        <w:jc w:val="both"/>
        <w:ind w:firstLine="5"/>
        <w:spacing w:after="0" w:line="270" w:lineRule="auto"/>
        <w:tabs>
          <w:tab w:leader="none" w:pos="307"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Banking Days’ notice (by 2:00 p.m. New York time) to Administrative Agent in the case of Term Benchmark Loans, prepay the Ratable Loans, in whole or in part, provided that (1) any partial prepayment under this Section shall be in integral multiples of One Million Dollars ($1,000,000) (or such lesser amount as is then outstanding); and (2) each prepayment under this Section shall include, at Administrative Agent’s option, all interest accrued on the amount of principal prepaid to (but excluding) the date of prepayment.</w:t>
      </w:r>
    </w:p>
    <w:p>
      <w:pPr>
        <w:spacing w:after="0" w:line="131" w:lineRule="exact"/>
        <w:rPr>
          <w:sz w:val="20"/>
          <w:szCs w:val="20"/>
          <w:color w:val="auto"/>
        </w:rPr>
      </w:pPr>
    </w:p>
    <w:p>
      <w:pPr>
        <w:ind w:left="640"/>
        <w:spacing w:after="0"/>
        <w:tabs>
          <w:tab w:leader="none" w:pos="2480" w:val="left"/>
        </w:tabs>
        <w:rPr>
          <w:sz w:val="20"/>
          <w:szCs w:val="20"/>
          <w:color w:val="auto"/>
        </w:rPr>
      </w:pPr>
      <w:r>
        <w:rPr>
          <w:rFonts w:ascii="Times New Roman" w:cs="Times New Roman" w:eastAsia="Times New Roman" w:hAnsi="Times New Roman"/>
          <w:sz w:val="21"/>
          <w:szCs w:val="21"/>
          <w:color w:val="auto"/>
        </w:rPr>
        <w:t>SECTION 2.11.</w:t>
      </w:r>
      <w:r>
        <w:rPr>
          <w:sz w:val="20"/>
          <w:szCs w:val="20"/>
          <w:color w:val="auto"/>
        </w:rPr>
        <w:tab/>
      </w:r>
      <w:r>
        <w:rPr>
          <w:rFonts w:ascii="Times New Roman" w:cs="Times New Roman" w:eastAsia="Times New Roman" w:hAnsi="Times New Roman"/>
          <w:sz w:val="20"/>
          <w:szCs w:val="20"/>
          <w:u w:val="single" w:color="auto"/>
          <w:color w:val="auto"/>
        </w:rPr>
        <w:t>Method of Payment</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Borrower shall make each payment under this Agreement and under the Notes not later than 1:00 p.m. (New York time) on the date when due in Dollars to Administrative Agent at Administrative Agent’s Office in immediately available funds, without condition or deduction for any counterclaim, defense, recoupment or setoff. Borrower shall deliver federal reference number(s) evidencing the applicable wire transfer(s) to Administrative Agent as soon as available thereafter on such day. Administrative Agent will thereafter, on the day of its receipt of each such payment(s), cause to be distributed to each Bank (1) such Bank’s appropriate share (based upon the respective outstanding principal amounts and interest due under the Loans of the Banks) of the payments of principal and interest in like funds for the account of such Bank’s Applicable Lending Office; and (2) fees payable to such Bank by Borrower in accordance with the terms of this Agreement. If and to the extent that the Administrative Agent shall receive any such payment for the account of the Banks on or before 11:00 a.m. (New York time) on any Banking Day, and Administrative Agent shall not have distributed to any Bank its applicable share of such payment on such day, Administrative Agent shall distribute such amount to such Bank together with interest thereon paid by the Administrative Agent, for each day from the 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ectPr>
          <w:pgSz w:w="11900" w:h="16838" w:orient="portrait"/>
          <w:cols w:equalWidth="0" w:num="1">
            <w:col w:w="11240"/>
          </w:cols>
          <w:pgMar w:left="320" w:top="1225" w:right="339" w:bottom="1440" w:gutter="0" w:footer="0" w:header="0"/>
        </w:sectPr>
      </w:pPr>
    </w:p>
    <w:bookmarkStart w:id="478" w:name="page479"/>
    <w:bookmarkEnd w:id="478"/>
    <w:p>
      <w:pPr>
        <w:jc w:val="both"/>
        <w:spacing w:after="0" w:line="293" w:lineRule="auto"/>
        <w:rPr>
          <w:sz w:val="20"/>
          <w:szCs w:val="20"/>
          <w:color w:val="auto"/>
        </w:rPr>
      </w:pPr>
      <w:r>
        <w:rPr>
          <w:rFonts w:ascii="Times New Roman" w:cs="Times New Roman" w:eastAsia="Times New Roman" w:hAnsi="Times New Roman"/>
          <w:sz w:val="21"/>
          <w:szCs w:val="21"/>
          <w:color w:val="auto"/>
        </w:rPr>
        <w:t>such amount should have been distributed to such Bank until the date Administrative Agent distributes such amount to such Bank, at the Federal Funds Effective Rate.</w:t>
      </w:r>
    </w:p>
    <w:p>
      <w:pPr>
        <w:spacing w:after="0" w:line="131"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Except to the extent provided in this Agreement, whenever any payment to be made under this Agreement or under the Notes is due on any day other than a Banking Day, such payment shall be made on the next succeeding Banking Day, and such extension of time shall in such case be included in the computation of the payment of interest and other fees, as the case may be.</w:t>
      </w:r>
    </w:p>
    <w:p>
      <w:pPr>
        <w:spacing w:after="0" w:line="5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 xml:space="preserve">SECTION 2.12 </w:t>
      </w:r>
      <w:r>
        <w:rPr>
          <w:rFonts w:ascii="Times New Roman" w:cs="Times New Roman" w:eastAsia="Times New Roman" w:hAnsi="Times New Roman"/>
          <w:sz w:val="21"/>
          <w:szCs w:val="21"/>
          <w:u w:val="single" w:color="auto"/>
          <w:color w:val="auto"/>
        </w:rPr>
        <w:t>Elections, Conversions or Continuation of Loans.</w:t>
      </w:r>
    </w:p>
    <w:p>
      <w:pPr>
        <w:spacing w:after="0" w:line="230"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Subject to the provisions of Article III and Sections 2.06 and 2.13, Borrower shall have the right to Elect to have all or a portion of any advance of the Ratable Loans be Term Benchmark Loans, Base Rate Loans, RFR Loans or a combination of the foregoing, to Convert Base Rate Loans into Term Benchmark Loans or RFR Loans, to convert RFR Loans into Base Rate Loans or Term Benchmark Loans, to Convert Term Benchmark Loans into Base Rate Loans or RFR Loans, or to Continue Term Benchmark Loans as Term Benchmark Loans, at any time or from time to time, provided that: (1) Borrower shall give Administrative Agent notice of each such Election, Conversion or Continuation as provided in Section 2.14 signed by an authorized officer of the Borrower (provided that if such notice is submitted through an Approved Borrower Portal, such signature requirement may be waived at the sole discretion of the Administrative Agent); and (2) a Term Benchmark Loan may be Continued or Converted only on the last day of the applicable Interest Period for such Term Benchmark Loan. Except as otherwise provided in this Agreement, each Election, Continuation and Conversion shall be applicable to each Bank’s Ratable Loan in accordance with its Pro Rata Share. Notwithstanding any contrary provision hereof, if an Event of Default has occurred and is continuing, the Administrative Agent, at the request of the Required Banks, may require, by notice to Borrower, that (i) no outstanding Ratable Loan may be converted to or continued as a Term Benchmark Loan and (ii) unless repaid, each Ratable Loan shall be converted to a Base Rate Loan at the end of the Interest Period applicable thereto.</w:t>
      </w:r>
    </w:p>
    <w:p>
      <w:pPr>
        <w:spacing w:after="0" w:line="158"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2.13.</w:t>
      </w:r>
      <w:r>
        <w:rPr>
          <w:sz w:val="20"/>
          <w:szCs w:val="20"/>
          <w:color w:val="auto"/>
        </w:rPr>
        <w:tab/>
      </w: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99"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With respect to the Ratable Loans as a whole, each Election and each Conversion shall be in an amount at least equal to One Million Dollars ($1,000,000) and in integral multiples of One Hundred Thousand Dollars ($100,000) or such lesser amount as shall be available or outstanding, as the case may be.</w:t>
      </w:r>
    </w:p>
    <w:p>
      <w:pPr>
        <w:spacing w:after="0" w:line="23" w:lineRule="exact"/>
        <w:rPr>
          <w:sz w:val="20"/>
          <w:szCs w:val="20"/>
          <w:color w:val="auto"/>
        </w:rPr>
      </w:pPr>
    </w:p>
    <w:p>
      <w:pPr>
        <w:ind w:left="640"/>
        <w:spacing w:after="0"/>
        <w:tabs>
          <w:tab w:leader="none" w:pos="2540" w:val="left"/>
        </w:tabs>
        <w:rPr>
          <w:sz w:val="20"/>
          <w:szCs w:val="20"/>
          <w:color w:val="auto"/>
        </w:rPr>
      </w:pPr>
      <w:r>
        <w:rPr>
          <w:rFonts w:ascii="Times New Roman" w:cs="Times New Roman" w:eastAsia="Times New Roman" w:hAnsi="Times New Roman"/>
          <w:sz w:val="21"/>
          <w:szCs w:val="21"/>
          <w:color w:val="auto"/>
        </w:rPr>
        <w:t>SECTION 2.14.</w:t>
      </w:r>
      <w:r>
        <w:rPr>
          <w:sz w:val="20"/>
          <w:szCs w:val="20"/>
          <w:color w:val="auto"/>
        </w:rPr>
        <w:tab/>
      </w:r>
      <w:r>
        <w:rPr>
          <w:rFonts w:ascii="Times New Roman" w:cs="Times New Roman" w:eastAsia="Times New Roman" w:hAnsi="Times New Roman"/>
          <w:sz w:val="20"/>
          <w:szCs w:val="20"/>
          <w:u w:val="single" w:color="auto"/>
          <w:color w:val="auto"/>
        </w:rPr>
        <w:t>Certain Notices Regarding Elections, Conversions and Continuations of Loans</w:t>
      </w:r>
      <w:r>
        <w:rPr>
          <w:rFonts w:ascii="Times New Roman" w:cs="Times New Roman" w:eastAsia="Times New Roman" w:hAnsi="Times New Roman"/>
          <w:sz w:val="20"/>
          <w:szCs w:val="20"/>
          <w:color w:val="auto"/>
        </w:rPr>
        <w:t>.</w:t>
      </w:r>
    </w:p>
    <w:p>
      <w:pPr>
        <w:spacing w:after="0" w:line="47"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Notices by Borrower to Administrative Agent of Elections, Conversions and Continuations of Term Benchmark Loans shall be irrevocable and shall be effective only if received by Administrative Agent not later than 11:00 a.m. (New York time) on the number of Banking Days prior to the date of the relevant Election, Conversion or Continuation specified below:</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ectPr>
          <w:pgSz w:w="11900" w:h="16838" w:orient="portrait"/>
          <w:cols w:equalWidth="0" w:num="1">
            <w:col w:w="11240"/>
          </w:cols>
          <w:pgMar w:left="320" w:top="1251" w:right="339" w:bottom="1440" w:gutter="0" w:footer="0" w:header="0"/>
        </w:sectPr>
      </w:pPr>
    </w:p>
    <w:bookmarkStart w:id="479" w:name="page480"/>
    <w:bookmarkEnd w:id="479"/>
    <w:tbl>
      <w:tblPr>
        <w:tblLayout w:type="fixed"/>
        <w:tblInd w:w="80" w:type="dxa"/>
        <w:tblCellMar>
          <w:top w:w="0" w:type="dxa"/>
          <w:left w:w="0" w:type="dxa"/>
          <w:bottom w:w="0" w:type="dxa"/>
          <w:right w:w="0" w:type="dxa"/>
        </w:tblCellMar>
      </w:tblPr>
      <w:tr>
        <w:trPr>
          <w:trHeight w:val="262"/>
        </w:trPr>
        <w:tc>
          <w:tcPr>
            <w:tcW w:w="3760" w:type="dxa"/>
            <w:vAlign w:val="bottom"/>
          </w:tcPr>
          <w:p>
            <w:pPr>
              <w:spacing w:after="0"/>
              <w:rPr>
                <w:sz w:val="22"/>
                <w:szCs w:val="22"/>
                <w:color w:val="auto"/>
              </w:rPr>
            </w:pPr>
          </w:p>
        </w:tc>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Notice</w:t>
            </w:r>
          </w:p>
        </w:tc>
        <w:tc>
          <w:tcPr>
            <w:tcW w:w="16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Number of</w:t>
            </w:r>
          </w:p>
        </w:tc>
        <w:tc>
          <w:tcPr>
            <w:tcW w:w="0" w:type="dxa"/>
            <w:vAlign w:val="bottom"/>
          </w:tcPr>
          <w:p>
            <w:pPr>
              <w:spacing w:after="0"/>
              <w:rPr>
                <w:sz w:val="1"/>
                <w:szCs w:val="1"/>
                <w:color w:val="auto"/>
              </w:rPr>
            </w:pPr>
          </w:p>
        </w:tc>
      </w:tr>
      <w:tr>
        <w:trPr>
          <w:trHeight w:val="217"/>
        </w:trPr>
        <w:tc>
          <w:tcPr>
            <w:tcW w:w="3760" w:type="dxa"/>
            <w:vAlign w:val="bottom"/>
          </w:tcPr>
          <w:p>
            <w:pPr>
              <w:spacing w:after="0"/>
              <w:rPr>
                <w:sz w:val="18"/>
                <w:szCs w:val="18"/>
                <w:color w:val="auto"/>
              </w:rPr>
            </w:pPr>
          </w:p>
        </w:tc>
        <w:tc>
          <w:tcPr>
            <w:tcW w:w="4980" w:type="dxa"/>
            <w:vAlign w:val="bottom"/>
            <w:gridSpan w:val="2"/>
            <w:vMerge w:val="continue"/>
          </w:tcPr>
          <w:p>
            <w:pPr>
              <w:spacing w:after="0"/>
              <w:rPr>
                <w:sz w:val="18"/>
                <w:szCs w:val="18"/>
                <w:color w:val="auto"/>
              </w:rPr>
            </w:pPr>
          </w:p>
        </w:tc>
        <w:tc>
          <w:tcPr>
            <w:tcW w:w="1660" w:type="dxa"/>
            <w:vAlign w:val="bottom"/>
            <w:tcBorders>
              <w:bottom w:val="single" w:sz="8" w:color="auto"/>
            </w:tcBorders>
          </w:tcPr>
          <w:p>
            <w:pPr>
              <w:jc w:val="center"/>
              <w:spacing w:after="0" w:line="191" w:lineRule="exact"/>
              <w:rPr>
                <w:sz w:val="20"/>
                <w:szCs w:val="20"/>
                <w:color w:val="auto"/>
              </w:rPr>
            </w:pPr>
            <w:r>
              <w:rPr>
                <w:rFonts w:ascii="Times New Roman" w:cs="Times New Roman" w:eastAsia="Times New Roman" w:hAnsi="Times New Roman"/>
                <w:sz w:val="21"/>
                <w:szCs w:val="21"/>
                <w:color w:val="auto"/>
                <w:w w:val="99"/>
              </w:rPr>
              <w:t>Banking Days Prior</w:t>
            </w:r>
          </w:p>
        </w:tc>
        <w:tc>
          <w:tcPr>
            <w:tcW w:w="0" w:type="dxa"/>
            <w:vAlign w:val="bottom"/>
          </w:tcPr>
          <w:p>
            <w:pPr>
              <w:spacing w:after="0"/>
              <w:rPr>
                <w:sz w:val="1"/>
                <w:szCs w:val="1"/>
                <w:color w:val="auto"/>
              </w:rPr>
            </w:pPr>
          </w:p>
        </w:tc>
      </w:tr>
      <w:tr>
        <w:trPr>
          <w:trHeight w:val="287"/>
        </w:trPr>
        <w:tc>
          <w:tcPr>
            <w:tcW w:w="87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Elections of, Conversions into or Continuations as Base Rate Loans or RFR Loans</w:t>
            </w:r>
          </w:p>
        </w:tc>
        <w:tc>
          <w:tcPr>
            <w:tcW w:w="16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Same Banking Day</w:t>
            </w:r>
          </w:p>
        </w:tc>
        <w:tc>
          <w:tcPr>
            <w:tcW w:w="0" w:type="dxa"/>
            <w:vAlign w:val="bottom"/>
          </w:tcPr>
          <w:p>
            <w:pPr>
              <w:spacing w:after="0"/>
              <w:rPr>
                <w:sz w:val="1"/>
                <w:szCs w:val="1"/>
                <w:color w:val="auto"/>
              </w:rPr>
            </w:pPr>
          </w:p>
        </w:tc>
      </w:tr>
      <w:tr>
        <w:trPr>
          <w:trHeight w:val="275"/>
        </w:trPr>
        <w:tc>
          <w:tcPr>
            <w:tcW w:w="87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Elections of, Conversions into or Continuations as Term Benchmark Loans</w:t>
            </w:r>
          </w:p>
        </w:tc>
        <w:tc>
          <w:tcPr>
            <w:tcW w:w="16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Three (3)</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Promptly following its receipt of any such notice, Administrative Agent shall so advise the Banks. Each such notice of Election shall specify the portion of the amount of the advance that is to be Term Benchmark Loans (subject to Section 2.13) and the duration of the Interest Period applicable thereto (subject to Section 2.06); each such notice of Conversion shall specify the Term Benchmark Loans, RFR Loans or Base Rate Loans to be Converted; and each such notice of Conversion or Continuation shall specify the date of Conversion or Continuation (which shall be a Banking Day), the amount thereof (subject to Section 2.13) and the duration of the Interest Period applicable thereto (subject to Section 2.06). In the event that Borrower fails to Elect to have any portion of an advance of the Ratable Loans be Term Benchmark Loans, the portion of such advance for which a Term Benchmark Loan Election is not made shall constitute Base Rate Loans. In the event that Borrower fails to Continue Term Benchmark Loans within the time period and as otherwise provided in this Section, such Term Benchmark Loans will be automatically Converted into Base Rate Loans on the last day of the then current applicable Interest Period for such Term Benchmark Loans.</w:t>
      </w:r>
    </w:p>
    <w:p>
      <w:pPr>
        <w:spacing w:after="0" w:line="179"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2.15. </w:t>
      </w:r>
      <w:r>
        <w:rPr>
          <w:rFonts w:ascii="Times New Roman" w:cs="Times New Roman" w:eastAsia="Times New Roman" w:hAnsi="Times New Roman"/>
          <w:sz w:val="21"/>
          <w:szCs w:val="21"/>
          <w:u w:val="single" w:color="auto"/>
          <w:color w:val="auto"/>
        </w:rPr>
        <w:t>Payments Generally.</w:t>
      </w:r>
      <w:r>
        <w:rPr>
          <w:rFonts w:ascii="Times New Roman" w:cs="Times New Roman" w:eastAsia="Times New Roman" w:hAnsi="Times New Roman"/>
          <w:sz w:val="21"/>
          <w:szCs w:val="21"/>
          <w:color w:val="auto"/>
        </w:rPr>
        <w:t xml:space="preserve"> If any Bank shall fail to make any payment required to be made by it pursuant to Section 2.17(h) or 10.05, then the Administrative Agent may, in its discretion and notwithstanding any contrary provision hereof, (i) apply any amounts thereafter received by the Administrative Agent for the account of such Bank for the benefit of the Administrative Agent or the Fronting Bank to satisfy such Bank’s obligations to it under such Section until all such unsatisfied obligations are fully paid, and/or (ii) hold any such amounts in a segregated account as cash collateral for, and application to, any future funding obligations of such Bank under any such Section, in the case of each of clauses (i) and (ii) above, in any order as determined by the Administrative Agent in its discretion.</w:t>
      </w:r>
    </w:p>
    <w:p>
      <w:pPr>
        <w:spacing w:after="0" w:line="38"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2.16.</w:t>
      </w:r>
      <w:r>
        <w:rPr>
          <w:sz w:val="20"/>
          <w:szCs w:val="20"/>
          <w:color w:val="auto"/>
        </w:rPr>
        <w:tab/>
      </w:r>
      <w:r>
        <w:rPr>
          <w:rFonts w:ascii="Times New Roman" w:cs="Times New Roman" w:eastAsia="Times New Roman" w:hAnsi="Times New Roman"/>
          <w:sz w:val="20"/>
          <w:szCs w:val="20"/>
          <w:u w:val="single" w:color="auto"/>
          <w:color w:val="auto"/>
        </w:rPr>
        <w:t>Changes of Loan Commitments.</w:t>
      </w:r>
    </w:p>
    <w:p>
      <w:pPr>
        <w:spacing w:after="0" w:line="99" w:lineRule="exact"/>
        <w:rPr>
          <w:sz w:val="20"/>
          <w:szCs w:val="20"/>
          <w:color w:val="auto"/>
        </w:rPr>
      </w:pPr>
    </w:p>
    <w:p>
      <w:pPr>
        <w:jc w:val="both"/>
        <w:ind w:firstLine="634"/>
        <w:spacing w:after="0" w:line="255" w:lineRule="auto"/>
        <w:tabs>
          <w:tab w:leader="none" w:pos="1254" w:val="left"/>
        </w:tabs>
        <w:numPr>
          <w:ilvl w:val="0"/>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Borrower shall have the right, without premium or penalty, to terminate any unused Loan Commitments existing as of the date of such termination, in whole or in part, from time to time, provided that: (1) Borrower shall give notice of each such termination to Administrative Agent (which shall promptly notify each of the Banks) no later than 10:00 a.m. (New York time) on the date which is three (3) Banking Days prior to the effectiveness of such termination; (2) the Loan Commitments of each of the Banks must be terminated (and, in the case of a partial termination, on a pro rata basis) and simultaneously with those of the other Banks; and (3) each partial termination of the Loan Commitments in the aggregate (and corresponding reduction of the Total Loan Commitment) shall be in an integral multiple of One Million Dollars ($1,000,000).</w:t>
      </w:r>
    </w:p>
    <w:p>
      <w:pPr>
        <w:spacing w:after="0" w:line="77"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Commitments, to the extent terminated pursuant to this Section 2.16, may not be reinstated.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304" w:right="339" w:bottom="1440" w:gutter="0" w:footer="0" w:header="0"/>
        </w:sectPr>
      </w:pPr>
    </w:p>
    <w:bookmarkStart w:id="480" w:name="page481"/>
    <w:bookmarkEnd w:id="480"/>
    <w:p>
      <w:pPr>
        <w:jc w:val="both"/>
        <w:ind w:firstLine="634"/>
        <w:spacing w:after="0" w:line="251" w:lineRule="auto"/>
        <w:tabs>
          <w:tab w:leader="none" w:pos="1254" w:val="left"/>
        </w:tabs>
        <w:numPr>
          <w:ilvl w:val="0"/>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Unless a Default or an Event of Default has occurred and is continuing, Borrower, by written notice to Administrative Agent, may request, on up to four (4) occasions (excluding any Banks providing New Ratable Commitments prior to March 31, 2026) during the term of this Agreement, that (A) the Total Loan Commitment be increased (the “</w:t>
      </w:r>
      <w:r>
        <w:rPr>
          <w:rFonts w:ascii="Times New Roman" w:cs="Times New Roman" w:eastAsia="Times New Roman" w:hAnsi="Times New Roman"/>
          <w:sz w:val="21"/>
          <w:szCs w:val="21"/>
          <w:u w:val="single" w:color="auto"/>
          <w:color w:val="auto"/>
        </w:rPr>
        <w:t>New Ratable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Commitments</w:t>
      </w:r>
      <w:r>
        <w:rPr>
          <w:rFonts w:ascii="Times New Roman" w:cs="Times New Roman" w:eastAsia="Times New Roman" w:hAnsi="Times New Roman"/>
          <w:sz w:val="21"/>
          <w:szCs w:val="21"/>
          <w:color w:val="auto"/>
        </w:rPr>
        <w:t>”) or (B) new term loan commitments be established (the “</w:t>
      </w:r>
      <w:r>
        <w:rPr>
          <w:rFonts w:ascii="Times New Roman" w:cs="Times New Roman" w:eastAsia="Times New Roman" w:hAnsi="Times New Roman"/>
          <w:sz w:val="21"/>
          <w:szCs w:val="21"/>
          <w:u w:val="single" w:color="auto"/>
          <w:color w:val="auto"/>
        </w:rPr>
        <w:t>New Term Commitments</w:t>
      </w:r>
      <w:r>
        <w:rPr>
          <w:rFonts w:ascii="Times New Roman" w:cs="Times New Roman" w:eastAsia="Times New Roman" w:hAnsi="Times New Roman"/>
          <w:sz w:val="21"/>
          <w:szCs w:val="21"/>
          <w:color w:val="auto"/>
        </w:rPr>
        <w:t>”, and together with the New Ratable Commitments, the “</w:t>
      </w:r>
      <w:r>
        <w:rPr>
          <w:rFonts w:ascii="Times New Roman" w:cs="Times New Roman" w:eastAsia="Times New Roman" w:hAnsi="Times New Roman"/>
          <w:sz w:val="21"/>
          <w:szCs w:val="21"/>
          <w:u w:val="single" w:color="auto"/>
          <w:color w:val="auto"/>
        </w:rPr>
        <w:t>Incremental Commitments</w:t>
      </w:r>
      <w:r>
        <w:rPr>
          <w:rFonts w:ascii="Times New Roman" w:cs="Times New Roman" w:eastAsia="Times New Roman" w:hAnsi="Times New Roman"/>
          <w:sz w:val="21"/>
          <w:szCs w:val="21"/>
          <w:color w:val="auto"/>
        </w:rPr>
        <w:t>”) by an amount not less than Twenty Five Million Dollars ($25,000,000) per request for any Incremental Commitment and not more than Six Hundred and Forty-Five Million Dollars ($645,000,000) in the aggregate for all Incremental Commitments (such that the sum of the Total Loan Commitment plus the initial amount of all New Term Loans (as defined below) made pursuant to the New Term Commitments after such Incremental Commitments shall never exceed One Billion Seven Hundred and Fifty Million Dollars ($1,750,000,000) less any voluntary reductions in the Loan Commitments pursuant to Section 2.16(a)); provided that for any such request for an Incremental Commitment in the event that existing Banks do not elect to provide such Incremental Commitment, the Lead Arrangers shall use commercially reasonable efforts to locate additional Qualified Institutions willing to hold the requested Incremental Commitment, and Borrower may also identify additional Qualified Institutions willing to hold the requested Incremental Commitment; provided however that Administrative Agent and each Fronting Bank (in the case of a New Ratable Commitment) shall have the right to approve any such additional Qualified Institutions, which approval will not be unreasonably withheld or delayed. If (x) existing or new Banks are willing to provide such New Ratable Commitments, the Total Loan Commitment may be increased from time to time by the addition of a new Bank or the increase of the Loan Commitment of an existing Bank (each, a “</w:t>
      </w:r>
      <w:r>
        <w:rPr>
          <w:rFonts w:ascii="Times New Roman" w:cs="Times New Roman" w:eastAsia="Times New Roman" w:hAnsi="Times New Roman"/>
          <w:sz w:val="21"/>
          <w:szCs w:val="21"/>
          <w:u w:val="single" w:color="auto"/>
          <w:color w:val="auto"/>
        </w:rPr>
        <w:t>New Ratable Bank</w:t>
      </w:r>
      <w:r>
        <w:rPr>
          <w:rFonts w:ascii="Times New Roman" w:cs="Times New Roman" w:eastAsia="Times New Roman" w:hAnsi="Times New Roman"/>
          <w:sz w:val="21"/>
          <w:szCs w:val="21"/>
          <w:color w:val="auto"/>
        </w:rPr>
        <w:t>”, and the loans made pursuant to any New Ratable Commitment being referred to herein as “</w:t>
      </w:r>
      <w:r>
        <w:rPr>
          <w:rFonts w:ascii="Times New Roman" w:cs="Times New Roman" w:eastAsia="Times New Roman" w:hAnsi="Times New Roman"/>
          <w:sz w:val="21"/>
          <w:szCs w:val="21"/>
          <w:u w:val="single" w:color="auto"/>
          <w:color w:val="auto"/>
        </w:rPr>
        <w:t>New Ratable Loans</w:t>
      </w:r>
      <w:r>
        <w:rPr>
          <w:rFonts w:ascii="Times New Roman" w:cs="Times New Roman" w:eastAsia="Times New Roman" w:hAnsi="Times New Roman"/>
          <w:sz w:val="21"/>
          <w:szCs w:val="21"/>
          <w:color w:val="auto"/>
        </w:rPr>
        <w:t>”) or (y) Banks are willing to provide such New Term Commitments, term loans may be made hereunder (the “</w:t>
      </w:r>
      <w:r>
        <w:rPr>
          <w:rFonts w:ascii="Times New Roman" w:cs="Times New Roman" w:eastAsia="Times New Roman" w:hAnsi="Times New Roman"/>
          <w:sz w:val="21"/>
          <w:szCs w:val="21"/>
          <w:u w:val="single" w:color="auto"/>
          <w:color w:val="auto"/>
        </w:rPr>
        <w:t>New Term Loans</w:t>
      </w:r>
      <w:r>
        <w:rPr>
          <w:rFonts w:ascii="Times New Roman" w:cs="Times New Roman" w:eastAsia="Times New Roman" w:hAnsi="Times New Roman"/>
          <w:sz w:val="21"/>
          <w:szCs w:val="21"/>
          <w:color w:val="auto"/>
        </w:rPr>
        <w:t>”) by such Banks (each, a “</w:t>
      </w:r>
      <w:r>
        <w:rPr>
          <w:rFonts w:ascii="Times New Roman" w:cs="Times New Roman" w:eastAsia="Times New Roman" w:hAnsi="Times New Roman"/>
          <w:sz w:val="21"/>
          <w:szCs w:val="21"/>
          <w:u w:val="single" w:color="auto"/>
          <w:color w:val="auto"/>
        </w:rPr>
        <w:t>New Term Bank</w:t>
      </w:r>
      <w:r>
        <w:rPr>
          <w:rFonts w:ascii="Times New Roman" w:cs="Times New Roman" w:eastAsia="Times New Roman" w:hAnsi="Times New Roman"/>
          <w:sz w:val="21"/>
          <w:szCs w:val="21"/>
          <w:color w:val="auto"/>
        </w:rPr>
        <w:t>”). No Bank shall have any obligation to provide any Incremental Commitment.</w:t>
      </w:r>
    </w:p>
    <w:p>
      <w:pPr>
        <w:spacing w:after="0" w:line="162" w:lineRule="exact"/>
        <w:rPr>
          <w:rFonts w:ascii="Times New Roman" w:cs="Times New Roman" w:eastAsia="Times New Roman" w:hAnsi="Times New Roman"/>
          <w:sz w:val="21"/>
          <w:szCs w:val="21"/>
          <w:color w:val="auto"/>
        </w:rPr>
      </w:pPr>
    </w:p>
    <w:p>
      <w:pPr>
        <w:jc w:val="both"/>
        <w:ind w:left="640" w:firstLine="622"/>
        <w:spacing w:after="0" w:line="212" w:lineRule="auto"/>
        <w:tabs>
          <w:tab w:leader="none" w:pos="1891" w:val="left"/>
        </w:tabs>
        <w:numPr>
          <w:ilvl w:val="1"/>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Incremental Commitments hereunder shall be evidenced by the execution and delivery of an amendment to this Agreement by the Borrower, the Administrative Agent, the Fronting Banks (in the case of New Ratable Commitments) and the New Ratable Banks or New Term Banks, as applicable, providing such Incremental Commitments, a copy of which shall be forwarded to each Bank by the Administrative Agent promptly after execution thereof. Each such amendment executed in connection with an Incremental Commitment hereunder may, without the consent of any other Banks, effect such amendments to this Agreement and the other Loan Documents as may be necessary or appropriate, in the good faith judgment of Administrative Agent, to effect the provisions of this Section 2.16(c), subject to approval by the Borrower and the New Ratable Banks or New Term Banks, as applicable, including without limitation to (x) include the New Ratable Banks and/or New Term Banks as “Banks” hereunder, (y) to include the New Ratable Loans and New Term Loans as “Loans” hereunder, and (z) to include the New Ratable Banks and their Pro Rata Shares and/or the New Term Banks and their New Term Loans for purposes of the definition of “Required Banks”; provided however, that any amendments to Articles V through IX, inclusive, and Section 12.02 that adversely affect a Bank or any amendment to provisions of this Agreement other than those effecting this Section 2.16(c) shall be subject to Section 12.02. All such amendments and joinder agreements entered into with the Borrower by the Administrative Agent, the Fronting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ectPr>
          <w:pgSz w:w="11900" w:h="16838" w:orient="portrait"/>
          <w:cols w:equalWidth="0" w:num="1">
            <w:col w:w="11240"/>
          </w:cols>
          <w:pgMar w:left="320" w:top="1251" w:right="339" w:bottom="1440" w:gutter="0" w:footer="0" w:header="0"/>
        </w:sectPr>
      </w:pPr>
    </w:p>
    <w:bookmarkStart w:id="481" w:name="page482"/>
    <w:bookmarkEnd w:id="481"/>
    <w:p>
      <w:pPr>
        <w:spacing w:after="0" w:line="241" w:lineRule="auto"/>
        <w:rPr>
          <w:sz w:val="20"/>
          <w:szCs w:val="20"/>
          <w:color w:val="auto"/>
        </w:rPr>
      </w:pPr>
      <w:r>
        <w:rPr>
          <w:rFonts w:ascii="Times New Roman" w:cs="Times New Roman" w:eastAsia="Times New Roman" w:hAnsi="Times New Roman"/>
          <w:sz w:val="21"/>
          <w:szCs w:val="21"/>
          <w:color w:val="auto"/>
        </w:rPr>
        <w:t>Banks (in the case of New Ratable Commitments) and the New Ratable Banks or New Term Banks, as applicable, shall be binding and conclusive on all Banks.</w:t>
      </w:r>
    </w:p>
    <w:p>
      <w:pPr>
        <w:spacing w:after="0" w:line="144" w:lineRule="exact"/>
        <w:rPr>
          <w:sz w:val="20"/>
          <w:szCs w:val="20"/>
          <w:color w:val="auto"/>
        </w:rPr>
      </w:pPr>
    </w:p>
    <w:p>
      <w:pPr>
        <w:jc w:val="both"/>
        <w:ind w:firstLine="622"/>
        <w:spacing w:after="0" w:line="216" w:lineRule="auto"/>
        <w:tabs>
          <w:tab w:leader="none" w:pos="1257"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effective date of any New Ratable Commitments, the Total Loan Commitment and the Loan Commitments of the New Ratable Banks shall be increased, thePro Rata Shares shall be adjusted and the Borrower and the Administrative Agent shall cause the New Ratable Banks to hold their Pro Rata Share of all Ratable Loans outstanding at the close of business on such day, by either funding more than its or their Pro Rata Share of New Ratable Loans made on such date or purchasing shares of outstanding Ratable Loans held by the other Banks or a combination thereof. The Banks agree to cooperate in any required sale and purchase of outstanding Ratable Loans to achieve such result. The Borrower agrees to pay all fees associated with the New Ratable Commitments including any amounts due under Section 3.05 in connection with any reallocation of Term Benchmark Loans.</w:t>
      </w:r>
    </w:p>
    <w:p>
      <w:pPr>
        <w:spacing w:after="0" w:line="147" w:lineRule="exact"/>
        <w:rPr>
          <w:rFonts w:ascii="Times New Roman" w:cs="Times New Roman" w:eastAsia="Times New Roman" w:hAnsi="Times New Roman"/>
          <w:sz w:val="21"/>
          <w:szCs w:val="21"/>
          <w:color w:val="auto"/>
        </w:rPr>
      </w:pPr>
    </w:p>
    <w:p>
      <w:pPr>
        <w:jc w:val="both"/>
        <w:ind w:firstLine="622"/>
        <w:spacing w:after="0" w:line="221" w:lineRule="auto"/>
        <w:tabs>
          <w:tab w:leader="none" w:pos="1245"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effective date of any New Term Commitments of any Series, (a) each New Term Bank of such Series shall make a New Term Loan to the Borrower in an amount equal to its New Term Commitment of such Series, and (b) each New Term Bank of such Series shall become a Bank hereunder with respect to the New Term Commitments of such Series and the New Term Loans of such Series made pursuant thereto. Any New Term Loans made on such effective date shall be designated a separate series (a “</w:t>
      </w:r>
      <w:r>
        <w:rPr>
          <w:rFonts w:ascii="Times New Roman" w:cs="Times New Roman" w:eastAsia="Times New Roman" w:hAnsi="Times New Roman"/>
          <w:sz w:val="21"/>
          <w:szCs w:val="21"/>
          <w:u w:val="single" w:color="auto"/>
          <w:color w:val="auto"/>
        </w:rPr>
        <w:t>Series</w:t>
      </w:r>
      <w:r>
        <w:rPr>
          <w:rFonts w:ascii="Times New Roman" w:cs="Times New Roman" w:eastAsia="Times New Roman" w:hAnsi="Times New Roman"/>
          <w:sz w:val="21"/>
          <w:szCs w:val="21"/>
          <w:color w:val="auto"/>
        </w:rPr>
        <w:t>”) of New Term Loans for all purposes of this Agreement.</w:t>
      </w:r>
    </w:p>
    <w:p>
      <w:pPr>
        <w:spacing w:after="0" w:line="145" w:lineRule="exact"/>
        <w:rPr>
          <w:rFonts w:ascii="Times New Roman" w:cs="Times New Roman" w:eastAsia="Times New Roman" w:hAnsi="Times New Roman"/>
          <w:sz w:val="21"/>
          <w:szCs w:val="21"/>
          <w:color w:val="auto"/>
        </w:rPr>
      </w:pPr>
    </w:p>
    <w:p>
      <w:pPr>
        <w:jc w:val="both"/>
        <w:ind w:firstLine="622"/>
        <w:spacing w:after="0" w:line="219" w:lineRule="auto"/>
        <w:tabs>
          <w:tab w:leader="none" w:pos="1253"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and provisions of the New Ratable Loans and New Ratable Commitments shall be identical to the then existing Ratable Loans and Loan Commitments. The terms of any New Term Loans of any Series made hereunder (a) shall not provide for any amortization payments on or prior to the Maturity Date, but may permit voluntary prepayments, (b) shall provide that the applicable New Term Loan maturity date of each Series shall be no earlier than the Maturity Date, (c) shall rank pari passu to the other Loans hereunder and (d) subject to paragraph (c)(ii) above, shall include such other terms and pricing as may be agreed by the Borrower, the Administrative Agent and the New Term Banks.</w:t>
      </w:r>
    </w:p>
    <w:p>
      <w:pPr>
        <w:spacing w:after="0" w:line="144" w:lineRule="exact"/>
        <w:rPr>
          <w:rFonts w:ascii="Times New Roman" w:cs="Times New Roman" w:eastAsia="Times New Roman" w:hAnsi="Times New Roman"/>
          <w:sz w:val="21"/>
          <w:szCs w:val="21"/>
          <w:color w:val="auto"/>
        </w:rPr>
      </w:pPr>
    </w:p>
    <w:p>
      <w:pPr>
        <w:jc w:val="both"/>
        <w:ind w:firstLine="622"/>
        <w:spacing w:after="0" w:line="214" w:lineRule="auto"/>
        <w:tabs>
          <w:tab w:leader="none" w:pos="1245"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no Incremental Commitment shall become effective under this Section 2.16(c) unless (a) on the date of such effectiveness, the conditions set forth in Section 4.02 shall be satisfied or otherwise waived by the Banks providing such Incremental Commitments and the Administrative Agent shall have received a certificate to that effect dated such date and executed by an authorized signatory of the Borrower, (b) the Administrative Agent shall have received a certificate of an authorized signatory of the Borrower as to the board resolutions evidencing authority for such Incremental Commitment and as to any changes to the formation documents of the Borrower since the Closing Date, (c) the Borrower shall be in pro forma compliance with the covenants set forth in Article VIII after giving effect to the Loans to be made on such date pursuant to such Incremental Commitments and the application of the proceeds therefrom as if made and applied on such date to the extent such Incremental Commitments are drawn and funded on such date, (d) the Borrower shall deliver any legal opinions reasonably requested by the Administrative Agent in connection with such Incremental</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49</w:t>
      </w:r>
    </w:p>
    <w:p>
      <w:pPr>
        <w:sectPr>
          <w:pgSz w:w="11900" w:h="16838" w:orient="portrait"/>
          <w:cols w:equalWidth="0" w:num="1">
            <w:col w:w="10600"/>
          </w:cols>
          <w:pgMar w:left="960" w:top="1225" w:right="339" w:bottom="1440" w:gutter="0" w:footer="0" w:header="0"/>
        </w:sectPr>
      </w:pPr>
    </w:p>
    <w:bookmarkStart w:id="482" w:name="page483"/>
    <w:bookmarkEnd w:id="482"/>
    <w:p>
      <w:pPr>
        <w:jc w:val="both"/>
        <w:ind w:left="640"/>
        <w:spacing w:after="0" w:line="224" w:lineRule="auto"/>
        <w:rPr>
          <w:sz w:val="20"/>
          <w:szCs w:val="20"/>
          <w:color w:val="auto"/>
        </w:rPr>
      </w:pPr>
      <w:r>
        <w:rPr>
          <w:rFonts w:ascii="Times New Roman" w:cs="Times New Roman" w:eastAsia="Times New Roman" w:hAnsi="Times New Roman"/>
          <w:sz w:val="21"/>
          <w:szCs w:val="21"/>
          <w:color w:val="auto"/>
        </w:rPr>
        <w:t>Commitments, consistent with those delivered on the Closing Date, and (e) the Borrower shall have paid all reasonable and documented out-of-pocket costs and expenses of the Administrative Agent pursuant to Section 12.04 and all agreed-upon fees payable to the Administrative Agent and the New Ratable Banks or New Term Banks, as applicable, in connection with such Incremental Commitments.</w:t>
      </w:r>
    </w:p>
    <w:p>
      <w:pPr>
        <w:spacing w:after="0" w:line="146" w:lineRule="exact"/>
        <w:rPr>
          <w:sz w:val="20"/>
          <w:szCs w:val="20"/>
          <w:color w:val="auto"/>
        </w:rPr>
      </w:pPr>
    </w:p>
    <w:p>
      <w:pPr>
        <w:ind w:left="640" w:firstLine="622"/>
        <w:spacing w:after="0" w:line="241" w:lineRule="auto"/>
        <w:tabs>
          <w:tab w:leader="none" w:pos="1891" w:val="left"/>
        </w:tabs>
        <w:numPr>
          <w:ilvl w:val="0"/>
          <w:numId w:val="3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nothing in this Section 2.16(c) shall constitute or be deemed to constitute an agreement by any Bank to provide any Incremental Commitment.</w:t>
      </w:r>
    </w:p>
    <w:p>
      <w:pPr>
        <w:spacing w:after="0" w:line="144"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2.17.</w:t>
      </w:r>
      <w:r>
        <w:rPr>
          <w:sz w:val="20"/>
          <w:szCs w:val="20"/>
          <w:color w:val="auto"/>
        </w:rPr>
        <w:tab/>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34"/>
        <w:spacing w:after="0" w:line="213" w:lineRule="auto"/>
        <w:tabs>
          <w:tab w:leader="none" w:pos="1254" w:val="left"/>
        </w:tabs>
        <w:numPr>
          <w:ilvl w:val="0"/>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by notice to Administrative Agent and the applicable Fronting Bank, may request, in lieu of advances of proceeds of the Ratable Loans, that such Fronting Bank issue unconditional, irrevocable standby letters of credit in Dollars (each, a “</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for the account of Borrower or its designee (which shall be an Affiliate or Subsidiary of Borrower) (it being understood that the issuance of a Letter of Credit for the account of a designee shall not in any way relieve Borrower of any of its obligations hereunder), payable by sight drafts, for such beneficiaries and with such other terms as Borrower shall specify. Unless the applicable Fronting Bank has received written notice from the Administrative Agent, not less than one (1) Banking Day prior to the requested date of issuance or amendment of the applicable Letter of Credit, that one or more applicable conditions contained in Section 4.02 shall not have been satisfied, then, subject to the terms and conditions hereof, such Fronting Bank, on the requested date, shall issue a Letter of Credit for the account of the Borrower or enter into the applicable amendment, as the case may be, in each case in a form reasonably acceptable to such Fronting Bank and in accordance with such Fronting Bank’s usual and customary business practices; provided that there shall not at any time be more than a total of 20 Letters of Credit outstanding. Promptly upon issuance of a Letter of Credit, the applicable Fronting Bank shall notify Administrative Agent and Administrative Agent shall notify each of the Banks.</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Notwithstanding anything herein to the contrary, the Fronting Banks shall have no obligation hereunder to issue, amend or extend, and shall not issue, amend or extend, any Letter of Credit the proceeds of which would be made available to any Person (i) to fund any activity or business of or with any Sanctioned Person, or in any country or territory that, at the time of such funding, is the subject of any Sanctions or (ii) in any manner that would result in a violation of any Sanctions by any party to this Agreement. In addition, a Fronting Bank shall not be under any obligation to issue, amend or extend any Letter of Credit if (x) any order, judgment or decree of any Governmental Authority or arbitrator shall by its terms purport to enjoin or restrain such Fronting Bank from issuing, amending or extending the Letter of Credit, or any Law applicable to such Fronting Bank or any request or directive (whether or not having the force of law) from any Governmental Authority with jurisdiction over such Fronting Bank shall prohibit, or request that such Fronting Bank refrain from, the issuance, amendment or extension of letters of credit generally or the Letter of Credit in particular or shall impose upon such Fronting Bank with respect to the Letter of Credit any restriction, reserve, capital or liquidity requirement (for which the Fronting Bank is not otherwise compensated hereunder) not in effect on the Execution Date, or shall impose upon the Fronting Bank any unreimbursed loss, cost or expense which was not applicable on the Execution Date and which such Fronting Bank in good faith deems material to it or (y) the issuance, amendment or extension of such Letter of Credit would violate one or more policies of such Fronting Bank applicable to letters of credit generally.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ectPr>
          <w:pgSz w:w="11900" w:h="16838" w:orient="portrait"/>
          <w:cols w:equalWidth="0" w:num="1">
            <w:col w:w="11240"/>
          </w:cols>
          <w:pgMar w:left="320" w:top="1225" w:right="339" w:bottom="1440" w:gutter="0" w:footer="0" w:header="0"/>
        </w:sectPr>
      </w:pPr>
    </w:p>
    <w:bookmarkStart w:id="483" w:name="page484"/>
    <w:bookmarkEnd w:id="483"/>
    <w:p>
      <w:pPr>
        <w:jc w:val="both"/>
        <w:ind w:firstLine="634"/>
        <w:spacing w:after="0" w:line="210" w:lineRule="auto"/>
        <w:tabs>
          <w:tab w:leader="none" w:pos="1253"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request the issuance of a Letter of Credit (or the amendment, renewal or extension of an outstanding Letter of Credit), Borrower shall hand deliver or telecopy (or transmit by electronic communication, if arrangements for doing so have been approved by the applicable Fronting Bank) to the Fronting Bank or Fronting Banks which are being requested to issue (or has or have issued, in the case of an amendment, renewal or extension) such Letter of Credit and the Administrative Agent (reasonably in advance of the requested date of issuance, amendment, renewal or extension, but in any event no less than three Banking Days or such shorter period as the applicable Fronting Bank shall agree to) a notice requesting the issuance of a Letter of Credit, or identifying the Letter of Credit to be amended, renewed or extended, and specifying the date of issuance, amendment, renewal or extension (which shall be a Banking Day), the identity of the Fronting Bank(s) selected to issue such Letter of Credit, the date on which such Letter of Credit is to expire (which shall comply with paragraph (e) of this Section), the amount of such Letter of Credit, the name and address of the beneficiary thereof and such other information as shall be necessary to prepare, amend, renew or extend such Letter of Credit. If requested by the Fronting Bank, Borrower also shall submit a letter of credit application on the Fronting Bank’s standard form in connection with any request for a Letter of Credit; provided that the provisions of this Agreement shall prevail if there is an inconsistency between this Agreement and such letter of credit application. The Borrower and the Fronting Banks shall use reasonable efforts, to the extent practical, to cause any Letters of Credit to be issued by the Fronting Banks on a proportionate basis in accordance with their respective Letter of Credit Commitments, although, for the avoidance of doubt, no single Letter of Credit will be required to be issued by more than one Fronting Bank unless the amount of such Letter of Credit will exceed the available Letter of Credit Commitment of the applicable Fronting Bank. A Letter of Credit shall be issued, amended, renewed or extended only if (and upon issuance, amendment, renewal or extension of each Letter of Credit Borrower shall be deemed to represent and warrant that), after giving effect to such issuance, amendment, renewal or extension (i) (x) the aggregate undrawn amount of all outstanding Letters of Credit issued by the applicable Fronting Bank at such time plus (y) the aggregate amount of all drawings under Letters of Credit issued by such Fronting Bank that have not yet been reimbursed by or on behalf of the Borrower (including, for clarity, by means of advances of Loans pursuant to this Agreement) at such time shall not exceed its Letter of Credit Commitment (unless agreed to by such Fronting Bank), (ii) the aggregate LC Exposure at such time shall not exceed $200,000,000 (as such amount may be reduced by written notice from the Borrower consistent with Section 2.16(a) so long as the outstanding Letters of Credit do not exceed such reduced amount), (iii) the amount of such Letter of Credit shall not exceed the Available Total Loan Commitment, and (iv) the amount of such Letter of Credit shall not exceed the excess of the Fronting Bank’s Loan Commitment minus the sum of the outstanding principal amount of such Fronting Bank’s Ratable Loans and LC Exposure at such time. The Borrower may, at any time and from time to time, reduce the Letter of Credit Commitment of any Fronting Bank with the consent of such Fronting Bank; provided that the Borrower shall not reduce the Letter of Credit Commitment of any Fronting Bank if, after giving effect of such reduction, the conditions set forth in clauses (i) through (iv) of this paragraph (b) shall not be satisfied. The amount of each Letter of Credit issued and outstanding shall effect a reduction, by an equal amount, of the Available Total Loan Commitment as provided in Section 2.01(b) (such reduction to be allocated to each Bank’s Loan Commitment ratably in accordance with the Banks’ respective Pro Rata Shares).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51</w:t>
      </w:r>
    </w:p>
    <w:p>
      <w:pPr>
        <w:sectPr>
          <w:pgSz w:w="11900" w:h="16838" w:orient="portrait"/>
          <w:cols w:equalWidth="0" w:num="1">
            <w:col w:w="11240"/>
          </w:cols>
          <w:pgMar w:left="320" w:top="1225" w:right="339" w:bottom="1440" w:gutter="0" w:footer="0" w:header="0"/>
        </w:sectPr>
      </w:pPr>
    </w:p>
    <w:bookmarkStart w:id="484" w:name="page485"/>
    <w:bookmarkEnd w:id="484"/>
    <w:p>
      <w:pPr>
        <w:spacing w:after="0" w:line="21" w:lineRule="exact"/>
        <w:rPr>
          <w:sz w:val="20"/>
          <w:szCs w:val="20"/>
          <w:color w:val="auto"/>
        </w:rPr>
      </w:pPr>
    </w:p>
    <w:p>
      <w:pPr>
        <w:jc w:val="both"/>
        <w:ind w:firstLine="634"/>
        <w:spacing w:after="0" w:line="242" w:lineRule="auto"/>
        <w:tabs>
          <w:tab w:leader="none" w:pos="1254"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each Letter of Credit shall be further subject to the conditions and limitations applicable to amounts of advances set forth in Section 2.04 and except as otherwise provided in clause (b) above, the procedures for the issuance of each Letter of Credit shall be the same as the procedures applicable to the making of advances as set forth in the first sentence of Section 2.05.</w:t>
      </w:r>
    </w:p>
    <w:p>
      <w:pPr>
        <w:spacing w:after="0" w:line="142" w:lineRule="exact"/>
        <w:rPr>
          <w:rFonts w:ascii="Times New Roman" w:cs="Times New Roman" w:eastAsia="Times New Roman" w:hAnsi="Times New Roman"/>
          <w:sz w:val="20"/>
          <w:szCs w:val="20"/>
          <w:color w:val="auto"/>
        </w:rPr>
      </w:pPr>
    </w:p>
    <w:p>
      <w:pPr>
        <w:ind w:firstLine="634"/>
        <w:spacing w:after="0" w:line="241" w:lineRule="auto"/>
        <w:tabs>
          <w:tab w:leader="none" w:pos="1253"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Fronting Bank’s issuance of each Letter of Credit shall be subject to Borrower’s satisfaction of all conditions precedent to its entitlement to an advance of proceeds of the Loans.</w:t>
      </w:r>
    </w:p>
    <w:p>
      <w:pPr>
        <w:spacing w:after="0" w:line="143" w:lineRule="exact"/>
        <w:rPr>
          <w:rFonts w:ascii="Times New Roman" w:cs="Times New Roman" w:eastAsia="Times New Roman" w:hAnsi="Times New Roman"/>
          <w:sz w:val="21"/>
          <w:szCs w:val="21"/>
          <w:color w:val="auto"/>
        </w:rPr>
      </w:pPr>
    </w:p>
    <w:p>
      <w:pPr>
        <w:jc w:val="both"/>
        <w:ind w:firstLine="634"/>
        <w:spacing w:after="0" w:line="213" w:lineRule="auto"/>
        <w:tabs>
          <w:tab w:leader="none" w:pos="1254"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Letter of Credit shall (i) unless approved by the Administrative Agent and the applicable Fronting Bank, expire no later than the earlier of (x) fourteen (14) days prior to the Maturity Date or (y) one (1) year after the date of its issuance (without regard to any automatic renewal provisions thereof), and (ii) be in a minimum amount of One Hundred Thousand Dollars ($100,000), or such lesser amount approved by the Fronting Bank. In no event shall a Letter of Credit expire later than the first anniversary of the Maturity Date. Notwithstanding the foregoing, in the event that, with the approval of the Administrative Agent and the Fronting Bank, any Letters of Credit are issued and outstanding on the date that is fourteen (14) days prior to the Maturity Date, Borrower shall deliver to Administrative Agent on such date by wire transfer of immediately available funds a cash deposit in the amount of such Letters of Credit in accordance with the provisions of Section 2.17(i). Such funds shall be held by Administrative Agent and applied to repay the amount of each drawing under such Letters of Credit on or after the Maturity Date, if applicable. Such funds, with any interest earned thereon, will be returned to Borrower (and may be returned from time to time with respect to any applicable Letter of Credit) on the earlier of (a) the date that the applicable Letter of Credit or Letters of Credit expire in accordance with their terms; and (b) the date that the applicable Letter of Credit or Letters of Credit are cancelled.</w:t>
      </w:r>
    </w:p>
    <w:p>
      <w:pPr>
        <w:spacing w:after="0" w:line="152" w:lineRule="exact"/>
        <w:rPr>
          <w:rFonts w:ascii="Times New Roman" w:cs="Times New Roman" w:eastAsia="Times New Roman" w:hAnsi="Times New Roman"/>
          <w:sz w:val="21"/>
          <w:szCs w:val="21"/>
          <w:color w:val="auto"/>
        </w:rPr>
      </w:pPr>
    </w:p>
    <w:p>
      <w:pPr>
        <w:jc w:val="both"/>
        <w:ind w:firstLine="634"/>
        <w:spacing w:after="0" w:line="229" w:lineRule="auto"/>
        <w:tabs>
          <w:tab w:leader="none" w:pos="1257"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and as a further condition to the issuance of, each Letter of Credit, Borrower shall execute and deliver to the Fronting Bank an application for the Letter of Credit in such form, and together with such other documents, opinions and assurances, as the Fronting Bank shall reasonably require.</w:t>
      </w:r>
    </w:p>
    <w:p>
      <w:pPr>
        <w:spacing w:after="0" w:line="147" w:lineRule="exact"/>
        <w:rPr>
          <w:rFonts w:ascii="Times New Roman" w:cs="Times New Roman" w:eastAsia="Times New Roman" w:hAnsi="Times New Roman"/>
          <w:sz w:val="21"/>
          <w:szCs w:val="21"/>
          <w:color w:val="auto"/>
        </w:rPr>
      </w:pPr>
    </w:p>
    <w:p>
      <w:pPr>
        <w:jc w:val="both"/>
        <w:ind w:firstLine="634"/>
        <w:spacing w:after="0" w:line="213" w:lineRule="auto"/>
        <w:tabs>
          <w:tab w:leader="none" w:pos="1253"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each Letter of Credit, Borrower hereby covenants to pay (i) to Administrative Agent, quarterly in arrears (on the fifteenth day of the month following the end of each calendar quarter following the issuance of such Letter of Credit), a fee, payable to Administrative Agent for the account of the Banks, computed daily (calculated on the basis of a year of three hundred and sixty (360) days for the actual number of days elapsed) on the face amount of such Letter of Credit issued and outstanding at a rate per annum equal to the “Banks’ L/C Fee Rate” (as hereinafter defined) and (ii) to the Fronting Bank, payable quarterly in arrears (on the fifteenth day of the month following the end of each calendar quarter), a fee, payable to the Fronting Bank for its own account, computed daily (calculated on the basis of a year of three hundred and sixty (360) days for the actual number of days elapsed) on the amount of such Letter of Credit issued and outstanding at a rate per annum equal to 0.125%. Administrative Agent shall have no responsibility for the collection of the fee for any Letter of Credit that is payable to the Fronting Bank. For purposes of this Agreement, the “Banks’ L/C Fee Rate” shall mean, provided no Event of Default has occurred and is continuing, a rate per annum (calculated on the basis of a year of three hundred and sixty (360) days for the actual number of days elapsed) equal to the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ectPr>
          <w:pgSz w:w="11900" w:h="16838" w:orient="portrait"/>
          <w:cols w:equalWidth="0" w:num="1">
            <w:col w:w="11240"/>
          </w:cols>
          <w:pgMar w:left="320" w:top="1440" w:right="339" w:bottom="1440" w:gutter="0" w:footer="0" w:header="0"/>
        </w:sectPr>
      </w:pPr>
    </w:p>
    <w:bookmarkStart w:id="485" w:name="page486"/>
    <w:bookmarkEnd w:id="485"/>
    <w:p>
      <w:pPr>
        <w:jc w:val="both"/>
        <w:spacing w:after="0" w:line="221" w:lineRule="auto"/>
        <w:rPr>
          <w:sz w:val="20"/>
          <w:szCs w:val="20"/>
          <w:color w:val="auto"/>
        </w:rPr>
      </w:pPr>
      <w:r>
        <w:rPr>
          <w:rFonts w:ascii="Times New Roman" w:cs="Times New Roman" w:eastAsia="Times New Roman" w:hAnsi="Times New Roman"/>
          <w:sz w:val="21"/>
          <w:szCs w:val="21"/>
          <w:color w:val="auto"/>
        </w:rPr>
        <w:t>Applicable Margin for Term Benchmark Loans minus 0.125% and, in the event an Event of Default has occurred and is continuing, a rate per annum (calculated on the basis of a year of three hundred and sixty (360) days for the actual number of days elapsed) equal to 3%. It is understood and agreed that the last installment of the fees provided for in this paragraph (g) with respect to any particular Letter of Credit shall be due and payable on the fifteenth day of the month following the end of the calendar quarter of the surrender or cancellation, of such Letter of Credit.</w:t>
      </w:r>
    </w:p>
    <w:p>
      <w:pPr>
        <w:spacing w:after="0" w:line="146" w:lineRule="exact"/>
        <w:rPr>
          <w:sz w:val="20"/>
          <w:szCs w:val="20"/>
          <w:color w:val="auto"/>
        </w:rPr>
      </w:pPr>
    </w:p>
    <w:p>
      <w:pPr>
        <w:jc w:val="both"/>
        <w:ind w:firstLine="634"/>
        <w:spacing w:after="0" w:line="212" w:lineRule="auto"/>
        <w:tabs>
          <w:tab w:leader="none" w:pos="1253"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Fronting Bank shall promptly notify Administrative Agent of any drawing under a Letter of Credit issued by such Fronting Bank. The parties hereto acknowledge and agree that, immediately upon notice from Administrative Agent of any drawing under a Letter of Credit, each Bank shall, notwithstanding the existence of a Default or Event of Default or the non-satisfaction of any conditions precedent to the making of an advance of the Loans, advance proceeds of its Ratable Loan as a Base Rate Loan, in an amount equal to its Pro Rata Share of such drawing, which advance shall be made to Administrative Agent for disbursement to the Fronting Bank issuing such Letter of Credit to reimburse the Fronting Bank, for its own account, for such drawing, all in satisfaction of Borrower’s obligation to reimburse such drawing. Each of the Banks further acknowledges that its obligation to fund its Pro Rata Share of drawings under Letters of Credit as aforesaid shall survive the Banks’ termination of this Agreement or enforcement of remedies hereunder or under the other Loan Documents. If any Ratable Loan cannot for any reason be made on the date otherwise required above (including, without limitation, as a result of the commencement of a proceeding under any applicable bankruptcy law with respect to Borrower), then Borrower shall immediately reimburse such drawing by paying to the Administrative Agent the amount of such drawing and each of the Banks shall purchase (on the date such Ratable Loan would otherwise have been made) from the Fronting Bank a participation interest in any unreimbursed drawing in an amount equal to its Pro Rata Share of such unreimbursed drawing.</w:t>
      </w:r>
    </w:p>
    <w:p>
      <w:pPr>
        <w:spacing w:after="0" w:line="157" w:lineRule="exact"/>
        <w:rPr>
          <w:rFonts w:ascii="Times New Roman" w:cs="Times New Roman" w:eastAsia="Times New Roman" w:hAnsi="Times New Roman"/>
          <w:sz w:val="21"/>
          <w:szCs w:val="21"/>
          <w:color w:val="auto"/>
        </w:rPr>
      </w:pPr>
    </w:p>
    <w:p>
      <w:pPr>
        <w:jc w:val="both"/>
        <w:ind w:firstLine="634"/>
        <w:spacing w:after="0" w:line="216" w:lineRule="auto"/>
        <w:tabs>
          <w:tab w:leader="none" w:pos="1246"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agrees, upon and during the continuance of an Event of Default and at the request of Administrative Agent or the Required Banks (or automatically upon an Event of Default under Section 9.01(5)), (x) to deposit with Administrative Agent cash collateral in the amount of all the outstanding Letters of Credit, which cash collateral is hereby pledged and shall be held by Administrative Agent for the benefit of the Banks and the Fronting Banks in an account as security for Borrower’s obligations in connection with the Letters of Credit and (y) to execute and deliver to Administrative Agent such documents as Administrative Agent requests to confirm and perfect the assignment of such cash collateral and such account to Administrative Agent for the benefit of the Banks. Any such cash collateral deposited with Administrative Agent shall be returned immediately to Borrower upon the cure of such Event of Default.</w:t>
      </w:r>
    </w:p>
    <w:p>
      <w:pPr>
        <w:spacing w:after="0" w:line="147" w:lineRule="exact"/>
        <w:rPr>
          <w:rFonts w:ascii="Times New Roman" w:cs="Times New Roman" w:eastAsia="Times New Roman" w:hAnsi="Times New Roman"/>
          <w:sz w:val="21"/>
          <w:szCs w:val="21"/>
          <w:color w:val="auto"/>
        </w:rPr>
      </w:pPr>
    </w:p>
    <w:p>
      <w:pPr>
        <w:jc w:val="both"/>
        <w:ind w:firstLine="634"/>
        <w:spacing w:after="0" w:line="224" w:lineRule="auto"/>
        <w:tabs>
          <w:tab w:leader="none" w:pos="1246"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It is hereby acknowledged and agreed by the Borrower, the Administrative Agent and all the Banks party hereto that on the Closing Date, the letters of credit previously issued by Bank of America, N.A., JPMorgan Chase Bank, N.A. and/or Wells Fargo Bank, N.A. as “Fronting Bank” under the Existing 2022 Credit Agreement and listed on </w:t>
      </w:r>
      <w:r>
        <w:rPr>
          <w:rFonts w:ascii="Times New Roman" w:cs="Times New Roman" w:eastAsia="Times New Roman" w:hAnsi="Times New Roman"/>
          <w:sz w:val="21"/>
          <w:szCs w:val="21"/>
          <w:u w:val="single" w:color="auto"/>
          <w:color w:val="auto"/>
        </w:rPr>
        <w:t>Schedule 2.17(j)</w:t>
      </w:r>
      <w:r>
        <w:rPr>
          <w:rFonts w:ascii="Times New Roman" w:cs="Times New Roman" w:eastAsia="Times New Roman" w:hAnsi="Times New Roman"/>
          <w:sz w:val="21"/>
          <w:szCs w:val="21"/>
          <w:color w:val="auto"/>
        </w:rPr>
        <w:t xml:space="preserve"> attached hereto shall be transferred to this Agreement and shall be deemed to be Letters of Credit hereunder.</w:t>
      </w:r>
    </w:p>
    <w:p>
      <w:pPr>
        <w:spacing w:after="0" w:line="146" w:lineRule="exact"/>
        <w:rPr>
          <w:rFonts w:ascii="Times New Roman" w:cs="Times New Roman" w:eastAsia="Times New Roman" w:hAnsi="Times New Roman"/>
          <w:sz w:val="21"/>
          <w:szCs w:val="21"/>
          <w:color w:val="auto"/>
        </w:rPr>
      </w:pPr>
    </w:p>
    <w:p>
      <w:pPr>
        <w:jc w:val="both"/>
        <w:ind w:firstLine="634"/>
        <w:spacing w:after="0" w:line="229" w:lineRule="auto"/>
        <w:tabs>
          <w:tab w:leader="none" w:pos="1253"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Fronting Bank may be replaced at any time by written agreement in a form reasonably satisfactory to the Administrative Agent among the Borrower, the Administrative Agent, the replaced Fronting Bank and the successor Fronting Bank. In addition, the Borrower, by written agreement in a form reasonably satisfactory to the Administrative Agent among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ectPr>
          <w:pgSz w:w="11900" w:h="16838" w:orient="portrait"/>
          <w:cols w:equalWidth="0" w:num="1">
            <w:col w:w="11240"/>
          </w:cols>
          <w:pgMar w:left="320" w:top="1225" w:right="339" w:bottom="1440" w:gutter="0" w:footer="0" w:header="0"/>
        </w:sectPr>
      </w:pPr>
    </w:p>
    <w:bookmarkStart w:id="486" w:name="page487"/>
    <w:bookmarkEnd w:id="486"/>
    <w:p>
      <w:pPr>
        <w:jc w:val="both"/>
        <w:spacing w:after="0" w:line="210" w:lineRule="auto"/>
        <w:rPr>
          <w:sz w:val="20"/>
          <w:szCs w:val="20"/>
          <w:color w:val="auto"/>
        </w:rPr>
      </w:pPr>
      <w:r>
        <w:rPr>
          <w:rFonts w:ascii="Times New Roman" w:cs="Times New Roman" w:eastAsia="Times New Roman" w:hAnsi="Times New Roman"/>
          <w:sz w:val="21"/>
          <w:szCs w:val="21"/>
          <w:color w:val="auto"/>
        </w:rPr>
        <w:t>Borrower, Administrative Agent and a Bank delivered to Administrative Agent, may designate such Bank as an additional Fronting Bank with such Letter of Credit Commitment as may be agreed on between such Bank and the Borrower provided that the sum of (x) all Letter of Credit Commitments plus (y) the aggregate undrawn amount of all outstanding Letters of Credit at such time plus (z) the aggregate amount of all drawings under Letters of Credit that have not yet been reimbursed by or on behalf of the Borrower (including, for clarity, by means of advances of Loans pursuant to this Agreement) shall not exceed $200,000,000 (and the Letter of Credit Commitment of each other Fronting Bank shall be reduced pro rata by the amount of the additional Fronting Bank’s Letter of Credit Commitment). The Administrative Agent shall notify the Banks of any such replacement of the Fronting Bank and any additional Fronting Bank. At the time any such replacement of a Fronting Bank shall become effective, the Borrower shall pay all unpaid fees accrued for the account of the replaced Fronting Bank pursuant to Section 2.17(g). From and after the effective date of any such replacement or addition of a Fronting Bank, (x) the successor or additional (as applicable) Fronting Bank shall have all the rights and obligations of a Fronting Bank under this Agreement with respect to Letters of Credit to be issued thereafter and</w:t>
      </w:r>
    </w:p>
    <w:p>
      <w:pPr>
        <w:spacing w:after="0" w:line="5" w:lineRule="exact"/>
        <w:rPr>
          <w:sz w:val="20"/>
          <w:szCs w:val="20"/>
          <w:color w:val="auto"/>
        </w:rPr>
      </w:pPr>
    </w:p>
    <w:p>
      <w:pPr>
        <w:jc w:val="both"/>
        <w:ind w:firstLine="5"/>
        <w:spacing w:after="0" w:line="213" w:lineRule="auto"/>
        <w:tabs>
          <w:tab w:leader="none" w:pos="309"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references herein to the term “Fronting Bank” shall be deemed to refer to such successor or additional Fronting Bank, or to any previous Fronting Bank, or to such successor or additional, and all previous, Fronting Banks and all other Fronting Banks, as the context shall require. After the replacement of a Fronting Bank hereunder, the replaced Fronting Bank shall remain a party hereto and shall continue to have all the rights and obligations of a Fronting Bank under this Agreement with respect to Letters of Credit issued by it prior to such replacement, but shall not be required to issue additional Letters of Credit. Subject to the appointment and acceptance by Administrative Agent and Borrower of a successor Fronting Bank, any Fronting Bank may resign as a Fronting Bank at any time upon thirty days’ prior written notice to the Administrative Agent, the Borrower and the Banks, in which case, such Fronting Bank shall be replaced as provided above.</w:t>
      </w:r>
    </w:p>
    <w:p>
      <w:pPr>
        <w:spacing w:after="0" w:line="147" w:lineRule="exact"/>
        <w:rPr>
          <w:rFonts w:ascii="Times New Roman" w:cs="Times New Roman" w:eastAsia="Times New Roman" w:hAnsi="Times New Roman"/>
          <w:sz w:val="21"/>
          <w:szCs w:val="21"/>
          <w:color w:val="auto"/>
        </w:rPr>
      </w:pPr>
    </w:p>
    <w:p>
      <w:pPr>
        <w:jc w:val="both"/>
        <w:ind w:firstLine="634"/>
        <w:spacing w:after="0" w:line="212" w:lineRule="auto"/>
        <w:tabs>
          <w:tab w:leader="none" w:pos="1246" w:val="left"/>
        </w:tabs>
        <w:numPr>
          <w:ilvl w:val="1"/>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Borrower’s obligation to reimburse drawings under Letters of Credit as provided in paragraph (h)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Fronting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Banks nor the Fronting Bank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Fronting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be construed to excuse the Fronting Bank from liability to the Borrower to the extent of any direct damages (as opposed to special, indirect,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ectPr>
          <w:pgSz w:w="11900" w:h="16838" w:orient="portrait"/>
          <w:cols w:equalWidth="0" w:num="1">
            <w:col w:w="11240"/>
          </w:cols>
          <w:pgMar w:left="320" w:top="1225" w:right="339" w:bottom="1440" w:gutter="0" w:footer="0" w:header="0"/>
        </w:sectPr>
      </w:pPr>
    </w:p>
    <w:bookmarkStart w:id="487" w:name="page488"/>
    <w:bookmarkEnd w:id="487"/>
    <w:p>
      <w:pPr>
        <w:jc w:val="both"/>
        <w:spacing w:after="0" w:line="214" w:lineRule="auto"/>
        <w:rPr>
          <w:sz w:val="20"/>
          <w:szCs w:val="20"/>
          <w:color w:val="auto"/>
        </w:rPr>
      </w:pPr>
      <w:r>
        <w:rPr>
          <w:rFonts w:ascii="Times New Roman" w:cs="Times New Roman" w:eastAsia="Times New Roman" w:hAnsi="Times New Roman"/>
          <w:sz w:val="21"/>
          <w:szCs w:val="21"/>
          <w:color w:val="auto"/>
        </w:rPr>
        <w:t>consequential or punitive damages, claims in respect of which are hereby waived by the Borrower to the extent permitted by applicable law) suffered by the Borrower that are caused by the Fronting Bank’s failure to exercise care when determining whether drafts and other documents presented under a Letter of Credit comply with the terms thereof. The parties hereto expressly agree that, in the absence of gross negligence or willful misconduct on the part of the Fronting Bank (as finally determined by a court of competent jurisdiction), the Fronting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Fronting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Without limiting the foregoing, each Fronting Bank may:</w:t>
      </w:r>
    </w:p>
    <w:p>
      <w:pPr>
        <w:spacing w:after="0" w:line="200" w:lineRule="exact"/>
        <w:rPr>
          <w:sz w:val="20"/>
          <w:szCs w:val="20"/>
          <w:color w:val="auto"/>
        </w:rPr>
      </w:pPr>
    </w:p>
    <w:p>
      <w:pPr>
        <w:spacing w:after="0" w:line="279" w:lineRule="exact"/>
        <w:rPr>
          <w:sz w:val="20"/>
          <w:szCs w:val="20"/>
          <w:color w:val="auto"/>
        </w:rPr>
      </w:pPr>
    </w:p>
    <w:p>
      <w:pPr>
        <w:ind w:left="1260" w:right="500" w:hanging="626"/>
        <w:spacing w:after="0" w:line="306" w:lineRule="auto"/>
        <w:tabs>
          <w:tab w:leader="none" w:pos="1248"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replace a purportedly lost, stolen, or destroyed original Letter of Credit or amendment thereto with a replacement marked as such or waive a requirement for its presentation;</w:t>
      </w:r>
    </w:p>
    <w:p>
      <w:pPr>
        <w:spacing w:after="0" w:line="39" w:lineRule="exact"/>
        <w:rPr>
          <w:rFonts w:ascii="Times New Roman" w:cs="Times New Roman" w:eastAsia="Times New Roman" w:hAnsi="Times New Roman"/>
          <w:sz w:val="21"/>
          <w:szCs w:val="21"/>
          <w:color w:val="auto"/>
        </w:rPr>
      </w:pPr>
    </w:p>
    <w:p>
      <w:pPr>
        <w:ind w:left="1260" w:right="220" w:hanging="626"/>
        <w:spacing w:after="0" w:line="288" w:lineRule="auto"/>
        <w:tabs>
          <w:tab w:leader="none" w:pos="1254"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accept documents that appear on their face to be in substantial compliance with a Letter of Credit without responsibility for further investigation, regardless of any notice or information to the contrary, and make payment upon presentation of documents that appear on their face to be in substantial compliance with such Letter of Credit (even if not in strict compliance with such Letter of Credit) and without regard to any non-documentary condition in such Letter of Credit; and</w:t>
      </w:r>
    </w:p>
    <w:p>
      <w:pPr>
        <w:spacing w:after="0" w:line="70" w:lineRule="exact"/>
        <w:rPr>
          <w:rFonts w:ascii="Times New Roman" w:cs="Times New Roman" w:eastAsia="Times New Roman" w:hAnsi="Times New Roman"/>
          <w:sz w:val="21"/>
          <w:szCs w:val="21"/>
          <w:color w:val="auto"/>
        </w:rPr>
      </w:pPr>
    </w:p>
    <w:p>
      <w:pPr>
        <w:ind w:left="1260" w:right="80" w:hanging="626"/>
        <w:spacing w:after="0" w:line="306" w:lineRule="auto"/>
        <w:tabs>
          <w:tab w:leader="none" w:pos="1260"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its sole discretion decline to accept documents presented under a Letter of Credit and to make such payment if such documents are not in strict compliance with such Letter of Credit.</w:t>
      </w:r>
    </w:p>
    <w:p>
      <w:pPr>
        <w:spacing w:after="0" w:line="275"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This Section 2.17(l) shall establish the standard of care to be exercised by a Fronting Bank when determining whether drafts and other documents presented under a Letter of Credit comply with the terms thereof (and the parties hereto hereby waive, to the extent permitted by applicable Law, any standard of care stricter than the foregoing). Without limiting the foregoing, none of the Administrative Agent, the Banks, the Fronting Banks, or any Affiliates, directors, officers, employees, agents and advisors of any of the foregoing Persons shall have any liability or responsibility by reason of (x) any presentation that includes forged or fraudulent documents or that is otherwise affected by the fraudulent, bad faith, or illegal conduct of the beneficiary or any other Person, (y) a Fronting Bank declining to take up documents and make payment (A) against documents that are fraudulent or forged or for other reasons by which the Fronting Bank is entitled not to honor a Letter of Credit or (B) following the Borrower’s waiver of discrepancies with respect to such documents or request for honor of such documents, or (z) a Fronting Bank retaining proceeds of a Letter of Credit based on an apparently applicable attachment order, blocking regulation, or third-party claim notified to such Fronting Bank. No Fronting Bank shall be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1240"/>
          </w:cols>
          <w:pgMar w:left="320" w:top="1225" w:right="339" w:bottom="1440" w:gutter="0" w:footer="0" w:header="0"/>
        </w:sectPr>
      </w:pPr>
    </w:p>
    <w:bookmarkStart w:id="488" w:name="page489"/>
    <w:bookmarkEnd w:id="488"/>
    <w:p>
      <w:pPr>
        <w:jc w:val="both"/>
        <w:spacing w:after="0" w:line="255" w:lineRule="auto"/>
        <w:rPr>
          <w:sz w:val="20"/>
          <w:szCs w:val="20"/>
          <w:color w:val="auto"/>
        </w:rPr>
      </w:pPr>
      <w:r>
        <w:rPr>
          <w:rFonts w:ascii="Times New Roman" w:cs="Times New Roman" w:eastAsia="Times New Roman" w:hAnsi="Times New Roman"/>
          <w:sz w:val="21"/>
          <w:szCs w:val="21"/>
          <w:color w:val="auto"/>
        </w:rPr>
        <w:t>responsible to the Borrower for, and no Fronting Bank’s rights and remedies against the Borrower shall be impaired by, any action or inaction of such Fronting Bank required or permitted under any Law, order, or practice that is required or permitted to be applied to any Letter of Credit or this Agreement, including (I) the Laws or any order of a jurisdiction where such Fronting Bank or the beneficiary is located or (II) the practice stated in the International Standby Practices, International Chamber of Commerce Publication No. 590 (or such later version thereof as may be in effect at the applicable time),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spacing w:after="0" w:line="200"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Each Fronting Bank shall have all of the benefits and immunities (but not the obligations) provided to the Administrative Agent in Article X with respect to any acts taken or omissions suffered by such Fronting Bank in connection with Letters of Credit issued by it or proposed to be issued by it and all applications and other documents delivered pursuant to Section 2.17(f) pertaining to such Letters of Credit as fully as if the term “Administrative Agent” as used in Article X included such Fronting Bank with respect to such acts or omissions.</w:t>
      </w:r>
    </w:p>
    <w:p>
      <w:pPr>
        <w:spacing w:after="0" w:line="169" w:lineRule="exact"/>
        <w:rPr>
          <w:sz w:val="20"/>
          <w:szCs w:val="20"/>
          <w:color w:val="auto"/>
        </w:rPr>
      </w:pPr>
    </w:p>
    <w:p>
      <w:pPr>
        <w:jc w:val="both"/>
        <w:ind w:firstLine="634"/>
        <w:spacing w:after="0" w:line="214" w:lineRule="auto"/>
        <w:tabs>
          <w:tab w:leader="none" w:pos="1246" w:val="left"/>
        </w:tabs>
        <w:numPr>
          <w:ilvl w:val="0"/>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that a Letter of Credit issued or outstanding hereunder supports any obligations of, or is for the account of, a Subsidiary or Affiliate of the Borrower, or states that a Subsidiary or Affiliate of the Borrower is the “account party,” “applicant,” “customer,” “instructing party,” or the like of or for such Letter of Credit, and without derogating from any rights of the applicable Fronting Bank (whether arising by contract, at law, in equity or otherwise) against such Subsidiary or Affiliate in respect of such Letter of Credit, the Borrower (i) shall reimburse, indemnify and compensate the applicable Fronting Bank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or Affiliate in respect of such Letter of Credit. The Borrower hereby acknowledges that the issuance of such Letters of Credit for its Subsidiaries and Affiliates inures to the benefit of the Borrower, and that the Borrower’s business derives substantial benefits from the businesses of such Subsidiaries and Affiliates.</w:t>
      </w:r>
    </w:p>
    <w:p>
      <w:pPr>
        <w:spacing w:after="0" w:line="178"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The Borrower further agrees that (i) such Subsidiary has no rights against the Fronting Bank, the Administrative Agent, or any Bank, (ii) the Borrower is responsible for the obligations in respect of such Letter of Credit under the Loan Documents and any relevant application or reimbursement agreement, (iii) the Borrower has sole right to give instructions and make agreements with respect to the Letter of Credit and the disposition of documents related thereto, and (iv) the Borrower has all powers and rights in respect of any security arising in connection with the Letter of Credit and the transaction related thereto. The Borrower shall, at the request of the relevant Fronting Bank, cause such Subsidiary to execute and deliver an agreement confirming the immediately preceding sentence and acknowledging that such Subsidiary is bound thereby.</w:t>
      </w:r>
    </w:p>
    <w:p>
      <w:pPr>
        <w:spacing w:after="0" w:line="169"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2.18. </w:t>
      </w:r>
      <w:r>
        <w:rPr>
          <w:rFonts w:ascii="Times New Roman" w:cs="Times New Roman" w:eastAsia="Times New Roman" w:hAnsi="Times New Roman"/>
          <w:sz w:val="21"/>
          <w:szCs w:val="21"/>
          <w:u w:val="single" w:color="auto"/>
          <w:color w:val="auto"/>
        </w:rPr>
        <w:t>Extension Option</w:t>
      </w:r>
      <w:r>
        <w:rPr>
          <w:rFonts w:ascii="Times New Roman" w:cs="Times New Roman" w:eastAsia="Times New Roman" w:hAnsi="Times New Roman"/>
          <w:sz w:val="21"/>
          <w:szCs w:val="21"/>
          <w:color w:val="auto"/>
        </w:rPr>
        <w:t>. Borrower may extend the Maturity Date two (2) times only for a period of six (6) months per extension upon satisfaction of the following terms and conditions for each extension: (i) delivery by Borrower of a written notice to Administrative Agent (an “</w:t>
      </w:r>
      <w:r>
        <w:rPr>
          <w:rFonts w:ascii="Times New Roman" w:cs="Times New Roman" w:eastAsia="Times New Roman" w:hAnsi="Times New Roman"/>
          <w:sz w:val="21"/>
          <w:szCs w:val="21"/>
          <w:u w:val="single" w:color="auto"/>
          <w:color w:val="auto"/>
        </w:rPr>
        <w:t>Extension Notice</w:t>
      </w:r>
      <w:r>
        <w:rPr>
          <w:rFonts w:ascii="Times New Roman" w:cs="Times New Roman" w:eastAsia="Times New Roman" w:hAnsi="Times New Roman"/>
          <w:sz w:val="21"/>
          <w:szCs w:val="21"/>
          <w:color w:val="auto"/>
        </w:rPr>
        <w:t>”) on or before a date that is not more than 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ectPr>
          <w:pgSz w:w="11900" w:h="16838" w:orient="portrait"/>
          <w:cols w:equalWidth="0" w:num="1">
            <w:col w:w="11240"/>
          </w:cols>
          <w:pgMar w:left="320" w:top="1251" w:right="339" w:bottom="1440" w:gutter="0" w:footer="0" w:header="0"/>
        </w:sectPr>
      </w:pPr>
    </w:p>
    <w:bookmarkStart w:id="489" w:name="page490"/>
    <w:bookmarkEnd w:id="489"/>
    <w:p>
      <w:pPr>
        <w:jc w:val="both"/>
        <w:spacing w:after="0" w:line="214" w:lineRule="auto"/>
        <w:rPr>
          <w:sz w:val="20"/>
          <w:szCs w:val="20"/>
          <w:color w:val="auto"/>
        </w:rPr>
      </w:pPr>
      <w:r>
        <w:rPr>
          <w:rFonts w:ascii="Times New Roman" w:cs="Times New Roman" w:eastAsia="Times New Roman" w:hAnsi="Times New Roman"/>
          <w:sz w:val="21"/>
          <w:szCs w:val="21"/>
          <w:color w:val="auto"/>
        </w:rPr>
        <w:t>hundred twenty (120) days nor less than one (1) month prior to the then-scheduled Maturity Date, which Extension Notice Administrative Agent shall promptly deliver to the Banks, which Extension Notice shall include a certification dated as of the date of such Extension Notice signed by a duly authorized signatory of Borrower, stating, to the best of the certifying party’s knowledge, (x) all representations and warranties contained in this Agreement and in each of the other Loan Documents are true and correct on and as of the date of such Extension Notice (except in those cases where such representation or warranty expressly relates to an earlier date, in which case such representations and warranties were true and correct as of such date, and except for changes in factual circumstances not prohibited under the Loan Documents), and (y) no Event of Default has occurred and is continuing; (ii) no Event of Default shall have occurred and be continuing on the original Maturity Date (an “Extension Date”); and (iii) Borrower shall pay to Administrative Agent on or before such Extension Date a fee equal to 0.0625% of the Total Loan Commitment on such Extension Date for each extension, which fee shall be distributed by Administrative Agent pro rata to each of the Banks based on each Bank’s Pro Rata Share. Borrower’s delivery of an Extension Notice shall be irrevocable.</w:t>
      </w:r>
    </w:p>
    <w:p>
      <w:pPr>
        <w:spacing w:after="0" w:line="1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ARTICLE III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YIELD PROTECTION; ILLEGALITY; ETC.</w:t>
      </w:r>
    </w:p>
    <w:p>
      <w:pPr>
        <w:spacing w:after="0" w:line="178" w:lineRule="exact"/>
        <w:rPr>
          <w:sz w:val="20"/>
          <w:szCs w:val="20"/>
          <w:color w:val="auto"/>
        </w:rPr>
      </w:pPr>
    </w:p>
    <w:p>
      <w:pPr>
        <w:jc w:val="both"/>
        <w:ind w:firstLine="629"/>
        <w:spacing w:after="0" w:line="217" w:lineRule="auto"/>
        <w:rPr>
          <w:sz w:val="20"/>
          <w:szCs w:val="20"/>
          <w:color w:val="auto"/>
        </w:rPr>
      </w:pPr>
      <w:r>
        <w:rPr>
          <w:rFonts w:ascii="Times New Roman" w:cs="Times New Roman" w:eastAsia="Times New Roman" w:hAnsi="Times New Roman"/>
          <w:sz w:val="21"/>
          <w:szCs w:val="21"/>
          <w:color w:val="auto"/>
        </w:rPr>
        <w:t xml:space="preserve">SECTION 3.01. </w:t>
      </w:r>
      <w:r>
        <w:rPr>
          <w:rFonts w:ascii="Times New Roman" w:cs="Times New Roman" w:eastAsia="Times New Roman" w:hAnsi="Times New Roman"/>
          <w:sz w:val="21"/>
          <w:szCs w:val="21"/>
          <w:u w:val="single" w:color="auto"/>
          <w:color w:val="auto"/>
        </w:rPr>
        <w:t>Additional Costs.</w:t>
      </w:r>
      <w:r>
        <w:rPr>
          <w:rFonts w:ascii="Times New Roman" w:cs="Times New Roman" w:eastAsia="Times New Roman" w:hAnsi="Times New Roman"/>
          <w:sz w:val="21"/>
          <w:szCs w:val="21"/>
          <w:color w:val="auto"/>
        </w:rPr>
        <w:t xml:space="preserve"> Borrower shall pay directly to each Bank and Fronting Bank from time to time on demand such amounts as such Bank or Fronting Bank may reasonably determine to be necessary to compensate it for any increased costs which such Bank or Fronting Bank determines are attributable to its making or maintaining any Loan, or its obligation to issue, maintain or participate in any Letter of Credit, or its obligation to make or maintain any Loan, or its obligation to Convert any Loan hereunder, or any reduction in any amount receivable by such Bank or Fronting Bank hereunder in respect of its Loan(s) or such obligations (such increases in costs and reductions in amounts receivable being herein called “Additional Costs”), in each case resulting from any Regulatory Change which:</w:t>
      </w:r>
    </w:p>
    <w:p>
      <w:pPr>
        <w:spacing w:after="0" w:line="148" w:lineRule="exact"/>
        <w:rPr>
          <w:sz w:val="20"/>
          <w:szCs w:val="20"/>
          <w:color w:val="auto"/>
        </w:rPr>
      </w:pPr>
    </w:p>
    <w:p>
      <w:pPr>
        <w:jc w:val="both"/>
        <w:ind w:left="640" w:firstLine="622"/>
        <w:spacing w:after="0" w:line="229" w:lineRule="auto"/>
        <w:tabs>
          <w:tab w:leader="none" w:pos="1893" w:val="left"/>
        </w:tabs>
        <w:numPr>
          <w:ilvl w:val="0"/>
          <w:numId w:val="3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any Recipient to any Taxes (other than (A) Indemnified Taxes, and (B) Excluded Taxes) on its loans, loan principal, letters of credit, commitments, or other obligations, or its deposits, reserves, other liabilities or capital attributable thereto; or</w:t>
      </w:r>
    </w:p>
    <w:p>
      <w:pPr>
        <w:spacing w:after="0" w:line="147" w:lineRule="exact"/>
        <w:rPr>
          <w:rFonts w:ascii="Times New Roman" w:cs="Times New Roman" w:eastAsia="Times New Roman" w:hAnsi="Times New Roman"/>
          <w:sz w:val="21"/>
          <w:szCs w:val="21"/>
          <w:color w:val="auto"/>
        </w:rPr>
      </w:pPr>
    </w:p>
    <w:p>
      <w:pPr>
        <w:jc w:val="both"/>
        <w:ind w:left="640" w:firstLine="622"/>
        <w:spacing w:after="0" w:line="221" w:lineRule="auto"/>
        <w:tabs>
          <w:tab w:leader="none" w:pos="1893" w:val="left"/>
        </w:tabs>
        <w:numPr>
          <w:ilvl w:val="0"/>
          <w:numId w:val="3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to the extent any reserve requirement is taken into account in determining the Term SOFR Rate at the commencement of the applicable Interest Period) imposes or modifies any reserve, special deposit, liquidity, deposit insurance or assessment, minimum capital, capital ratio or similar requirements relating to any extensions of credit or other assets of, or any deposits with or other liabilities of, such Bank (including any Term Benchmark Loan or RFR Loan), or any commitment of such Bank (including such Bank’s Loan Commitment hereunder); or</w:t>
      </w:r>
    </w:p>
    <w:p>
      <w:pPr>
        <w:spacing w:after="0" w:line="145" w:lineRule="exact"/>
        <w:rPr>
          <w:rFonts w:ascii="Times New Roman" w:cs="Times New Roman" w:eastAsia="Times New Roman" w:hAnsi="Times New Roman"/>
          <w:sz w:val="21"/>
          <w:szCs w:val="21"/>
          <w:color w:val="auto"/>
        </w:rPr>
      </w:pPr>
    </w:p>
    <w:p>
      <w:pPr>
        <w:ind w:left="640" w:firstLine="622"/>
        <w:spacing w:after="0" w:line="241" w:lineRule="auto"/>
        <w:tabs>
          <w:tab w:leader="none" w:pos="1893" w:val="left"/>
        </w:tabs>
        <w:numPr>
          <w:ilvl w:val="0"/>
          <w:numId w:val="3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imposes any other condition, cost or expense (other than Taxes) affecting this Agreement or the Notes (or any of such extensions of credit or liabilities).</w:t>
      </w:r>
    </w:p>
    <w:p>
      <w:pPr>
        <w:spacing w:after="0" w:line="170" w:lineRule="exact"/>
        <w:rPr>
          <w:sz w:val="20"/>
          <w:szCs w:val="20"/>
          <w:color w:val="auto"/>
        </w:rPr>
      </w:pPr>
    </w:p>
    <w:p>
      <w:pPr>
        <w:ind w:firstLine="629"/>
        <w:spacing w:after="0" w:line="293" w:lineRule="auto"/>
        <w:rPr>
          <w:sz w:val="20"/>
          <w:szCs w:val="20"/>
          <w:color w:val="auto"/>
        </w:rPr>
      </w:pPr>
      <w:r>
        <w:rPr>
          <w:rFonts w:ascii="Times New Roman" w:cs="Times New Roman" w:eastAsia="Times New Roman" w:hAnsi="Times New Roman"/>
          <w:sz w:val="21"/>
          <w:szCs w:val="21"/>
          <w:color w:val="auto"/>
        </w:rPr>
        <w:t>Without limiting the effect of the provisions of the first paragraph of this Section, in the event that, by reason of any Regulatory Change, any Bank becomes subject to restrictions on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57</w:t>
      </w:r>
    </w:p>
    <w:p>
      <w:pPr>
        <w:sectPr>
          <w:pgSz w:w="11900" w:h="16838" w:orient="portrait"/>
          <w:cols w:equalWidth="0" w:num="1">
            <w:col w:w="11240"/>
          </w:cols>
          <w:pgMar w:left="320" w:top="1225" w:right="339" w:bottom="1440" w:gutter="0" w:footer="0" w:header="0"/>
        </w:sectPr>
      </w:pPr>
    </w:p>
    <w:bookmarkStart w:id="490" w:name="page491"/>
    <w:bookmarkEnd w:id="490"/>
    <w:p>
      <w:pPr>
        <w:jc w:val="both"/>
        <w:spacing w:after="0" w:line="229" w:lineRule="auto"/>
        <w:rPr>
          <w:sz w:val="20"/>
          <w:szCs w:val="20"/>
          <w:color w:val="auto"/>
        </w:rPr>
      </w:pPr>
      <w:r>
        <w:rPr>
          <w:rFonts w:ascii="Times New Roman" w:cs="Times New Roman" w:eastAsia="Times New Roman" w:hAnsi="Times New Roman"/>
          <w:sz w:val="21"/>
          <w:szCs w:val="21"/>
          <w:color w:val="auto"/>
        </w:rPr>
        <w:t>amount of such a category of liabilities or assets which it may hold, then, if such Bank so elects by notice to Borrower (with a copy to Administrative Agent), the obligation of such Bank to permit Elections of, to Continue, or to Convert Loans shall be suspended (in which case the provisions of Section 3.04 shall be applicable) until such Regulatory Change ceases to be in effect.</w:t>
      </w:r>
    </w:p>
    <w:p>
      <w:pPr>
        <w:spacing w:after="0" w:line="147" w:lineRule="exact"/>
        <w:rPr>
          <w:sz w:val="20"/>
          <w:szCs w:val="20"/>
          <w:color w:val="auto"/>
        </w:rPr>
      </w:pPr>
    </w:p>
    <w:p>
      <w:pPr>
        <w:jc w:val="both"/>
        <w:ind w:firstLine="629"/>
        <w:spacing w:after="0" w:line="241" w:lineRule="auto"/>
        <w:rPr>
          <w:sz w:val="20"/>
          <w:szCs w:val="20"/>
          <w:color w:val="auto"/>
        </w:rPr>
      </w:pPr>
      <w:r>
        <w:rPr>
          <w:rFonts w:ascii="Times New Roman" w:cs="Times New Roman" w:eastAsia="Times New Roman" w:hAnsi="Times New Roman"/>
          <w:sz w:val="21"/>
          <w:szCs w:val="21"/>
          <w:color w:val="auto"/>
        </w:rPr>
        <w:t>The obligations of Borrower under this Section shall survive the repayment of all amounts due under or in connection with any of the Loan Documents and the termination of the Loan Commitments in respect of the period prior to such termination.</w:t>
      </w:r>
    </w:p>
    <w:p>
      <w:pPr>
        <w:spacing w:after="0" w:line="170"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Determinations and allocations by a Bank for purposes of this Section of the effect of any Regulatory Change pursuant to the first or second paragraph of this Section, on its costs or rate of return of making or maintaining its Loan or portions thereof or on amounts receivable by it in respect of its Loan or portions thereof, and the amounts required to compensate such Bank under this Section, shall be included in a calculation of such amounts given to Borrower and shall be conclusive absent manifest error.</w:t>
      </w:r>
    </w:p>
    <w:p>
      <w:pPr>
        <w:spacing w:after="0" w:line="164"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Notwithstanding anything contained in this Article III to the contrary, Borrower shall only be obligated to pay any amounts due under this Section 3.01 or under Section 3.06 if, and a Bank shall not exercise any right under this Section 3.01 or Sections 3.02, 3.03, 3.04 or 3.06 unless, the applicable Bank has certified that it is generally imposing a similar charge on, or otherwise similarly enforcing its agreements with, its other similarly situated borrowers. In addition, Borrower shall not be obligated to compensate any Bank under any such provision for any amounts attributable to any period which is more than nine (9) months prior to such Bank’s delivery of notice thereof to Borrower (except that if a Regulatory Change is retroactive, then such period shall be extended to include the period of retroactive effect, provided that such Bank delivered notice thereof to Borrower no later than nine (9) months after the date on which the Regulatory Change with such retroactive effect was made).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For purposes of this Section 3.01, the term “Bank” includes any Fronting Bank.</w:t>
      </w:r>
    </w:p>
    <w:p>
      <w:pPr>
        <w:spacing w:after="0" w:line="183"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3.02.</w:t>
      </w:r>
      <w:r>
        <w:rPr>
          <w:sz w:val="20"/>
          <w:szCs w:val="20"/>
          <w:color w:val="auto"/>
        </w:rPr>
        <w:tab/>
      </w:r>
      <w:r>
        <w:rPr>
          <w:rFonts w:ascii="Times New Roman" w:cs="Times New Roman" w:eastAsia="Times New Roman" w:hAnsi="Times New Roman"/>
          <w:sz w:val="20"/>
          <w:szCs w:val="20"/>
          <w:u w:val="single" w:color="auto"/>
          <w:color w:val="auto"/>
        </w:rPr>
        <w:t>Alternate Rate of Interest</w:t>
      </w:r>
      <w:r>
        <w:rPr>
          <w:rFonts w:ascii="Times New Roman" w:cs="Times New Roman" w:eastAsia="Times New Roman" w:hAnsi="Times New Roman"/>
          <w:sz w:val="20"/>
          <w:szCs w:val="20"/>
          <w:color w:val="auto"/>
        </w:rPr>
        <w:t>. (a) Subject to clauses (b), (c), (d), (e) and (f) of this Section 3.02, if:</w:t>
      </w:r>
    </w:p>
    <w:p>
      <w:pPr>
        <w:jc w:val="both"/>
        <w:ind w:left="640" w:firstLine="622"/>
        <w:spacing w:after="0" w:line="216" w:lineRule="auto"/>
        <w:tabs>
          <w:tab w:leader="none" w:pos="1885"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determines (which determination shall be conclusive absent manifest error) (A) prior to the commencement of any Interest Period for a Term Benchmark Loan, that adequate and reasonable means do not exist for ascertaining the Term SOFR Rate (including because the Term SOFR Reference Rate is not available or published on a current basis), for such Interest Period or (B) at any time, that adequate and reasonable means do not exist for ascertaining the applicable Daily Effective SOFR Rate; or</w:t>
      </w:r>
    </w:p>
    <w:p>
      <w:pPr>
        <w:spacing w:after="0" w:line="146" w:lineRule="exact"/>
        <w:rPr>
          <w:rFonts w:ascii="Times New Roman" w:cs="Times New Roman" w:eastAsia="Times New Roman" w:hAnsi="Times New Roman"/>
          <w:sz w:val="21"/>
          <w:szCs w:val="21"/>
          <w:color w:val="auto"/>
        </w:rPr>
      </w:pPr>
    </w:p>
    <w:p>
      <w:pPr>
        <w:jc w:val="both"/>
        <w:ind w:left="640" w:firstLine="622"/>
        <w:spacing w:after="0" w:line="221" w:lineRule="auto"/>
        <w:tabs>
          <w:tab w:leader="none" w:pos="1891" w:val="left"/>
        </w:tabs>
        <w:numPr>
          <w:ilvl w:val="0"/>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is advised by the Required Banks that (A) prior to the commencement of any Interest Period for a Term Benchmark Loan, the Term SOFR Rate for such Interest Period will not adequately and fairly reflect the cost to such Banks (or Bank) of making or maintaining their Loans (or its Loan) for such Interest Period or (B) at any time, the Daily Effective SOFR Rate will not adequately and fairly reflect the cost to such Banks (or Bank) of making or maintaining their Loans (or its Loan);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58</w:t>
      </w:r>
    </w:p>
    <w:p>
      <w:pPr>
        <w:sectPr>
          <w:pgSz w:w="11900" w:h="16838" w:orient="portrait"/>
          <w:cols w:equalWidth="0" w:num="1">
            <w:col w:w="11240"/>
          </w:cols>
          <w:pgMar w:left="320" w:top="1225" w:right="339" w:bottom="1440" w:gutter="0" w:footer="0" w:header="0"/>
        </w:sectPr>
      </w:pPr>
    </w:p>
    <w:bookmarkStart w:id="491" w:name="page492"/>
    <w:bookmarkEnd w:id="491"/>
    <w:p>
      <w:pPr>
        <w:spacing w:after="0" w:line="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then the Administrative Agent shall give notice thereof to the Borrower and the Banks by telephone, telecopy or electronic mail as promptly as practicable thereafter and, until (x) the Administrative Agent notifies the Borrower and the Banks that the circumstances giving rise to such notice no longer exist with respect to the relevant Benchmark and (y) the Borrower delivers a new notice of Election, Conversion or Continuation in accordance with the terms of Section 2.14 or a new borrowing request in accordance with the terms of Section 2.05, (1) any notice of Election, Conversion or Continuation that requests the conversion of any Loan to, or continuation of any Loan as, a Term Benchmark Loan and any borrowing request that requests a Term Benchmark Loan shall instead be deemed to be a notice of Election, Conversion or Continuation or a borrowing request, as applicable, for (x) an RFR Loan so long as the Daily Effective SOFR Rate is not also the subject of Section 3.02(a)(i) or (ii) above or (y) a Base Rate Loan if the Daily Effective SOFR Rate also is the subject of Section 3.02(a)(i)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and (2) any borrowing request that requests an RFR Loan shall instead be deemed to be a borrowing request, as applicable, for a Base Rate Loan; provided that if the circumstances giving rise to such notice affect only one Type of Loan, then all other Types of Loans shall be permitted. Furthermore, if any Term Benchmark Loan or RFR Loan is outstanding on the date of the Borrower’s receipt of the notice from the Administrative Agent referred to in this Section 3.02(a) with respect to a Relevant Rate applicable to such Term Benchmark Loan or RFR Loan, then until (x) the Administrative Agent notifies the Borrower and the Banks that the circumstances giving rise to such notice no longer exist with respect to the relevant Benchmark and (y) the Borrower delivers a new notice of Election, Conversion or Continuation in accordance with the terms of Section 2.14 or a new borrowing request in accordance with the terms of Section 2.05, (1) any Term Benchmark Loan shall on the last day of the Interest Period applicable to such Loan (or the next succeeding Banking Day if such day is not a Banking Day), be converted by the Administrative Agent to, and shall constitute, (x) an RFR Loan so long as the Daily Effective SOFR Rate is not also the subject of Section 3.02(a)(i) or (ii) above or (y) a Base Rate Loan if the Daily Effective SOFR Rate also is the subject of Section 3.02(a)(i) or (ii) above, on such day, and (2) any RFR Loan shall on and from such day be converted by the Administrative Agent to, and shall constitute a Base Rate Loan.</w:t>
      </w:r>
    </w:p>
    <w:p>
      <w:pPr>
        <w:spacing w:after="0" w:line="158" w:lineRule="exact"/>
        <w:rPr>
          <w:sz w:val="20"/>
          <w:szCs w:val="20"/>
          <w:color w:val="auto"/>
        </w:rPr>
      </w:pPr>
    </w:p>
    <w:p>
      <w:pPr>
        <w:jc w:val="both"/>
        <w:ind w:firstLine="634"/>
        <w:spacing w:after="0" w:line="217" w:lineRule="auto"/>
        <w:tabs>
          <w:tab w:leader="none" w:pos="1253" w:val="left"/>
        </w:tabs>
        <w:numPr>
          <w:ilvl w:val="0"/>
          <w:numId w:val="3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Banking Day after the date notice of such Benchmark Replacement is provided to the Banks without any amendment to, or further action or consent of any other party to, this Agreement or any other Loan Document so long as the Administrative Agent has not received, by such time, written notice of objection to such Benchmark Replacement from Banks comprising the Required Banks.</w:t>
      </w:r>
    </w:p>
    <w:p>
      <w:pPr>
        <w:spacing w:after="0" w:line="148" w:lineRule="exact"/>
        <w:rPr>
          <w:rFonts w:ascii="Times New Roman" w:cs="Times New Roman" w:eastAsia="Times New Roman" w:hAnsi="Times New Roman"/>
          <w:sz w:val="21"/>
          <w:szCs w:val="21"/>
          <w:color w:val="auto"/>
        </w:rPr>
      </w:pPr>
    </w:p>
    <w:p>
      <w:pPr>
        <w:jc w:val="both"/>
        <w:ind w:firstLine="634"/>
        <w:spacing w:after="0" w:line="224" w:lineRule="auto"/>
        <w:tabs>
          <w:tab w:leader="none" w:pos="1254" w:val="left"/>
        </w:tabs>
        <w:numPr>
          <w:ilvl w:val="0"/>
          <w:numId w:val="3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59</w:t>
      </w:r>
    </w:p>
    <w:p>
      <w:pPr>
        <w:sectPr>
          <w:pgSz w:w="11900" w:h="16838" w:orient="portrait"/>
          <w:cols w:equalWidth="0" w:num="1">
            <w:col w:w="11240"/>
          </w:cols>
          <w:pgMar w:left="320" w:top="1440" w:right="339" w:bottom="1440" w:gutter="0" w:footer="0" w:header="0"/>
        </w:sectPr>
      </w:pPr>
    </w:p>
    <w:bookmarkStart w:id="492" w:name="page493"/>
    <w:bookmarkEnd w:id="492"/>
    <w:p>
      <w:pPr>
        <w:jc w:val="both"/>
        <w:ind w:firstLine="634"/>
        <w:spacing w:after="0" w:line="215" w:lineRule="auto"/>
        <w:tabs>
          <w:tab w:leader="none" w:pos="1253"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will promptly notify the Borrower and the Banks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Bank (or group of Banks) pursuant to this Section 3.02,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3.02.</w:t>
      </w:r>
    </w:p>
    <w:p>
      <w:pPr>
        <w:spacing w:after="0" w:line="148" w:lineRule="exact"/>
        <w:rPr>
          <w:rFonts w:ascii="Times New Roman" w:cs="Times New Roman" w:eastAsia="Times New Roman" w:hAnsi="Times New Roman"/>
          <w:sz w:val="21"/>
          <w:szCs w:val="21"/>
          <w:color w:val="auto"/>
        </w:rPr>
      </w:pPr>
    </w:p>
    <w:p>
      <w:pPr>
        <w:jc w:val="both"/>
        <w:ind w:firstLine="634"/>
        <w:spacing w:after="0" w:line="214" w:lineRule="auto"/>
        <w:tabs>
          <w:tab w:leader="none" w:pos="1254"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at any time (including in connection with the implementation of a Benchmark Replacement), (i) if the then-current Benchmark is a term rate (including the Term SOFR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46" w:lineRule="exact"/>
        <w:rPr>
          <w:rFonts w:ascii="Times New Roman" w:cs="Times New Roman" w:eastAsia="Times New Roman" w:hAnsi="Times New Roman"/>
          <w:sz w:val="21"/>
          <w:szCs w:val="21"/>
          <w:color w:val="auto"/>
        </w:rPr>
      </w:pPr>
    </w:p>
    <w:p>
      <w:pPr>
        <w:jc w:val="both"/>
        <w:ind w:firstLine="634"/>
        <w:spacing w:after="0" w:line="212" w:lineRule="auto"/>
        <w:tabs>
          <w:tab w:leader="none" w:pos="1257"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Borrower’s receipt of notice of the commencement of a Benchmark Unavailability Period, the Borrower may revoke any request for (i) a Term Benchmark Loan conversion to or continuation of Term Benchmark Loans to be made, converted or continued or (ii) an RFR Loan or conversion to RFR Loans during any Benchmark Unavailability Period and, failing that, the Borrower will be deemed to have converted any request for a (1) Term Benchmark Loan into a request for a borrowing of or conversion to (A) an RFR Loan so long as the Daily Effective SOFR Rate is not the subject of a Benchmark Transition Event or (B) a Base Rate Loan if the Daily Effective SOFR Rate is the subject of a Benchmark Transition Event or (2) an RFR Loan into a request for a Base Rate Loan.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3.02, (1) any Term Benchmark Loan shall on the last day of the Interest Period applicable to such Loan (or the next succeeding Banking Day if such day is not a Banking Day), be converted by the Administrative Agent to, and shall constitute, (x) an RFR Loan so long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ectPr>
          <w:pgSz w:w="11900" w:h="16838" w:orient="portrait"/>
          <w:cols w:equalWidth="0" w:num="1">
            <w:col w:w="11240"/>
          </w:cols>
          <w:pgMar w:left="320" w:top="1225" w:right="339" w:bottom="1440" w:gutter="0" w:footer="0" w:header="0"/>
        </w:sectPr>
      </w:pPr>
    </w:p>
    <w:bookmarkStart w:id="493" w:name="page494"/>
    <w:bookmarkEnd w:id="493"/>
    <w:p>
      <w:pPr>
        <w:jc w:val="both"/>
        <w:spacing w:after="0" w:line="229" w:lineRule="auto"/>
        <w:rPr>
          <w:sz w:val="20"/>
          <w:szCs w:val="20"/>
          <w:color w:val="auto"/>
        </w:rPr>
      </w:pPr>
      <w:r>
        <w:rPr>
          <w:rFonts w:ascii="Times New Roman" w:cs="Times New Roman" w:eastAsia="Times New Roman" w:hAnsi="Times New Roman"/>
          <w:sz w:val="21"/>
          <w:szCs w:val="21"/>
          <w:color w:val="auto"/>
        </w:rPr>
        <w:t>as the Daily Effective SOFR Rate is not the subject of a Benchmark Transition Event or (y) a Base Rate Loan if the Daily Effective SOFR Rate is the subject of a Benchmark Transition Event, and (2) any RFR Loan shall on and from such day be converted by the Administrative Agent to, and shall constitute a Base Rate Loan.</w:t>
      </w:r>
    </w:p>
    <w:p>
      <w:pPr>
        <w:spacing w:after="0" w:line="147" w:lineRule="exact"/>
        <w:rPr>
          <w:sz w:val="20"/>
          <w:szCs w:val="20"/>
          <w:color w:val="auto"/>
        </w:rPr>
      </w:pPr>
    </w:p>
    <w:p>
      <w:pPr>
        <w:jc w:val="both"/>
        <w:ind w:firstLine="629"/>
        <w:spacing w:after="0" w:line="216"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u w:val="single" w:color="auto"/>
          <w:color w:val="auto"/>
        </w:rPr>
        <w:t>Illegality.</w:t>
      </w:r>
      <w:r>
        <w:rPr>
          <w:rFonts w:ascii="Times New Roman" w:cs="Times New Roman" w:eastAsia="Times New Roman" w:hAnsi="Times New Roman"/>
          <w:sz w:val="21"/>
          <w:szCs w:val="21"/>
          <w:color w:val="auto"/>
        </w:rPr>
        <w:t xml:space="preserve"> Notwithstanding any other provision of this Agreement, in the event that it becomes unlawful for any Bank or its Applicable Lending Office to honor its obligation to make or maintain a Term Benchmark Loan or a RFR Loan hereunder, to allow Elections or Continuations of a Term Benchmark Loan or a RFR Loan or to Convert a Base Rate Loan into a Term Benchmark Loan or a RFR Loan, or to Convert a RFR Loan into a Term Benchmark Loan, then such Bank shall promptly notify Administrative Agent and Borrower thereof and such Bank’s obligation to make or maintain a Term Benchmark Loan or a RFR Loan, or to permit Elections of, to Continue, or to Convert its Base Rate Loan into, a Term Benchmark Loan or a RFR Loan shall be suspended (in which case the provisions of Section 3.04 shall be applicable) until such time as such Bank may again make and maintain a Term Benchmark Loan or a RFR Loan.</w:t>
      </w:r>
    </w:p>
    <w:p>
      <w:pPr>
        <w:spacing w:after="0" w:line="148" w:lineRule="exact"/>
        <w:rPr>
          <w:sz w:val="20"/>
          <w:szCs w:val="20"/>
          <w:color w:val="auto"/>
        </w:rPr>
      </w:pPr>
    </w:p>
    <w:p>
      <w:pPr>
        <w:jc w:val="both"/>
        <w:ind w:firstLine="629"/>
        <w:spacing w:after="0" w:line="217" w:lineRule="auto"/>
        <w:rPr>
          <w:sz w:val="20"/>
          <w:szCs w:val="20"/>
          <w:color w:val="auto"/>
        </w:rPr>
      </w:pPr>
      <w:r>
        <w:rPr>
          <w:rFonts w:ascii="Times New Roman" w:cs="Times New Roman" w:eastAsia="Times New Roman" w:hAnsi="Times New Roman"/>
          <w:sz w:val="21"/>
          <w:szCs w:val="21"/>
          <w:color w:val="auto"/>
        </w:rPr>
        <w:t xml:space="preserve">SECTION 3.04. </w:t>
      </w:r>
      <w:r>
        <w:rPr>
          <w:rFonts w:ascii="Times New Roman" w:cs="Times New Roman" w:eastAsia="Times New Roman" w:hAnsi="Times New Roman"/>
          <w:sz w:val="21"/>
          <w:szCs w:val="21"/>
          <w:u w:val="single" w:color="auto"/>
          <w:color w:val="auto"/>
        </w:rPr>
        <w:t>Treatment of Affected Loans.</w:t>
      </w:r>
      <w:r>
        <w:rPr>
          <w:rFonts w:ascii="Times New Roman" w:cs="Times New Roman" w:eastAsia="Times New Roman" w:hAnsi="Times New Roman"/>
          <w:sz w:val="21"/>
          <w:szCs w:val="21"/>
          <w:color w:val="auto"/>
        </w:rPr>
        <w:t xml:space="preserve"> If the obligations of any Bank to make or maintain a Term Benchmark Loan or a RFR Loan, or to permit an Election of a Term Benchmark Loan or a RFR Loan, to Continue its Term Benchmark Loan, or to Convert its Base Rate Loan into a Term Benchmark Loan or a RFR Loan, are suspended pursuant to Section 3.01 or 3.03 (each Term Benchmark Loan or RFR Loan so affected being herein called an “Affected Loan”), such Bank’s Affected Loan shall be automatically Converted into a Base Rate on the last day of the then current Interest Period for the Affected Loan (or, in the case of a Conversion or conversion resulting from Section 3.03 or a Conversion of a RFR Loan, on such earlier date as such Bank may specify to Borrower).</w:t>
      </w:r>
    </w:p>
    <w:p>
      <w:pPr>
        <w:spacing w:after="0" w:line="17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To the extent that such Bank’s Affected Loan has been so Converted, all payments and prepayments of principal which would otherwise be applied to such Bank’s Affected Loan shall be applied instead to its Base Rate Loan and such Bank shall have no obligation to Convert its Base Rate Loan into a Term Benchmark Loan or a RFR Loan.</w:t>
      </w:r>
    </w:p>
    <w:p>
      <w:pPr>
        <w:spacing w:after="0" w:line="128" w:lineRule="exact"/>
        <w:rPr>
          <w:sz w:val="20"/>
          <w:szCs w:val="20"/>
          <w:color w:val="auto"/>
        </w:rPr>
      </w:pPr>
    </w:p>
    <w:p>
      <w:pPr>
        <w:jc w:val="both"/>
        <w:ind w:firstLine="629"/>
        <w:spacing w:after="0" w:line="224" w:lineRule="auto"/>
        <w:rPr>
          <w:sz w:val="20"/>
          <w:szCs w:val="20"/>
          <w:color w:val="auto"/>
        </w:rPr>
      </w:pPr>
      <w:r>
        <w:rPr>
          <w:rFonts w:ascii="Times New Roman" w:cs="Times New Roman" w:eastAsia="Times New Roman" w:hAnsi="Times New Roman"/>
          <w:sz w:val="21"/>
          <w:szCs w:val="21"/>
          <w:color w:val="auto"/>
        </w:rPr>
        <w:t xml:space="preserve">SECTION 3.05. </w:t>
      </w:r>
      <w:r>
        <w:rPr>
          <w:rFonts w:ascii="Times New Roman" w:cs="Times New Roman" w:eastAsia="Times New Roman" w:hAnsi="Times New Roman"/>
          <w:sz w:val="21"/>
          <w:szCs w:val="21"/>
          <w:u w:val="single" w:color="auto"/>
          <w:color w:val="auto"/>
        </w:rPr>
        <w:t>Certain Compensation.</w:t>
      </w:r>
      <w:r>
        <w:rPr>
          <w:rFonts w:ascii="Times New Roman" w:cs="Times New Roman" w:eastAsia="Times New Roman" w:hAnsi="Times New Roman"/>
          <w:sz w:val="21"/>
          <w:szCs w:val="21"/>
          <w:color w:val="auto"/>
        </w:rPr>
        <w:t xml:space="preserve"> Other than in connection with a Conversion of an Affected Loan, Borrower shall pay to Administrative Agent for the account of the applicable Bank, upon the request of such Bank through Administrative Agent which request includes a calculation of the amount(s) due, such amount or amounts as shall be sufficient (in the reasonable opinion of such Bank) to compensate it for any loss, cost or expense which such Bank reasonably determines is attributable to:</w:t>
      </w:r>
    </w:p>
    <w:p>
      <w:pPr>
        <w:spacing w:after="0" w:line="146" w:lineRule="exact"/>
        <w:rPr>
          <w:sz w:val="20"/>
          <w:szCs w:val="20"/>
          <w:color w:val="auto"/>
        </w:rPr>
      </w:pPr>
    </w:p>
    <w:p>
      <w:pPr>
        <w:jc w:val="both"/>
        <w:ind w:left="640" w:firstLine="622"/>
        <w:spacing w:after="0" w:line="229" w:lineRule="auto"/>
        <w:tabs>
          <w:tab w:leader="none" w:pos="1893" w:val="left"/>
        </w:tabs>
        <w:numPr>
          <w:ilvl w:val="0"/>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or prepayment of a Term Benchmark Loan made by such Bank, or any Conversion of a Term Benchmark Loan made by such Bank, in any such case on a date other than the last day of an applicable Interest Period, whether by reason of acceleration or otherwise;</w:t>
      </w:r>
    </w:p>
    <w:p>
      <w:pPr>
        <w:spacing w:after="0" w:line="147" w:lineRule="exact"/>
        <w:rPr>
          <w:rFonts w:ascii="Times New Roman" w:cs="Times New Roman" w:eastAsia="Times New Roman" w:hAnsi="Times New Roman"/>
          <w:sz w:val="21"/>
          <w:szCs w:val="21"/>
          <w:color w:val="auto"/>
        </w:rPr>
      </w:pPr>
    </w:p>
    <w:p>
      <w:pPr>
        <w:ind w:left="640" w:firstLine="622"/>
        <w:spacing w:after="0" w:line="241" w:lineRule="auto"/>
        <w:tabs>
          <w:tab w:leader="none" w:pos="1893" w:val="left"/>
        </w:tabs>
        <w:numPr>
          <w:ilvl w:val="0"/>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by Borrower for any reason to Convert a Term Benchmark Loan, a RFR Loan or a Base Rate Loan or to Continue a Term Benchmark Loan, as the case may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61</w:t>
      </w:r>
    </w:p>
    <w:p>
      <w:pPr>
        <w:sectPr>
          <w:pgSz w:w="11900" w:h="16838" w:orient="portrait"/>
          <w:cols w:equalWidth="0" w:num="1">
            <w:col w:w="11240"/>
          </w:cols>
          <w:pgMar w:left="320" w:top="1225" w:right="339" w:bottom="1440" w:gutter="0" w:footer="0" w:header="0"/>
        </w:sectPr>
      </w:pPr>
    </w:p>
    <w:bookmarkStart w:id="494" w:name="page495"/>
    <w:bookmarkEnd w:id="494"/>
    <w:p>
      <w:pPr>
        <w:jc w:val="center"/>
        <w:ind w:right="-19"/>
        <w:spacing w:after="0"/>
        <w:rPr>
          <w:sz w:val="20"/>
          <w:szCs w:val="20"/>
          <w:color w:val="auto"/>
        </w:rPr>
      </w:pPr>
      <w:r>
        <w:rPr>
          <w:rFonts w:ascii="Times New Roman" w:cs="Times New Roman" w:eastAsia="Times New Roman" w:hAnsi="Times New Roman"/>
          <w:sz w:val="21"/>
          <w:szCs w:val="21"/>
          <w:color w:val="auto"/>
        </w:rPr>
        <w:t>be, to be Converted or Continued by such Bank on the date specified therefor in the relevant notice under Section 2.14;</w:t>
      </w:r>
    </w:p>
    <w:p>
      <w:pPr>
        <w:spacing w:after="0" w:line="204" w:lineRule="exact"/>
        <w:rPr>
          <w:sz w:val="20"/>
          <w:szCs w:val="20"/>
          <w:color w:val="auto"/>
        </w:rPr>
      </w:pPr>
    </w:p>
    <w:p>
      <w:pPr>
        <w:ind w:left="640" w:firstLine="622"/>
        <w:spacing w:after="0" w:line="241" w:lineRule="auto"/>
        <w:tabs>
          <w:tab w:leader="none" w:pos="1893" w:val="left"/>
        </w:tabs>
        <w:numPr>
          <w:ilvl w:val="0"/>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by Borrower to borrow a Term Benchmark Loan which would otherwise be made hereunder on the date specified in the relevant Election notice under Section 2.14 given or submitted by Borrower; or</w:t>
      </w:r>
    </w:p>
    <w:p>
      <w:pPr>
        <w:spacing w:after="0" w:line="143"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0"/>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by Borrower to prepay a Term Benchmark Loan on the date specified in a notice of prepayment.</w:t>
      </w:r>
    </w:p>
    <w:p>
      <w:pPr>
        <w:spacing w:after="0" w:line="204"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A certificate of any Bank as to the determination of the amounts payable pursuant to this Section shall be conclusive absent manifest error.</w:t>
      </w:r>
    </w:p>
    <w:p>
      <w:pPr>
        <w:spacing w:after="0" w:line="131"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The obligations of Borrower under this Section shall survive the repayment of all amounts due under or in connection with any of the Loan Documents and the termination of the Loan Commitments in respect of the period prior to such termination.</w:t>
      </w:r>
    </w:p>
    <w:p>
      <w:pPr>
        <w:spacing w:after="0" w:line="144"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3.06. </w:t>
      </w:r>
      <w:r>
        <w:rPr>
          <w:rFonts w:ascii="Times New Roman" w:cs="Times New Roman" w:eastAsia="Times New Roman" w:hAnsi="Times New Roman"/>
          <w:sz w:val="21"/>
          <w:szCs w:val="21"/>
          <w:u w:val="single" w:color="auto"/>
          <w:color w:val="auto"/>
        </w:rPr>
        <w:t>Capital Adequacy.</w:t>
      </w:r>
      <w:r>
        <w:rPr>
          <w:rFonts w:ascii="Times New Roman" w:cs="Times New Roman" w:eastAsia="Times New Roman" w:hAnsi="Times New Roman"/>
          <w:sz w:val="21"/>
          <w:szCs w:val="21"/>
          <w:color w:val="auto"/>
        </w:rPr>
        <w:t xml:space="preserve"> If any Bank or Fronting Bank shall have determined that, after the date hereof, due to any Regulatory Change or the adoption of, or any change in, any applicable law, rule or regulation regarding capital adequacy or liquidity requirements, or any change in the interpretation or administration thereof by any Governmental Authority, central bank or comparable agency charged with the interpretation or administration thereof, or any request or directive regarding capital adequacy or liquidity requirements (whether or not having the force of law) of any such Governmental Authority, central bank or comparable agency, has or would have the effect of reducing the rate of return on capital of such Bank or Fronting Bank (or its Parent) as a consequence of such Bank’s or Fronting Bank’s obligations hereunder to a level below that which such Bank or Fronting Bank (or its Parent) could have achieved but for such adoption, change, request or directive (taking into consideration its policies with respect to capital adequacy and liquidity) by an amount deemed by such Bank or Fronting Bank to be material, then from time to time, within thirty (30) days after demand by such Bank or Fronting Bank (with a copy to Administrative Agent), Borrower shall pay to such Bank or Fronting Bank such additional amount or amounts as will compensate such Bank or Fronting Bank (or its Parent) for such reduction. Each Bank and Fronting Bank shall allocate such cost increases and reductions among its customers in its discretion reasonably exercised in good faith; provided that in no event shall any Bank or Fronting Bank be obligated to disclose any information relating to its costs that it deems confidential. A certificate of any Bank or Fronting Bank claiming compensation under this Section, setting forth in reasonable detail the basis therefor, shall be conclusive absent manifest error. The obligations of Borrower under this Section shall survive the repayment of all amounts due under or in connection with any of the Loan Documents and the termination of the Loan Commitments in respect of the period prior to such termination.</w:t>
      </w:r>
    </w:p>
    <w:p>
      <w:pPr>
        <w:spacing w:after="0" w:line="160" w:lineRule="exact"/>
        <w:rPr>
          <w:sz w:val="20"/>
          <w:szCs w:val="20"/>
          <w:color w:val="auto"/>
        </w:rPr>
      </w:pPr>
    </w:p>
    <w:p>
      <w:pPr>
        <w:jc w:val="both"/>
        <w:ind w:firstLine="629"/>
        <w:spacing w:after="0" w:line="221" w:lineRule="auto"/>
        <w:rPr>
          <w:sz w:val="20"/>
          <w:szCs w:val="20"/>
          <w:color w:val="auto"/>
        </w:rPr>
      </w:pPr>
      <w:r>
        <w:rPr>
          <w:rFonts w:ascii="Times New Roman" w:cs="Times New Roman" w:eastAsia="Times New Roman" w:hAnsi="Times New Roman"/>
          <w:sz w:val="21"/>
          <w:szCs w:val="21"/>
          <w:color w:val="auto"/>
        </w:rPr>
        <w:t xml:space="preserve">SECTION 3.07. </w:t>
      </w:r>
      <w:r>
        <w:rPr>
          <w:rFonts w:ascii="Times New Roman" w:cs="Times New Roman" w:eastAsia="Times New Roman" w:hAnsi="Times New Roman"/>
          <w:sz w:val="21"/>
          <w:szCs w:val="21"/>
          <w:u w:val="single" w:color="auto"/>
          <w:color w:val="auto"/>
        </w:rPr>
        <w:t>Substitution of Banks.</w:t>
      </w:r>
      <w:r>
        <w:rPr>
          <w:rFonts w:ascii="Times New Roman" w:cs="Times New Roman" w:eastAsia="Times New Roman" w:hAnsi="Times New Roman"/>
          <w:sz w:val="21"/>
          <w:szCs w:val="21"/>
          <w:color w:val="auto"/>
        </w:rPr>
        <w:t xml:space="preserve"> If any Bank (an “Affected Bank”) (i) makes demand upon Borrower for (or if Borrower is otherwise required to pay) Additional Costs pursuant to Section 3.01, (ii) is unable to make or maintain a Term Benchmark Loan or RFR Loan as a result of a condition described in Section 3.03 or clause (2) of Section 3.02, (iii) has any increased costs as described in Section 3.06, (iv) requires the Borrower to pay any Indemnified Taxes or other amounts to such Bank or any Governmental Authority pursuant to Section 10.13, or (v)</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ectPr>
          <w:pgSz w:w="11900" w:h="16838" w:orient="portrait"/>
          <w:cols w:equalWidth="0" w:num="1">
            <w:col w:w="11240"/>
          </w:cols>
          <w:pgMar w:left="320" w:top="1225" w:right="339" w:bottom="1440" w:gutter="0" w:footer="0" w:header="0"/>
        </w:sectPr>
      </w:pPr>
    </w:p>
    <w:bookmarkStart w:id="495" w:name="page496"/>
    <w:bookmarkEnd w:id="495"/>
    <w:p>
      <w:pPr>
        <w:jc w:val="both"/>
        <w:spacing w:after="0" w:line="216" w:lineRule="auto"/>
        <w:rPr>
          <w:sz w:val="20"/>
          <w:szCs w:val="20"/>
          <w:color w:val="auto"/>
        </w:rPr>
      </w:pPr>
      <w:r>
        <w:rPr>
          <w:rFonts w:ascii="Times New Roman" w:cs="Times New Roman" w:eastAsia="Times New Roman" w:hAnsi="Times New Roman"/>
          <w:sz w:val="21"/>
          <w:szCs w:val="21"/>
          <w:color w:val="auto"/>
        </w:rPr>
        <w:t>becomes a Defaulting Lender, Borrower may, within ninety (90) days of receipt of such demand or notice of the occurrence of an event described above in this Section 3.07 (provided (A) such 90-day limit shall not be applicable for a Defaulting Lender and (B) such 90-day period shall be extended for an additional period of 60 days if Borrower shall have attempted during such 90-day period to secure a Replacement Bank (as defined below) and shall be diligently pursuing such attempt), give written notice (a “Replacement Notice”) to Administrative Agent and to each Bank of Borrower’s intention either (x) to prepay in full the Affected Bank’s Loans and to terminate the Affected Bank’s entire Loan Commitment or (y) to replace the Affected Bank with another financial institution (the “Replacement Bank”) designated in such Replacement Notice. After its replacement, an Affected Bank shall remain entitled to the benefits of Sections 3.01, 3.06, 10.13 and 12.04 in respect of the period prior to its replacement.</w:t>
      </w:r>
    </w:p>
    <w:p>
      <w:pPr>
        <w:spacing w:after="0" w:line="174"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 xml:space="preserve">In the event Borrower opts to give the Replacement Notice described in clause (x) above, and if the Affected Bank shall not agree within thirty (30) days of its receipt thereof to waive the payment of the Additional Costs, Indemnified Taxes or other amounts in question or the effect of the circumstances described in Section 3.03, in clause (2) of Section 3.02 or in Section 3.06 or the Affected Bank shall continue to be a Defaulting Lender, then, so long as no Event of Default shall exist, Borrower may (notwithstanding the provisions of clause (2) of Section 2.16(a)) terminate the Affected Bank’s entire Loan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connection therewith it pays to the Affected Bank all outstanding principal and accrued and unpaid interest under the Affected Bank’s Loans, together with all other amounts, if any, due from Borrower to the Affected Bank, including all amounts properly demanded and unreimbursed under Sections 3.01, 3.05 or 10.13. After any termination as provided in this paragraph, an Affected Bank shall remain entitled to the benefits of Sections 3.01, 3.06, 10.13 and 12.04 in respect of the period prior to such termination.</w:t>
      </w:r>
    </w:p>
    <w:p>
      <w:pPr>
        <w:spacing w:after="0" w:line="71"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 xml:space="preserve">In the event Borrower opts to give the Replacement Notice described in clause (y) above, and if Administrative Agent shall promptly (and in any event, within thirty (30) days of its receipt of the Replacement Notice), notify Borrower and each Bank in writing that the Replacement Bank is reasonably satisfactory to Administrative Agent, then the Affected Bank shall, so long as no Event of Default shall exist, assign its Loans and all of its rights and obligations under this Agreement to the Replacement Bank, and the Replacement Bank shall assume all of the Affected Bank’s rights and obligations, pursuant to an agreement, substantially in the form of an Assignment and Assumption Agreement, executed by the Affected Bank and the Replacement Bank. In connection with such assignment and assumption, the Replacement Bank shall pay to the Affected Bank an amount equal to the outstanding principal amount of the Affected Bank’s Loans plus all interest accrued thereon, plus all other amounts, if any (other than the Additional Costs in question), then due and payable to the Affected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prior to or simultaneously with any such assignment and assumption, Borrower shall have paid to such Affected Bank all amounts properly demanded and unreimbursed under Sections 3.01, 3.05 and 10.13. Upon the effective date of such assignment and assumption, the Replacement Bank shall become a Bank Party to this Agreement and shall have all the rights and obligations of a Bank as set forth in such Assignment and Assumption Agreement, and the Affected Bank shall be released from its obligations hereunder, and no further consent or action by any party shall be required. Upon the consummation of any assignment pursuant to this Section, a substitute Ratable Loan Note shall be issued to the Replacement Bank by Borrower, in exchange for the return of the Affected Bank’s Ratable Loan Note. The obligations evidenced by such substitute note shall constitute “Obligations” for all purposes of this Agreement and the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63</w:t>
      </w:r>
    </w:p>
    <w:p>
      <w:pPr>
        <w:sectPr>
          <w:pgSz w:w="11900" w:h="16838" w:orient="portrait"/>
          <w:cols w:equalWidth="0" w:num="1">
            <w:col w:w="11240"/>
          </w:cols>
          <w:pgMar w:left="320" w:top="1225" w:right="339" w:bottom="1440" w:gutter="0" w:footer="0" w:header="0"/>
        </w:sectPr>
      </w:pPr>
    </w:p>
    <w:bookmarkStart w:id="496" w:name="page497"/>
    <w:bookmarkEnd w:id="496"/>
    <w:p>
      <w:pPr>
        <w:jc w:val="both"/>
        <w:spacing w:after="0" w:line="256" w:lineRule="auto"/>
        <w:rPr>
          <w:sz w:val="20"/>
          <w:szCs w:val="20"/>
          <w:color w:val="auto"/>
        </w:rPr>
      </w:pPr>
      <w:r>
        <w:rPr>
          <w:rFonts w:ascii="Times New Roman" w:cs="Times New Roman" w:eastAsia="Times New Roman" w:hAnsi="Times New Roman"/>
          <w:sz w:val="21"/>
          <w:szCs w:val="21"/>
          <w:color w:val="auto"/>
        </w:rPr>
        <w:t>other Loan Documents. If the Replacement Bank is not incorporated under the laws of the United States of America or a state thereof, it shall, prior to the first date on which interest or fees are payable hereunder for its account, deliver to Borrower and Administrative Agent a certification as to exemption from, or reduction of, deduction or withholding of any United States federal income taxes in accordance with Section 10.13. Each Replacement Bank shall be deemed to have made the representations contained in, and shall be bound by the provisions of, Section 10.13. After any assignment as provided in this paragraph, an Affected Bank shall remain entitled to the benefits of Sections 3.01, 3.06, 10.13 and 12.04 in respect of the period prior to such assignment.</w:t>
      </w:r>
    </w:p>
    <w:p>
      <w:pPr>
        <w:spacing w:after="0" w:line="184"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Borrower, Administrative Agent and the Banks shall execute such modifications to the Loan Documents as shall be reasonably required in connection with and to effectuate the foregoing.</w:t>
      </w:r>
    </w:p>
    <w:p>
      <w:pPr>
        <w:spacing w:after="0" w:line="144"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3.08. </w:t>
      </w:r>
      <w:r>
        <w:rPr>
          <w:rFonts w:ascii="Times New Roman" w:cs="Times New Roman" w:eastAsia="Times New Roman" w:hAnsi="Times New Roman"/>
          <w:sz w:val="21"/>
          <w:szCs w:val="21"/>
          <w:u w:val="single" w:color="auto"/>
          <w:color w:val="auto"/>
        </w:rPr>
        <w:t>Obligation of Banks to Mitigate.</w:t>
      </w:r>
      <w:r>
        <w:rPr>
          <w:rFonts w:ascii="Times New Roman" w:cs="Times New Roman" w:eastAsia="Times New Roman" w:hAnsi="Times New Roman"/>
          <w:sz w:val="21"/>
          <w:szCs w:val="21"/>
          <w:color w:val="auto"/>
        </w:rPr>
        <w:t xml:space="preserve"> Each Bank agrees that, as promptly as practicable after such Bank has actual knowledge of the occurrence of an event or the existence of a condition that would cause such Bank to become an Affected Bank or that would entitle such Bank to receive payments under Sections 3.01, 3.02, 3.03, 3.06 or 10.13, it will, to the extent not inconsistent with any applicable legal or regulatory restrictions, use reasonable efforts at the cost and expense of the Borrower (i) to make, issue, fund, or maintain the Loan Commitment of such Bank or the affected Loans of such Bank through another lending office of such Bank, or (ii) to assign its rights and obligations hereunder to another of its offices, branches or Affiliates, if as a result thereof the circumstances that would cause such Bank to be an Affected Bank would cease to exist or the additional amounts that would otherwise be required to be paid to such Bank pursuant to Sections 3.01, 3.02, 3.03, 3.06 or 10.13 would be reduced and if, as reasonably determined by such Bank in its sole discretion, the making, issuing, funding, or maintaining of such Loan Commitment or Loans through such other lending office or in accordance with such other measures, as the case may be, would not otherwise adversely affect such Loan Commitment or Loans or would not be otherwise disadvantageous to the interests of such Bank.</w:t>
      </w:r>
    </w:p>
    <w:p>
      <w:pPr>
        <w:spacing w:after="0" w:line="14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IV</w:t>
      </w:r>
    </w:p>
    <w:p>
      <w:pPr>
        <w:spacing w:after="0" w:line="1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CONDITIONS PRECEDENT</w:t>
      </w:r>
    </w:p>
    <w:p>
      <w:pPr>
        <w:spacing w:after="0" w:line="178"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4.01. </w:t>
      </w:r>
      <w:r>
        <w:rPr>
          <w:rFonts w:ascii="Times New Roman" w:cs="Times New Roman" w:eastAsia="Times New Roman" w:hAnsi="Times New Roman"/>
          <w:sz w:val="21"/>
          <w:szCs w:val="21"/>
          <w:u w:val="single" w:color="auto"/>
          <w:color w:val="auto"/>
        </w:rPr>
        <w:t>Conditions Precedent to the Loans.</w:t>
      </w:r>
      <w:r>
        <w:rPr>
          <w:rFonts w:ascii="Times New Roman" w:cs="Times New Roman" w:eastAsia="Times New Roman" w:hAnsi="Times New Roman"/>
          <w:sz w:val="21"/>
          <w:szCs w:val="21"/>
          <w:color w:val="auto"/>
        </w:rPr>
        <w:t xml:space="preserve"> The obligations of the Banks hereunder and the obligation of each Bank to make the Initial Advance are subject to the condition precedent that Administrative Agent shall have received each of the following documents, and each of the following requirements shall have been fulfilled:</w:t>
      </w:r>
    </w:p>
    <w:p>
      <w:pPr>
        <w:spacing w:after="0" w:line="147" w:lineRule="exact"/>
        <w:rPr>
          <w:sz w:val="20"/>
          <w:szCs w:val="20"/>
          <w:color w:val="auto"/>
        </w:rPr>
      </w:pPr>
    </w:p>
    <w:p>
      <w:pPr>
        <w:jc w:val="both"/>
        <w:ind w:left="640" w:firstLine="622"/>
        <w:spacing w:after="0" w:line="229" w:lineRule="auto"/>
        <w:tabs>
          <w:tab w:leader="none" w:pos="1893"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Fees and Expenses</w:t>
      </w:r>
      <w:r>
        <w:rPr>
          <w:rFonts w:ascii="Times New Roman" w:cs="Times New Roman" w:eastAsia="Times New Roman" w:hAnsi="Times New Roman"/>
          <w:sz w:val="21"/>
          <w:szCs w:val="21"/>
          <w:color w:val="auto"/>
        </w:rPr>
        <w:t>. The payment of all fees and expenses owed to or incurred by Administrative Agent, the Lead Arrangers and the Banks in connection with the origination of the Loans (including, without limitation, the reasonable fees and expenses of legal counsel);</w:t>
      </w:r>
    </w:p>
    <w:p>
      <w:pPr>
        <w:spacing w:after="0" w:line="147"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A Ratable Loan Note for each Bank, unless not requested by such Bank, duly executed by Borrower;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64</w:t>
      </w:r>
    </w:p>
    <w:p>
      <w:pPr>
        <w:sectPr>
          <w:pgSz w:w="11900" w:h="16838" w:orient="portrait"/>
          <w:cols w:equalWidth="0" w:num="1">
            <w:col w:w="11240"/>
          </w:cols>
          <w:pgMar w:left="320" w:top="1251" w:right="339" w:bottom="1440" w:gutter="0" w:footer="0" w:header="0"/>
        </w:sectPr>
      </w:pPr>
    </w:p>
    <w:bookmarkStart w:id="497" w:name="page498"/>
    <w:bookmarkEnd w:id="497"/>
    <w:p>
      <w:pPr>
        <w:spacing w:after="0" w:line="21" w:lineRule="exact"/>
        <w:rPr>
          <w:sz w:val="20"/>
          <w:szCs w:val="20"/>
          <w:color w:val="auto"/>
        </w:rPr>
      </w:pPr>
    </w:p>
    <w:p>
      <w:pPr>
        <w:jc w:val="both"/>
        <w:ind w:left="-480" w:firstLine="622"/>
        <w:spacing w:after="0" w:line="229" w:lineRule="auto"/>
        <w:tabs>
          <w:tab w:leader="none" w:pos="773"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Audited Borrower’s Consolidated Financial Statements as of and for the year ended December 31, 2024 and unaudited Borrower’s Consolidated Financial Statements as of and for the fiscal quarter ended September 30, 2025;</w:t>
      </w:r>
    </w:p>
    <w:p>
      <w:pPr>
        <w:spacing w:after="0" w:line="147" w:lineRule="exact"/>
        <w:rPr>
          <w:rFonts w:ascii="Times New Roman" w:cs="Times New Roman" w:eastAsia="Times New Roman" w:hAnsi="Times New Roman"/>
          <w:sz w:val="21"/>
          <w:szCs w:val="21"/>
          <w:color w:val="auto"/>
        </w:rPr>
      </w:pPr>
    </w:p>
    <w:p>
      <w:pPr>
        <w:ind w:left="-480" w:firstLine="622"/>
        <w:spacing w:after="0" w:line="241" w:lineRule="auto"/>
        <w:tabs>
          <w:tab w:leader="none" w:pos="773"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Certificates of Limited Partnership/Trust</w:t>
      </w:r>
      <w:r>
        <w:rPr>
          <w:rFonts w:ascii="Times New Roman" w:cs="Times New Roman" w:eastAsia="Times New Roman" w:hAnsi="Times New Roman"/>
          <w:sz w:val="21"/>
          <w:szCs w:val="21"/>
          <w:color w:val="auto"/>
        </w:rPr>
        <w:t>. A copy of the Certificate of Limited Partnership for Borrower and a copy of the articles of trust of General Partner, each certified by the appropriate Secretary of State or equivalent state official;</w:t>
      </w:r>
    </w:p>
    <w:p>
      <w:pPr>
        <w:spacing w:after="0" w:line="143" w:lineRule="exact"/>
        <w:rPr>
          <w:rFonts w:ascii="Times New Roman" w:cs="Times New Roman" w:eastAsia="Times New Roman" w:hAnsi="Times New Roman"/>
          <w:sz w:val="21"/>
          <w:szCs w:val="21"/>
          <w:color w:val="auto"/>
        </w:rPr>
      </w:pPr>
    </w:p>
    <w:p>
      <w:pPr>
        <w:jc w:val="both"/>
        <w:ind w:left="-480" w:firstLine="622"/>
        <w:spacing w:after="0" w:line="229" w:lineRule="auto"/>
        <w:tabs>
          <w:tab w:leader="none" w:pos="773"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Agreements of Limited Partnership/Bylaws</w:t>
      </w:r>
      <w:r>
        <w:rPr>
          <w:rFonts w:ascii="Times New Roman" w:cs="Times New Roman" w:eastAsia="Times New Roman" w:hAnsi="Times New Roman"/>
          <w:sz w:val="21"/>
          <w:szCs w:val="21"/>
          <w:color w:val="auto"/>
        </w:rPr>
        <w:t>. A copy of the Agreement of Limited Partnership for Borrower and a copy of the bylaws of General Partner, including all amendments thereto, each certified by the Secretary or an Assistant Secretary of General Partner as being in full force and effect on the Closing Date;</w:t>
      </w:r>
    </w:p>
    <w:p>
      <w:pPr>
        <w:spacing w:after="0" w:line="147" w:lineRule="exact"/>
        <w:rPr>
          <w:rFonts w:ascii="Times New Roman" w:cs="Times New Roman" w:eastAsia="Times New Roman" w:hAnsi="Times New Roman"/>
          <w:sz w:val="21"/>
          <w:szCs w:val="21"/>
          <w:color w:val="auto"/>
        </w:rPr>
      </w:pPr>
    </w:p>
    <w:p>
      <w:pPr>
        <w:jc w:val="both"/>
        <w:ind w:left="-480" w:firstLine="622"/>
        <w:spacing w:after="0" w:line="229" w:lineRule="auto"/>
        <w:tabs>
          <w:tab w:leader="none" w:pos="773"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Good Standing Certificates</w:t>
      </w:r>
      <w:r>
        <w:rPr>
          <w:rFonts w:ascii="Times New Roman" w:cs="Times New Roman" w:eastAsia="Times New Roman" w:hAnsi="Times New Roman"/>
          <w:sz w:val="21"/>
          <w:szCs w:val="21"/>
          <w:color w:val="auto"/>
        </w:rPr>
        <w:t>. A certified copy of a certificate from the Secretary of State or equivalent state official of the states where Borrower and General Partner are organized, dated as of the most recent practicable date, showing the good standing or partnership qualification of (i) Borrower and (ii) General Partner;</w:t>
      </w:r>
    </w:p>
    <w:p>
      <w:pPr>
        <w:spacing w:after="0" w:line="147" w:lineRule="exact"/>
        <w:rPr>
          <w:rFonts w:ascii="Times New Roman" w:cs="Times New Roman" w:eastAsia="Times New Roman" w:hAnsi="Times New Roman"/>
          <w:sz w:val="21"/>
          <w:szCs w:val="21"/>
          <w:color w:val="auto"/>
        </w:rPr>
      </w:pPr>
    </w:p>
    <w:p>
      <w:pPr>
        <w:jc w:val="both"/>
        <w:ind w:left="-480" w:firstLine="622"/>
        <w:spacing w:after="0" w:line="224" w:lineRule="auto"/>
        <w:tabs>
          <w:tab w:leader="none" w:pos="773"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Foreign Qualification Certificates</w:t>
      </w:r>
      <w:r>
        <w:rPr>
          <w:rFonts w:ascii="Times New Roman" w:cs="Times New Roman" w:eastAsia="Times New Roman" w:hAnsi="Times New Roman"/>
          <w:sz w:val="21"/>
          <w:szCs w:val="21"/>
          <w:color w:val="auto"/>
        </w:rPr>
        <w:t>. A certified copy of a certificate from the Secretary of State or equivalent state official of the state where Borrower and General Partner maintain their principal places of business, dated as of the most recent practicable date, showing the qualification to transact business in such state as a foreign limited partnership or foreign trust, as the case may be, for (i) Borrower and (ii) General Partner;</w:t>
      </w:r>
    </w:p>
    <w:p>
      <w:pPr>
        <w:spacing w:after="0" w:line="146" w:lineRule="exact"/>
        <w:rPr>
          <w:rFonts w:ascii="Times New Roman" w:cs="Times New Roman" w:eastAsia="Times New Roman" w:hAnsi="Times New Roman"/>
          <w:sz w:val="21"/>
          <w:szCs w:val="21"/>
          <w:color w:val="auto"/>
        </w:rPr>
      </w:pPr>
    </w:p>
    <w:p>
      <w:pPr>
        <w:jc w:val="both"/>
        <w:ind w:left="-480" w:firstLine="622"/>
        <w:spacing w:after="0" w:line="224" w:lineRule="auto"/>
        <w:tabs>
          <w:tab w:leader="none" w:pos="773"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Resolutions</w:t>
      </w:r>
      <w:r>
        <w:rPr>
          <w:rFonts w:ascii="Times New Roman" w:cs="Times New Roman" w:eastAsia="Times New Roman" w:hAnsi="Times New Roman"/>
          <w:sz w:val="21"/>
          <w:szCs w:val="21"/>
          <w:color w:val="auto"/>
        </w:rPr>
        <w:t>. A copy of a resolution or resolutions adopted by the Board of Trustees of General Partner, certified by the Secretary or an Assistant Secretary of General Partner as being in full force and effect on the Closing Date, authorizing the Loans provided for herein and the execution, delivery and performance of the Loan Documents to be executed and delivered by General Partner hereunder on behalf Borrower;</w:t>
      </w:r>
    </w:p>
    <w:p>
      <w:pPr>
        <w:spacing w:after="0" w:line="146" w:lineRule="exact"/>
        <w:rPr>
          <w:rFonts w:ascii="Times New Roman" w:cs="Times New Roman" w:eastAsia="Times New Roman" w:hAnsi="Times New Roman"/>
          <w:sz w:val="21"/>
          <w:szCs w:val="21"/>
          <w:color w:val="auto"/>
        </w:rPr>
      </w:pPr>
    </w:p>
    <w:p>
      <w:pPr>
        <w:jc w:val="both"/>
        <w:ind w:left="-480" w:firstLine="622"/>
        <w:spacing w:after="0" w:line="229" w:lineRule="auto"/>
        <w:tabs>
          <w:tab w:leader="none" w:pos="773"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Incumbency Certificate</w:t>
      </w:r>
      <w:r>
        <w:rPr>
          <w:rFonts w:ascii="Times New Roman" w:cs="Times New Roman" w:eastAsia="Times New Roman" w:hAnsi="Times New Roman"/>
          <w:sz w:val="21"/>
          <w:szCs w:val="21"/>
          <w:color w:val="auto"/>
        </w:rPr>
        <w:t>. A certificate, signed by the Secretary or an Assistant Secretary of General Partner and dated the Closing Date, as to the incumbency, and containing the specimen signature or signatures, of the Persons authorized to execute and deliver the Loan Documents to be executed and delivered by it and Borrower hereunder;</w:t>
      </w:r>
    </w:p>
    <w:p>
      <w:pPr>
        <w:spacing w:after="0" w:line="147" w:lineRule="exact"/>
        <w:rPr>
          <w:rFonts w:ascii="Times New Roman" w:cs="Times New Roman" w:eastAsia="Times New Roman" w:hAnsi="Times New Roman"/>
          <w:sz w:val="21"/>
          <w:szCs w:val="21"/>
          <w:color w:val="auto"/>
        </w:rPr>
      </w:pPr>
    </w:p>
    <w:p>
      <w:pPr>
        <w:ind w:left="760" w:hanging="618"/>
        <w:spacing w:after="0"/>
        <w:tabs>
          <w:tab w:leader="none" w:pos="760"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Solvency Certificate</w:t>
      </w:r>
      <w:r>
        <w:rPr>
          <w:rFonts w:ascii="Times New Roman" w:cs="Times New Roman" w:eastAsia="Times New Roman" w:hAnsi="Times New Roman"/>
          <w:sz w:val="21"/>
          <w:szCs w:val="21"/>
          <w:color w:val="auto"/>
        </w:rPr>
        <w:t>. A Solvency Certificate, duly executed, from Borrower;</w:t>
      </w:r>
    </w:p>
    <w:p>
      <w:pPr>
        <w:spacing w:after="0" w:line="177" w:lineRule="exact"/>
        <w:rPr>
          <w:rFonts w:ascii="Times New Roman" w:cs="Times New Roman" w:eastAsia="Times New Roman" w:hAnsi="Times New Roman"/>
          <w:sz w:val="21"/>
          <w:szCs w:val="21"/>
          <w:color w:val="auto"/>
        </w:rPr>
      </w:pPr>
    </w:p>
    <w:p>
      <w:pPr>
        <w:ind w:left="-480" w:firstLine="622"/>
        <w:spacing w:after="0" w:line="241" w:lineRule="auto"/>
        <w:tabs>
          <w:tab w:leader="none" w:pos="765"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Opinion of Counsel for Borrower</w:t>
      </w:r>
      <w:r>
        <w:rPr>
          <w:rFonts w:ascii="Times New Roman" w:cs="Times New Roman" w:eastAsia="Times New Roman" w:hAnsi="Times New Roman"/>
          <w:sz w:val="21"/>
          <w:szCs w:val="21"/>
          <w:color w:val="auto"/>
        </w:rPr>
        <w:t>. Favorable opinions, dated as of the Closing Date, from counsels for Borrower and General Partner, as to such matters as Administrative Agent may reasonably request;</w:t>
      </w:r>
    </w:p>
    <w:p>
      <w:pPr>
        <w:spacing w:after="0" w:line="143" w:lineRule="exact"/>
        <w:rPr>
          <w:rFonts w:ascii="Times New Roman" w:cs="Times New Roman" w:eastAsia="Times New Roman" w:hAnsi="Times New Roman"/>
          <w:sz w:val="21"/>
          <w:szCs w:val="21"/>
          <w:color w:val="auto"/>
        </w:rPr>
      </w:pPr>
    </w:p>
    <w:p>
      <w:pPr>
        <w:ind w:left="760" w:hanging="618"/>
        <w:spacing w:after="0"/>
        <w:tabs>
          <w:tab w:leader="none" w:pos="760"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Authorization Letter</w:t>
      </w:r>
      <w:r>
        <w:rPr>
          <w:rFonts w:ascii="Times New Roman" w:cs="Times New Roman" w:eastAsia="Times New Roman" w:hAnsi="Times New Roman"/>
          <w:sz w:val="21"/>
          <w:szCs w:val="21"/>
          <w:color w:val="auto"/>
        </w:rPr>
        <w:t>. The Authorization Letter, duly executed by Borrower;</w:t>
      </w:r>
    </w:p>
    <w:p>
      <w:pPr>
        <w:spacing w:after="0" w:line="177" w:lineRule="exact"/>
        <w:rPr>
          <w:rFonts w:ascii="Times New Roman" w:cs="Times New Roman" w:eastAsia="Times New Roman" w:hAnsi="Times New Roman"/>
          <w:sz w:val="21"/>
          <w:szCs w:val="21"/>
          <w:color w:val="auto"/>
        </w:rPr>
      </w:pPr>
    </w:p>
    <w:p>
      <w:pPr>
        <w:ind w:left="760" w:hanging="618"/>
        <w:spacing w:after="0"/>
        <w:tabs>
          <w:tab w:leader="none" w:pos="760"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65</w:t>
      </w:r>
    </w:p>
    <w:p>
      <w:pPr>
        <w:sectPr>
          <w:pgSz w:w="11900" w:h="16838" w:orient="portrait"/>
          <w:cols w:equalWidth="0" w:num="1">
            <w:col w:w="10120"/>
          </w:cols>
          <w:pgMar w:left="1440" w:top="1440" w:right="339" w:bottom="1440" w:gutter="0" w:footer="0" w:header="0"/>
        </w:sectPr>
      </w:pPr>
    </w:p>
    <w:bookmarkStart w:id="498" w:name="page499"/>
    <w:bookmarkEnd w:id="498"/>
    <w:p>
      <w:pPr>
        <w:spacing w:after="0" w:line="22" w:lineRule="exact"/>
        <w:rPr>
          <w:sz w:val="20"/>
          <w:szCs w:val="20"/>
          <w:color w:val="auto"/>
        </w:rPr>
      </w:pPr>
    </w:p>
    <w:p>
      <w:pPr>
        <w:ind w:left="1880" w:hanging="618"/>
        <w:spacing w:after="0"/>
        <w:tabs>
          <w:tab w:leader="none" w:pos="1880"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Request for Advance</w:t>
      </w:r>
      <w:r>
        <w:rPr>
          <w:rFonts w:ascii="Times New Roman" w:cs="Times New Roman" w:eastAsia="Times New Roman" w:hAnsi="Times New Roman"/>
          <w:sz w:val="21"/>
          <w:szCs w:val="21"/>
          <w:color w:val="auto"/>
        </w:rPr>
        <w:t>. A request for an advance in accordance with Section 2.05;</w:t>
      </w:r>
    </w:p>
    <w:p>
      <w:pPr>
        <w:spacing w:after="0" w:line="177" w:lineRule="exact"/>
        <w:rPr>
          <w:rFonts w:ascii="Times New Roman" w:cs="Times New Roman" w:eastAsia="Times New Roman" w:hAnsi="Times New Roman"/>
          <w:sz w:val="21"/>
          <w:szCs w:val="21"/>
          <w:color w:val="auto"/>
        </w:rPr>
      </w:pPr>
    </w:p>
    <w:p>
      <w:pPr>
        <w:jc w:val="both"/>
        <w:ind w:left="640" w:firstLine="622"/>
        <w:spacing w:after="0" w:line="216" w:lineRule="auto"/>
        <w:tabs>
          <w:tab w:leader="none" w:pos="1893"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w:t>
      </w:r>
      <w:r>
        <w:rPr>
          <w:rFonts w:ascii="Times New Roman" w:cs="Times New Roman" w:eastAsia="Times New Roman" w:hAnsi="Times New Roman"/>
          <w:sz w:val="21"/>
          <w:szCs w:val="21"/>
          <w:color w:val="auto"/>
        </w:rPr>
        <w:t>. The following statements shall be true and Administrative Agent shall have received a certificate dated as of the Closing Date signed by a duly authorized signatory of Borrower stating, to the best of the certifying party’s knowledge, the following:</w:t>
      </w:r>
    </w:p>
    <w:p>
      <w:pPr>
        <w:ind w:left="1260" w:firstLine="631"/>
        <w:spacing w:after="0" w:line="228" w:lineRule="auto"/>
        <w:tabs>
          <w:tab w:leader="none" w:pos="2514" w:val="left"/>
        </w:tabs>
        <w:numPr>
          <w:ilvl w:val="1"/>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representations and warranties contained in this Agreement and in each of the other Loan Documents are true and correct on and as of the Closing Date as though made on and as of such date, and</w:t>
      </w:r>
    </w:p>
    <w:p>
      <w:pPr>
        <w:spacing w:after="0" w:line="145" w:lineRule="exact"/>
        <w:rPr>
          <w:rFonts w:ascii="Times New Roman" w:cs="Times New Roman" w:eastAsia="Times New Roman" w:hAnsi="Times New Roman"/>
          <w:sz w:val="21"/>
          <w:szCs w:val="21"/>
          <w:color w:val="auto"/>
        </w:rPr>
      </w:pPr>
    </w:p>
    <w:p>
      <w:pPr>
        <w:ind w:left="2520" w:hanging="629"/>
        <w:spacing w:after="0"/>
        <w:tabs>
          <w:tab w:leader="none" w:pos="2520" w:val="left"/>
        </w:tabs>
        <w:numPr>
          <w:ilvl w:val="1"/>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has occurred and is continuing;</w:t>
      </w:r>
    </w:p>
    <w:p>
      <w:pPr>
        <w:spacing w:after="0" w:line="177"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Certificate</w:t>
      </w:r>
      <w:r>
        <w:rPr>
          <w:rFonts w:ascii="Times New Roman" w:cs="Times New Roman" w:eastAsia="Times New Roman" w:hAnsi="Times New Roman"/>
          <w:sz w:val="21"/>
          <w:szCs w:val="21"/>
          <w:color w:val="auto"/>
        </w:rPr>
        <w:t>. A certificate of the sort required by paragraph (3) of Section 6.09;</w:t>
      </w:r>
    </w:p>
    <w:p>
      <w:pPr>
        <w:spacing w:after="0" w:line="177"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Evidence of the insurance described in Section 5.17; and</w:t>
      </w:r>
    </w:p>
    <w:p>
      <w:pPr>
        <w:spacing w:after="0" w:line="177" w:lineRule="exact"/>
        <w:rPr>
          <w:rFonts w:ascii="Times New Roman" w:cs="Times New Roman" w:eastAsia="Times New Roman" w:hAnsi="Times New Roman"/>
          <w:sz w:val="21"/>
          <w:szCs w:val="21"/>
          <w:color w:val="auto"/>
        </w:rPr>
      </w:pPr>
    </w:p>
    <w:p>
      <w:pPr>
        <w:jc w:val="both"/>
        <w:ind w:left="640" w:firstLine="622"/>
        <w:spacing w:after="0" w:line="216" w:lineRule="auto"/>
        <w:tabs>
          <w:tab w:leader="none" w:pos="1893"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KYC Information</w:t>
      </w:r>
      <w:r>
        <w:rPr>
          <w:rFonts w:ascii="Times New Roman" w:cs="Times New Roman" w:eastAsia="Times New Roman" w:hAnsi="Times New Roman"/>
          <w:sz w:val="21"/>
          <w:szCs w:val="21"/>
          <w:color w:val="auto"/>
        </w:rPr>
        <w:t>. (A) The Administrative Agent and the Banks shall have received all documentation and other information about the Borrower as shall have been reasonably requested by the Administrative Agent or such Bank that it shall have reasonably determined is required by regulatory authorities under applicable “know your customer” and anti-money laundering rules and regulations and (B) to the extent the Borrower qualifies as a “legal entity customer” under the Beneficial Ownership Regulation, at least five days prior to the Closing Date, any Bank that has requested, in a written notice to the Borrower at least 10 days prior to the Closing Date, a Beneficial Ownership Certification in relation to the Borrower shall have received such Beneficial Ownership Certification (provided that, upon the execution and delivery by such Bank of its signature page to this Agreement, the condition set forth in this clause (B) shall be deemed to be satisfied).</w:t>
      </w:r>
    </w:p>
    <w:p>
      <w:pPr>
        <w:spacing w:after="0" w:line="148"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4.02. </w:t>
      </w:r>
      <w:r>
        <w:rPr>
          <w:rFonts w:ascii="Times New Roman" w:cs="Times New Roman" w:eastAsia="Times New Roman" w:hAnsi="Times New Roman"/>
          <w:sz w:val="21"/>
          <w:szCs w:val="21"/>
          <w:u w:val="single" w:color="auto"/>
          <w:color w:val="auto"/>
        </w:rPr>
        <w:t>Conditions Precedent to Advances After the Initial Advance.</w:t>
      </w:r>
      <w:r>
        <w:rPr>
          <w:rFonts w:ascii="Times New Roman" w:cs="Times New Roman" w:eastAsia="Times New Roman" w:hAnsi="Times New Roman"/>
          <w:sz w:val="21"/>
          <w:szCs w:val="21"/>
          <w:color w:val="auto"/>
        </w:rPr>
        <w:t xml:space="preserve"> The obligation of each Bank to make any advance of the Loans or issue, renew or increase the amount of any Letter of Credit subsequent to the Initial Advance shall be subject to satisfaction of the following conditions precedent:</w:t>
      </w:r>
    </w:p>
    <w:p>
      <w:pPr>
        <w:spacing w:after="0" w:line="147" w:lineRule="exact"/>
        <w:rPr>
          <w:sz w:val="20"/>
          <w:szCs w:val="20"/>
          <w:color w:val="auto"/>
        </w:rPr>
      </w:pPr>
    </w:p>
    <w:p>
      <w:pPr>
        <w:ind w:left="1880" w:hanging="618"/>
        <w:spacing w:after="0"/>
        <w:tabs>
          <w:tab w:leader="none" w:pos="1880"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have occurred and be continuing;</w:t>
      </w:r>
    </w:p>
    <w:p>
      <w:pPr>
        <w:spacing w:after="0" w:line="177" w:lineRule="exact"/>
        <w:rPr>
          <w:rFonts w:ascii="Times New Roman" w:cs="Times New Roman" w:eastAsia="Times New Roman" w:hAnsi="Times New Roman"/>
          <w:sz w:val="21"/>
          <w:szCs w:val="21"/>
          <w:color w:val="auto"/>
        </w:rPr>
      </w:pPr>
    </w:p>
    <w:p>
      <w:pPr>
        <w:jc w:val="both"/>
        <w:ind w:left="640" w:firstLine="622"/>
        <w:spacing w:after="0" w:line="217" w:lineRule="auto"/>
        <w:tabs>
          <w:tab w:leader="none" w:pos="1893"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representations and warranties of Borrower contained in this Agreement and in each of the other Loan Documents shall be true and correct in all material respects (or in the case of any representation or warranty that is qualified as to “materiality”, “Material Adverse Change” or similar language, in all respects) as of the date of the advance, issuance, renewal or increase, except (i) for any representation or warranty that expressly relates to an earlier date, in which case such representation or warranty was true and correct in all material respects (or, in the case of any representation or warranty that is qualified as to “materiality”, “Material Adverse Change” or similar language, in all respects) as of such earlier date and (ii) to the extent of any changes (x)</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66</w:t>
      </w:r>
    </w:p>
    <w:p>
      <w:pPr>
        <w:sectPr>
          <w:pgSz w:w="11900" w:h="16838" w:orient="portrait"/>
          <w:cols w:equalWidth="0" w:num="1">
            <w:col w:w="11240"/>
          </w:cols>
          <w:pgMar w:left="320" w:top="1440" w:right="339" w:bottom="1440" w:gutter="0" w:footer="0" w:header="0"/>
        </w:sectPr>
      </w:pPr>
    </w:p>
    <w:bookmarkStart w:id="499" w:name="page500"/>
    <w:bookmarkEnd w:id="499"/>
    <w:p>
      <w:pPr>
        <w:ind w:left="640"/>
        <w:spacing w:after="0" w:line="241" w:lineRule="auto"/>
        <w:rPr>
          <w:sz w:val="20"/>
          <w:szCs w:val="20"/>
          <w:color w:val="auto"/>
        </w:rPr>
      </w:pPr>
      <w:r>
        <w:rPr>
          <w:rFonts w:ascii="Times New Roman" w:cs="Times New Roman" w:eastAsia="Times New Roman" w:hAnsi="Times New Roman"/>
          <w:sz w:val="21"/>
          <w:szCs w:val="21"/>
          <w:color w:val="auto"/>
        </w:rPr>
        <w:t>resulting from transactions contemplated by this Agreement, (y) resulting from transactions and occurrences not prohibited by this Agreement and (z) occurring in the ordinary course of business; and</w:t>
      </w:r>
    </w:p>
    <w:p>
      <w:pPr>
        <w:spacing w:after="0" w:line="144" w:lineRule="exact"/>
        <w:rPr>
          <w:sz w:val="20"/>
          <w:szCs w:val="20"/>
          <w:color w:val="auto"/>
        </w:rPr>
      </w:pPr>
    </w:p>
    <w:p>
      <w:pPr>
        <w:ind w:left="1880" w:hanging="618"/>
        <w:spacing w:after="0"/>
        <w:tabs>
          <w:tab w:leader="none" w:pos="1880" w:val="left"/>
        </w:tabs>
        <w:numPr>
          <w:ilvl w:val="0"/>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Administrative Agent shall have received a request for an advance in accordance with Section 2.05.</w:t>
      </w:r>
    </w:p>
    <w:p>
      <w:pPr>
        <w:spacing w:after="0" w:line="178" w:lineRule="exact"/>
        <w:rPr>
          <w:sz w:val="20"/>
          <w:szCs w:val="20"/>
          <w:color w:val="auto"/>
        </w:rPr>
      </w:pPr>
    </w:p>
    <w:p>
      <w:pPr>
        <w:jc w:val="both"/>
        <w:ind w:firstLine="629"/>
        <w:spacing w:after="0" w:line="210" w:lineRule="auto"/>
        <w:rPr>
          <w:sz w:val="20"/>
          <w:szCs w:val="20"/>
          <w:color w:val="auto"/>
        </w:rPr>
      </w:pPr>
      <w:r>
        <w:rPr>
          <w:rFonts w:ascii="Times New Roman" w:cs="Times New Roman" w:eastAsia="Times New Roman" w:hAnsi="Times New Roman"/>
          <w:sz w:val="21"/>
          <w:szCs w:val="21"/>
          <w:color w:val="auto"/>
        </w:rPr>
        <w:t xml:space="preserve">SECTION 4.03. </w:t>
      </w:r>
      <w:r>
        <w:rPr>
          <w:rFonts w:ascii="Times New Roman" w:cs="Times New Roman" w:eastAsia="Times New Roman" w:hAnsi="Times New Roman"/>
          <w:sz w:val="21"/>
          <w:szCs w:val="21"/>
          <w:u w:val="single" w:color="auto"/>
          <w:color w:val="auto"/>
        </w:rPr>
        <w:t>Deemed Representations.</w:t>
      </w:r>
      <w:r>
        <w:rPr>
          <w:rFonts w:ascii="Times New Roman" w:cs="Times New Roman" w:eastAsia="Times New Roman" w:hAnsi="Times New Roman"/>
          <w:sz w:val="21"/>
          <w:szCs w:val="21"/>
          <w:color w:val="auto"/>
        </w:rPr>
        <w:t xml:space="preserve"> Each request by Borrower for, and acceptance by Borrower of, an advance of proceeds of the Loans or the issuance, renewal or increase of any Letter of Credit, shall constitute a representation and warranty by Borrower that, as of both the date of such request and the date of such advance, issuance, renewal or increase (1) no Default or Event of Default has occurred and is continuing as of the date of such advance, issuance, renewal or increase, and (2) each of the representations and warranties by Borrower contained in this Agreement and in each of the other Loan Documents is true and correct in all material respects (or in the case of any representation or warranty that is qualified as to “materiality”, “Material Adverse Change” or similar language, in all respects) on and as of such date with the same effect as if made on and as of such date, except (i) for any representation or warranty that expressly relates to an earlier date, in which case such representation or warranty was true and correct in all material respects (or, in the case of any representation or warranty that is qualified as to “materiality”, “Material Adverse Change” or similar language, in all respects) as of such earlier date and (ii) to the extent of any changes (x) resulting from transactions contemplated by this Agreement, (y) resulting from transactions and occurrences not prohibited by this Agreement and</w:t>
      </w:r>
    </w:p>
    <w:p>
      <w:pPr>
        <w:spacing w:after="0" w:line="5" w:lineRule="exact"/>
        <w:rPr>
          <w:sz w:val="20"/>
          <w:szCs w:val="20"/>
          <w:color w:val="auto"/>
        </w:rPr>
      </w:pPr>
    </w:p>
    <w:p>
      <w:pPr>
        <w:jc w:val="both"/>
        <w:ind w:firstLine="5"/>
        <w:spacing w:after="0" w:line="221" w:lineRule="auto"/>
        <w:tabs>
          <w:tab w:leader="none" w:pos="294" w:val="left"/>
        </w:tabs>
        <w:numPr>
          <w:ilvl w:val="0"/>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occurring in the ordinary course of business. In addition, the request by Borrower for, and acceptance by Borrower of, the Initial Advance shall constitute a representation and warranty by Borrower that, as of the Closing Date, each certificate delivered pursuant to Section 4.01 is true and correct in all material respects.</w:t>
      </w:r>
    </w:p>
    <w:p>
      <w:pPr>
        <w:spacing w:after="0" w:line="14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V</w:t>
      </w:r>
    </w:p>
    <w:p>
      <w:pPr>
        <w:spacing w:after="0" w:line="17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REPRESENTATIONS AND WARRANTIES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Borrower represents and warrants to Administrative Agent and each Bank as follows:</w:t>
      </w:r>
    </w:p>
    <w:p>
      <w:pPr>
        <w:spacing w:after="0" w:line="151" w:lineRule="exact"/>
        <w:rPr>
          <w:sz w:val="20"/>
          <w:szCs w:val="20"/>
          <w:color w:val="auto"/>
        </w:rPr>
      </w:pPr>
    </w:p>
    <w:p>
      <w:pPr>
        <w:jc w:val="both"/>
        <w:ind w:firstLine="629"/>
        <w:spacing w:after="0" w:line="214" w:lineRule="auto"/>
        <w:rPr>
          <w:sz w:val="20"/>
          <w:szCs w:val="20"/>
          <w:color w:val="auto"/>
        </w:rPr>
      </w:pPr>
      <w:r>
        <w:rPr>
          <w:rFonts w:ascii="Times New Roman" w:cs="Times New Roman" w:eastAsia="Times New Roman" w:hAnsi="Times New Roman"/>
          <w:sz w:val="21"/>
          <w:szCs w:val="21"/>
          <w:color w:val="auto"/>
        </w:rPr>
        <w:t xml:space="preserve">SECTION 5.01. </w:t>
      </w:r>
      <w:r>
        <w:rPr>
          <w:rFonts w:ascii="Times New Roman" w:cs="Times New Roman" w:eastAsia="Times New Roman" w:hAnsi="Times New Roman"/>
          <w:sz w:val="21"/>
          <w:szCs w:val="21"/>
          <w:u w:val="single" w:color="auto"/>
          <w:color w:val="auto"/>
        </w:rPr>
        <w:t>Existence.</w:t>
      </w:r>
      <w:r>
        <w:rPr>
          <w:rFonts w:ascii="Times New Roman" w:cs="Times New Roman" w:eastAsia="Times New Roman" w:hAnsi="Times New Roman"/>
          <w:sz w:val="21"/>
          <w:szCs w:val="21"/>
          <w:color w:val="auto"/>
        </w:rPr>
        <w:t xml:space="preserve"> Borrower is a limited partnership duly organized and existing under the laws of the State of Delaware, with its principal executive office in the State of New York, and is duly qualified as a foreign limited partnership, properly licensed, in good standing and has all requisite authority to conduct its business in each jurisdiction in which it owns properties or conducts business except where the failure to be so qualified or to obtain such authority would not constitute a Material Adverse Change. Each of its Consolidated Businesses is duly organized, validly existing and in good standing under the laws of its jurisdiction of organization and has all requisite authority to conduct its business in each jurisdiction in which it owns property or conducts business, except where the failure to be so qualified or to obtain such authority would not constitute a Material Adverse Change. General Partner is a REIT duly organized and existing under the laws of the State of Maryland, with its principal executive office in the State of New York, is duly qualified as a foreign corporation or trust and properly licensed and in good standing in each jurisdiction where the failure to qualify or be licensed would constitute a Material Adverse Change. The common shares of beneficial interest of General Partner are listed on the New York Stock Exchange.</w:t>
      </w:r>
    </w:p>
    <w:p>
      <w:pPr>
        <w:spacing w:after="0" w:line="146" w:lineRule="exact"/>
        <w:rPr>
          <w:sz w:val="20"/>
          <w:szCs w:val="20"/>
          <w:color w:val="auto"/>
        </w:rPr>
      </w:pPr>
    </w:p>
    <w:p>
      <w:pPr>
        <w:jc w:val="both"/>
        <w:ind w:firstLine="629"/>
        <w:spacing w:after="0" w:line="221" w:lineRule="auto"/>
        <w:rPr>
          <w:sz w:val="20"/>
          <w:szCs w:val="20"/>
          <w:color w:val="auto"/>
        </w:rPr>
      </w:pPr>
      <w:r>
        <w:rPr>
          <w:rFonts w:ascii="Times New Roman" w:cs="Times New Roman" w:eastAsia="Times New Roman" w:hAnsi="Times New Roman"/>
          <w:sz w:val="21"/>
          <w:szCs w:val="21"/>
          <w:color w:val="auto"/>
        </w:rPr>
        <w:t xml:space="preserve">SECTION 5.02. </w:t>
      </w:r>
      <w:r>
        <w:rPr>
          <w:rFonts w:ascii="Times New Roman" w:cs="Times New Roman" w:eastAsia="Times New Roman" w:hAnsi="Times New Roman"/>
          <w:sz w:val="21"/>
          <w:szCs w:val="21"/>
          <w:u w:val="single" w:color="auto"/>
          <w:color w:val="auto"/>
        </w:rPr>
        <w:t>Corporate/Partnership Powers.</w:t>
      </w:r>
      <w:r>
        <w:rPr>
          <w:rFonts w:ascii="Times New Roman" w:cs="Times New Roman" w:eastAsia="Times New Roman" w:hAnsi="Times New Roman"/>
          <w:sz w:val="21"/>
          <w:szCs w:val="21"/>
          <w:color w:val="auto"/>
        </w:rPr>
        <w:t xml:space="preserve"> The execution, delivery and performance of this Agreement and the other Loan Documents required to be delivered by Borrower hereunder are within its partnership authority, have been duly authorized by all requisite action, and are not in conflict with the terms of any organizational documents of such entity, or any instrument or agreement to which Borrower or General Partner is a party or by which Borrower, General Partner or any of their respective assets may be bound or affected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67</w:t>
      </w:r>
    </w:p>
    <w:p>
      <w:pPr>
        <w:sectPr>
          <w:pgSz w:w="11900" w:h="16838" w:orient="portrait"/>
          <w:cols w:equalWidth="0" w:num="1">
            <w:col w:w="11240"/>
          </w:cols>
          <w:pgMar w:left="320" w:top="1225" w:right="33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21"/>
          <w:szCs w:val="21"/>
          <w:color w:val="auto"/>
        </w:rPr>
        <w:t>(which conflict with any such instrument or agreement would likely cause a Material Adverse Change).</w:t>
      </w:r>
    </w:p>
    <w:p>
      <w:pPr>
        <w:spacing w:after="0" w:line="178"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5.03. </w:t>
      </w:r>
      <w:r>
        <w:rPr>
          <w:rFonts w:ascii="Times New Roman" w:cs="Times New Roman" w:eastAsia="Times New Roman" w:hAnsi="Times New Roman"/>
          <w:sz w:val="21"/>
          <w:szCs w:val="21"/>
          <w:u w:val="single" w:color="auto"/>
          <w:color w:val="auto"/>
        </w:rPr>
        <w:t>Power of Officers.</w:t>
      </w:r>
      <w:r>
        <w:rPr>
          <w:rFonts w:ascii="Times New Roman" w:cs="Times New Roman" w:eastAsia="Times New Roman" w:hAnsi="Times New Roman"/>
          <w:sz w:val="21"/>
          <w:szCs w:val="21"/>
          <w:color w:val="auto"/>
        </w:rPr>
        <w:t xml:space="preserve"> The officers of General Partner executing the Loan Documents required to be delivered by it on behalf of Borrower hereunder have been duly elected or appointed and were fully authorized to execute the same at the time each such Loan Document was executed.</w:t>
      </w:r>
    </w:p>
    <w:p>
      <w:pPr>
        <w:spacing w:after="0" w:line="173"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5.04. </w:t>
      </w:r>
      <w:r>
        <w:rPr>
          <w:rFonts w:ascii="Times New Roman" w:cs="Times New Roman" w:eastAsia="Times New Roman" w:hAnsi="Times New Roman"/>
          <w:sz w:val="21"/>
          <w:szCs w:val="21"/>
          <w:u w:val="single" w:color="auto"/>
          <w:color w:val="auto"/>
        </w:rPr>
        <w:t>Power and Authority; No Conflicts: Compliance With Laws.</w:t>
      </w:r>
      <w:r>
        <w:rPr>
          <w:rFonts w:ascii="Times New Roman" w:cs="Times New Roman" w:eastAsia="Times New Roman" w:hAnsi="Times New Roman"/>
          <w:sz w:val="21"/>
          <w:szCs w:val="21"/>
          <w:color w:val="auto"/>
        </w:rPr>
        <w:t xml:space="preserve"> The execution and delivery of, and the performance of the obligations required to be performed by Borrower under, the Loan Documents do not and will not (a) violate any provision of, or, except for those which have been made or obtained, require any filing (other than SEC disclosure filings), registration, consent or approval under, any Law (including, without limitation, Regulation U), order, writ, judgment, injunction, decree, determination or award presently in effect having applicability to it, except for such violations, or filings, registrations, consents and approvals which if not done or obtained would not likely cause a Material Adverse Change to occur, (b) result in a breach of or constitute a default under or require any consent under any indenture or loan or credit agreement or any other agreement, lease or instrument to which it may be a party or by which it or its properties may be bound or affected except for consents which have been obtained or which if not obtained are not likely to cause a Material Adverse Change to occur, (c) result in, or require, the creation or imposition of any Lien, upon or with respect to any of its properties now owned or hereafter acquired which would likely cause a Material Adverse Change to occur, or (d) cause it to be in default under any such Law, order, writ, judgment, injunction, decree, determination or award or any such indenture, agreement, lease or instrument which would likely cause a Material Adverse Change to occur; to the best of its knowledge, Borrower is in compliance with all Laws applicable to it and its properties where the failure to be in compliance would cause a Material Adverse Change to occur.</w:t>
      </w:r>
    </w:p>
    <w:p>
      <w:pPr>
        <w:spacing w:after="0" w:line="183"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5.05. </w:t>
      </w:r>
      <w:r>
        <w:rPr>
          <w:rFonts w:ascii="Times New Roman" w:cs="Times New Roman" w:eastAsia="Times New Roman" w:hAnsi="Times New Roman"/>
          <w:sz w:val="21"/>
          <w:szCs w:val="21"/>
          <w:u w:val="single" w:color="auto"/>
          <w:color w:val="auto"/>
        </w:rPr>
        <w:t>Legally Enforceable Agreements.</w:t>
      </w:r>
      <w:r>
        <w:rPr>
          <w:rFonts w:ascii="Times New Roman" w:cs="Times New Roman" w:eastAsia="Times New Roman" w:hAnsi="Times New Roman"/>
          <w:sz w:val="21"/>
          <w:szCs w:val="21"/>
          <w:color w:val="auto"/>
        </w:rPr>
        <w:t xml:space="preserve"> Each Loan Document is a legal, valid and binding obligation of Borrower, enforceable in accordance with its terms, except to the extent that such enforcement may be limited by applicable bankruptcy, insolvency and other similar laws affecting creditors’ rights generally, as well as general principles of equity and an implied covenant of good faith and fair dealing.</w:t>
      </w:r>
    </w:p>
    <w:p>
      <w:pPr>
        <w:spacing w:after="0" w:line="164"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21"/>
          <w:szCs w:val="21"/>
          <w:color w:val="auto"/>
        </w:rPr>
        <w:t xml:space="preserve">SECTION 5.06. </w:t>
      </w: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xml:space="preserve"> Except as disclosed in General Partner’s SEC Reports existing as of the date hereof, there are no investigations, actions, suits or proceedings pending or, to its knowledge, threatened against Borrower, General Partner or any of their Affiliates before any court or arbitrator or any Governmental Authority reasonably likely to (i) have a material effect 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68</w:t>
      </w:r>
    </w:p>
    <w:p>
      <w:pPr>
        <w:sectPr>
          <w:pgSz w:w="11900" w:h="16838" w:orient="portrait"/>
          <w:cols w:equalWidth="0" w:num="1">
            <w:col w:w="11240"/>
          </w:cols>
          <w:pgMar w:left="320" w:top="1225" w:right="339" w:bottom="1440" w:gutter="0" w:footer="0" w:header="0"/>
        </w:sectPr>
      </w:pPr>
    </w:p>
    <w:bookmarkStart w:id="501" w:name="page502"/>
    <w:bookmarkEnd w:id="501"/>
    <w:p>
      <w:pPr>
        <w:jc w:val="both"/>
        <w:spacing w:after="0" w:line="241" w:lineRule="auto"/>
        <w:rPr>
          <w:sz w:val="20"/>
          <w:szCs w:val="20"/>
          <w:color w:val="auto"/>
        </w:rPr>
      </w:pPr>
      <w:r>
        <w:rPr>
          <w:rFonts w:ascii="Times New Roman" w:cs="Times New Roman" w:eastAsia="Times New Roman" w:hAnsi="Times New Roman"/>
          <w:sz w:val="21"/>
          <w:szCs w:val="21"/>
          <w:color w:val="auto"/>
        </w:rPr>
        <w:t>Borrower’s ability to repay the Loans, (ii) result in a Material Adverse Change, or (iii) affect the validity or enforceability of any Loan Document.</w:t>
      </w:r>
    </w:p>
    <w:p>
      <w:pPr>
        <w:spacing w:after="0" w:line="170" w:lineRule="exact"/>
        <w:rPr>
          <w:sz w:val="20"/>
          <w:szCs w:val="20"/>
          <w:color w:val="auto"/>
        </w:rPr>
      </w:pPr>
    </w:p>
    <w:p>
      <w:pPr>
        <w:jc w:val="both"/>
        <w:ind w:firstLine="629"/>
        <w:spacing w:after="0" w:line="254" w:lineRule="auto"/>
        <w:rPr>
          <w:sz w:val="20"/>
          <w:szCs w:val="20"/>
          <w:color w:val="auto"/>
        </w:rPr>
      </w:pPr>
      <w:r>
        <w:rPr>
          <w:rFonts w:ascii="Times New Roman" w:cs="Times New Roman" w:eastAsia="Times New Roman" w:hAnsi="Times New Roman"/>
          <w:sz w:val="21"/>
          <w:szCs w:val="21"/>
          <w:color w:val="auto"/>
        </w:rPr>
        <w:t xml:space="preserve">SECTION 5.07. </w:t>
      </w:r>
      <w:r>
        <w:rPr>
          <w:rFonts w:ascii="Times New Roman" w:cs="Times New Roman" w:eastAsia="Times New Roman" w:hAnsi="Times New Roman"/>
          <w:sz w:val="21"/>
          <w:szCs w:val="21"/>
          <w:u w:val="single" w:color="auto"/>
          <w:color w:val="auto"/>
        </w:rPr>
        <w:t>Good Title to Properties.</w:t>
      </w:r>
      <w:r>
        <w:rPr>
          <w:rFonts w:ascii="Times New Roman" w:cs="Times New Roman" w:eastAsia="Times New Roman" w:hAnsi="Times New Roman"/>
          <w:sz w:val="21"/>
          <w:szCs w:val="21"/>
          <w:color w:val="auto"/>
        </w:rPr>
        <w:t xml:space="preserve"> Borrower and each of its Material Affiliates have good, marketable and legal title to all of the properties and assets each of them purports to own (including, without limitation, those reflected in the financial statements referred to in Sections 4.01(3) and 5.15 and only with exceptions which do not materially detract from the value of such property or assets or the use thereof in Borrower’s and such Affiliate’s businesses, and except to the extent that any such properties and assets have been encumbered or disposed of since the date of such financial statements without violating any of the covenants contained in Article VII or elsewhere in this Agreement) except where failure to comply with the foregoing would not likely result in a Material Adverse Change. Borrower and its Material Affiliates enjoy peaceful and undisturbed possession of all leased property under leases which are valid and subsisting and are in full force and effect, except to the extent that the failure to be so would not likely result in a Material Adverse Change.</w:t>
      </w:r>
    </w:p>
    <w:p>
      <w:pPr>
        <w:spacing w:after="0" w:line="175" w:lineRule="exact"/>
        <w:rPr>
          <w:sz w:val="20"/>
          <w:szCs w:val="20"/>
          <w:color w:val="auto"/>
        </w:rPr>
      </w:pPr>
    </w:p>
    <w:p>
      <w:pPr>
        <w:jc w:val="both"/>
        <w:ind w:firstLine="629"/>
        <w:spacing w:after="0" w:line="262" w:lineRule="auto"/>
        <w:rPr>
          <w:sz w:val="20"/>
          <w:szCs w:val="20"/>
          <w:color w:val="auto"/>
        </w:rPr>
      </w:pPr>
      <w:r>
        <w:rPr>
          <w:rFonts w:ascii="Times New Roman" w:cs="Times New Roman" w:eastAsia="Times New Roman" w:hAnsi="Times New Roman"/>
          <w:sz w:val="21"/>
          <w:szCs w:val="21"/>
          <w:color w:val="auto"/>
        </w:rPr>
        <w:t xml:space="preserve">SECTION 5.08.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xml:space="preserve"> Borrower has filed all tax returns (federal, state and local) required to be filed and has paid all taxes, assessments and governmental charges and levies due and payable without the imposition of a penalty, including interest and penalties, except to the extent they are the subject of a Good Faith Contest or where the failure to comply with the foregoing would not likely result in a Material Adverse Change.</w:t>
      </w:r>
    </w:p>
    <w:p>
      <w:pPr>
        <w:spacing w:after="0" w:line="164"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5.09. </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xml:space="preserve"> To the knowledge of Borrower, each Plan is in compliance in all material respects with its terms and all applicable provisions of ERISA. Neither a Reportable Event nor a Prohibited Transaction has occurred with respect to any Plan that, assuming the taxable period of the transaction expired as of the date hereof, could subject Borrower, General Partner or any ERISA Affiliate to a tax or penalty imposed under Section 4975 of the Code or Section 502(i) of ERISA in an amount that would reasonably be expected to result in a Material Adverse Change; except as would not likely result in a Material Adverse Change, no Reportable Event has occurred with respect to any Plan within the last six (6) years; except as would not likely result in a Material Adverse Change, no notice of intent to terminate a Plan has been filed nor has any Plan been terminated within the past five (5) years; to the knowledge of Borrower, there are no circumstances which constitute grounds under Section 4042 of ERISA entitling the PBGC to institute proceedings to terminate, or appoint a trustee to administer, a Plan, nor has the PBGC instituted any such proceedings; except as would not likely result in a Material Adverse Change, Borrower, General Partner and the ERISA Affiliates have met the minimum funding requirements of Section 412 of the Code and Section 302 of ERISA with respect to the Plans of each and except as disclosed in the Borrower’s Consolidated Financial Statements there was no Unfunded Current Liability with respect to any Plan established or maintained by each as of the last day of the most recent plan year of each Plan; and except as would not likely result in a Material Adverse Change, Borrower, General Partner and the ERISA Affiliates have not incurred any liability to the PBGC under ERISA (other than for the payment of premiums under Section 4007 of ERISA) which is due and payable for more than 45 days and has not been reserved against. None of the assets of Borrower or General Partner under this Agreement constitute “plan assets” (within the meaning of C.F.R. §2510.3-101, as modified by Section 3(42) of ERISA) of any “employee benefit plan” within the meaning of ERISA or of any “plan” within the meaning of Section 4975(e)(1) of the Code.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69</w:t>
      </w:r>
    </w:p>
    <w:p>
      <w:pPr>
        <w:sectPr>
          <w:pgSz w:w="11900" w:h="16838" w:orient="portrait"/>
          <w:cols w:equalWidth="0" w:num="1">
            <w:col w:w="11240"/>
          </w:cols>
          <w:pgMar w:left="320" w:top="1225" w:right="339" w:bottom="1440" w:gutter="0" w:footer="0" w:header="0"/>
        </w:sectPr>
      </w:pPr>
    </w:p>
    <w:bookmarkStart w:id="502" w:name="page503"/>
    <w:bookmarkEnd w:id="502"/>
    <w:p>
      <w:pPr>
        <w:spacing w:after="0" w:line="21" w:lineRule="exact"/>
        <w:rPr>
          <w:sz w:val="20"/>
          <w:szCs w:val="20"/>
          <w:color w:val="auto"/>
        </w:rPr>
      </w:pPr>
    </w:p>
    <w:p>
      <w:pPr>
        <w:jc w:val="both"/>
        <w:ind w:firstLine="629"/>
        <w:spacing w:after="0" w:line="221" w:lineRule="auto"/>
        <w:rPr>
          <w:sz w:val="20"/>
          <w:szCs w:val="20"/>
          <w:color w:val="auto"/>
        </w:rPr>
      </w:pPr>
      <w:r>
        <w:rPr>
          <w:rFonts w:ascii="Times New Roman" w:cs="Times New Roman" w:eastAsia="Times New Roman" w:hAnsi="Times New Roman"/>
          <w:sz w:val="21"/>
          <w:szCs w:val="21"/>
          <w:color w:val="auto"/>
        </w:rPr>
        <w:t xml:space="preserve">SECTION 5.10. </w:t>
      </w:r>
      <w:r>
        <w:rPr>
          <w:rFonts w:ascii="Times New Roman" w:cs="Times New Roman" w:eastAsia="Times New Roman" w:hAnsi="Times New Roman"/>
          <w:sz w:val="21"/>
          <w:szCs w:val="21"/>
          <w:u w:val="single" w:color="auto"/>
          <w:color w:val="auto"/>
        </w:rPr>
        <w:t>No Default on Outstanding Judgments or Orders.</w:t>
      </w:r>
      <w:r>
        <w:rPr>
          <w:rFonts w:ascii="Times New Roman" w:cs="Times New Roman" w:eastAsia="Times New Roman" w:hAnsi="Times New Roman"/>
          <w:sz w:val="21"/>
          <w:szCs w:val="21"/>
          <w:color w:val="auto"/>
        </w:rPr>
        <w:t xml:space="preserve"> Borrower has satisfied all judgments which are not being appealed and is not in default with respect to any rule or regulation or any judgment, order, writ, injunction or decree applicable to Borrower, of any court, arbitrator or federal, state, municipal or other Governmental Authority, commission, board, bureau, agency or instrumentality, domestic or foreign, in each case which failure to satisfy or which being in default is likely to result in a Material Adverse Change.</w:t>
      </w:r>
    </w:p>
    <w:p>
      <w:pPr>
        <w:spacing w:after="0" w:line="146" w:lineRule="exact"/>
        <w:rPr>
          <w:sz w:val="20"/>
          <w:szCs w:val="20"/>
          <w:color w:val="auto"/>
        </w:rPr>
      </w:pPr>
    </w:p>
    <w:p>
      <w:pPr>
        <w:jc w:val="both"/>
        <w:ind w:firstLine="629"/>
        <w:spacing w:after="0" w:line="219" w:lineRule="auto"/>
        <w:rPr>
          <w:sz w:val="20"/>
          <w:szCs w:val="20"/>
          <w:color w:val="auto"/>
        </w:rPr>
      </w:pPr>
      <w:r>
        <w:rPr>
          <w:rFonts w:ascii="Times New Roman" w:cs="Times New Roman" w:eastAsia="Times New Roman" w:hAnsi="Times New Roman"/>
          <w:sz w:val="21"/>
          <w:szCs w:val="21"/>
          <w:color w:val="auto"/>
        </w:rPr>
        <w:t xml:space="preserve">SECTION 5.11. </w:t>
      </w:r>
      <w:r>
        <w:rPr>
          <w:rFonts w:ascii="Times New Roman" w:cs="Times New Roman" w:eastAsia="Times New Roman" w:hAnsi="Times New Roman"/>
          <w:sz w:val="21"/>
          <w:szCs w:val="21"/>
          <w:u w:val="single" w:color="auto"/>
          <w:color w:val="auto"/>
        </w:rPr>
        <w:t>No Defaults on Other Agreements.</w:t>
      </w:r>
      <w:r>
        <w:rPr>
          <w:rFonts w:ascii="Times New Roman" w:cs="Times New Roman" w:eastAsia="Times New Roman" w:hAnsi="Times New Roman"/>
          <w:sz w:val="21"/>
          <w:szCs w:val="21"/>
          <w:color w:val="auto"/>
        </w:rPr>
        <w:t xml:space="preserve"> Except as disclosed to the Bank Parties in writing or as disclosed in General Partner’s SEC Reports existing as of the date hereof, Borrower, to the best of its knowledge, is not a party to any indenture, loan or credit agreement or any lease or other agreement or instrument or subject to any partnership, trust or other restriction which is likely to result in a Material Adverse Change. To the best of its knowledge, Borrower is not in default in any respect in the performance, observance or fulfillment of any of the obligations, covenants or conditions contained in any agreement or instrument which is likely to result in a Material Adverse Change.</w:t>
      </w:r>
    </w:p>
    <w:p>
      <w:pPr>
        <w:spacing w:after="0" w:line="145" w:lineRule="exact"/>
        <w:rPr>
          <w:sz w:val="20"/>
          <w:szCs w:val="20"/>
          <w:color w:val="auto"/>
        </w:rPr>
      </w:pPr>
    </w:p>
    <w:p>
      <w:pPr>
        <w:jc w:val="both"/>
        <w:ind w:firstLine="629"/>
        <w:spacing w:after="0" w:line="241" w:lineRule="auto"/>
        <w:rPr>
          <w:sz w:val="20"/>
          <w:szCs w:val="20"/>
          <w:color w:val="auto"/>
        </w:rPr>
      </w:pPr>
      <w:r>
        <w:rPr>
          <w:rFonts w:ascii="Times New Roman" w:cs="Times New Roman" w:eastAsia="Times New Roman" w:hAnsi="Times New Roman"/>
          <w:sz w:val="21"/>
          <w:szCs w:val="21"/>
          <w:color w:val="auto"/>
        </w:rPr>
        <w:t xml:space="preserve">SECTION 5.12. </w:t>
      </w:r>
      <w:r>
        <w:rPr>
          <w:rFonts w:ascii="Times New Roman" w:cs="Times New Roman" w:eastAsia="Times New Roman" w:hAnsi="Times New Roman"/>
          <w:sz w:val="21"/>
          <w:szCs w:val="21"/>
          <w:u w:val="single" w:color="auto"/>
          <w:color w:val="auto"/>
        </w:rPr>
        <w:t>Government Regulation.</w:t>
      </w:r>
      <w:r>
        <w:rPr>
          <w:rFonts w:ascii="Times New Roman" w:cs="Times New Roman" w:eastAsia="Times New Roman" w:hAnsi="Times New Roman"/>
          <w:sz w:val="21"/>
          <w:szCs w:val="21"/>
          <w:color w:val="auto"/>
        </w:rPr>
        <w:t xml:space="preserve"> Neither Borrower nor General Partner is or is required to be registered as an “investment company”, or subject to regulation, under the Investment Company Act of 1940.</w:t>
      </w:r>
    </w:p>
    <w:p>
      <w:pPr>
        <w:spacing w:after="0" w:line="144" w:lineRule="exact"/>
        <w:rPr>
          <w:sz w:val="20"/>
          <w:szCs w:val="20"/>
          <w:color w:val="auto"/>
        </w:rPr>
      </w:pPr>
    </w:p>
    <w:p>
      <w:pPr>
        <w:jc w:val="both"/>
        <w:ind w:firstLine="629"/>
        <w:spacing w:after="0" w:line="217" w:lineRule="auto"/>
        <w:rPr>
          <w:sz w:val="20"/>
          <w:szCs w:val="20"/>
          <w:color w:val="auto"/>
        </w:rPr>
      </w:pPr>
      <w:r>
        <w:rPr>
          <w:rFonts w:ascii="Times New Roman" w:cs="Times New Roman" w:eastAsia="Times New Roman" w:hAnsi="Times New Roman"/>
          <w:sz w:val="21"/>
          <w:szCs w:val="21"/>
          <w:color w:val="auto"/>
        </w:rPr>
        <w:t xml:space="preserve">SECTION 5.13. </w:t>
      </w:r>
      <w:r>
        <w:rPr>
          <w:rFonts w:ascii="Times New Roman" w:cs="Times New Roman" w:eastAsia="Times New Roman" w:hAnsi="Times New Roman"/>
          <w:sz w:val="21"/>
          <w:szCs w:val="21"/>
          <w:u w:val="single" w:color="auto"/>
          <w:color w:val="auto"/>
        </w:rPr>
        <w:t>Environmental Protection.</w:t>
      </w:r>
      <w:r>
        <w:rPr>
          <w:rFonts w:ascii="Times New Roman" w:cs="Times New Roman" w:eastAsia="Times New Roman" w:hAnsi="Times New Roman"/>
          <w:sz w:val="21"/>
          <w:szCs w:val="21"/>
          <w:color w:val="auto"/>
        </w:rPr>
        <w:t xml:space="preserve"> To Borrower’s knowledge, except as disclosed in General Partner’s SEC Reports existing as of the date hereof, none of Borrower’s or its Affiliates’ properties contains any Hazardous Materials that, under any Environmental Law currently in effect, (1) would impose liability on Borrower that is likely to result in a Material Adverse Change, or (2) is likely to result in the imposition of a Lien on any assets of Borrower or any Material Affiliates that is likely to result in a Material Adverse Change. To Borrower’s knowledge, neither it nor any Material Affiliates are in violation of, or subject to any existing, pending or threatened investigation or proceeding by any Governmental Authority under any Environmental Law that is likely to result in a Material Adverse Change.</w:t>
      </w:r>
    </w:p>
    <w:p>
      <w:pPr>
        <w:spacing w:after="0" w:line="148" w:lineRule="exact"/>
        <w:rPr>
          <w:sz w:val="20"/>
          <w:szCs w:val="20"/>
          <w:color w:val="auto"/>
        </w:rPr>
      </w:pPr>
    </w:p>
    <w:p>
      <w:pPr>
        <w:jc w:val="both"/>
        <w:ind w:firstLine="629"/>
        <w:spacing w:after="0" w:line="241" w:lineRule="auto"/>
        <w:rPr>
          <w:sz w:val="20"/>
          <w:szCs w:val="20"/>
          <w:color w:val="auto"/>
        </w:rPr>
      </w:pPr>
      <w:r>
        <w:rPr>
          <w:rFonts w:ascii="Times New Roman" w:cs="Times New Roman" w:eastAsia="Times New Roman" w:hAnsi="Times New Roman"/>
          <w:sz w:val="21"/>
          <w:szCs w:val="21"/>
          <w:color w:val="auto"/>
        </w:rPr>
        <w:t xml:space="preserve">SECTION 5.14. </w:t>
      </w:r>
      <w:r>
        <w:rPr>
          <w:rFonts w:ascii="Times New Roman" w:cs="Times New Roman" w:eastAsia="Times New Roman" w:hAnsi="Times New Roman"/>
          <w:sz w:val="21"/>
          <w:szCs w:val="21"/>
          <w:u w:val="single" w:color="auto"/>
          <w:color w:val="auto"/>
        </w:rPr>
        <w:t>Solvency.</w:t>
      </w:r>
      <w:r>
        <w:rPr>
          <w:rFonts w:ascii="Times New Roman" w:cs="Times New Roman" w:eastAsia="Times New Roman" w:hAnsi="Times New Roman"/>
          <w:sz w:val="21"/>
          <w:szCs w:val="21"/>
          <w:color w:val="auto"/>
        </w:rPr>
        <w:t xml:space="preserve"> Borrower is, and upon consummation of the transactions contemplated by this Agreement, the other Loan Documents and any other documents, instruments or agreements relating thereto, will be, Solvent.</w:t>
      </w:r>
    </w:p>
    <w:p>
      <w:pPr>
        <w:spacing w:after="0" w:line="144" w:lineRule="exact"/>
        <w:rPr>
          <w:sz w:val="20"/>
          <w:szCs w:val="20"/>
          <w:color w:val="auto"/>
        </w:rPr>
      </w:pPr>
    </w:p>
    <w:p>
      <w:pPr>
        <w:jc w:val="both"/>
        <w:ind w:firstLine="629"/>
        <w:spacing w:after="0" w:line="217" w:lineRule="auto"/>
        <w:rPr>
          <w:sz w:val="20"/>
          <w:szCs w:val="20"/>
          <w:color w:val="auto"/>
        </w:rPr>
      </w:pPr>
      <w:r>
        <w:rPr>
          <w:rFonts w:ascii="Times New Roman" w:cs="Times New Roman" w:eastAsia="Times New Roman" w:hAnsi="Times New Roman"/>
          <w:sz w:val="21"/>
          <w:szCs w:val="21"/>
          <w:color w:val="auto"/>
        </w:rPr>
        <w:t xml:space="preserve">SECTION 5.15.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xml:space="preserve"> Borrower’s Consolidated Financial Statements most recently delivered to the Banks prior to the date of this Agreement are in all material respects complete and fairly present the financial condition and results of operations of the subjects thereof as of the dates of and for the periods covered by such statements, all in accordance with GAAP. There has been no Material Adverse Change since the date of such most recently delivered Borrower’s Consolidated Financial Statements or if any of Borrower’s Consolidated Financial Statements have been delivered pursuant to Section 6.09(1) or (2) subsequent to the date of this Agreement, there has been no Material Adverse Change since the date of Borrower’s Consolidated Financial Statements most recently delivered pursuant to one of such sections.</w:t>
      </w:r>
    </w:p>
    <w:p>
      <w:pPr>
        <w:spacing w:after="0" w:line="148"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5.16. </w:t>
      </w:r>
      <w:r>
        <w:rPr>
          <w:rFonts w:ascii="Times New Roman" w:cs="Times New Roman" w:eastAsia="Times New Roman" w:hAnsi="Times New Roman"/>
          <w:sz w:val="21"/>
          <w:szCs w:val="21"/>
          <w:u w:val="single" w:color="auto"/>
          <w:color w:val="auto"/>
        </w:rPr>
        <w:t>Valid Existence of Affiliates.</w:t>
      </w:r>
      <w:r>
        <w:rPr>
          <w:rFonts w:ascii="Times New Roman" w:cs="Times New Roman" w:eastAsia="Times New Roman" w:hAnsi="Times New Roman"/>
          <w:sz w:val="21"/>
          <w:szCs w:val="21"/>
          <w:color w:val="auto"/>
        </w:rPr>
        <w:t xml:space="preserve"> Each Material Affiliate is an entity duly organized and existing in good standing under the laws of the jurisdiction of its formation. As to each Material Affiliate, its correct name, the jurisdiction of its formation, Borrower’s direct 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70</w:t>
      </w:r>
    </w:p>
    <w:p>
      <w:pPr>
        <w:sectPr>
          <w:pgSz w:w="11900" w:h="16838" w:orient="portrait"/>
          <w:cols w:equalWidth="0" w:num="1">
            <w:col w:w="11240"/>
          </w:cols>
          <w:pgMar w:left="320" w:top="1440" w:right="339" w:bottom="1440" w:gutter="0" w:footer="0" w:header="0"/>
        </w:sectPr>
      </w:pPr>
    </w:p>
    <w:bookmarkStart w:id="503" w:name="page504"/>
    <w:bookmarkEnd w:id="503"/>
    <w:p>
      <w:pPr>
        <w:jc w:val="both"/>
        <w:spacing w:after="0" w:line="219" w:lineRule="auto"/>
        <w:rPr>
          <w:sz w:val="20"/>
          <w:szCs w:val="20"/>
          <w:color w:val="auto"/>
        </w:rPr>
      </w:pPr>
      <w:r>
        <w:rPr>
          <w:rFonts w:ascii="Times New Roman" w:cs="Times New Roman" w:eastAsia="Times New Roman" w:hAnsi="Times New Roman"/>
          <w:sz w:val="21"/>
          <w:szCs w:val="21"/>
          <w:color w:val="auto"/>
        </w:rPr>
        <w:t>indirect percentage of beneficial interest therein, and the type of business in which it is primarily engaged, are set forth on EXHIBIT F. Borrower and each of its Material Affiliates have the power to own their respective properties and to carry on their respective businesses now being conducted. Each Material Affiliate is duly qualified as a foreign corporation to do business and is in good standing in every jurisdiction in which the nature of the respective businesses conducted by it or its respective properties, owned or held under lease, make such qualification necessary and where the failure to be so qualified would likely cause a Material Adverse Change to occur.</w:t>
      </w:r>
    </w:p>
    <w:p>
      <w:pPr>
        <w:spacing w:after="0" w:line="145"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5.17. </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xml:space="preserve"> Each of Borrower and each of its Material Affiliates has in force paid insurance with financially sound and reputable insurance companies or associations in such amounts and covering such risks as are usually carried by companies engaged in the same or a similar business and similarly situated.</w:t>
      </w:r>
    </w:p>
    <w:p>
      <w:pPr>
        <w:spacing w:after="0" w:line="147" w:lineRule="exact"/>
        <w:rPr>
          <w:sz w:val="20"/>
          <w:szCs w:val="20"/>
          <w:color w:val="auto"/>
        </w:rPr>
      </w:pPr>
    </w:p>
    <w:p>
      <w:pPr>
        <w:jc w:val="both"/>
        <w:ind w:firstLine="629"/>
        <w:spacing w:after="0" w:line="213" w:lineRule="auto"/>
        <w:rPr>
          <w:sz w:val="20"/>
          <w:szCs w:val="20"/>
          <w:color w:val="auto"/>
        </w:rPr>
      </w:pPr>
      <w:r>
        <w:rPr>
          <w:rFonts w:ascii="Times New Roman" w:cs="Times New Roman" w:eastAsia="Times New Roman" w:hAnsi="Times New Roman"/>
          <w:sz w:val="21"/>
          <w:szCs w:val="21"/>
          <w:color w:val="auto"/>
        </w:rPr>
        <w:t xml:space="preserve">SECTION 5.18. </w:t>
      </w:r>
      <w:r>
        <w:rPr>
          <w:rFonts w:ascii="Times New Roman" w:cs="Times New Roman" w:eastAsia="Times New Roman" w:hAnsi="Times New Roman"/>
          <w:sz w:val="21"/>
          <w:szCs w:val="21"/>
          <w:u w:val="single" w:color="auto"/>
          <w:color w:val="auto"/>
        </w:rPr>
        <w:t>Accuracy of Information; Full Disclosure</w:t>
      </w:r>
      <w:r>
        <w:rPr>
          <w:rFonts w:ascii="Times New Roman" w:cs="Times New Roman" w:eastAsia="Times New Roman" w:hAnsi="Times New Roman"/>
          <w:sz w:val="21"/>
          <w:szCs w:val="21"/>
          <w:color w:val="auto"/>
        </w:rPr>
        <w:t>. (a) Neither this Agreement nor any documents, financial statements, reports, notices, schedules, certificates, statements or other writings furnished by or on behalf of Borrower to Administrative Agent or any Bank in connection with the negotiation of this Agreement or the consummation of the transactions contemplated hereby, required herein to be furnished by or on behalf of Borrower (other than projections which are made by Borrower in good faith) or certified as being true and correct by or on behalf of the Borrower to the Administrative Agent or any Bank in connection with the negotiation of this Agreement or delivered hereunder (as modified or supplemented by other information so certified) contains any untrue statement of a material fact or omits to state any material fact necessary to make the statements herein or therein, in the light of the circumstances under which they were made, not misleading in any material respect; provided that, with respect to projected financial information, the Borrower represents only that such information was prepared in good faith based upon assumptions believed to be reasonable at the time. There is no fact which Borrower has not disclosed to Administrative Agent and the Banks in writing or that is not included in General Partner’s SEC Reports that materially affects adversely or, so far as Borrower can now reasonably foresee, will materially affect adversely the business or financial condition of Borrower or the ability of Borrower to perform this Agreement and the other Loan Documents.</w:t>
      </w:r>
    </w:p>
    <w:p>
      <w:pPr>
        <w:spacing w:after="0" w:line="43" w:lineRule="exact"/>
        <w:rPr>
          <w:sz w:val="20"/>
          <w:szCs w:val="20"/>
          <w:color w:val="auto"/>
        </w:rPr>
      </w:pPr>
    </w:p>
    <w:p>
      <w:pPr>
        <w:jc w:val="both"/>
        <w:ind w:firstLine="634"/>
        <w:spacing w:after="0" w:line="229" w:lineRule="auto"/>
        <w:tabs>
          <w:tab w:leader="none" w:pos="1253" w:val="left"/>
        </w:tabs>
        <w:numPr>
          <w:ilvl w:val="0"/>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Closing Date, to the best knowledge of the Borrower, the information included in the Beneficial Ownership Certification provided on or prior to the Closing Date (if any) to any Bank in connection with this Agreement is true and correct in all respects.</w:t>
      </w:r>
    </w:p>
    <w:p>
      <w:pPr>
        <w:spacing w:after="0" w:line="147" w:lineRule="exact"/>
        <w:rPr>
          <w:sz w:val="20"/>
          <w:szCs w:val="20"/>
          <w:color w:val="auto"/>
        </w:rPr>
      </w:pPr>
    </w:p>
    <w:p>
      <w:pPr>
        <w:jc w:val="both"/>
        <w:ind w:firstLine="629"/>
        <w:spacing w:after="0" w:line="219" w:lineRule="auto"/>
        <w:rPr>
          <w:sz w:val="20"/>
          <w:szCs w:val="20"/>
          <w:color w:val="auto"/>
        </w:rPr>
      </w:pPr>
      <w:r>
        <w:rPr>
          <w:rFonts w:ascii="Times New Roman" w:cs="Times New Roman" w:eastAsia="Times New Roman" w:hAnsi="Times New Roman"/>
          <w:sz w:val="21"/>
          <w:szCs w:val="21"/>
          <w:color w:val="auto"/>
        </w:rPr>
        <w:t xml:space="preserve">SECTION 5.19. </w:t>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xml:space="preserve"> All proceeds of the Loans will be used by Borrower for any purpose permitted by law, including, without limitation, working capital and other general corporate purposes. Neither the making of any Loan nor the use of the proceeds thereof nor any other extension of credit hereunder will violate the provisions of Regulations T, U, or X of the Federal Reserve Board. None of the General Partner, the Borrower or their Subsidiaries is engaged principally or as one of its important activities in the business of extending credit for the purposes of “purchasing” or “carrying” any “margin stock” within the respective meanings of such terms under Regulations T, U and X of the Federal Reserve Board.</w:t>
      </w:r>
    </w:p>
    <w:p>
      <w:pPr>
        <w:spacing w:after="0" w:line="145"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5.20. </w:t>
      </w:r>
      <w:r>
        <w:rPr>
          <w:rFonts w:ascii="Times New Roman" w:cs="Times New Roman" w:eastAsia="Times New Roman" w:hAnsi="Times New Roman"/>
          <w:sz w:val="21"/>
          <w:szCs w:val="21"/>
          <w:u w:val="single" w:color="auto"/>
          <w:color w:val="auto"/>
        </w:rPr>
        <w:t>Governmental Approvals.</w:t>
      </w:r>
      <w:r>
        <w:rPr>
          <w:rFonts w:ascii="Times New Roman" w:cs="Times New Roman" w:eastAsia="Times New Roman" w:hAnsi="Times New Roman"/>
          <w:sz w:val="21"/>
          <w:szCs w:val="21"/>
          <w:color w:val="auto"/>
        </w:rPr>
        <w:t xml:space="preserve"> No order, consent, approval, license, authorization, or validation of, or filing, recording or registration with, or exemption by, any governmental or public body or authority, or any subdivision thereof, is required to authorize, 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71</w:t>
      </w:r>
    </w:p>
    <w:p>
      <w:pPr>
        <w:sectPr>
          <w:pgSz w:w="11900" w:h="16838" w:orient="portrait"/>
          <w:cols w:equalWidth="0" w:num="1">
            <w:col w:w="11240"/>
          </w:cols>
          <w:pgMar w:left="320" w:top="1225" w:right="339" w:bottom="1440" w:gutter="0" w:footer="0" w:header="0"/>
        </w:sectPr>
      </w:pPr>
    </w:p>
    <w:bookmarkStart w:id="504" w:name="page505"/>
    <w:bookmarkEnd w:id="504"/>
    <w:p>
      <w:pPr>
        <w:jc w:val="both"/>
        <w:spacing w:after="0" w:line="224" w:lineRule="auto"/>
        <w:rPr>
          <w:sz w:val="20"/>
          <w:szCs w:val="20"/>
          <w:color w:val="auto"/>
        </w:rPr>
      </w:pPr>
      <w:r>
        <w:rPr>
          <w:rFonts w:ascii="Times New Roman" w:cs="Times New Roman" w:eastAsia="Times New Roman" w:hAnsi="Times New Roman"/>
          <w:sz w:val="21"/>
          <w:szCs w:val="21"/>
          <w:color w:val="auto"/>
        </w:rPr>
        <w:t>is required in connection with the execution, delivery and performance of any Loan Document or the consummation of any of the transactions contemplated thereby other than those that have already been duly made or obtained and remain in full force and effect or those which, if not made or obtained, would not likely result in a Material Adverse Change and those which will be made in due course as SEC disclosure filings.</w:t>
      </w:r>
    </w:p>
    <w:p>
      <w:pPr>
        <w:spacing w:after="0" w:line="146" w:lineRule="exact"/>
        <w:rPr>
          <w:sz w:val="20"/>
          <w:szCs w:val="20"/>
          <w:color w:val="auto"/>
        </w:rPr>
      </w:pPr>
    </w:p>
    <w:p>
      <w:pPr>
        <w:jc w:val="both"/>
        <w:ind w:firstLine="629"/>
        <w:spacing w:after="0" w:line="241" w:lineRule="auto"/>
        <w:rPr>
          <w:sz w:val="20"/>
          <w:szCs w:val="20"/>
          <w:color w:val="auto"/>
        </w:rPr>
      </w:pPr>
      <w:r>
        <w:rPr>
          <w:rFonts w:ascii="Times New Roman" w:cs="Times New Roman" w:eastAsia="Times New Roman" w:hAnsi="Times New Roman"/>
          <w:sz w:val="21"/>
          <w:szCs w:val="21"/>
          <w:color w:val="auto"/>
        </w:rPr>
        <w:t xml:space="preserve">SECTION 5.21. </w:t>
      </w:r>
      <w:r>
        <w:rPr>
          <w:rFonts w:ascii="Times New Roman" w:cs="Times New Roman" w:eastAsia="Times New Roman" w:hAnsi="Times New Roman"/>
          <w:sz w:val="21"/>
          <w:szCs w:val="21"/>
          <w:u w:val="single" w:color="auto"/>
          <w:color w:val="auto"/>
        </w:rPr>
        <w:t>Principal Offices.</w:t>
      </w:r>
      <w:r>
        <w:rPr>
          <w:rFonts w:ascii="Times New Roman" w:cs="Times New Roman" w:eastAsia="Times New Roman" w:hAnsi="Times New Roman"/>
          <w:sz w:val="21"/>
          <w:szCs w:val="21"/>
          <w:color w:val="auto"/>
        </w:rPr>
        <w:t xml:space="preserve"> As of the Execution Date, the principal office, chief executive office and principal place of business of Borrower is 888 Seventh Avenue, New York, New York 10106.</w:t>
      </w:r>
    </w:p>
    <w:p>
      <w:pPr>
        <w:spacing w:after="0" w:line="144"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5.22.</w:t>
      </w:r>
      <w:r>
        <w:rPr>
          <w:sz w:val="20"/>
          <w:szCs w:val="20"/>
          <w:color w:val="auto"/>
        </w:rPr>
        <w:tab/>
      </w:r>
      <w:r>
        <w:rPr>
          <w:rFonts w:ascii="Times New Roman" w:cs="Times New Roman" w:eastAsia="Times New Roman" w:hAnsi="Times New Roman"/>
          <w:sz w:val="20"/>
          <w:szCs w:val="20"/>
          <w:u w:val="single" w:color="auto"/>
          <w:color w:val="auto"/>
        </w:rPr>
        <w:t>General Partner Status</w:t>
      </w:r>
    </w:p>
    <w:p>
      <w:pPr>
        <w:spacing w:after="0" w:line="178" w:lineRule="exact"/>
        <w:rPr>
          <w:sz w:val="20"/>
          <w:szCs w:val="20"/>
          <w:color w:val="auto"/>
        </w:rPr>
      </w:pPr>
    </w:p>
    <w:p>
      <w:pPr>
        <w:ind w:left="1880" w:hanging="618"/>
        <w:spacing w:after="0"/>
        <w:tabs>
          <w:tab w:leader="none" w:pos="1880" w:val="left"/>
        </w:tabs>
        <w:numPr>
          <w:ilvl w:val="0"/>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 Partner is qualified and General Partner intends to continue to qualify as a REIT.</w:t>
      </w:r>
    </w:p>
    <w:p>
      <w:pPr>
        <w:spacing w:after="0" w:line="177" w:lineRule="exact"/>
        <w:rPr>
          <w:rFonts w:ascii="Times New Roman" w:cs="Times New Roman" w:eastAsia="Times New Roman" w:hAnsi="Times New Roman"/>
          <w:sz w:val="21"/>
          <w:szCs w:val="21"/>
          <w:color w:val="auto"/>
        </w:rPr>
      </w:pPr>
    </w:p>
    <w:p>
      <w:pPr>
        <w:ind w:left="640" w:firstLine="622"/>
        <w:spacing w:after="0" w:line="241" w:lineRule="auto"/>
        <w:tabs>
          <w:tab w:leader="none" w:pos="1893" w:val="left"/>
        </w:tabs>
        <w:numPr>
          <w:ilvl w:val="0"/>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of the date hereof, the General Partner owns no assets other than ownership interests in Borrower or as disclosed on </w:t>
      </w:r>
      <w:r>
        <w:rPr>
          <w:rFonts w:ascii="Times New Roman" w:cs="Times New Roman" w:eastAsia="Times New Roman" w:hAnsi="Times New Roman"/>
          <w:sz w:val="21"/>
          <w:szCs w:val="21"/>
          <w:u w:val="single" w:color="auto"/>
          <w:color w:val="auto"/>
        </w:rPr>
        <w:t>Schedule 2A</w:t>
      </w:r>
      <w:r>
        <w:rPr>
          <w:rFonts w:ascii="Times New Roman" w:cs="Times New Roman" w:eastAsia="Times New Roman" w:hAnsi="Times New Roman"/>
          <w:sz w:val="21"/>
          <w:szCs w:val="21"/>
          <w:color w:val="auto"/>
        </w:rPr>
        <w:t xml:space="preserve"> attached hereto.</w:t>
      </w:r>
    </w:p>
    <w:p>
      <w:pPr>
        <w:spacing w:after="0" w:line="143" w:lineRule="exact"/>
        <w:rPr>
          <w:rFonts w:ascii="Times New Roman" w:cs="Times New Roman" w:eastAsia="Times New Roman" w:hAnsi="Times New Roman"/>
          <w:sz w:val="21"/>
          <w:szCs w:val="21"/>
          <w:color w:val="auto"/>
        </w:rPr>
      </w:pPr>
    </w:p>
    <w:p>
      <w:pPr>
        <w:ind w:left="640" w:firstLine="622"/>
        <w:spacing w:after="0" w:line="241" w:lineRule="auto"/>
        <w:tabs>
          <w:tab w:leader="none" w:pos="1893" w:val="left"/>
        </w:tabs>
        <w:numPr>
          <w:ilvl w:val="0"/>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General Partner is neither the borrower nor guarantor of any Debt except as disclosed on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attached hereto.</w:t>
      </w:r>
    </w:p>
    <w:p>
      <w:pPr>
        <w:spacing w:after="0" w:line="144" w:lineRule="exact"/>
        <w:rPr>
          <w:sz w:val="20"/>
          <w:szCs w:val="20"/>
          <w:color w:val="auto"/>
        </w:rPr>
      </w:pPr>
    </w:p>
    <w:p>
      <w:pPr>
        <w:jc w:val="both"/>
        <w:ind w:firstLine="629"/>
        <w:spacing w:after="0" w:line="221" w:lineRule="auto"/>
        <w:rPr>
          <w:sz w:val="20"/>
          <w:szCs w:val="20"/>
          <w:color w:val="auto"/>
        </w:rPr>
      </w:pPr>
      <w:r>
        <w:rPr>
          <w:rFonts w:ascii="Times New Roman" w:cs="Times New Roman" w:eastAsia="Times New Roman" w:hAnsi="Times New Roman"/>
          <w:sz w:val="21"/>
          <w:szCs w:val="21"/>
          <w:color w:val="auto"/>
        </w:rPr>
        <w:t xml:space="preserve">SECTION 5.23. </w:t>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color w:val="auto"/>
        </w:rPr>
        <w:t xml:space="preserve"> Except for collective bargaining agreements disclosed on EXHIBIT G and Multiemployer Plans named in such collective bargaining agreements, (i) as of the date hereof, there are no collective bargaining agreements or Multiemployer Plans covering the employees of Borrower, General Partner, or any ERISA Affiliate and (ii) neither Borrower, General Partner, nor any ERISA Affiliate has suffered any strikes, walkouts, work stoppages or other material labor difficulty within the last five years which would likely result in a Material Adverse Change.</w:t>
      </w:r>
    </w:p>
    <w:p>
      <w:pPr>
        <w:spacing w:after="0" w:line="146" w:lineRule="exact"/>
        <w:rPr>
          <w:sz w:val="20"/>
          <w:szCs w:val="20"/>
          <w:color w:val="auto"/>
        </w:rPr>
      </w:pPr>
    </w:p>
    <w:p>
      <w:pPr>
        <w:jc w:val="both"/>
        <w:ind w:firstLine="629"/>
        <w:spacing w:after="0" w:line="221" w:lineRule="auto"/>
        <w:rPr>
          <w:sz w:val="20"/>
          <w:szCs w:val="20"/>
          <w:color w:val="auto"/>
        </w:rPr>
      </w:pPr>
      <w:r>
        <w:rPr>
          <w:rFonts w:ascii="Times New Roman" w:cs="Times New Roman" w:eastAsia="Times New Roman" w:hAnsi="Times New Roman"/>
          <w:sz w:val="21"/>
          <w:szCs w:val="21"/>
          <w:color w:val="auto"/>
        </w:rPr>
        <w:t xml:space="preserve">SECTION 5.24. </w:t>
      </w:r>
      <w:r>
        <w:rPr>
          <w:rFonts w:ascii="Times New Roman" w:cs="Times New Roman" w:eastAsia="Times New Roman" w:hAnsi="Times New Roman"/>
          <w:sz w:val="21"/>
          <w:szCs w:val="21"/>
          <w:u w:val="single" w:color="auto"/>
          <w:color w:val="auto"/>
        </w:rPr>
        <w:t>Organizational Documents.</w:t>
      </w:r>
      <w:r>
        <w:rPr>
          <w:rFonts w:ascii="Times New Roman" w:cs="Times New Roman" w:eastAsia="Times New Roman" w:hAnsi="Times New Roman"/>
          <w:sz w:val="21"/>
          <w:szCs w:val="21"/>
          <w:color w:val="auto"/>
        </w:rPr>
        <w:t xml:space="preserve"> The documents delivered pursuant to Section 4.01(4) and (5) constitute, as of the Execution Date, all of the organizational documents of the Borrower and General Partner. Borrower represents that it has delivered to Administrative Agent true, correct and complete copies of each such documents. General Partner is the general partner of the Borrower. General Partner holds (directly or indirectly) not less than ninety percent (90%) of the ownership interests in Borrower as of the Execution Date.</w:t>
      </w:r>
    </w:p>
    <w:p>
      <w:pPr>
        <w:spacing w:after="0" w:line="146" w:lineRule="exact"/>
        <w:rPr>
          <w:sz w:val="20"/>
          <w:szCs w:val="20"/>
          <w:color w:val="auto"/>
        </w:rPr>
      </w:pPr>
    </w:p>
    <w:p>
      <w:pPr>
        <w:jc w:val="both"/>
        <w:ind w:firstLine="629"/>
        <w:spacing w:after="0" w:line="215" w:lineRule="auto"/>
        <w:rPr>
          <w:sz w:val="20"/>
          <w:szCs w:val="20"/>
          <w:color w:val="auto"/>
        </w:rPr>
      </w:pPr>
      <w:r>
        <w:rPr>
          <w:rFonts w:ascii="Times New Roman" w:cs="Times New Roman" w:eastAsia="Times New Roman" w:hAnsi="Times New Roman"/>
          <w:sz w:val="21"/>
          <w:szCs w:val="21"/>
          <w:color w:val="auto"/>
        </w:rPr>
        <w:t xml:space="preserve">SECTION 5.25. </w:t>
      </w:r>
      <w:r>
        <w:rPr>
          <w:rFonts w:ascii="Times New Roman" w:cs="Times New Roman" w:eastAsia="Times New Roman" w:hAnsi="Times New Roman"/>
          <w:sz w:val="21"/>
          <w:szCs w:val="21"/>
          <w:u w:val="single" w:color="auto"/>
          <w:color w:val="auto"/>
        </w:rPr>
        <w:t>Anti-Corruption Laws and Sanctions.</w:t>
      </w:r>
      <w:r>
        <w:rPr>
          <w:rFonts w:ascii="Times New Roman" w:cs="Times New Roman" w:eastAsia="Times New Roman" w:hAnsi="Times New Roman"/>
          <w:sz w:val="21"/>
          <w:szCs w:val="21"/>
          <w:color w:val="auto"/>
        </w:rPr>
        <w:t xml:space="preserve"> The Borrower has implemented and maintains in effect policies and procedures designed to attain compliance by the General Partner, the Borrower, its Subsidiaries and their respective directors, trustees, officers, employees and agents with Anti-Corruption Laws and applicable Sanctions, and the Borrower, its Subsidiaries and their respective directors, officers and employees and to the knowledge of the Borrower its agents, are in compliance with Anti-Corruption Laws and applicable Sanctions in all material respects. None of (a) the General Partner, the Borrower, any Subsidiary or any of their respective directors, trustees, officers or employees, or (b) to the knowledge of the Borrower, any agent of the Borrower or any Subsidiary that will act in any capacity in connection with or benefit from the credit facility established hereby, is a Sanctioned Person. No Loan or Letter of Credit, use of proceeds or other transaction contemplated by this Agreement will violate any Anti-Corruption Law or applicable Sanctions.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72</w:t>
      </w:r>
    </w:p>
    <w:p>
      <w:pPr>
        <w:sectPr>
          <w:pgSz w:w="11900" w:h="16838" w:orient="portrait"/>
          <w:cols w:equalWidth="0" w:num="1">
            <w:col w:w="11240"/>
          </w:cols>
          <w:pgMar w:left="320" w:top="1225" w:right="339" w:bottom="1440" w:gutter="0" w:footer="0" w:header="0"/>
        </w:sectPr>
      </w:pPr>
    </w:p>
    <w:bookmarkStart w:id="505" w:name="page506"/>
    <w:bookmarkEnd w:id="505"/>
    <w:p>
      <w:pPr>
        <w:spacing w:after="0" w:line="21" w:lineRule="exact"/>
        <w:rPr>
          <w:sz w:val="20"/>
          <w:szCs w:val="20"/>
          <w:color w:val="auto"/>
        </w:rPr>
      </w:pPr>
    </w:p>
    <w:p>
      <w:pPr>
        <w:jc w:val="both"/>
        <w:ind w:firstLine="629"/>
        <w:spacing w:after="0" w:line="241" w:lineRule="auto"/>
        <w:rPr>
          <w:sz w:val="20"/>
          <w:szCs w:val="20"/>
          <w:color w:val="auto"/>
        </w:rPr>
      </w:pPr>
      <w:r>
        <w:rPr>
          <w:rFonts w:ascii="Times New Roman" w:cs="Times New Roman" w:eastAsia="Times New Roman" w:hAnsi="Times New Roman"/>
          <w:sz w:val="21"/>
          <w:szCs w:val="21"/>
          <w:color w:val="auto"/>
        </w:rPr>
        <w:t xml:space="preserve">SECTION 5.26. </w:t>
      </w:r>
      <w:r>
        <w:rPr>
          <w:rFonts w:ascii="Times New Roman" w:cs="Times New Roman" w:eastAsia="Times New Roman" w:hAnsi="Times New Roman"/>
          <w:sz w:val="21"/>
          <w:szCs w:val="21"/>
          <w:u w:val="single" w:color="auto"/>
          <w:color w:val="auto"/>
        </w:rPr>
        <w:t>Affected Financial Institutions.</w:t>
      </w:r>
      <w:r>
        <w:rPr>
          <w:rFonts w:ascii="Times New Roman" w:cs="Times New Roman" w:eastAsia="Times New Roman" w:hAnsi="Times New Roman"/>
          <w:sz w:val="21"/>
          <w:szCs w:val="21"/>
          <w:color w:val="auto"/>
        </w:rPr>
        <w:t xml:space="preserve"> Neither Borrower nor any of its Subsidiaries is an Affected Financial Institution.</w:t>
      </w:r>
    </w:p>
    <w:p>
      <w:pPr>
        <w:spacing w:after="0" w:line="144" w:lineRule="exact"/>
        <w:rPr>
          <w:sz w:val="20"/>
          <w:szCs w:val="20"/>
          <w:color w:val="auto"/>
        </w:rPr>
      </w:pPr>
    </w:p>
    <w:p>
      <w:pPr>
        <w:jc w:val="both"/>
        <w:ind w:firstLine="629"/>
        <w:spacing w:after="0" w:line="216" w:lineRule="auto"/>
        <w:rPr>
          <w:sz w:val="20"/>
          <w:szCs w:val="20"/>
          <w:color w:val="auto"/>
        </w:rPr>
      </w:pPr>
      <w:r>
        <w:rPr>
          <w:rFonts w:ascii="Times New Roman" w:cs="Times New Roman" w:eastAsia="Times New Roman" w:hAnsi="Times New Roman"/>
          <w:sz w:val="21"/>
          <w:szCs w:val="21"/>
          <w:color w:val="auto"/>
        </w:rPr>
        <w:t xml:space="preserve">SECTION 5.27. </w:t>
      </w:r>
      <w:r>
        <w:rPr>
          <w:rFonts w:ascii="Times New Roman" w:cs="Times New Roman" w:eastAsia="Times New Roman" w:hAnsi="Times New Roman"/>
          <w:sz w:val="21"/>
          <w:szCs w:val="21"/>
          <w:u w:val="single" w:color="auto"/>
          <w:color w:val="auto"/>
        </w:rPr>
        <w:t>Outbound Investment Rules.</w:t>
      </w:r>
      <w:r>
        <w:rPr>
          <w:rFonts w:ascii="Times New Roman" w:cs="Times New Roman" w:eastAsia="Times New Roman" w:hAnsi="Times New Roman"/>
          <w:sz w:val="21"/>
          <w:szCs w:val="21"/>
          <w:color w:val="auto"/>
        </w:rPr>
        <w:t xml:space="preserve">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Bank to be in violation of the Outbound Investment Rules or cause the Administrative Agent or any Bank to be legally prohibited by the Outbound Investment Rules from performing under this Agreement.</w:t>
      </w:r>
    </w:p>
    <w:p>
      <w:pPr>
        <w:spacing w:after="0" w:line="14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VI</w:t>
      </w:r>
    </w:p>
    <w:p>
      <w:pPr>
        <w:spacing w:after="0" w:line="17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AFFIRMATIVE COVENANTS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So long as any of the Loans shall remain unpaid or the Loan Commitments remain in effect, or any other amount is owing by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Borrower to any Bank hereunder or under any other Loan Document or any Letter of Credit remains outstanding, Borrower shall:</w:t>
      </w:r>
    </w:p>
    <w:p>
      <w:pPr>
        <w:spacing w:after="0" w:line="178"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6.01. </w:t>
      </w:r>
      <w:r>
        <w:rPr>
          <w:rFonts w:ascii="Times New Roman" w:cs="Times New Roman" w:eastAsia="Times New Roman" w:hAnsi="Times New Roman"/>
          <w:sz w:val="21"/>
          <w:szCs w:val="21"/>
          <w:u w:val="single" w:color="auto"/>
          <w:color w:val="auto"/>
        </w:rPr>
        <w:t>Maintenance of Existence.</w:t>
      </w:r>
      <w:r>
        <w:rPr>
          <w:rFonts w:ascii="Times New Roman" w:cs="Times New Roman" w:eastAsia="Times New Roman" w:hAnsi="Times New Roman"/>
          <w:sz w:val="21"/>
          <w:szCs w:val="21"/>
          <w:color w:val="auto"/>
        </w:rPr>
        <w:t xml:space="preserve"> Preserve and maintain its legal existence and, if applicable, good standing in its jurisdiction of organization and, if applicable, qualify and remain qualified as a foreign entity in each jurisdiction in which such qualification is required, except to the extent that failure to so qualify would not likely result in a Material Adverse Change.</w:t>
      </w:r>
    </w:p>
    <w:p>
      <w:pPr>
        <w:spacing w:after="0" w:line="147" w:lineRule="exact"/>
        <w:rPr>
          <w:sz w:val="20"/>
          <w:szCs w:val="20"/>
          <w:color w:val="auto"/>
        </w:rPr>
      </w:pPr>
    </w:p>
    <w:p>
      <w:pPr>
        <w:jc w:val="both"/>
        <w:ind w:firstLine="629"/>
        <w:spacing w:after="0" w:line="241" w:lineRule="auto"/>
        <w:rPr>
          <w:sz w:val="20"/>
          <w:szCs w:val="20"/>
          <w:color w:val="auto"/>
        </w:rPr>
      </w:pPr>
      <w:r>
        <w:rPr>
          <w:rFonts w:ascii="Times New Roman" w:cs="Times New Roman" w:eastAsia="Times New Roman" w:hAnsi="Times New Roman"/>
          <w:sz w:val="21"/>
          <w:szCs w:val="21"/>
          <w:color w:val="auto"/>
        </w:rPr>
        <w:t xml:space="preserve">SECTION 6.02. </w:t>
      </w:r>
      <w:r>
        <w:rPr>
          <w:rFonts w:ascii="Times New Roman" w:cs="Times New Roman" w:eastAsia="Times New Roman" w:hAnsi="Times New Roman"/>
          <w:sz w:val="21"/>
          <w:szCs w:val="21"/>
          <w:u w:val="single" w:color="auto"/>
          <w:color w:val="auto"/>
        </w:rPr>
        <w:t>Maintenance of Records.</w:t>
      </w:r>
      <w:r>
        <w:rPr>
          <w:rFonts w:ascii="Times New Roman" w:cs="Times New Roman" w:eastAsia="Times New Roman" w:hAnsi="Times New Roman"/>
          <w:sz w:val="21"/>
          <w:szCs w:val="21"/>
          <w:color w:val="auto"/>
        </w:rPr>
        <w:t xml:space="preserve"> Keep adequate records and books of account, in which entries will be made in accordance with GAAP in all material respects, except as disclosed in Borrower’s financial statements.</w:t>
      </w:r>
    </w:p>
    <w:p>
      <w:pPr>
        <w:spacing w:after="0" w:line="144" w:lineRule="exact"/>
        <w:rPr>
          <w:sz w:val="20"/>
          <w:szCs w:val="20"/>
          <w:color w:val="auto"/>
        </w:rPr>
      </w:pPr>
    </w:p>
    <w:p>
      <w:pPr>
        <w:jc w:val="both"/>
        <w:ind w:firstLine="629"/>
        <w:spacing w:after="0" w:line="224" w:lineRule="auto"/>
        <w:rPr>
          <w:sz w:val="20"/>
          <w:szCs w:val="20"/>
          <w:color w:val="auto"/>
        </w:rPr>
      </w:pPr>
      <w:r>
        <w:rPr>
          <w:rFonts w:ascii="Times New Roman" w:cs="Times New Roman" w:eastAsia="Times New Roman" w:hAnsi="Times New Roman"/>
          <w:sz w:val="21"/>
          <w:szCs w:val="21"/>
          <w:color w:val="auto"/>
        </w:rPr>
        <w:t xml:space="preserve">SECTION 6.03. </w:t>
      </w:r>
      <w:r>
        <w:rPr>
          <w:rFonts w:ascii="Times New Roman" w:cs="Times New Roman" w:eastAsia="Times New Roman" w:hAnsi="Times New Roman"/>
          <w:sz w:val="21"/>
          <w:szCs w:val="21"/>
          <w:u w:val="single" w:color="auto"/>
          <w:color w:val="auto"/>
        </w:rPr>
        <w:t>Maintenance of Insurance.</w:t>
      </w:r>
      <w:r>
        <w:rPr>
          <w:rFonts w:ascii="Times New Roman" w:cs="Times New Roman" w:eastAsia="Times New Roman" w:hAnsi="Times New Roman"/>
          <w:sz w:val="21"/>
          <w:szCs w:val="21"/>
          <w:color w:val="auto"/>
        </w:rPr>
        <w:t xml:space="preserve"> At all times, maintain and keep in force, and cause each of its Material Affiliates to maintain and keep in force, insurance with financially sound and reputable insurance companies or associations in such amounts and covering such risks as are usually carried by companies engaged in the same or a similar business and similarly situated, which insurance may provide for reasonable deductibles from coverage thereof.</w:t>
      </w:r>
    </w:p>
    <w:p>
      <w:pPr>
        <w:spacing w:after="0" w:line="146" w:lineRule="exact"/>
        <w:rPr>
          <w:sz w:val="20"/>
          <w:szCs w:val="20"/>
          <w:color w:val="auto"/>
        </w:rPr>
      </w:pPr>
    </w:p>
    <w:p>
      <w:pPr>
        <w:jc w:val="both"/>
        <w:ind w:firstLine="629"/>
        <w:spacing w:after="0"/>
        <w:rPr>
          <w:sz w:val="20"/>
          <w:szCs w:val="20"/>
          <w:color w:val="auto"/>
        </w:rPr>
      </w:pPr>
      <w:r>
        <w:rPr>
          <w:rFonts w:ascii="Times New Roman" w:cs="Times New Roman" w:eastAsia="Times New Roman" w:hAnsi="Times New Roman"/>
          <w:sz w:val="21"/>
          <w:szCs w:val="21"/>
          <w:color w:val="auto"/>
        </w:rPr>
        <w:t xml:space="preserve">SECTION 6.04. </w:t>
      </w:r>
      <w:r>
        <w:rPr>
          <w:rFonts w:ascii="Times New Roman" w:cs="Times New Roman" w:eastAsia="Times New Roman" w:hAnsi="Times New Roman"/>
          <w:sz w:val="21"/>
          <w:szCs w:val="21"/>
          <w:u w:val="single" w:color="auto"/>
          <w:color w:val="auto"/>
        </w:rPr>
        <w:t>Compliance with Laws: Payment of Taxes.</w:t>
      </w:r>
      <w:r>
        <w:rPr>
          <w:rFonts w:ascii="Times New Roman" w:cs="Times New Roman" w:eastAsia="Times New Roman" w:hAnsi="Times New Roman"/>
          <w:sz w:val="21"/>
          <w:szCs w:val="21"/>
          <w:color w:val="auto"/>
        </w:rPr>
        <w:t xml:space="preserve"> Comply in all material respects with all Laws applicable to it or to any of its properties or any part thereof, such compliance to include, without limitation, paying before the same become delinquent all taxes, assessments and governmental charges imposed upon it or upon any of its property, except to the extent they are the subject of a Good Faith Contest or the failure to so comply would not cause a Material Adverse Change. The Borrower will maintain in effect and enforce policies and procedures designed to attain compliance by the General Partner, the Borrower, its Subsidiaries and their respective directors, trustees, officers, employees and agents with Anti-Corruption Laws and applicable Sanctions.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73</w:t>
      </w:r>
    </w:p>
    <w:p>
      <w:pPr>
        <w:sectPr>
          <w:pgSz w:w="11900" w:h="16838" w:orient="portrait"/>
          <w:cols w:equalWidth="0" w:num="1">
            <w:col w:w="11240"/>
          </w:cols>
          <w:pgMar w:left="320" w:top="1440" w:right="339" w:bottom="1440" w:gutter="0" w:footer="0" w:header="0"/>
        </w:sectPr>
      </w:pPr>
    </w:p>
    <w:bookmarkStart w:id="506" w:name="page507"/>
    <w:bookmarkEnd w:id="506"/>
    <w:p>
      <w:pPr>
        <w:spacing w:after="0" w:line="22" w:lineRule="exact"/>
        <w:rPr>
          <w:sz w:val="20"/>
          <w:szCs w:val="20"/>
          <w:color w:val="auto"/>
        </w:rPr>
      </w:pPr>
    </w:p>
    <w:p>
      <w:pPr>
        <w:jc w:val="both"/>
        <w:ind w:firstLine="629"/>
        <w:spacing w:after="0" w:line="214" w:lineRule="auto"/>
        <w:rPr>
          <w:sz w:val="20"/>
          <w:szCs w:val="20"/>
          <w:color w:val="auto"/>
        </w:rPr>
      </w:pPr>
      <w:r>
        <w:rPr>
          <w:rFonts w:ascii="Times New Roman" w:cs="Times New Roman" w:eastAsia="Times New Roman" w:hAnsi="Times New Roman"/>
          <w:sz w:val="21"/>
          <w:szCs w:val="21"/>
          <w:color w:val="auto"/>
        </w:rPr>
        <w:t xml:space="preserve">SECTION 6.05. </w:t>
      </w:r>
      <w:r>
        <w:rPr>
          <w:rFonts w:ascii="Times New Roman" w:cs="Times New Roman" w:eastAsia="Times New Roman" w:hAnsi="Times New Roman"/>
          <w:sz w:val="21"/>
          <w:szCs w:val="21"/>
          <w:u w:val="single" w:color="auto"/>
          <w:color w:val="auto"/>
        </w:rPr>
        <w:t>Right of Inspection.</w:t>
      </w:r>
      <w:r>
        <w:rPr>
          <w:rFonts w:ascii="Times New Roman" w:cs="Times New Roman" w:eastAsia="Times New Roman" w:hAnsi="Times New Roman"/>
          <w:sz w:val="21"/>
          <w:szCs w:val="21"/>
          <w:color w:val="auto"/>
        </w:rPr>
        <w:t xml:space="preserve"> At any reasonable time and from time to time upon reasonable notice, but not more frequently than twice in any 12-month period provided that no Event of Default shall have occurred and be continuing, permit Administrative Agent or any Bank or any agent or representative thereof (provided that, at Borrower’s request, Administrative Agent or such Bank, or such representative, must be accompanied by a representative of Borrower), to examine and make copies and abstracts from the records and books of account of, and visit the properties of, Borrower and to discuss the affairs, finances and accounts of Borrower with the independent accountants of Borrower. The request by any Bank or agent or representative thereof for such an inspection shall be made to the Administrative Agent and the Administrative Agent promptly shall notify all the Banks of such request (or if the Administrative Agent shall have requested the same on its behalf, the Administrative Agent shall notify all the Banks thereof) and any Bank that shall so desire may accompany Administrative Agent or such Bank, or such representative on such examination.</w:t>
      </w:r>
    </w:p>
    <w:p>
      <w:pPr>
        <w:spacing w:after="0" w:line="152"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6.06. </w:t>
      </w:r>
      <w:r>
        <w:rPr>
          <w:rFonts w:ascii="Times New Roman" w:cs="Times New Roman" w:eastAsia="Times New Roman" w:hAnsi="Times New Roman"/>
          <w:sz w:val="21"/>
          <w:szCs w:val="21"/>
          <w:u w:val="single" w:color="auto"/>
          <w:color w:val="auto"/>
        </w:rPr>
        <w:t>Compliance With Environmental Laws.</w:t>
      </w:r>
      <w:r>
        <w:rPr>
          <w:rFonts w:ascii="Times New Roman" w:cs="Times New Roman" w:eastAsia="Times New Roman" w:hAnsi="Times New Roman"/>
          <w:sz w:val="21"/>
          <w:szCs w:val="21"/>
          <w:color w:val="auto"/>
        </w:rPr>
        <w:t xml:space="preserve"> Comply in all material respects with all applicable Environmental Laws and immediately pay or cause to be paid all costs and expenses incurred in connection with such compliance, except to the extent there is a Good Faith Contest or the failure to so comply would not likely cause a Material Adverse Change.</w:t>
      </w:r>
    </w:p>
    <w:p>
      <w:pPr>
        <w:spacing w:after="0" w:line="147"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6.07.</w:t>
      </w:r>
      <w:r>
        <w:rPr>
          <w:sz w:val="20"/>
          <w:szCs w:val="20"/>
          <w:color w:val="auto"/>
        </w:rPr>
        <w:tab/>
      </w:r>
      <w:r>
        <w:rPr>
          <w:rFonts w:ascii="Times New Roman" w:cs="Times New Roman" w:eastAsia="Times New Roman" w:hAnsi="Times New Roman"/>
          <w:sz w:val="20"/>
          <w:szCs w:val="20"/>
          <w:u w:val="single" w:color="auto"/>
          <w:color w:val="auto"/>
        </w:rPr>
        <w:t xml:space="preserve">Payment of Costs. </w:t>
      </w:r>
      <w:r>
        <w:rPr>
          <w:rFonts w:ascii="Times New Roman" w:cs="Times New Roman" w:eastAsia="Times New Roman" w:hAnsi="Times New Roman"/>
          <w:sz w:val="20"/>
          <w:szCs w:val="20"/>
          <w:color w:val="auto"/>
        </w:rPr>
        <w:t>Pay all fees and expenses of the Administrative Agent required by this Agreement.</w:t>
      </w:r>
    </w:p>
    <w:p>
      <w:pPr>
        <w:spacing w:after="0" w:line="178"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6.08. </w:t>
      </w:r>
      <w:r>
        <w:rPr>
          <w:rFonts w:ascii="Times New Roman" w:cs="Times New Roman" w:eastAsia="Times New Roman" w:hAnsi="Times New Roman"/>
          <w:sz w:val="21"/>
          <w:szCs w:val="21"/>
          <w:u w:val="single" w:color="auto"/>
          <w:color w:val="auto"/>
        </w:rPr>
        <w:t>Maintenance of Properties.</w:t>
      </w:r>
      <w:r>
        <w:rPr>
          <w:rFonts w:ascii="Times New Roman" w:cs="Times New Roman" w:eastAsia="Times New Roman" w:hAnsi="Times New Roman"/>
          <w:sz w:val="21"/>
          <w:szCs w:val="21"/>
          <w:color w:val="auto"/>
        </w:rPr>
        <w:t xml:space="preserve"> Do all things reasonably necessary to maintain, preserve, protect and keep its and its Affiliates’ properties in good repair, working order and condition except where the failure to do so would not result in a Material Adverse Change.</w:t>
      </w:r>
    </w:p>
    <w:p>
      <w:pPr>
        <w:spacing w:after="0" w:line="147" w:lineRule="exact"/>
        <w:rPr>
          <w:sz w:val="20"/>
          <w:szCs w:val="20"/>
          <w:color w:val="auto"/>
        </w:rPr>
      </w:pPr>
    </w:p>
    <w:p>
      <w:pPr>
        <w:jc w:val="both"/>
        <w:ind w:firstLine="629"/>
        <w:spacing w:after="0" w:line="241" w:lineRule="auto"/>
        <w:rPr>
          <w:sz w:val="20"/>
          <w:szCs w:val="20"/>
          <w:color w:val="auto"/>
        </w:rPr>
      </w:pPr>
      <w:r>
        <w:rPr>
          <w:rFonts w:ascii="Times New Roman" w:cs="Times New Roman" w:eastAsia="Times New Roman" w:hAnsi="Times New Roman"/>
          <w:sz w:val="21"/>
          <w:szCs w:val="21"/>
          <w:color w:val="auto"/>
        </w:rPr>
        <w:t xml:space="preserve">SECTION 6.09. </w:t>
      </w:r>
      <w:r>
        <w:rPr>
          <w:rFonts w:ascii="Times New Roman" w:cs="Times New Roman" w:eastAsia="Times New Roman" w:hAnsi="Times New Roman"/>
          <w:sz w:val="21"/>
          <w:szCs w:val="21"/>
          <w:u w:val="single" w:color="auto"/>
          <w:color w:val="auto"/>
        </w:rPr>
        <w:t>Reporting and Miscellaneous Document Requirements.</w:t>
      </w:r>
      <w:r>
        <w:rPr>
          <w:rFonts w:ascii="Times New Roman" w:cs="Times New Roman" w:eastAsia="Times New Roman" w:hAnsi="Times New Roman"/>
          <w:sz w:val="21"/>
          <w:szCs w:val="21"/>
          <w:color w:val="auto"/>
        </w:rPr>
        <w:t xml:space="preserve"> Furnish to Administrative Agent (which shall promptly distribute to each of the Banks):</w:t>
      </w:r>
    </w:p>
    <w:p>
      <w:pPr>
        <w:spacing w:after="0" w:line="144" w:lineRule="exact"/>
        <w:rPr>
          <w:sz w:val="20"/>
          <w:szCs w:val="20"/>
          <w:color w:val="auto"/>
        </w:rPr>
      </w:pPr>
    </w:p>
    <w:p>
      <w:pPr>
        <w:jc w:val="both"/>
        <w:ind w:left="640" w:firstLine="622"/>
        <w:spacing w:after="0" w:line="221" w:lineRule="auto"/>
        <w:tabs>
          <w:tab w:leader="none" w:pos="1893" w:val="left"/>
        </w:tabs>
        <w:numPr>
          <w:ilvl w:val="0"/>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Financial Statements</w:t>
      </w:r>
      <w:r>
        <w:rPr>
          <w:rFonts w:ascii="Times New Roman" w:cs="Times New Roman" w:eastAsia="Times New Roman" w:hAnsi="Times New Roman"/>
          <w:sz w:val="21"/>
          <w:szCs w:val="21"/>
          <w:color w:val="auto"/>
        </w:rPr>
        <w:t>. As soon as available and in any event within ninety-five (95) days after the end of each Fiscal Year, commencing with the Fiscal Year ending December 31, 2025, the Borrower’s Consolidated Financial Statements as of the end of and for such Fiscal Year, audited by Borrower’s Accountants; provided, however, that such Consolidated Financial Statements need not be separately furnished to Administrative Agent if they are publicly filed and available prior to the end of such 95-day period as part of the annual form 10-K filings with the SEC of Borrower;</w:t>
      </w:r>
    </w:p>
    <w:p>
      <w:pPr>
        <w:spacing w:after="0" w:line="145" w:lineRule="exact"/>
        <w:rPr>
          <w:rFonts w:ascii="Times New Roman" w:cs="Times New Roman" w:eastAsia="Times New Roman" w:hAnsi="Times New Roman"/>
          <w:sz w:val="21"/>
          <w:szCs w:val="21"/>
          <w:color w:val="auto"/>
        </w:rPr>
      </w:pPr>
    </w:p>
    <w:p>
      <w:pPr>
        <w:jc w:val="both"/>
        <w:ind w:left="640" w:firstLine="622"/>
        <w:spacing w:after="0" w:line="219" w:lineRule="auto"/>
        <w:tabs>
          <w:tab w:leader="none" w:pos="1893" w:val="left"/>
        </w:tabs>
        <w:numPr>
          <w:ilvl w:val="0"/>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Quarterly Financial Statements</w:t>
      </w:r>
      <w:r>
        <w:rPr>
          <w:rFonts w:ascii="Times New Roman" w:cs="Times New Roman" w:eastAsia="Times New Roman" w:hAnsi="Times New Roman"/>
          <w:sz w:val="21"/>
          <w:szCs w:val="21"/>
          <w:color w:val="auto"/>
        </w:rPr>
        <w:t>. As soon as available and in any event within fifty (50) days after the end of each calendar quarter (other than the last quarter of the Fiscal Year), commencing with the calendar quarter ending March 31, 2026, the unaudited Borrower’s Consolidated Financial Statements as of the end of and for such calendar quarter, reviewed by Borrower’s Accountants; provided, however, that such Consolidated Financial Statements need not be separately furnished to Administrative Agent if they are publicly filed and available prior to the end of such 50-day period as part of the annual form 10-Q filings with the SEC of Borrower for the applicable calendar quarter;</w:t>
      </w:r>
    </w:p>
    <w:p>
      <w:pPr>
        <w:spacing w:after="0" w:line="144" w:lineRule="exact"/>
        <w:rPr>
          <w:rFonts w:ascii="Times New Roman" w:cs="Times New Roman" w:eastAsia="Times New Roman" w:hAnsi="Times New Roman"/>
          <w:sz w:val="21"/>
          <w:szCs w:val="21"/>
          <w:color w:val="auto"/>
        </w:rPr>
      </w:pPr>
    </w:p>
    <w:p>
      <w:pPr>
        <w:jc w:val="both"/>
        <w:ind w:left="640" w:firstLine="622"/>
        <w:spacing w:after="0" w:line="224" w:lineRule="auto"/>
        <w:tabs>
          <w:tab w:leader="none" w:pos="1893" w:val="left"/>
        </w:tabs>
        <w:numPr>
          <w:ilvl w:val="0"/>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 of No Default and Financial Compliance</w:t>
      </w:r>
      <w:r>
        <w:rPr>
          <w:rFonts w:ascii="Times New Roman" w:cs="Times New Roman" w:eastAsia="Times New Roman" w:hAnsi="Times New Roman"/>
          <w:sz w:val="21"/>
          <w:szCs w:val="21"/>
          <w:color w:val="auto"/>
        </w:rPr>
        <w:t>. Within fifty (50) days after the end of each of the first three quarters of each Fiscal Year and within ninety-five (95) days after the end of each Fiscal Year, a certificate of the chief financial officer or other appropriate financial officer of General Partner (a) stating that, to the best of his or her knowledge, no Default or Event of Default has occurred and is continuing, or if 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74</w:t>
      </w:r>
    </w:p>
    <w:p>
      <w:pPr>
        <w:sectPr>
          <w:pgSz w:w="11900" w:h="16838" w:orient="portrait"/>
          <w:cols w:equalWidth="0" w:num="1">
            <w:col w:w="11240"/>
          </w:cols>
          <w:pgMar w:left="320" w:top="1440" w:right="339" w:bottom="1440" w:gutter="0" w:footer="0" w:header="0"/>
        </w:sectPr>
      </w:pPr>
    </w:p>
    <w:bookmarkStart w:id="507" w:name="page508"/>
    <w:bookmarkEnd w:id="507"/>
    <w:p>
      <w:pPr>
        <w:jc w:val="both"/>
        <w:spacing w:after="0" w:line="217" w:lineRule="auto"/>
        <w:rPr>
          <w:sz w:val="20"/>
          <w:szCs w:val="20"/>
          <w:color w:val="auto"/>
        </w:rPr>
      </w:pPr>
      <w:r>
        <w:rPr>
          <w:rFonts w:ascii="Times New Roman" w:cs="Times New Roman" w:eastAsia="Times New Roman" w:hAnsi="Times New Roman"/>
          <w:sz w:val="21"/>
          <w:szCs w:val="21"/>
          <w:color w:val="auto"/>
        </w:rPr>
        <w:t>Default or Event of Default has occurred and is continuing, specifying the nature thereof and the action which is being taken with respect thereto; (b) stating that the covenants contained in Article VIII have been complied with (or specifying those that have not been complied with) and including computations demonstrating such compliance (or non-compliance); (c) setting forth all items comprising Total Outstanding Indebtedness (including amount, maturity, interest rate and amortization requirements), Capitalization Value, Secured Indebtedness, Combined EBITDA, Unencumbered Combined EBITDA, Interest Expense, Unsecured Interest Expense and Unsecured Indebtedness; and (d) only at the end of each Fiscal Year an estimate of Borrower’s taxable income;</w:t>
      </w:r>
    </w:p>
    <w:p>
      <w:pPr>
        <w:spacing w:after="0" w:line="148" w:lineRule="exact"/>
        <w:rPr>
          <w:sz w:val="20"/>
          <w:szCs w:val="20"/>
          <w:color w:val="auto"/>
        </w:rPr>
      </w:pPr>
    </w:p>
    <w:p>
      <w:pPr>
        <w:jc w:val="both"/>
        <w:ind w:firstLine="622"/>
        <w:spacing w:after="0" w:line="213" w:lineRule="auto"/>
        <w:tabs>
          <w:tab w:leader="none" w:pos="1253"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 of Borrower’s Accountants</w:t>
      </w:r>
      <w:r>
        <w:rPr>
          <w:rFonts w:ascii="Times New Roman" w:cs="Times New Roman" w:eastAsia="Times New Roman" w:hAnsi="Times New Roman"/>
          <w:sz w:val="21"/>
          <w:szCs w:val="21"/>
          <w:color w:val="auto"/>
        </w:rPr>
        <w:t>. Within ninety-five (95) days after the end of each Fiscal Year, a report with respect thereto of Borrower’s Accountants, which report shall be unqualified, except as provided in the second sentence of this clause (4), and shall state that such financial statements fairly present the consolidated financial position of each of the Borrower and its Subsidiaries as at the dates indicated and the consolidated results of their operations and cash flows for the periods indicated, in conformity with GAAP applied on a basis consistent with prior years (except for changes which shall have been disclosed in the notes to the financial statements). In the event that such report is qualified, a copy of the Borrower’s Accountants’ communications with those charged with governance or any similar report delivered to the General Partner or to any officer or employee thereof by Borrower’s Accountants in connection with such financial statements (which letter or report shall be subject to the confidentiality limitations set forth herein), as well as a statement of Borrower’s Accountants to the effect that in connection with their audit, nothing came to their attention that caused them to believe that the Borrower failed to comply with the terms, covenants, provisions or conditions of Article VIII, insofar as they relate to financial and accounting matters.</w:t>
      </w:r>
    </w:p>
    <w:p>
      <w:pPr>
        <w:spacing w:after="0" w:line="152" w:lineRule="exact"/>
        <w:rPr>
          <w:rFonts w:ascii="Times New Roman" w:cs="Times New Roman" w:eastAsia="Times New Roman" w:hAnsi="Times New Roman"/>
          <w:sz w:val="21"/>
          <w:szCs w:val="21"/>
          <w:color w:val="auto"/>
        </w:rPr>
      </w:pPr>
    </w:p>
    <w:p>
      <w:pPr>
        <w:jc w:val="both"/>
        <w:ind w:firstLine="622"/>
        <w:spacing w:after="0" w:line="229" w:lineRule="auto"/>
        <w:tabs>
          <w:tab w:leader="none" w:pos="1253"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Litigation</w:t>
      </w:r>
      <w:r>
        <w:rPr>
          <w:rFonts w:ascii="Times New Roman" w:cs="Times New Roman" w:eastAsia="Times New Roman" w:hAnsi="Times New Roman"/>
          <w:sz w:val="21"/>
          <w:szCs w:val="21"/>
          <w:color w:val="auto"/>
        </w:rPr>
        <w:t>. Promptly after the commencement and knowledge thereof, notice of all actions, suits, and proceedings before any court or arbitrator, affecting Borrower which, if determined adversely to Borrower is likely to result in a Material Adverse Change and which would be required to be reported in Borrower’s SEC Reports;</w:t>
      </w:r>
    </w:p>
    <w:p>
      <w:pPr>
        <w:spacing w:after="0" w:line="147" w:lineRule="exact"/>
        <w:rPr>
          <w:rFonts w:ascii="Times New Roman" w:cs="Times New Roman" w:eastAsia="Times New Roman" w:hAnsi="Times New Roman"/>
          <w:sz w:val="21"/>
          <w:szCs w:val="21"/>
          <w:color w:val="auto"/>
        </w:rPr>
      </w:pPr>
    </w:p>
    <w:p>
      <w:pPr>
        <w:ind w:firstLine="622"/>
        <w:spacing w:after="0" w:line="241" w:lineRule="auto"/>
        <w:tabs>
          <w:tab w:leader="none" w:pos="1253"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ERISA Events</w:t>
      </w:r>
      <w:r>
        <w:rPr>
          <w:rFonts w:ascii="Times New Roman" w:cs="Times New Roman" w:eastAsia="Times New Roman" w:hAnsi="Times New Roman"/>
          <w:sz w:val="21"/>
          <w:szCs w:val="21"/>
          <w:color w:val="auto"/>
        </w:rPr>
        <w:t>. Promptly after the occurrence thereof, notice of any action or event described in clauses (c) or (d) of Section 9.01(7);</w:t>
      </w:r>
    </w:p>
    <w:p>
      <w:pPr>
        <w:spacing w:after="0" w:line="143" w:lineRule="exact"/>
        <w:rPr>
          <w:rFonts w:ascii="Times New Roman" w:cs="Times New Roman" w:eastAsia="Times New Roman" w:hAnsi="Times New Roman"/>
          <w:sz w:val="21"/>
          <w:szCs w:val="21"/>
          <w:color w:val="auto"/>
        </w:rPr>
      </w:pPr>
    </w:p>
    <w:p>
      <w:pPr>
        <w:jc w:val="both"/>
        <w:ind w:firstLine="622"/>
        <w:spacing w:after="0" w:line="229" w:lineRule="auto"/>
        <w:tabs>
          <w:tab w:leader="none" w:pos="1253"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of Defaults and Events of Default</w:t>
      </w:r>
      <w:r>
        <w:rPr>
          <w:rFonts w:ascii="Times New Roman" w:cs="Times New Roman" w:eastAsia="Times New Roman" w:hAnsi="Times New Roman"/>
          <w:sz w:val="21"/>
          <w:szCs w:val="21"/>
          <w:color w:val="auto"/>
        </w:rPr>
        <w:t>. As soon as possible and in any event within fifteen (15) days after Borrower becomes aware of the occurrence of a material Default or any Event of Default a written notice setting forth the details of such Default or Event of Default and the action which is proposed to be taken with respect thereto;</w:t>
      </w:r>
    </w:p>
    <w:p>
      <w:pPr>
        <w:spacing w:after="0" w:line="147" w:lineRule="exact"/>
        <w:rPr>
          <w:rFonts w:ascii="Times New Roman" w:cs="Times New Roman" w:eastAsia="Times New Roman" w:hAnsi="Times New Roman"/>
          <w:sz w:val="21"/>
          <w:szCs w:val="21"/>
          <w:color w:val="auto"/>
        </w:rPr>
      </w:pPr>
    </w:p>
    <w:p>
      <w:pPr>
        <w:ind w:firstLine="622"/>
        <w:spacing w:after="0" w:line="241" w:lineRule="auto"/>
        <w:tabs>
          <w:tab w:leader="none" w:pos="1253"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Sales or Acquisitions of Assets</w:t>
      </w:r>
      <w:r>
        <w:rPr>
          <w:rFonts w:ascii="Times New Roman" w:cs="Times New Roman" w:eastAsia="Times New Roman" w:hAnsi="Times New Roman"/>
          <w:sz w:val="21"/>
          <w:szCs w:val="21"/>
          <w:color w:val="auto"/>
        </w:rPr>
        <w:t>. Promptly after the occurrence thereof, written notice of any Disposition or acquisition of an individual asset (other than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75</w:t>
      </w:r>
    </w:p>
    <w:p>
      <w:pPr>
        <w:sectPr>
          <w:pgSz w:w="11900" w:h="16838" w:orient="portrait"/>
          <w:cols w:equalWidth="0" w:num="1">
            <w:col w:w="10600"/>
          </w:cols>
          <w:pgMar w:left="960" w:top="1225" w:right="339" w:bottom="1440" w:gutter="0" w:footer="0" w:header="0"/>
        </w:sectPr>
      </w:pPr>
    </w:p>
    <w:bookmarkStart w:id="508" w:name="page509"/>
    <w:bookmarkEnd w:id="508"/>
    <w:p>
      <w:pPr>
        <w:spacing w:after="0" w:line="241" w:lineRule="auto"/>
        <w:rPr>
          <w:sz w:val="20"/>
          <w:szCs w:val="20"/>
          <w:color w:val="auto"/>
        </w:rPr>
      </w:pPr>
      <w:r>
        <w:rPr>
          <w:rFonts w:ascii="Times New Roman" w:cs="Times New Roman" w:eastAsia="Times New Roman" w:hAnsi="Times New Roman"/>
          <w:sz w:val="21"/>
          <w:szCs w:val="21"/>
          <w:color w:val="auto"/>
        </w:rPr>
        <w:t>acquisitions or Dispositions of investments such as certificates of deposit, Treasury securities and money market deposits in the ordinary course of Borrower’s cash management) in excess of One Billion Dollars ($1,000,000,000);</w:t>
      </w:r>
    </w:p>
    <w:p>
      <w:pPr>
        <w:spacing w:after="0" w:line="144" w:lineRule="exact"/>
        <w:rPr>
          <w:sz w:val="20"/>
          <w:szCs w:val="20"/>
          <w:color w:val="auto"/>
        </w:rPr>
      </w:pPr>
    </w:p>
    <w:p>
      <w:pPr>
        <w:jc w:val="both"/>
        <w:ind w:firstLine="622"/>
        <w:spacing w:after="0" w:line="229" w:lineRule="auto"/>
        <w:tabs>
          <w:tab w:leader="none" w:pos="1253"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Material Adverse Change</w:t>
      </w:r>
      <w:r>
        <w:rPr>
          <w:rFonts w:ascii="Times New Roman" w:cs="Times New Roman" w:eastAsia="Times New Roman" w:hAnsi="Times New Roman"/>
          <w:sz w:val="21"/>
          <w:szCs w:val="21"/>
          <w:color w:val="auto"/>
        </w:rPr>
        <w:t>. As soon as is practicable and in any event within five (5) days after knowledge of the occurrence of any event or circumstance which is likely to result in or has resulted in a Material Adverse Change and which would be required to be reported in Borrower’s SEC Reports, written notice thereof;</w:t>
      </w:r>
    </w:p>
    <w:p>
      <w:pPr>
        <w:spacing w:after="0" w:line="147" w:lineRule="exact"/>
        <w:rPr>
          <w:rFonts w:ascii="Times New Roman" w:cs="Times New Roman" w:eastAsia="Times New Roman" w:hAnsi="Times New Roman"/>
          <w:sz w:val="21"/>
          <w:szCs w:val="21"/>
          <w:color w:val="auto"/>
        </w:rPr>
      </w:pPr>
    </w:p>
    <w:p>
      <w:pPr>
        <w:jc w:val="both"/>
        <w:ind w:firstLine="622"/>
        <w:spacing w:after="0" w:line="224" w:lineRule="auto"/>
        <w:tabs>
          <w:tab w:leader="none" w:pos="1253"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Bankruptcy of Tenants</w:t>
      </w:r>
      <w:r>
        <w:rPr>
          <w:rFonts w:ascii="Times New Roman" w:cs="Times New Roman" w:eastAsia="Times New Roman" w:hAnsi="Times New Roman"/>
          <w:sz w:val="21"/>
          <w:szCs w:val="21"/>
          <w:color w:val="auto"/>
        </w:rPr>
        <w:t>. Promptly after becoming aware of the same, written notice of the bankruptcy, insolvency or cessation of operations of any tenant in any Real Property Asset of Borrower or in which Borrower has an interest to which four percent (4%) or more of aggregate annual minimum rent payable to Borrower directly or through its Consolidated Businesses or UJVs is attributable;</w:t>
      </w:r>
    </w:p>
    <w:p>
      <w:pPr>
        <w:spacing w:after="0" w:line="146"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Offices</w:t>
      </w:r>
      <w:r>
        <w:rPr>
          <w:rFonts w:ascii="Times New Roman" w:cs="Times New Roman" w:eastAsia="Times New Roman" w:hAnsi="Times New Roman"/>
          <w:sz w:val="21"/>
          <w:szCs w:val="21"/>
          <w:color w:val="auto"/>
        </w:rPr>
        <w:t>. Thirty (30) days’ prior written notice of any change in the principal executive office of Borrower;</w:t>
      </w:r>
    </w:p>
    <w:p>
      <w:pPr>
        <w:spacing w:after="0" w:line="177" w:lineRule="exact"/>
        <w:rPr>
          <w:rFonts w:ascii="Times New Roman" w:cs="Times New Roman" w:eastAsia="Times New Roman" w:hAnsi="Times New Roman"/>
          <w:sz w:val="21"/>
          <w:szCs w:val="21"/>
          <w:color w:val="auto"/>
        </w:rPr>
      </w:pPr>
    </w:p>
    <w:p>
      <w:pPr>
        <w:jc w:val="both"/>
        <w:ind w:firstLine="622"/>
        <w:spacing w:after="0" w:line="229" w:lineRule="auto"/>
        <w:tabs>
          <w:tab w:leader="none" w:pos="1253"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Environmental and Other Notices</w:t>
      </w:r>
      <w:r>
        <w:rPr>
          <w:rFonts w:ascii="Times New Roman" w:cs="Times New Roman" w:eastAsia="Times New Roman" w:hAnsi="Times New Roman"/>
          <w:sz w:val="21"/>
          <w:szCs w:val="21"/>
          <w:color w:val="auto"/>
        </w:rPr>
        <w:t>. As soon as possible and in any event within thirty (30) days after receipt, copies of all Environmental Notices received by Borrower which are not received in the ordinary course of business and which relate to a previously undisclosed situation which is likely to result in a Material Adverse Change;</w:t>
      </w:r>
    </w:p>
    <w:p>
      <w:pPr>
        <w:spacing w:after="0" w:line="147" w:lineRule="exact"/>
        <w:rPr>
          <w:rFonts w:ascii="Times New Roman" w:cs="Times New Roman" w:eastAsia="Times New Roman" w:hAnsi="Times New Roman"/>
          <w:sz w:val="21"/>
          <w:szCs w:val="21"/>
          <w:color w:val="auto"/>
        </w:rPr>
      </w:pPr>
    </w:p>
    <w:p>
      <w:pPr>
        <w:ind w:firstLine="622"/>
        <w:spacing w:after="0" w:line="241" w:lineRule="auto"/>
        <w:tabs>
          <w:tab w:leader="none" w:pos="1253"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Insurance Coverage. Promptly</w:t>
      </w:r>
      <w:r>
        <w:rPr>
          <w:rFonts w:ascii="Times New Roman" w:cs="Times New Roman" w:eastAsia="Times New Roman" w:hAnsi="Times New Roman"/>
          <w:sz w:val="21"/>
          <w:szCs w:val="21"/>
          <w:color w:val="auto"/>
        </w:rPr>
        <w:t>, such information concerning Borrower’s insurance coverage as Administrative Agent may reasonably request;</w:t>
      </w:r>
    </w:p>
    <w:p>
      <w:pPr>
        <w:spacing w:after="0" w:line="143" w:lineRule="exact"/>
        <w:rPr>
          <w:rFonts w:ascii="Times New Roman" w:cs="Times New Roman" w:eastAsia="Times New Roman" w:hAnsi="Times New Roman"/>
          <w:sz w:val="21"/>
          <w:szCs w:val="21"/>
          <w:color w:val="auto"/>
        </w:rPr>
      </w:pPr>
    </w:p>
    <w:p>
      <w:pPr>
        <w:jc w:val="both"/>
        <w:ind w:firstLine="622"/>
        <w:spacing w:after="0" w:line="219" w:lineRule="auto"/>
        <w:tabs>
          <w:tab w:leader="none" w:pos="1253"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Proxy Statements, Etc</w:t>
      </w:r>
      <w:r>
        <w:rPr>
          <w:rFonts w:ascii="Times New Roman" w:cs="Times New Roman" w:eastAsia="Times New Roman" w:hAnsi="Times New Roman"/>
          <w:sz w:val="21"/>
          <w:szCs w:val="21"/>
          <w:color w:val="auto"/>
        </w:rPr>
        <w:t>. Promptly after the sending or filing thereof, copies of all proxy statements, financial statements and reports which Borrower or General Partner sends to its respective shareholders, and copies of all regular, periodic and special reports, and all registration statements, which Borrower or General Partner files with the SEC or any Governmental Authority which may be substituted therefor, or with any national securities exchange; provided, however, that such statements and reports need not be separately furnished to Administrative Agent if they are publicly filed and available with the SEC;</w:t>
      </w:r>
    </w:p>
    <w:p>
      <w:pPr>
        <w:spacing w:after="0" w:line="144" w:lineRule="exact"/>
        <w:rPr>
          <w:rFonts w:ascii="Times New Roman" w:cs="Times New Roman" w:eastAsia="Times New Roman" w:hAnsi="Times New Roman"/>
          <w:sz w:val="21"/>
          <w:szCs w:val="21"/>
          <w:color w:val="auto"/>
        </w:rPr>
      </w:pPr>
    </w:p>
    <w:p>
      <w:pPr>
        <w:jc w:val="both"/>
        <w:ind w:firstLine="622"/>
        <w:spacing w:after="0" w:line="229" w:lineRule="auto"/>
        <w:tabs>
          <w:tab w:leader="none" w:pos="1253"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 Expenditures</w:t>
      </w:r>
      <w:r>
        <w:rPr>
          <w:rFonts w:ascii="Times New Roman" w:cs="Times New Roman" w:eastAsia="Times New Roman" w:hAnsi="Times New Roman"/>
          <w:sz w:val="21"/>
          <w:szCs w:val="21"/>
          <w:color w:val="auto"/>
        </w:rPr>
        <w:t>. If reasonably requested by the Administrative Agent, a schedule of such Fiscal Year’s capital expenditures and a budget for the next Fiscal Year’s planned capital expenditures for each Consolidated Business that is a Real Property Business;</w:t>
      </w:r>
    </w:p>
    <w:p>
      <w:pPr>
        <w:spacing w:after="0" w:line="147" w:lineRule="exact"/>
        <w:rPr>
          <w:rFonts w:ascii="Times New Roman" w:cs="Times New Roman" w:eastAsia="Times New Roman" w:hAnsi="Times New Roman"/>
          <w:sz w:val="21"/>
          <w:szCs w:val="21"/>
          <w:color w:val="auto"/>
        </w:rPr>
      </w:pPr>
    </w:p>
    <w:p>
      <w:pPr>
        <w:jc w:val="both"/>
        <w:ind w:firstLine="622"/>
        <w:spacing w:after="0" w:line="224" w:lineRule="auto"/>
        <w:tabs>
          <w:tab w:leader="none" w:pos="1253"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Borrower’s Credit Rating or Beneficial Ownership</w:t>
      </w:r>
      <w:r>
        <w:rPr>
          <w:rFonts w:ascii="Times New Roman" w:cs="Times New Roman" w:eastAsia="Times New Roman" w:hAnsi="Times New Roman"/>
          <w:sz w:val="21"/>
          <w:szCs w:val="21"/>
          <w:color w:val="auto"/>
        </w:rPr>
        <w:t>. Within two (2) Banking Days after Borrower’s receipt of notice of any change in Borrower’s Credit Rating, written notice of such change, and prompt notice of any change in the information provided in any Beneficial Ownership Certification delivered to any Bank that would result in a change to the list of beneficial owners identified in such certification; and</w:t>
      </w:r>
    </w:p>
    <w:p>
      <w:pPr>
        <w:spacing w:after="0" w:line="146" w:lineRule="exact"/>
        <w:rPr>
          <w:rFonts w:ascii="Times New Roman" w:cs="Times New Roman" w:eastAsia="Times New Roman" w:hAnsi="Times New Roman"/>
          <w:sz w:val="21"/>
          <w:szCs w:val="21"/>
          <w:color w:val="auto"/>
        </w:rPr>
      </w:pPr>
    </w:p>
    <w:p>
      <w:pPr>
        <w:ind w:firstLine="622"/>
        <w:spacing w:after="0" w:line="241" w:lineRule="auto"/>
        <w:tabs>
          <w:tab w:leader="none" w:pos="1253"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Pricing Certificate Inaccuracy</w:t>
      </w:r>
      <w:r>
        <w:rPr>
          <w:rFonts w:ascii="Times New Roman" w:cs="Times New Roman" w:eastAsia="Times New Roman" w:hAnsi="Times New Roman"/>
          <w:sz w:val="21"/>
          <w:szCs w:val="21"/>
          <w:color w:val="auto"/>
        </w:rPr>
        <w:t>. Promptly following obtaining actual knowledge thereof, notice of a Pricing Certificate Inaccuracy;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76</w:t>
      </w:r>
    </w:p>
    <w:p>
      <w:pPr>
        <w:sectPr>
          <w:pgSz w:w="11900" w:h="16838" w:orient="portrait"/>
          <w:cols w:equalWidth="0" w:num="1">
            <w:col w:w="10600"/>
          </w:cols>
          <w:pgMar w:left="960" w:top="1225" w:right="339" w:bottom="1440" w:gutter="0" w:footer="0" w:header="0"/>
        </w:sectPr>
      </w:pPr>
    </w:p>
    <w:bookmarkStart w:id="509" w:name="page510"/>
    <w:bookmarkEnd w:id="509"/>
    <w:p>
      <w:pPr>
        <w:spacing w:after="0" w:line="21" w:lineRule="exact"/>
        <w:rPr>
          <w:sz w:val="20"/>
          <w:szCs w:val="20"/>
          <w:color w:val="auto"/>
        </w:rPr>
      </w:pPr>
    </w:p>
    <w:p>
      <w:pPr>
        <w:jc w:val="both"/>
        <w:ind w:left="640" w:firstLine="622"/>
        <w:spacing w:after="0" w:line="215" w:lineRule="auto"/>
        <w:tabs>
          <w:tab w:leader="none" w:pos="1893" w:val="left"/>
        </w:tabs>
        <w:numPr>
          <w:ilvl w:val="0"/>
          <w:numId w:val="3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Information</w:t>
      </w:r>
      <w:r>
        <w:rPr>
          <w:rFonts w:ascii="Times New Roman" w:cs="Times New Roman" w:eastAsia="Times New Roman" w:hAnsi="Times New Roman"/>
          <w:sz w:val="21"/>
          <w:szCs w:val="21"/>
          <w:color w:val="auto"/>
        </w:rPr>
        <w:t>. Promptly, (a) such other information respecting the condition or operations, financial or otherwise (including information and documentation reasonably requested by the Administrative Agent or any Bank for purposes of compliance with applicable “know-your-customer” requirements, Anti-Corruption Laws, including the Patriot Act, and the Beneficial Ownership Regulation), of Borrower or any properties of Borrower as Administrative Agent or any Bank may from time to time reasonably request and (b) such other non-confidential and non-privileged information regarding sustainability matters and practices of the Borrower (including with respect to sustainability initiatives or strategy, corporate governance, environmental, social and employee matters, respect for human rights, anti-corruption and anti-bribery) as the Administrative Agent or any Bank may reasonably request for purposes of compliance with any legal or regulatory requirement or internal policies applicable to it.</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ARTICLE VII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NEGATIVE COVENANTS</w:t>
      </w:r>
    </w:p>
    <w:p>
      <w:pPr>
        <w:spacing w:after="0" w:line="20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So long as any of the Loans shall remain unpaid, or the Loan Commitments remain in effect, or any other amount is owing by Borrower to Administrative Agent or any Bank hereunder or under any other Loan Document or any Letter of Credit remains outstanding, Borrower shall not do any or all of the following:</w:t>
      </w:r>
    </w:p>
    <w:p>
      <w:pPr>
        <w:spacing w:after="0" w:line="128" w:lineRule="exact"/>
        <w:rPr>
          <w:sz w:val="20"/>
          <w:szCs w:val="20"/>
          <w:color w:val="auto"/>
        </w:rPr>
      </w:pPr>
    </w:p>
    <w:p>
      <w:pPr>
        <w:jc w:val="both"/>
        <w:ind w:firstLine="629"/>
        <w:spacing w:after="0" w:line="213" w:lineRule="auto"/>
        <w:rPr>
          <w:sz w:val="20"/>
          <w:szCs w:val="20"/>
          <w:color w:val="auto"/>
        </w:rPr>
      </w:pPr>
      <w:r>
        <w:rPr>
          <w:rFonts w:ascii="Times New Roman" w:cs="Times New Roman" w:eastAsia="Times New Roman" w:hAnsi="Times New Roman"/>
          <w:sz w:val="21"/>
          <w:szCs w:val="21"/>
          <w:color w:val="auto"/>
        </w:rPr>
        <w:t xml:space="preserve">SECTION 7.01. </w:t>
      </w:r>
      <w:r>
        <w:rPr>
          <w:rFonts w:ascii="Times New Roman" w:cs="Times New Roman" w:eastAsia="Times New Roman" w:hAnsi="Times New Roman"/>
          <w:sz w:val="21"/>
          <w:szCs w:val="21"/>
          <w:u w:val="single" w:color="auto"/>
          <w:color w:val="auto"/>
        </w:rPr>
        <w:t>Mergers, Etc.</w:t>
      </w:r>
      <w:r>
        <w:rPr>
          <w:rFonts w:ascii="Times New Roman" w:cs="Times New Roman" w:eastAsia="Times New Roman" w:hAnsi="Times New Roman"/>
          <w:sz w:val="21"/>
          <w:szCs w:val="21"/>
          <w:color w:val="auto"/>
        </w:rPr>
        <w:t xml:space="preserve"> Without the Required Banks’ consent (which shall not be unreasonably withheld) merge or consolidate with (except where Borrower or General Partner is the surviving entity, or in a transaction of which the purpose is to redomesticate such entity in another United States jurisdiction, and no Default or Event of Default has occurred and is continuing (except where such Default or Event of Default shall be cured concurrently with the effectuation of such merger, consolidation or transaction)), or sell, assign, lease or otherwise dispose of (whether in one transaction or in a series of transactions, including pursuant to a limited liability company division described below) Borrower’s or General Partner’s assets substantially as an entirety (whether now owned or hereafter acquired), or if Borrower or General Partner changes its form of organization to a limited liability company, divide itself into two or more limited liability companies or series thereof (pursuant to a “plan of division” as contemplated under the Delaware Limited Liability Company Act or otherwise), or enter into any agreement to do any of the foregoing (unless Borrower’s obligation to close thereunder is conditioned on obtaining the Required Banks’ consent). Without the Required Banks’ consent (which shall not be unreasonably withheld) neither Borrower nor General Partner shall liquidate, wind up or dissolve (or suffer any liquidation or dissolution) or discontinue its business.</w:t>
      </w:r>
    </w:p>
    <w:p>
      <w:pPr>
        <w:spacing w:after="0" w:line="153"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7.02.</w:t>
      </w:r>
      <w:r>
        <w:rPr>
          <w:sz w:val="20"/>
          <w:szCs w:val="20"/>
          <w:color w:val="auto"/>
        </w:rPr>
        <w:tab/>
      </w:r>
      <w:r>
        <w:rPr>
          <w:rFonts w:ascii="Times New Roman" w:cs="Times New Roman" w:eastAsia="Times New Roman" w:hAnsi="Times New Roman"/>
          <w:sz w:val="20"/>
          <w:szCs w:val="20"/>
          <w:u w:val="single" w:color="auto"/>
          <w:color w:val="auto"/>
        </w:rPr>
        <w:t>Distributions.</w:t>
      </w:r>
    </w:p>
    <w:p>
      <w:pPr>
        <w:spacing w:after="0" w:line="178" w:lineRule="exact"/>
        <w:rPr>
          <w:sz w:val="20"/>
          <w:szCs w:val="20"/>
          <w:color w:val="auto"/>
        </w:rPr>
      </w:pPr>
    </w:p>
    <w:p>
      <w:pPr>
        <w:jc w:val="both"/>
        <w:ind w:firstLine="629"/>
        <w:spacing w:after="0" w:line="241" w:lineRule="auto"/>
        <w:rPr>
          <w:sz w:val="20"/>
          <w:szCs w:val="20"/>
          <w:color w:val="auto"/>
        </w:rPr>
      </w:pPr>
      <w:r>
        <w:rPr>
          <w:rFonts w:ascii="Times New Roman" w:cs="Times New Roman" w:eastAsia="Times New Roman" w:hAnsi="Times New Roman"/>
          <w:sz w:val="21"/>
          <w:szCs w:val="21"/>
          <w:color w:val="auto"/>
        </w:rPr>
        <w:t>Distribute cash and other property to the General Partner except only in anticipation of payment by the General Partner of dividends to its shareholders.</w:t>
      </w:r>
    </w:p>
    <w:p>
      <w:pPr>
        <w:spacing w:after="0" w:line="144"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7.03.</w:t>
      </w:r>
      <w:r>
        <w:rPr>
          <w:sz w:val="20"/>
          <w:szCs w:val="20"/>
          <w:color w:val="auto"/>
        </w:rPr>
        <w:tab/>
      </w:r>
      <w:r>
        <w:rPr>
          <w:rFonts w:ascii="Times New Roman" w:cs="Times New Roman" w:eastAsia="Times New Roman" w:hAnsi="Times New Roman"/>
          <w:sz w:val="20"/>
          <w:szCs w:val="20"/>
          <w:u w:val="single" w:color="auto"/>
          <w:color w:val="auto"/>
        </w:rPr>
        <w:t>Amendments to Organizational Documents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77</w:t>
      </w:r>
    </w:p>
    <w:p>
      <w:pPr>
        <w:sectPr>
          <w:pgSz w:w="11900" w:h="16838" w:orient="portrait"/>
          <w:cols w:equalWidth="0" w:num="1">
            <w:col w:w="11240"/>
          </w:cols>
          <w:pgMar w:left="320" w:top="1440" w:right="339" w:bottom="1440" w:gutter="0" w:footer="0" w:header="0"/>
        </w:sectPr>
      </w:pPr>
    </w:p>
    <w:bookmarkStart w:id="510" w:name="page511"/>
    <w:bookmarkEnd w:id="510"/>
    <w:p>
      <w:pPr>
        <w:spacing w:after="0" w:line="21" w:lineRule="exact"/>
        <w:rPr>
          <w:sz w:val="20"/>
          <w:szCs w:val="20"/>
          <w:color w:val="auto"/>
        </w:rPr>
      </w:pPr>
    </w:p>
    <w:p>
      <w:pPr>
        <w:jc w:val="both"/>
        <w:ind w:firstLine="634"/>
        <w:spacing w:after="0" w:line="229" w:lineRule="auto"/>
        <w:tabs>
          <w:tab w:leader="none" w:pos="1254" w:val="left"/>
        </w:tabs>
        <w:numPr>
          <w:ilvl w:val="0"/>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 Borrower’s agreement of limited partnership or other organizational documents in any manner that would result in a Material Adverse Change without the Required Banks’ consent, which consent shall not be unreasonably withheld. Without limitation of the foregoing, no Person shall be admitted as a general partner of the Borrower other than General Partner.</w:t>
      </w:r>
    </w:p>
    <w:p>
      <w:pPr>
        <w:spacing w:after="0" w:line="147" w:lineRule="exact"/>
        <w:rPr>
          <w:rFonts w:ascii="Times New Roman" w:cs="Times New Roman" w:eastAsia="Times New Roman" w:hAnsi="Times New Roman"/>
          <w:sz w:val="21"/>
          <w:szCs w:val="21"/>
          <w:color w:val="auto"/>
        </w:rPr>
      </w:pPr>
    </w:p>
    <w:p>
      <w:pPr>
        <w:jc w:val="both"/>
        <w:ind w:firstLine="634"/>
        <w:spacing w:after="0" w:line="229" w:lineRule="auto"/>
        <w:tabs>
          <w:tab w:leader="none" w:pos="1253" w:val="left"/>
        </w:tabs>
        <w:numPr>
          <w:ilvl w:val="0"/>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“in-kind” transfer of any of Borrower’s property or assets to any of Borrower’s constituent partners if such transfer would result in an Event of Default, without, in each case, the Required Banks’ consent, which consent shall not be unreasonably withheld.</w:t>
      </w:r>
    </w:p>
    <w:p>
      <w:pPr>
        <w:spacing w:after="0" w:line="147" w:lineRule="exact"/>
        <w:rPr>
          <w:sz w:val="20"/>
          <w:szCs w:val="20"/>
          <w:color w:val="auto"/>
        </w:rPr>
      </w:pPr>
    </w:p>
    <w:p>
      <w:pPr>
        <w:jc w:val="both"/>
        <w:ind w:firstLine="629"/>
        <w:spacing w:after="0" w:line="219" w:lineRule="auto"/>
        <w:rPr>
          <w:sz w:val="20"/>
          <w:szCs w:val="20"/>
          <w:color w:val="auto"/>
        </w:rPr>
      </w:pPr>
      <w:r>
        <w:rPr>
          <w:rFonts w:ascii="Times New Roman" w:cs="Times New Roman" w:eastAsia="Times New Roman" w:hAnsi="Times New Roman"/>
          <w:sz w:val="21"/>
          <w:szCs w:val="21"/>
          <w:color w:val="auto"/>
        </w:rPr>
        <w:t xml:space="preserve">SECTION 7.04. </w:t>
      </w:r>
      <w:r>
        <w:rPr>
          <w:rFonts w:ascii="Times New Roman" w:cs="Times New Roman" w:eastAsia="Times New Roman" w:hAnsi="Times New Roman"/>
          <w:sz w:val="21"/>
          <w:szCs w:val="21"/>
          <w:u w:val="single" w:color="auto"/>
          <w:color w:val="auto"/>
        </w:rPr>
        <w:t>Use of Proceeds and Letters of Credit.</w:t>
      </w:r>
      <w:r>
        <w:rPr>
          <w:rFonts w:ascii="Times New Roman" w:cs="Times New Roman" w:eastAsia="Times New Roman" w:hAnsi="Times New Roman"/>
          <w:sz w:val="21"/>
          <w:szCs w:val="21"/>
          <w:color w:val="auto"/>
        </w:rPr>
        <w:t xml:space="preserve"> Request any Loan or Letter of Credit, and the Borrower shall not use, and shall procure that its Subsidiaries and its or their respective directors, trustees, officers, employees and agents shall not use, the proceeds of any Loan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45" w:lineRule="exact"/>
        <w:rPr>
          <w:sz w:val="20"/>
          <w:szCs w:val="20"/>
          <w:color w:val="auto"/>
        </w:rPr>
      </w:pPr>
    </w:p>
    <w:p>
      <w:pPr>
        <w:jc w:val="both"/>
        <w:ind w:firstLine="629"/>
        <w:spacing w:after="0" w:line="217" w:lineRule="auto"/>
        <w:rPr>
          <w:sz w:val="20"/>
          <w:szCs w:val="20"/>
          <w:color w:val="auto"/>
        </w:rPr>
      </w:pPr>
      <w:r>
        <w:rPr>
          <w:rFonts w:ascii="Times New Roman" w:cs="Times New Roman" w:eastAsia="Times New Roman" w:hAnsi="Times New Roman"/>
          <w:sz w:val="21"/>
          <w:szCs w:val="21"/>
          <w:color w:val="auto"/>
        </w:rPr>
        <w:t xml:space="preserve">SECTION 7.05. </w:t>
      </w:r>
      <w:r>
        <w:rPr>
          <w:rFonts w:ascii="Times New Roman" w:cs="Times New Roman" w:eastAsia="Times New Roman" w:hAnsi="Times New Roman"/>
          <w:sz w:val="21"/>
          <w:szCs w:val="21"/>
          <w:u w:val="single" w:color="auto"/>
          <w:color w:val="auto"/>
        </w:rPr>
        <w:t>Outbound Investment Rules.</w:t>
      </w:r>
      <w:r>
        <w:rPr>
          <w:rFonts w:ascii="Times New Roman" w:cs="Times New Roman" w:eastAsia="Times New Roman" w:hAnsi="Times New Roman"/>
          <w:sz w:val="21"/>
          <w:szCs w:val="21"/>
          <w:color w:val="auto"/>
        </w:rPr>
        <w:t xml:space="preserve"> 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Bank to be in violation of the Outbound Investment Rules or cause the Administrative Agent or any Bank to be legally prohibited by the Outbound Investment Rules from performing under this Agreement.</w:t>
      </w:r>
    </w:p>
    <w:p>
      <w:pPr>
        <w:spacing w:after="0" w:line="14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ARTICLE VIII</w:t>
      </w:r>
    </w:p>
    <w:p>
      <w:pPr>
        <w:spacing w:after="0" w:line="1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FINANCIAL COVENANTS</w:t>
      </w:r>
    </w:p>
    <w:p>
      <w:pPr>
        <w:spacing w:after="0" w:line="204"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So long as any of the Loans shall remain unpaid, or the Loan Commitments remain in effect, or any other amount is owing by Borrower to Administrative Agent or any Bank under this Agreement or under any other Loan Document or any Letter of Credit remains outstanding, Borrower shall not permit or suffer:</w:t>
      </w:r>
    </w:p>
    <w:p>
      <w:pPr>
        <w:spacing w:after="0" w:line="128"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8.01.</w:t>
      </w:r>
      <w:r>
        <w:rPr>
          <w:sz w:val="20"/>
          <w:szCs w:val="20"/>
          <w:color w:val="auto"/>
        </w:rPr>
        <w:tab/>
      </w:r>
      <w:r>
        <w:rPr>
          <w:rFonts w:ascii="Times New Roman" w:cs="Times New Roman" w:eastAsia="Times New Roman" w:hAnsi="Times New Roman"/>
          <w:sz w:val="20"/>
          <w:szCs w:val="20"/>
          <w:u w:val="single" w:color="auto"/>
          <w:color w:val="auto"/>
        </w:rPr>
        <w:t>[Intentionally Omitted].</w:t>
      </w:r>
    </w:p>
    <w:p>
      <w:pPr>
        <w:spacing w:after="0" w:line="178" w:lineRule="exact"/>
        <w:rPr>
          <w:sz w:val="20"/>
          <w:szCs w:val="20"/>
          <w:color w:val="auto"/>
        </w:rPr>
      </w:pPr>
    </w:p>
    <w:p>
      <w:pPr>
        <w:jc w:val="both"/>
        <w:ind w:firstLine="629"/>
        <w:spacing w:after="0" w:line="212" w:lineRule="auto"/>
        <w:rPr>
          <w:sz w:val="20"/>
          <w:szCs w:val="20"/>
          <w:color w:val="auto"/>
        </w:rPr>
      </w:pPr>
      <w:r>
        <w:rPr>
          <w:rFonts w:ascii="Times New Roman" w:cs="Times New Roman" w:eastAsia="Times New Roman" w:hAnsi="Times New Roman"/>
          <w:sz w:val="21"/>
          <w:szCs w:val="21"/>
          <w:color w:val="auto"/>
        </w:rPr>
        <w:t xml:space="preserve">SECTION 8.02. </w:t>
      </w:r>
      <w:r>
        <w:rPr>
          <w:rFonts w:ascii="Times New Roman" w:cs="Times New Roman" w:eastAsia="Times New Roman" w:hAnsi="Times New Roman"/>
          <w:sz w:val="21"/>
          <w:szCs w:val="21"/>
          <w:u w:val="single" w:color="auto"/>
          <w:color w:val="auto"/>
        </w:rPr>
        <w:t>Ratio of Total Outstanding Indebtedness to Capitalization Value.</w:t>
      </w:r>
      <w:r>
        <w:rPr>
          <w:rFonts w:ascii="Times New Roman" w:cs="Times New Roman" w:eastAsia="Times New Roman" w:hAnsi="Times New Roman"/>
          <w:sz w:val="21"/>
          <w:szCs w:val="21"/>
          <w:color w:val="auto"/>
        </w:rPr>
        <w:t xml:space="preserve"> Total Outstanding Indebtedness to exceed sixty percent (60%) of Capitalization Value, each measured as of the most recently ended calendar quarter; for purposes of this covenant, (i) Total Outstanding Indebtedness shall be adjusted by deducting therefrom an amount equal to the lesser of (x) Total Outstanding Indebtedness that by its terms is either (1) scheduled to mature (including by reason of the election of the borrower of such debt to redeem such debt prior to its maturity) on or before the date that is 24 months from the date of calculation, or (2) convertible Debt with the right to put all or a portion thereof on or before the date that is 24 months from the date of calculation, and</w:t>
      </w:r>
    </w:p>
    <w:p>
      <w:pPr>
        <w:spacing w:after="0" w:line="2" w:lineRule="exact"/>
        <w:rPr>
          <w:sz w:val="20"/>
          <w:szCs w:val="20"/>
          <w:color w:val="auto"/>
        </w:rPr>
      </w:pPr>
    </w:p>
    <w:p>
      <w:pPr>
        <w:jc w:val="both"/>
        <w:ind w:firstLine="5"/>
        <w:spacing w:after="0" w:line="221" w:lineRule="auto"/>
        <w:tabs>
          <w:tab w:leader="none" w:pos="317" w:val="left"/>
        </w:tabs>
        <w:numPr>
          <w:ilvl w:val="0"/>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Unrestricted Cash and Cash Equivalents, and (ii) Capitalization Value shall be adjusted by deducting therefrom the amount by which Total Outstanding Indebtedness is adjusted under clause (i); for purposes of determining Capitalization Value for this covenant only, (A) costs and expenses incurred during the applicable period with respect to acquisitions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78</w:t>
      </w:r>
    </w:p>
    <w:p>
      <w:pPr>
        <w:sectPr>
          <w:pgSz w:w="11900" w:h="16838" w:orient="portrait"/>
          <w:cols w:equalWidth="0" w:num="1">
            <w:col w:w="11240"/>
          </w:cols>
          <w:pgMar w:left="320" w:top="1440" w:right="339" w:bottom="1440" w:gutter="0" w:footer="0" w:header="0"/>
        </w:sectPr>
      </w:pPr>
    </w:p>
    <w:bookmarkStart w:id="511" w:name="page512"/>
    <w:bookmarkEnd w:id="511"/>
    <w:p>
      <w:pPr>
        <w:jc w:val="both"/>
        <w:spacing w:after="0" w:line="224" w:lineRule="auto"/>
        <w:rPr>
          <w:sz w:val="20"/>
          <w:szCs w:val="20"/>
          <w:color w:val="auto"/>
        </w:rPr>
      </w:pPr>
      <w:r>
        <w:rPr>
          <w:rFonts w:ascii="Times New Roman" w:cs="Times New Roman" w:eastAsia="Times New Roman" w:hAnsi="Times New Roman"/>
          <w:sz w:val="21"/>
          <w:szCs w:val="21"/>
          <w:color w:val="auto"/>
        </w:rPr>
        <w:t>and lending transactions that failed to close and were abandoned during such period shall not be deducted in determining EBITDA, and (B) Unrestricted Cash and Cash Equivalents shall be adjusted to deduct therefrom $35,000,000; and for purposes of clause (i)(y) above, Unrestricted Cash and Cash Equivalents shall be without inclusion of Borrower’s Pro Rata Share of any Cash or Cash Equivalents owned by any UJV.</w:t>
      </w:r>
    </w:p>
    <w:p>
      <w:pPr>
        <w:spacing w:after="0" w:line="146"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8.03.</w:t>
      </w:r>
      <w:r>
        <w:rPr>
          <w:sz w:val="20"/>
          <w:szCs w:val="20"/>
          <w:color w:val="auto"/>
        </w:rPr>
        <w:tab/>
      </w:r>
      <w:r>
        <w:rPr>
          <w:rFonts w:ascii="Times New Roman" w:cs="Times New Roman" w:eastAsia="Times New Roman" w:hAnsi="Times New Roman"/>
          <w:sz w:val="20"/>
          <w:szCs w:val="20"/>
          <w:u w:val="single" w:color="auto"/>
          <w:color w:val="auto"/>
        </w:rPr>
        <w:t>Intentionally Omitted</w:t>
      </w:r>
    </w:p>
    <w:p>
      <w:pPr>
        <w:spacing w:after="0" w:line="178"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8.04. </w:t>
      </w:r>
      <w:r>
        <w:rPr>
          <w:rFonts w:ascii="Times New Roman" w:cs="Times New Roman" w:eastAsia="Times New Roman" w:hAnsi="Times New Roman"/>
          <w:sz w:val="21"/>
          <w:szCs w:val="21"/>
          <w:u w:val="single" w:color="auto"/>
          <w:color w:val="auto"/>
        </w:rPr>
        <w:t>Ratio of Combined EBITDA to Fixed Charges.</w:t>
      </w:r>
      <w:r>
        <w:rPr>
          <w:rFonts w:ascii="Times New Roman" w:cs="Times New Roman" w:eastAsia="Times New Roman" w:hAnsi="Times New Roman"/>
          <w:sz w:val="21"/>
          <w:szCs w:val="21"/>
          <w:color w:val="auto"/>
        </w:rPr>
        <w:t xml:space="preserve"> The ratio of Combined EBITDA for the period of four calendar quarters then ended to Fixed Charges for such period, each measured as of the most recently ended calendar quarter, to be less than 1.40 to 1.00.</w:t>
      </w:r>
    </w:p>
    <w:p>
      <w:pPr>
        <w:spacing w:after="0" w:line="147"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8.05. </w:t>
      </w:r>
      <w:r>
        <w:rPr>
          <w:rFonts w:ascii="Times New Roman" w:cs="Times New Roman" w:eastAsia="Times New Roman" w:hAnsi="Times New Roman"/>
          <w:sz w:val="21"/>
          <w:szCs w:val="21"/>
          <w:u w:val="single" w:color="auto"/>
          <w:color w:val="auto"/>
        </w:rPr>
        <w:t>Ratio of Unencumbered Combined EBITDA to Unsecured Interest Expense.</w:t>
      </w:r>
      <w:r>
        <w:rPr>
          <w:rFonts w:ascii="Times New Roman" w:cs="Times New Roman" w:eastAsia="Times New Roman" w:hAnsi="Times New Roman"/>
          <w:sz w:val="21"/>
          <w:szCs w:val="21"/>
          <w:color w:val="auto"/>
        </w:rPr>
        <w:t xml:space="preserve"> The ratio of Unencumbered Combined EBITDA for the period of four calendar quarters then ended to Unsecured Interest Expense for such period, each measured as of the most recently ended calendar quarter, to be less than 1.75 to 1.00.</w:t>
      </w:r>
    </w:p>
    <w:p>
      <w:pPr>
        <w:spacing w:after="0" w:line="147" w:lineRule="exact"/>
        <w:rPr>
          <w:sz w:val="20"/>
          <w:szCs w:val="20"/>
          <w:color w:val="auto"/>
        </w:rPr>
      </w:pPr>
    </w:p>
    <w:p>
      <w:pPr>
        <w:jc w:val="both"/>
        <w:ind w:firstLine="629"/>
        <w:spacing w:after="0" w:line="212" w:lineRule="auto"/>
        <w:rPr>
          <w:sz w:val="20"/>
          <w:szCs w:val="20"/>
          <w:color w:val="auto"/>
        </w:rPr>
      </w:pPr>
      <w:r>
        <w:rPr>
          <w:rFonts w:ascii="Times New Roman" w:cs="Times New Roman" w:eastAsia="Times New Roman" w:hAnsi="Times New Roman"/>
          <w:sz w:val="21"/>
          <w:szCs w:val="21"/>
          <w:color w:val="auto"/>
        </w:rPr>
        <w:t xml:space="preserve">SECTION 8.06. </w:t>
      </w:r>
      <w:r>
        <w:rPr>
          <w:rFonts w:ascii="Times New Roman" w:cs="Times New Roman" w:eastAsia="Times New Roman" w:hAnsi="Times New Roman"/>
          <w:sz w:val="21"/>
          <w:szCs w:val="21"/>
          <w:u w:val="single" w:color="auto"/>
          <w:color w:val="auto"/>
        </w:rPr>
        <w:t>Ratio of Unsecured Indebtedness to Capitalization Value of Unencumbered Assets.</w:t>
      </w:r>
      <w:r>
        <w:rPr>
          <w:rFonts w:ascii="Times New Roman" w:cs="Times New Roman" w:eastAsia="Times New Roman" w:hAnsi="Times New Roman"/>
          <w:sz w:val="21"/>
          <w:szCs w:val="21"/>
          <w:color w:val="auto"/>
        </w:rPr>
        <w:t xml:space="preserve"> Unsecured Indebtedness to exceed sixty percent (60%) of Capitalization Value of Unencumbered Assets, each measured as of the most recently ended calendar quarter for purposes of this covenant, (i) Unsecured Indebtedness shall be adjusted by deducting therefrom an amount equal to the lesser of (x) Unsecured Indebtedness that by its terms is either (1) scheduled to mature (including by reason of the election of the borrower of such debt to redeem such debt prior to its maturity) on or before the date that is 24 months from the date of calculation, or (2) convertible Debt with the right to put all or a portion thereof on or before the date that is 24 months from the date of calculation, and (y) Unrestricted Cash and Cash Equivalents or such lesser amount of Unrestricted Cash and Cash Equivalents as Borrower shall specify for this purpose (the “Unsecured Indebtedness Adjustment”), and (ii) Capitalization Value shall be adjusted by deducting therefrom the Unsecured Indebtedness Adjustment; for purposes of determining Capitalization Value of Unencumbered Assets for this covenant only, (A) costs and expenses incurred during the applicable period with respect to acquisitions and lending transactions that failed to close and were abandoned during such period shall not be deducted in determining EBITDA; and (B) Unrestricted Cash and Cash Equivalents shall be adjusted to deduct therefrom $ 35,000,000; and for purposes of clause (i)(y) above, Unrestricted Cash and Cash Equivalents shall be adjusted to deduct therefrom any Unrestricted Cash and Cash Equivalents used to determine the Secured Indebtedness Adjustment in Section 8.07 and be without inclusion of Borrower’s Pro Rata Share of any Cash or Cash Equivalents owned by any UJV.</w:t>
      </w:r>
    </w:p>
    <w:p>
      <w:pPr>
        <w:spacing w:after="0" w:line="154"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8.07. </w:t>
      </w:r>
      <w:r>
        <w:rPr>
          <w:rFonts w:ascii="Times New Roman" w:cs="Times New Roman" w:eastAsia="Times New Roman" w:hAnsi="Times New Roman"/>
          <w:sz w:val="21"/>
          <w:szCs w:val="21"/>
          <w:u w:val="single" w:color="auto"/>
          <w:color w:val="auto"/>
        </w:rPr>
        <w:t>Ratio of Secured Indebtedness to Capitalization Value.</w:t>
      </w:r>
      <w:r>
        <w:rPr>
          <w:rFonts w:ascii="Times New Roman" w:cs="Times New Roman" w:eastAsia="Times New Roman" w:hAnsi="Times New Roman"/>
          <w:sz w:val="21"/>
          <w:szCs w:val="21"/>
          <w:color w:val="auto"/>
        </w:rPr>
        <w:t xml:space="preserve"> The ratio of Secured Indebtedness to Capitalization Value, each measured as of the most recently ended calendar quarter, to exceed 50%; for purposes of this covenant, (i) Secured Indebtedness shall be adjusted by deducting therefrom an amount equal to the lesser of (x) Secured Indebtedness that by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79</w:t>
      </w:r>
    </w:p>
    <w:p>
      <w:pPr>
        <w:sectPr>
          <w:pgSz w:w="11900" w:h="16838" w:orient="portrait"/>
          <w:cols w:equalWidth="0" w:num="1">
            <w:col w:w="11240"/>
          </w:cols>
          <w:pgMar w:left="320" w:top="1225" w:right="339" w:bottom="1440" w:gutter="0" w:footer="0" w:header="0"/>
        </w:sectPr>
      </w:pPr>
    </w:p>
    <w:bookmarkStart w:id="512" w:name="page513"/>
    <w:bookmarkEnd w:id="512"/>
    <w:p>
      <w:pPr>
        <w:jc w:val="both"/>
        <w:spacing w:after="0" w:line="214" w:lineRule="auto"/>
        <w:rPr>
          <w:sz w:val="20"/>
          <w:szCs w:val="20"/>
          <w:color w:val="auto"/>
        </w:rPr>
      </w:pPr>
      <w:r>
        <w:rPr>
          <w:rFonts w:ascii="Times New Roman" w:cs="Times New Roman" w:eastAsia="Times New Roman" w:hAnsi="Times New Roman"/>
          <w:sz w:val="21"/>
          <w:szCs w:val="21"/>
          <w:color w:val="auto"/>
        </w:rPr>
        <w:t>its terms is either (1) scheduled to mature on (including by reason of the election of the borrower of such debt to redeem such debt prior to its maturity) or before the date that is 24 months from the date of calculation, or (2) convertible Debt with the right to put all or a portion thereof on or before the date that is 24 months from the date of calculation, and (y) Unrestricted Cash and Cash Equivalents or such lesser amount of Unrestricted Cash and Cash Equivalents as Borrower shall specify for this purpose (the “Secured Indebtedness Adjustment”), and (ii) Capitalization Value shall be adjusted by deducting therefrom the Secured Indebtedness Adjustment; for purposes of determining Capitalization Value for this covenant only, (A) costs and expenses incurred during the applicable period with respect to acquisitions and lending transactions that failed to close and were abandoned during such period shall not be deducted in determining EBITDA; and (B) Unrestricted Cash and Cash Equivalents shall be adjusted to deduct therefrom $35,000,000; and for purposes of clause (i)(y) above, Unrestricted Cash and Cash Equivalents shall be adjusted to deduct therefrom any Unrestricted Cash and Cash Equivalents used to determine the Unsecured Indebtedness Adjustment in Section 8.06 and be without inclusion of Borrower’s Pro Rata Share of any Cash or Cash Equivalents owned by any UJV.</w:t>
      </w:r>
    </w:p>
    <w:p>
      <w:pPr>
        <w:spacing w:after="0" w:line="146"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8.08. </w:t>
      </w:r>
      <w:r>
        <w:rPr>
          <w:rFonts w:ascii="Times New Roman" w:cs="Times New Roman" w:eastAsia="Times New Roman" w:hAnsi="Times New Roman"/>
          <w:sz w:val="21"/>
          <w:szCs w:val="21"/>
          <w:u w:val="single" w:color="auto"/>
          <w:color w:val="auto"/>
        </w:rPr>
        <w:t>Debt of the General Partner.</w:t>
      </w:r>
      <w:r>
        <w:rPr>
          <w:rFonts w:ascii="Times New Roman" w:cs="Times New Roman" w:eastAsia="Times New Roman" w:hAnsi="Times New Roman"/>
          <w:sz w:val="21"/>
          <w:szCs w:val="21"/>
          <w:color w:val="auto"/>
        </w:rPr>
        <w:t xml:space="preserve"> Notwithstanding anything contained herein to the contrary, any Debt of the General Partner shall be deemed to be Debt of the Borrower (provided that the same shall be without duplication), for purposes of calculating the financial covenants set forth in this Article VIII.</w:t>
      </w:r>
    </w:p>
    <w:p>
      <w:pPr>
        <w:spacing w:after="0" w:line="14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IX</w:t>
      </w:r>
    </w:p>
    <w:p>
      <w:pPr>
        <w:spacing w:after="0" w:line="17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EVENTS OF DEFAULT</w:t>
      </w:r>
    </w:p>
    <w:p>
      <w:pPr>
        <w:spacing w:after="0" w:line="178"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9.01.</w:t>
      </w:r>
      <w:r>
        <w:rPr>
          <w:sz w:val="20"/>
          <w:szCs w:val="20"/>
          <w:color w:val="auto"/>
        </w:rPr>
        <w:tab/>
      </w:r>
      <w:r>
        <w:rPr>
          <w:rFonts w:ascii="Times New Roman" w:cs="Times New Roman" w:eastAsia="Times New Roman" w:hAnsi="Times New Roman"/>
          <w:sz w:val="20"/>
          <w:szCs w:val="20"/>
          <w:u w:val="single" w:color="auto"/>
          <w:color w:val="auto"/>
        </w:rPr>
        <w:t xml:space="preserve">Events of Default. </w:t>
      </w:r>
      <w:r>
        <w:rPr>
          <w:rFonts w:ascii="Times New Roman" w:cs="Times New Roman" w:eastAsia="Times New Roman" w:hAnsi="Times New Roman"/>
          <w:sz w:val="20"/>
          <w:szCs w:val="20"/>
          <w:color w:val="auto"/>
        </w:rPr>
        <w:t>Any of the following events shall be an “Event of Default”:</w:t>
      </w:r>
    </w:p>
    <w:p>
      <w:pPr>
        <w:spacing w:after="0" w:line="178" w:lineRule="exact"/>
        <w:rPr>
          <w:sz w:val="20"/>
          <w:szCs w:val="20"/>
          <w:color w:val="auto"/>
        </w:rPr>
      </w:pPr>
    </w:p>
    <w:p>
      <w:pPr>
        <w:jc w:val="both"/>
        <w:ind w:left="640" w:firstLine="622"/>
        <w:spacing w:after="0" w:line="221" w:lineRule="auto"/>
        <w:tabs>
          <w:tab w:leader="none" w:pos="1893" w:val="left"/>
        </w:tabs>
        <w:numPr>
          <w:ilvl w:val="0"/>
          <w:numId w:val="3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Borrower shall fail to pay the principal of any Loans or reimburse any drawing on a Letter of Credit as and when due; or fail to pay interest accruing on any Loans as and when due and such failure to pay shall continue unremedied for five (5) days after the due date of such amount; or fail to pay any fee or any other amount due under this Agreement or any other Loan Document as and when due and such failure to pay shall continue unremedied for five (5) days after notice by Administrative Agent of such failure to pay;</w:t>
      </w:r>
    </w:p>
    <w:p>
      <w:pPr>
        <w:spacing w:after="0" w:line="145" w:lineRule="exact"/>
        <w:rPr>
          <w:rFonts w:ascii="Times New Roman" w:cs="Times New Roman" w:eastAsia="Times New Roman" w:hAnsi="Times New Roman"/>
          <w:sz w:val="21"/>
          <w:szCs w:val="21"/>
          <w:color w:val="auto"/>
        </w:rPr>
      </w:pPr>
    </w:p>
    <w:p>
      <w:pPr>
        <w:jc w:val="both"/>
        <w:ind w:left="640" w:firstLine="622"/>
        <w:spacing w:after="0" w:line="224" w:lineRule="auto"/>
        <w:tabs>
          <w:tab w:leader="none" w:pos="1893" w:val="left"/>
        </w:tabs>
        <w:numPr>
          <w:ilvl w:val="0"/>
          <w:numId w:val="3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representation or warranty made or deemed made by Borrower in this Agreement or in any other Loan Document or which is contained in any certificate, document, opinion, financial or other statement furnished at any time under or in connection with a Loan Document shall prove to have been incorrect in any material respect on or as of the date made or deemed made;</w:t>
      </w:r>
    </w:p>
    <w:p>
      <w:pPr>
        <w:spacing w:after="0" w:line="146" w:lineRule="exact"/>
        <w:rPr>
          <w:rFonts w:ascii="Times New Roman" w:cs="Times New Roman" w:eastAsia="Times New Roman" w:hAnsi="Times New Roman"/>
          <w:sz w:val="21"/>
          <w:szCs w:val="21"/>
          <w:color w:val="auto"/>
        </w:rPr>
      </w:pPr>
    </w:p>
    <w:p>
      <w:pPr>
        <w:jc w:val="both"/>
        <w:ind w:left="640" w:firstLine="622"/>
        <w:spacing w:after="0" w:line="215" w:lineRule="auto"/>
        <w:tabs>
          <w:tab w:leader="none" w:pos="1893" w:val="left"/>
        </w:tabs>
        <w:numPr>
          <w:ilvl w:val="0"/>
          <w:numId w:val="3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Borrower shall fail (a) to perform or observe any term, covenant or agreement contained in Section 6.01 (with respect to the legal existence of the Borrower), Section 6.09(7), Article VII or Article VIII; or (b) to perform or observe any term, covenant or agreement contained in this Agreement (other than obligations specifically referred to elsewhere in this Section 9.01) and such failure shall remain unremedied for thirty (30) consecutive calendar days after notice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any such default under clause (b) above cannot by its nature be cured within such thirty (30) day grace period and so long as Borrower shall have commenced cure within such thirty (30) day grace period and shall, at all times thereafter, diligently prosecute the same to completion, Borrower shall have an additional period of forty-five (45) days to cure such default;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is the foregoing intended to effect an extension of the Maturity Date;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80</w:t>
      </w:r>
    </w:p>
    <w:p>
      <w:pPr>
        <w:sectPr>
          <w:pgSz w:w="11900" w:h="16838" w:orient="portrait"/>
          <w:cols w:equalWidth="0" w:num="1">
            <w:col w:w="11240"/>
          </w:cols>
          <w:pgMar w:left="320" w:top="1225" w:right="339" w:bottom="1440" w:gutter="0" w:footer="0" w:header="0"/>
        </w:sectPr>
      </w:pPr>
    </w:p>
    <w:bookmarkStart w:id="513" w:name="page514"/>
    <w:bookmarkEnd w:id="513"/>
    <w:p>
      <w:pPr>
        <w:jc w:val="both"/>
        <w:ind w:left="6" w:firstLine="622"/>
        <w:spacing w:after="0" w:line="212" w:lineRule="auto"/>
        <w:tabs>
          <w:tab w:leader="none" w:pos="1259" w:val="left"/>
        </w:tabs>
        <w:numPr>
          <w:ilvl w:val="1"/>
          <w:numId w:val="3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Borrower shall fail (a) to pay any Debt (other than the payment obligations described in paragraph (1) of this Section 9.01 or obligations that are recourse to Borrower solely for fraud, misappropriation, environmental liability and other normal and customary bad-act carveouts to nonrecourse obligations) the Recourse portion of which to Borrower is an amount equal to or greater than Fifty Million Dollars ($50,000,000) when due (whether by scheduled maturity, required prepayment, acceleration, demand or otherwise) after the expiration of any applicable grace period, or (b) to perform or observe any material term, covenant, or condition under any agreement or instrument relating to any such Debt, when required to be performed or observed, if the effect of such failure to perform or observe is to accelerate, or to permit the acceleration of, after the giving of notice or the lapse of time, or both (other than in cases where, in the judgment of the Required Banks, meaningful discussions likely to result in (i) a waiver or cure of the failure to perform or observe, or (ii) otherwise averting such acceleration are in progress between Borrower and the obligee of such Debt; it being understood with respect to the foregoing clauses (i) and (ii) that a waiver or cure of the failure to perform or observe under any other credit facility (or any amendment related thereto) that has been acknowledged or agreed by the obligee of such Debt shall not result in an Event of Default being outstanding pursuant to this Agreement), the maturity of such Debt, or any such Debt shall be declared to be due and payable, or required to be prepaid (other than by a regularly scheduled or otherwise required prepayment, repurchase or defeasance), prior to the stated maturity thereof;</w:t>
      </w:r>
    </w:p>
    <w:p>
      <w:pPr>
        <w:spacing w:after="0" w:line="153" w:lineRule="exact"/>
        <w:rPr>
          <w:rFonts w:ascii="Times New Roman" w:cs="Times New Roman" w:eastAsia="Times New Roman" w:hAnsi="Times New Roman"/>
          <w:sz w:val="21"/>
          <w:szCs w:val="21"/>
          <w:color w:val="auto"/>
        </w:rPr>
      </w:pPr>
    </w:p>
    <w:p>
      <w:pPr>
        <w:jc w:val="both"/>
        <w:ind w:left="6" w:firstLine="622"/>
        <w:spacing w:after="0" w:line="211" w:lineRule="auto"/>
        <w:tabs>
          <w:tab w:leader="none" w:pos="1259" w:val="left"/>
        </w:tabs>
        <w:numPr>
          <w:ilvl w:val="1"/>
          <w:numId w:val="3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either Borrower or General Partner shall (a) generally not, or be unable to, or shall admit in writing its inability to, pay its debts as such debts become due; (b) make an assignment for the benefit of creditors, petition or apply to any tribunal for the appointment of a custodian, receiver or trustee for it or a substantial part of its assets; (c) commence any proceeding under any bankruptcy, reorganization, arrangement, readjustment of debt, dissolution or liquidation law or statute of any jurisdiction, whether now or hereafter in effect; (d) have had any such petition or application filed or any such proceeding shall have been commenced, against it, in which an adjudication or appointment is made or order for relief is entered, or which petition, application or proceeding remains undismissed or unstayed for a period of sixty (60) days or more;</w:t>
      </w:r>
    </w:p>
    <w:p>
      <w:pPr>
        <w:spacing w:after="0" w:line="4" w:lineRule="exact"/>
        <w:rPr>
          <w:rFonts w:ascii="Times New Roman" w:cs="Times New Roman" w:eastAsia="Times New Roman" w:hAnsi="Times New Roman"/>
          <w:sz w:val="21"/>
          <w:szCs w:val="21"/>
          <w:color w:val="auto"/>
        </w:rPr>
      </w:pPr>
    </w:p>
    <w:p>
      <w:pPr>
        <w:jc w:val="both"/>
        <w:ind w:left="6" w:hanging="6"/>
        <w:spacing w:after="0" w:line="216" w:lineRule="auto"/>
        <w:tabs>
          <w:tab w:leader="none" w:pos="302" w:val="left"/>
        </w:tabs>
        <w:numPr>
          <w:ilvl w:val="0"/>
          <w:numId w:val="3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the subject of any proceeding under which all or a substantial part of its assets may be subject to seizure, forfeiture or divestiture by any governmental entity; (f) by any act or omission indicate its consent to, approval of or acquiescence in any such petition, application or proceeding or order for relief or the appointment of a custodian, receiver or trustee for all or any substantial part of its property; or (g) suffer any such custodianship, receivership or trusteeship for all or any substantial part of its property, to continue undischarged for a period of sixty (60) days or more;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86"/>
        <w:spacing w:after="0"/>
        <w:rPr>
          <w:sz w:val="20"/>
          <w:szCs w:val="20"/>
          <w:color w:val="auto"/>
        </w:rPr>
      </w:pPr>
      <w:r>
        <w:rPr>
          <w:rFonts w:ascii="Times New Roman" w:cs="Times New Roman" w:eastAsia="Times New Roman" w:hAnsi="Times New Roman"/>
          <w:sz w:val="21"/>
          <w:szCs w:val="21"/>
          <w:color w:val="auto"/>
        </w:rPr>
        <w:t>81</w:t>
      </w:r>
    </w:p>
    <w:p>
      <w:pPr>
        <w:sectPr>
          <w:pgSz w:w="11900" w:h="16838" w:orient="portrait"/>
          <w:cols w:equalWidth="0" w:num="1">
            <w:col w:w="10606"/>
          </w:cols>
          <w:pgMar w:left="954" w:top="1225" w:right="339" w:bottom="1440" w:gutter="0" w:footer="0" w:header="0"/>
        </w:sectPr>
      </w:pPr>
    </w:p>
    <w:bookmarkStart w:id="514" w:name="page515"/>
    <w:bookmarkEnd w:id="514"/>
    <w:p>
      <w:pPr>
        <w:spacing w:after="0" w:line="21" w:lineRule="exact"/>
        <w:rPr>
          <w:sz w:val="20"/>
          <w:szCs w:val="20"/>
          <w:color w:val="auto"/>
        </w:rPr>
      </w:pPr>
    </w:p>
    <w:p>
      <w:pPr>
        <w:jc w:val="both"/>
        <w:ind w:left="6" w:firstLine="622"/>
        <w:spacing w:after="0" w:line="224" w:lineRule="auto"/>
        <w:tabs>
          <w:tab w:leader="none" w:pos="1259" w:val="left"/>
        </w:tabs>
        <w:numPr>
          <w:ilvl w:val="1"/>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one or more judgments, decrees or orders for the payment of money in excess of Fifty Million Dollars ($50,000,000) in the aggregate shall be rendered against Borrower or General Partner, and any such judgments, decrees or orders shall continue unsatisfied and in effect for a period of thirty (30) consecutive days without being vacated, discharged, satisfied or stayed or bonded pending appeal;</w:t>
      </w:r>
    </w:p>
    <w:p>
      <w:pPr>
        <w:spacing w:after="0" w:line="146" w:lineRule="exact"/>
        <w:rPr>
          <w:rFonts w:ascii="Times New Roman" w:cs="Times New Roman" w:eastAsia="Times New Roman" w:hAnsi="Times New Roman"/>
          <w:sz w:val="21"/>
          <w:szCs w:val="21"/>
          <w:color w:val="auto"/>
        </w:rPr>
      </w:pPr>
    </w:p>
    <w:p>
      <w:pPr>
        <w:jc w:val="both"/>
        <w:ind w:left="6" w:firstLine="622"/>
        <w:spacing w:after="0" w:line="223" w:lineRule="auto"/>
        <w:tabs>
          <w:tab w:leader="none" w:pos="1259"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of the following events shall occur or exist with respect to any Plan: (a) any Prohibited Transaction; (b) any Reportable Event; (c) the filing under Section 4041 of ERISA of a notice of intent to terminate any Plan or the termination of any Plan; (d) receipt of notice of an application by the PBGC to institute proceedings under Section 4042 of ERISA for the termination of, or for the appointment of a trustee to administer, any Plan, or the institution by the PBGC of any such proceedings; (e) a condition exists which gives rise to imposition of a lien under Section 412(n) or (f) of the Code on Borrower, General Partner or any ERISA Affiliate, and in each case above, if either (1) such event or conditions, if any, result in Borrower, General Partner or any ERISA Affiliate being subject to any tax, penalty or other liability to a Plan, the PBGC or otherwise (or any combination thereof), which in the aggregate exceeds or is reasonably likely to exceed Twenty Million Dollars ($20,000,000), and the same continues unremedied or unpaid for a period of forty-five (45) consecutive days after the date upon which such amount became due and payable or (2) such event or conditions, if any, is reasonably likely to result in Borrower, General Partner or any ERISA Affiliate being subject to any tax, penalty or other liability to a Plan, the PBGC or otherwise (or any combination thereof), which in the aggregate exceeds or may exceed Twenty Million Dollars ($20,000,000) and such event or condition is unremedied, or such tax, penalty or other liability is not reserved against or the payment thereof otherwise secured to the reasonable satisfaction of the Administrative Agent, for a period of forty-five (45) consecutive days after the later of (x) the date upon which such amount became due and payable and (y) notice from the Administrative Agent;</w:t>
      </w:r>
    </w:p>
    <w:p>
      <w:pPr>
        <w:spacing w:after="0" w:line="147" w:lineRule="exact"/>
        <w:rPr>
          <w:rFonts w:ascii="Times New Roman" w:cs="Times New Roman" w:eastAsia="Times New Roman" w:hAnsi="Times New Roman"/>
          <w:sz w:val="20"/>
          <w:szCs w:val="20"/>
          <w:color w:val="auto"/>
        </w:rPr>
      </w:pPr>
    </w:p>
    <w:p>
      <w:pPr>
        <w:jc w:val="both"/>
        <w:ind w:left="6" w:firstLine="622"/>
        <w:spacing w:after="0" w:line="216" w:lineRule="auto"/>
        <w:tabs>
          <w:tab w:leader="none" w:pos="1259" w:val="left"/>
        </w:tabs>
        <w:numPr>
          <w:ilvl w:val="1"/>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General Partner shall fail at any time to (i) maintain at least one class of its common shares which has trading privileges on the New York Stock Exchange or the American Stock Exchange or is the subject of price quotations in the over-the-counter market as reported by the National Association of Securities Dealers Automated Quotation System, or</w:t>
      </w:r>
    </w:p>
    <w:p>
      <w:pPr>
        <w:ind w:left="6" w:hanging="6"/>
        <w:spacing w:after="0" w:line="228" w:lineRule="auto"/>
        <w:tabs>
          <w:tab w:leader="none" w:pos="327"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its status as a self-directed and self-administered REIT, and in either case such failure shall remain unremedied for thirty (30) consecutive calendar days after notice thereof;</w:t>
      </w:r>
    </w:p>
    <w:p>
      <w:pPr>
        <w:spacing w:after="0" w:line="145" w:lineRule="exact"/>
        <w:rPr>
          <w:rFonts w:ascii="Times New Roman" w:cs="Times New Roman" w:eastAsia="Times New Roman" w:hAnsi="Times New Roman"/>
          <w:sz w:val="21"/>
          <w:szCs w:val="21"/>
          <w:color w:val="auto"/>
        </w:rPr>
      </w:pPr>
    </w:p>
    <w:p>
      <w:pPr>
        <w:jc w:val="both"/>
        <w:ind w:left="6" w:firstLine="622"/>
        <w:spacing w:after="0" w:line="229" w:lineRule="auto"/>
        <w:tabs>
          <w:tab w:leader="none" w:pos="1259" w:val="left"/>
        </w:tabs>
        <w:numPr>
          <w:ilvl w:val="1"/>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General Partner acquires any material assets other than additional interests in Borrower or as permitted by Borrower’s partnership agreement and shall fail to dispose of any such material asset for thirty (30) consecutive calendar days after notice thereof;</w:t>
      </w:r>
    </w:p>
    <w:p>
      <w:pPr>
        <w:spacing w:after="0" w:line="147" w:lineRule="exact"/>
        <w:rPr>
          <w:rFonts w:ascii="Times New Roman" w:cs="Times New Roman" w:eastAsia="Times New Roman" w:hAnsi="Times New Roman"/>
          <w:sz w:val="21"/>
          <w:szCs w:val="21"/>
          <w:color w:val="auto"/>
        </w:rPr>
      </w:pPr>
    </w:p>
    <w:p>
      <w:pPr>
        <w:ind w:left="6" w:firstLine="622"/>
        <w:spacing w:after="0" w:line="241" w:lineRule="auto"/>
        <w:tabs>
          <w:tab w:leader="none" w:pos="1259" w:val="left"/>
        </w:tabs>
        <w:numPr>
          <w:ilvl w:val="1"/>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assets of the Borrower or General Partner constitute plan assets for ERISA purposes (within the meaning of C.F.R. § 2510.3-101, as modified by Section 3(42) of ERISA);</w:t>
      </w:r>
    </w:p>
    <w:p>
      <w:pPr>
        <w:spacing w:after="0" w:line="143" w:lineRule="exact"/>
        <w:rPr>
          <w:rFonts w:ascii="Times New Roman" w:cs="Times New Roman" w:eastAsia="Times New Roman" w:hAnsi="Times New Roman"/>
          <w:sz w:val="21"/>
          <w:szCs w:val="21"/>
          <w:color w:val="auto"/>
        </w:rPr>
      </w:pPr>
    </w:p>
    <w:p>
      <w:pPr>
        <w:ind w:left="1246" w:hanging="618"/>
        <w:spacing w:after="0"/>
        <w:tabs>
          <w:tab w:leader="none" w:pos="1246" w:val="left"/>
        </w:tabs>
        <w:numPr>
          <w:ilvl w:val="1"/>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default beyond applicable notice and grace periods (if any) under any of the other Loan Documents; 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86"/>
        <w:spacing w:after="0"/>
        <w:rPr>
          <w:sz w:val="20"/>
          <w:szCs w:val="20"/>
          <w:color w:val="auto"/>
        </w:rPr>
      </w:pPr>
      <w:r>
        <w:rPr>
          <w:rFonts w:ascii="Times New Roman" w:cs="Times New Roman" w:eastAsia="Times New Roman" w:hAnsi="Times New Roman"/>
          <w:sz w:val="21"/>
          <w:szCs w:val="21"/>
          <w:color w:val="auto"/>
        </w:rPr>
        <w:t>82</w:t>
      </w:r>
    </w:p>
    <w:p>
      <w:pPr>
        <w:sectPr>
          <w:pgSz w:w="11900" w:h="16838" w:orient="portrait"/>
          <w:cols w:equalWidth="0" w:num="1">
            <w:col w:w="10606"/>
          </w:cols>
          <w:pgMar w:left="954" w:top="1440" w:right="339" w:bottom="1440" w:gutter="0" w:footer="0" w:header="0"/>
        </w:sectPr>
      </w:pPr>
    </w:p>
    <w:bookmarkStart w:id="515" w:name="page516"/>
    <w:bookmarkEnd w:id="515"/>
    <w:p>
      <w:pPr>
        <w:spacing w:after="0" w:line="21" w:lineRule="exact"/>
        <w:rPr>
          <w:sz w:val="20"/>
          <w:szCs w:val="20"/>
          <w:color w:val="auto"/>
        </w:rPr>
      </w:pPr>
    </w:p>
    <w:p>
      <w:pPr>
        <w:jc w:val="both"/>
        <w:ind w:left="640" w:firstLine="622"/>
        <w:spacing w:after="0" w:line="221" w:lineRule="auto"/>
        <w:tabs>
          <w:tab w:leader="none" w:pos="1893" w:val="left"/>
        </w:tabs>
        <w:numPr>
          <w:ilvl w:val="0"/>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provision of any Loan Document (other than any Refinancing Mortgage), at any time after its execution and delivery and for any reason other than as expressly permitted hereunder or thereunder or satisfactions in full of all Obligations or with the express prior written agreement, consent or approval of the Required Banks, ceases to be in full force and effect, or any action at law, suit or in equity or other legal proceeding to make unenforceable, cancel, revoke or rescind any of the Loan Documents shall be commenced by or on behalf of the Borrower.</w:t>
      </w:r>
    </w:p>
    <w:p>
      <w:pPr>
        <w:spacing w:after="0" w:line="172"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9.02. </w:t>
      </w: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xml:space="preserve"> If any Event of Default shall occur and be continuing, Administrative Agent shall, upon request of the Required Banks, by notice to Borrower, (1) terminate the Loan Commitments, whereupon the Loan Commitments shall terminate and the Banks shall have no further obligation to extend credit hereunder; and/or (2) declare the unpaid balance of the Loans, all interest thereon, and all other Obligations payable under this Agreement to be forthwith due and payable, whereupon such balance, all such interest, and all such Obligations due under this Agreement shall become and be forthwith due and payable, without presentment, demand, protest, or further notice of any kind, all of which are hereby expressly waived by Borrower; (3) require that the Borrower provide cash collateral for Letters of Credit as required by Section 2.17(i); and/or (4) exercise any remedies provided in any of the Loan Documents or by law; provided, however, that upon the occurrence of any Event of Default specified in Section 9.01(5), the Loan Commitments shall automatically terminate (and the Banks shall have no further obligation to extend credit hereunder) and the unpaid balance of the Loans, all interest thereon, and all other Obligations payable under this Agreement shall automatically be and become forthwith due and payable and the obligation to provide cash collateral for Letters of Credit as provided in Section 2.17(i) shall automatically become effective, in each case, without presentment, demand, protest, or further notice of any kind, all of which are hereby expressly waived by Borrower.</w:t>
      </w:r>
    </w:p>
    <w:p>
      <w:pPr>
        <w:spacing w:after="0" w:line="149"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9.03. </w:t>
      </w:r>
      <w:r>
        <w:rPr>
          <w:rFonts w:ascii="Times New Roman" w:cs="Times New Roman" w:eastAsia="Times New Roman" w:hAnsi="Times New Roman"/>
          <w:sz w:val="21"/>
          <w:szCs w:val="21"/>
          <w:u w:val="single" w:color="auto"/>
          <w:color w:val="auto"/>
        </w:rPr>
        <w:t>Application of Payments.</w:t>
      </w:r>
      <w:r>
        <w:rPr>
          <w:rFonts w:ascii="Times New Roman" w:cs="Times New Roman" w:eastAsia="Times New Roman" w:hAnsi="Times New Roman"/>
          <w:sz w:val="21"/>
          <w:szCs w:val="21"/>
          <w:color w:val="auto"/>
        </w:rPr>
        <w:t xml:space="preserve"> Notwithstanding anything herein to the contrary, following the occurrence and during the continuance of an Event of Default, and notice thereof to the Administrative Agent by the Borrower or the Required Banks:</w:t>
      </w:r>
    </w:p>
    <w:p>
      <w:pPr>
        <w:spacing w:after="0" w:line="147" w:lineRule="exact"/>
        <w:rPr>
          <w:sz w:val="20"/>
          <w:szCs w:val="20"/>
          <w:color w:val="auto"/>
        </w:rPr>
      </w:pPr>
    </w:p>
    <w:p>
      <w:pPr>
        <w:ind w:firstLine="634"/>
        <w:spacing w:after="0" w:line="241" w:lineRule="auto"/>
        <w:tabs>
          <w:tab w:leader="none" w:pos="1254" w:val="left"/>
        </w:tabs>
        <w:numPr>
          <w:ilvl w:val="0"/>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payments received on account of the Obligations shall, subject to Section 12.20, be applied by the Administrative Agent as follows:</w:t>
      </w:r>
    </w:p>
    <w:p>
      <w:pPr>
        <w:spacing w:after="0" w:line="143" w:lineRule="exact"/>
        <w:rPr>
          <w:rFonts w:ascii="Times New Roman" w:cs="Times New Roman" w:eastAsia="Times New Roman" w:hAnsi="Times New Roman"/>
          <w:sz w:val="21"/>
          <w:szCs w:val="21"/>
          <w:color w:val="auto"/>
        </w:rPr>
      </w:pPr>
    </w:p>
    <w:p>
      <w:pPr>
        <w:jc w:val="both"/>
        <w:ind w:left="640" w:firstLine="622"/>
        <w:spacing w:after="0" w:line="224" w:lineRule="auto"/>
        <w:tabs>
          <w:tab w:leader="none" w:pos="1885" w:val="left"/>
        </w:tabs>
        <w:numPr>
          <w:ilvl w:val="1"/>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to payment of that portion of the Obligations constituting fees, indemnities, expenses and other amounts payable to the Administrative Agent (including fees and disbursements and other charges of counsel to the Administrative Agent payable under Section 12.04 and amounts pursuant to any separate fee letter payable to the Administrative Agent in its capacity as such);</w:t>
      </w:r>
    </w:p>
    <w:p>
      <w:pPr>
        <w:spacing w:after="0" w:line="146" w:lineRule="exact"/>
        <w:rPr>
          <w:rFonts w:ascii="Times New Roman" w:cs="Times New Roman" w:eastAsia="Times New Roman" w:hAnsi="Times New Roman"/>
          <w:sz w:val="21"/>
          <w:szCs w:val="21"/>
          <w:color w:val="auto"/>
        </w:rPr>
      </w:pPr>
    </w:p>
    <w:p>
      <w:pPr>
        <w:jc w:val="both"/>
        <w:ind w:left="640" w:firstLine="622"/>
        <w:spacing w:after="0" w:line="221" w:lineRule="auto"/>
        <w:tabs>
          <w:tab w:leader="none" w:pos="1891" w:val="left"/>
        </w:tabs>
        <w:numPr>
          <w:ilvl w:val="1"/>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second, to payment of that portion of the Obligations constituting fees, expenses, indemnities and other amounts (other than principal, reimbursement obligations in respect of Letters of Credit, interest and Letter of Credit fees) payable to the Banks and the Fronting Banks (including fees and disbursements and other charges of counsel to the Banks and the Fronting Banks payable under Section 12.04) arising under the Loan Documents, ratably among them in proportion to the respective amounts described in this clause (ii) payable to them;</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83</w:t>
      </w:r>
    </w:p>
    <w:p>
      <w:pPr>
        <w:sectPr>
          <w:pgSz w:w="11900" w:h="16838" w:orient="portrait"/>
          <w:cols w:equalWidth="0" w:num="1">
            <w:col w:w="11240"/>
          </w:cols>
          <w:pgMar w:left="320" w:top="1440" w:right="339" w:bottom="1440" w:gutter="0" w:footer="0" w:header="0"/>
        </w:sectPr>
      </w:pPr>
    </w:p>
    <w:bookmarkStart w:id="516" w:name="page517"/>
    <w:bookmarkEnd w:id="516"/>
    <w:p>
      <w:pPr>
        <w:spacing w:after="0" w:line="21" w:lineRule="exact"/>
        <w:rPr>
          <w:sz w:val="20"/>
          <w:szCs w:val="20"/>
          <w:color w:val="auto"/>
        </w:rPr>
      </w:pPr>
    </w:p>
    <w:p>
      <w:pPr>
        <w:jc w:val="both"/>
        <w:ind w:left="640" w:firstLine="622"/>
        <w:spacing w:after="0" w:line="224" w:lineRule="auto"/>
        <w:tabs>
          <w:tab w:leader="none" w:pos="1897" w:val="left"/>
        </w:tabs>
        <w:numPr>
          <w:ilvl w:val="0"/>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third, to payment of that portion of the Obligations constituting accrued and unpaid Letter of Credit fees and charges and interest on the Loans and unreimbursed payments made by a Fronting Bank pursuant to a Letter of Credit, ratably among the Banks and the Fronting Banks in proportion to the respective amounts described in this clause (iii) payable to them;</w:t>
      </w:r>
    </w:p>
    <w:p>
      <w:pPr>
        <w:spacing w:after="0" w:line="146" w:lineRule="exact"/>
        <w:rPr>
          <w:rFonts w:ascii="Times New Roman" w:cs="Times New Roman" w:eastAsia="Times New Roman" w:hAnsi="Times New Roman"/>
          <w:sz w:val="21"/>
          <w:szCs w:val="21"/>
          <w:color w:val="auto"/>
        </w:rPr>
      </w:pPr>
    </w:p>
    <w:p>
      <w:pPr>
        <w:jc w:val="both"/>
        <w:ind w:left="640" w:firstLine="622"/>
        <w:spacing w:after="0" w:line="214" w:lineRule="auto"/>
        <w:tabs>
          <w:tab w:leader="none" w:pos="1885" w:val="left"/>
        </w:tabs>
        <w:numPr>
          <w:ilvl w:val="0"/>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fourth, (a) to payment of that portion of the Obligations constituting unpaid principal of the Loans and unreimbursed payments made by a Fronting Bank pursuant to a Letter of Credit and (b) to cash collateralize that portion of LC Exposure comprising the undrawn amount of Letters of Credit to the extent not otherwise cash collateralized by the Borrower pursuant to Section 2.17(i) or Section 12.20, ratably among the Banks and the Fronting Banks in proportion to the respective amounts described in this clause (iv) payable to them; provided that (x) any such amounts applied pursuant to subclause (B) above shall be paid to the Administrative Agent for the ratable account of the applicable Fronting Banks to cash collateralize Obligations in respect of Letters of Credit, (y) subject to Section 2.17(i) or Section 12.20, amounts used to cash collateralize the aggregate amount of Letters of Credit pursuant to this clause (iv) shall be used to satisfy drawings under such Letters of Credit as they occur and (z) upon the expiration of any Letter of Credit (without any pending drawings), the pro rata share of cash collateral shall be distributed to the other Obligations, if any, in the order set forth in this Section 9.03;</w:t>
      </w:r>
    </w:p>
    <w:p>
      <w:pPr>
        <w:spacing w:after="0" w:line="152" w:lineRule="exact"/>
        <w:rPr>
          <w:rFonts w:ascii="Times New Roman" w:cs="Times New Roman" w:eastAsia="Times New Roman" w:hAnsi="Times New Roman"/>
          <w:sz w:val="21"/>
          <w:szCs w:val="21"/>
          <w:color w:val="auto"/>
        </w:rPr>
      </w:pPr>
    </w:p>
    <w:p>
      <w:pPr>
        <w:jc w:val="both"/>
        <w:ind w:left="640" w:firstLine="622"/>
        <w:spacing w:after="0" w:line="229" w:lineRule="auto"/>
        <w:tabs>
          <w:tab w:leader="none" w:pos="1893" w:val="left"/>
        </w:tabs>
        <w:numPr>
          <w:ilvl w:val="0"/>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fifth, to the payment in full of all other Obligations, in each case ratably among the Administrative Agent, the Banks and the Fronting Banks based upon the respective aggregate amounts of all such Obligations owing to them in accordance with the respective amounts thereof then due and payable; and</w:t>
      </w:r>
    </w:p>
    <w:p>
      <w:pPr>
        <w:spacing w:after="0" w:line="147" w:lineRule="exact"/>
        <w:rPr>
          <w:rFonts w:ascii="Times New Roman" w:cs="Times New Roman" w:eastAsia="Times New Roman" w:hAnsi="Times New Roman"/>
          <w:sz w:val="21"/>
          <w:szCs w:val="21"/>
          <w:color w:val="auto"/>
        </w:rPr>
      </w:pPr>
    </w:p>
    <w:p>
      <w:pPr>
        <w:ind w:left="640" w:firstLine="622"/>
        <w:spacing w:after="0" w:line="241" w:lineRule="auto"/>
        <w:tabs>
          <w:tab w:leader="none" w:pos="1885" w:val="left"/>
        </w:tabs>
        <w:numPr>
          <w:ilvl w:val="0"/>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finally, the balance, if any, after all Obligations have been indefeasibly paid in full, to the Borrower or as otherwise required by law; and</w:t>
      </w:r>
    </w:p>
    <w:p>
      <w:pPr>
        <w:spacing w:after="0" w:line="144" w:lineRule="exact"/>
        <w:rPr>
          <w:sz w:val="20"/>
          <w:szCs w:val="20"/>
          <w:color w:val="auto"/>
        </w:rPr>
      </w:pPr>
    </w:p>
    <w:p>
      <w:pPr>
        <w:jc w:val="both"/>
        <w:ind w:firstLine="634"/>
        <w:spacing w:after="0" w:line="241" w:lineRule="auto"/>
        <w:tabs>
          <w:tab w:leader="none" w:pos="1253" w:val="left"/>
        </w:tabs>
        <w:numPr>
          <w:ilvl w:val="0"/>
          <w:numId w:val="3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amount remains on deposit as cash collateral after all Letters of Credit have either been fully drawn or expired (without any pending drawings), such remaining amount shall be applied to the other Obligations, if any, in the order set forth above.</w:t>
      </w:r>
    </w:p>
    <w:p>
      <w:pPr>
        <w:spacing w:after="0" w:line="14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ARTICLE X</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ADMINISTRATIVE AGENT; RELATIONS AMONG BANKS</w:t>
      </w:r>
    </w:p>
    <w:p>
      <w:pPr>
        <w:spacing w:after="0" w:line="178" w:lineRule="exact"/>
        <w:rPr>
          <w:sz w:val="20"/>
          <w:szCs w:val="20"/>
          <w:color w:val="auto"/>
        </w:rPr>
      </w:pPr>
    </w:p>
    <w:p>
      <w:pPr>
        <w:jc w:val="both"/>
        <w:ind w:firstLine="629"/>
        <w:spacing w:after="0" w:line="213" w:lineRule="auto"/>
        <w:rPr>
          <w:sz w:val="20"/>
          <w:szCs w:val="20"/>
          <w:color w:val="auto"/>
        </w:rPr>
      </w:pPr>
      <w:r>
        <w:rPr>
          <w:rFonts w:ascii="Times New Roman" w:cs="Times New Roman" w:eastAsia="Times New Roman" w:hAnsi="Times New Roman"/>
          <w:sz w:val="21"/>
          <w:szCs w:val="21"/>
          <w:color w:val="auto"/>
        </w:rPr>
        <w:t xml:space="preserve">SECTION 10.01. </w:t>
      </w:r>
      <w:r>
        <w:rPr>
          <w:rFonts w:ascii="Times New Roman" w:cs="Times New Roman" w:eastAsia="Times New Roman" w:hAnsi="Times New Roman"/>
          <w:sz w:val="21"/>
          <w:szCs w:val="21"/>
          <w:u w:val="single" w:color="auto"/>
          <w:color w:val="auto"/>
        </w:rPr>
        <w:t>Appointment, Powers and Immunities of Administrative Agent.</w:t>
      </w:r>
      <w:r>
        <w:rPr>
          <w:rFonts w:ascii="Times New Roman" w:cs="Times New Roman" w:eastAsia="Times New Roman" w:hAnsi="Times New Roman"/>
          <w:sz w:val="21"/>
          <w:szCs w:val="21"/>
          <w:color w:val="auto"/>
        </w:rPr>
        <w:t xml:space="preserve"> Each Bank and each Fronting Bank hereby irrevocably appoints and authorizes Administrative Agent to act as its agent hereunder and under any other Loan Document with such powers as are specifically delegated to Administrative Agent by the terms of this Agreement and any other Loan Document, together with such other powers as are reasonably incidental thereto. Administrative Agent shall have no duties or responsibilities except those expressly set forth in this Agreement and any other Loan Document or required by law and its duties are entirely mechanical and administrative in nature. The motivations of the Administrative Agent are commercial in nature and not to invest in the general performance or operations of the Borrower. Administrative Agent shall not by reason of this Agreement be a fiduciary or trustee for any Bank except to the extent that Administrative Agent acts as an agent with respect to the receipt or payment of funds (nor shall Administrative Agent have any fiduciary duty to Borrower nor shall any Bank have any fiduciary duty to Borrower or to any other Bank)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84</w:t>
      </w:r>
    </w:p>
    <w:p>
      <w:pPr>
        <w:sectPr>
          <w:pgSz w:w="11900" w:h="16838" w:orient="portrait"/>
          <w:cols w:equalWidth="0" w:num="1">
            <w:col w:w="11240"/>
          </w:cols>
          <w:pgMar w:left="320" w:top="1440" w:right="339" w:bottom="1440" w:gutter="0" w:footer="0" w:header="0"/>
        </w:sectPr>
      </w:pPr>
    </w:p>
    <w:bookmarkStart w:id="517" w:name="page518"/>
    <w:bookmarkEnd w:id="517"/>
    <w:p>
      <w:pPr>
        <w:jc w:val="both"/>
        <w:spacing w:after="0" w:line="211" w:lineRule="auto"/>
        <w:rPr>
          <w:sz w:val="20"/>
          <w:szCs w:val="20"/>
          <w:color w:val="auto"/>
        </w:rPr>
      </w:pPr>
      <w:r>
        <w:rPr>
          <w:rFonts w:ascii="Times New Roman" w:cs="Times New Roman" w:eastAsia="Times New Roman" w:hAnsi="Times New Roman"/>
          <w:sz w:val="21"/>
          <w:szCs w:val="21"/>
          <w:color w:val="auto"/>
        </w:rPr>
        <w:t>law, and that such term is used as a matter of market custom and is intended to create or reflect only an administrative relationship between contracting parties); additionally, each Bank agrees that it will not assert any claim against the Administrative Agent based on an alleged breach of fiduciary duty by the Administrative Agent in connection with this Agreement and the transactions contemplated hereby. Administrative Agent shall not be responsible to the Banks for any recitals, statements, representations or warranties made by Borrower or any officer, partner or official of Borrower or any other Person contained in this Agreement or any other Loan Document, or in any certificate or other document or instrument referred to or provided for in, or received by any of them under, this Agreement or any other Loan Document, or for the value, legality, validity, effectiveness, genuineness, enforceability or sufficiency of this Agreement or any other Loan Document or any other document or instrument referred to or provided for herein or therein (including, for the avoidance of doubt, in connection with the Administrative Agent’s reliance on any Electronic Signature transmitted by telecopy, emailed pdf. or any other electronic means that reproduces an image of an actual executed signature page), for the perfection or priority of any Lien securing the Obligations or for any failure by Borrower to perform any of its obligations hereunder or thereunder. Administrative Agent may employ agents and attorneys-in-fact and shall not be responsible, except as to money or securities received by it or its authorized agents, for the negligence or misconduct of any such agents or attorneys-in-fact except to the extent that a court of competent jurisdiction determines in a final and nonappealable judgment that the Administrative Agent acted with gross negligence or willful misconduct in the selection of such agent or attorney-in-fact. Neither Administrative Agent nor any of its directors, officers, employees or agents shall be liable or responsible for any action taken or omitted to be taken by it or them hereunder or under any other Loan Document or in connection herewith or therewith, except for its or their own gross negligence or willful misconduct as determined by a court of competent jurisdiction in a final and non-appealable judgment. Borrower shall pay any fee agreed to by Borrower and Administrative Agent with respect to Administrative Agent’s services hereunder.</w:t>
      </w:r>
    </w:p>
    <w:p>
      <w:pPr>
        <w:spacing w:after="0" w:line="155" w:lineRule="exact"/>
        <w:rPr>
          <w:sz w:val="20"/>
          <w:szCs w:val="20"/>
          <w:color w:val="auto"/>
        </w:rPr>
      </w:pPr>
    </w:p>
    <w:p>
      <w:pPr>
        <w:jc w:val="both"/>
        <w:ind w:firstLine="629"/>
        <w:spacing w:after="0" w:line="214" w:lineRule="auto"/>
        <w:rPr>
          <w:sz w:val="20"/>
          <w:szCs w:val="20"/>
          <w:color w:val="auto"/>
        </w:rPr>
      </w:pPr>
      <w:r>
        <w:rPr>
          <w:rFonts w:ascii="Times New Roman" w:cs="Times New Roman" w:eastAsia="Times New Roman" w:hAnsi="Times New Roman"/>
          <w:sz w:val="21"/>
          <w:szCs w:val="21"/>
          <w:color w:val="auto"/>
        </w:rPr>
        <w:t xml:space="preserve">SECTION 10.02. </w:t>
      </w:r>
      <w:r>
        <w:rPr>
          <w:rFonts w:ascii="Times New Roman" w:cs="Times New Roman" w:eastAsia="Times New Roman" w:hAnsi="Times New Roman"/>
          <w:sz w:val="21"/>
          <w:szCs w:val="21"/>
          <w:u w:val="single" w:color="auto"/>
          <w:color w:val="auto"/>
        </w:rPr>
        <w:t>Reliance by Administrative Agent.</w:t>
      </w:r>
      <w:r>
        <w:rPr>
          <w:rFonts w:ascii="Times New Roman" w:cs="Times New Roman" w:eastAsia="Times New Roman" w:hAnsi="Times New Roman"/>
          <w:sz w:val="21"/>
          <w:szCs w:val="21"/>
          <w:color w:val="auto"/>
        </w:rPr>
        <w:t xml:space="preserve"> Administrative Agent shall be entitled to rely upon any certification, notice or other communication (including any thereof by telephone, telefax or cable) believed by it to be genuine and correct and to have been signed or sent by or on behalf of the proper Person or Persons, and upon advice and statements of legal counsel, independent accountants and other experts selected by Administrative Agent. Administrative Agent may deem and treat each Bank as the holder of the Loan made by it for all purposes hereof and shall not be required to deal with any Person who has acquired a participation in any Loan or participation from a Bank. As to any matters not expressly provided for by this Agreement or any other Loan Document, Administrative Agent shall not be required to exercise any discretion or take any action, but shall be required to act or refrain from acting (and shall in all cases be fully protected in acting, or in refraining from acting) hereunder in accordance with instructions signed by the Required Banks (or such other number or percentage of Banks required hereunder), and such instructions and any action taken or failure to act pursuant thereto shall be binding on all of the Banks and any other holder of all or any portion of any Loan or participation;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85</w:t>
      </w:r>
    </w:p>
    <w:p>
      <w:pPr>
        <w:sectPr>
          <w:pgSz w:w="11900" w:h="16838" w:orient="portrait"/>
          <w:cols w:equalWidth="0" w:num="1">
            <w:col w:w="11240"/>
          </w:cols>
          <w:pgMar w:left="320" w:top="1225" w:right="339" w:bottom="1440" w:gutter="0" w:footer="0" w:header="0"/>
        </w:sectPr>
      </w:pPr>
    </w:p>
    <w:bookmarkStart w:id="518" w:name="page519"/>
    <w:bookmarkEnd w:id="518"/>
    <w:p>
      <w:pPr>
        <w:jc w:val="both"/>
        <w:spacing w:after="0" w:line="216" w:lineRule="auto"/>
        <w:rPr>
          <w:sz w:val="20"/>
          <w:szCs w:val="20"/>
          <w:color w:val="auto"/>
        </w:rPr>
      </w:pPr>
      <w:r>
        <w:rPr>
          <w:rFonts w:ascii="Times New Roman" w:cs="Times New Roman" w:eastAsia="Times New Roman" w:hAnsi="Times New Roman"/>
          <w:sz w:val="21"/>
          <w:szCs w:val="21"/>
          <w:color w:val="auto"/>
        </w:rPr>
        <w:t>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Banks prior to the exercise of any such instructed action and may refrain from acting until such clarification or direction has been provided.</w:t>
      </w:r>
    </w:p>
    <w:p>
      <w:pPr>
        <w:spacing w:after="0" w:line="174" w:lineRule="exact"/>
        <w:rPr>
          <w:sz w:val="20"/>
          <w:szCs w:val="20"/>
          <w:color w:val="auto"/>
        </w:rPr>
      </w:pPr>
    </w:p>
    <w:p>
      <w:pPr>
        <w:jc w:val="both"/>
        <w:ind w:firstLine="629"/>
        <w:spacing w:after="0" w:line="255" w:lineRule="auto"/>
        <w:rPr>
          <w:sz w:val="20"/>
          <w:szCs w:val="20"/>
          <w:color w:val="auto"/>
        </w:rPr>
      </w:pPr>
      <w:r>
        <w:rPr>
          <w:rFonts w:ascii="Times New Roman" w:cs="Times New Roman" w:eastAsia="Times New Roman" w:hAnsi="Times New Roman"/>
          <w:sz w:val="21"/>
          <w:szCs w:val="21"/>
          <w:color w:val="auto"/>
        </w:rPr>
        <w:t>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174" w:lineRule="exact"/>
        <w:rPr>
          <w:sz w:val="20"/>
          <w:szCs w:val="20"/>
          <w:color w:val="auto"/>
        </w:rPr>
      </w:pPr>
    </w:p>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Without limiting the foregoing, the Administrative Agent (i) may treat the payee of any promissory note as its holder until such promissory note has been assigned in accordance with Section 12.05, (ii) may rely on the Register to the extent set forth in Section 12.05(c),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Bank and shall not be responsible to any Bank for any statements, warranties or representations made by or on behalf of the Borrower in connection with this Agreement or any other Loan Document, (v) in determining compliance with any condition hereunder to the making of a Loan, or the issuance of a Letter of Credit, that by its terms must be fulfilled to the satisfaction of a Bank, may presume that such condition is satisfactory to such Bank unless the Administrative Agent shall have received notice to the contrary from such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52"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10.03. </w:t>
      </w:r>
      <w:r>
        <w:rPr>
          <w:rFonts w:ascii="Times New Roman" w:cs="Times New Roman" w:eastAsia="Times New Roman" w:hAnsi="Times New Roman"/>
          <w:sz w:val="21"/>
          <w:szCs w:val="21"/>
          <w:u w:val="single" w:color="auto"/>
          <w:color w:val="auto"/>
        </w:rPr>
        <w:t>Defaults.</w:t>
      </w:r>
      <w:r>
        <w:rPr>
          <w:rFonts w:ascii="Times New Roman" w:cs="Times New Roman" w:eastAsia="Times New Roman" w:hAnsi="Times New Roman"/>
          <w:sz w:val="21"/>
          <w:szCs w:val="21"/>
          <w:color w:val="auto"/>
        </w:rPr>
        <w:t xml:space="preserve"> Administrative Agent shall not be deemed to have knowledge of the occurrence of a Default or Event of Default (other than an Event of Default pursuant to Section 9.01(1)) unless Administrative Agent has received notice from a Bank or Borrower specifying such Default or Event of Default and stating that such notice is a “Notice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86</w:t>
      </w:r>
    </w:p>
    <w:p>
      <w:pPr>
        <w:sectPr>
          <w:pgSz w:w="11900" w:h="16838" w:orient="portrait"/>
          <w:cols w:equalWidth="0" w:num="1">
            <w:col w:w="11240"/>
          </w:cols>
          <w:pgMar w:left="320" w:top="1225" w:right="339" w:bottom="1440" w:gutter="0" w:footer="0" w:header="0"/>
        </w:sectPr>
      </w:pPr>
    </w:p>
    <w:bookmarkStart w:id="519" w:name="page520"/>
    <w:bookmarkEnd w:id="519"/>
    <w:p>
      <w:pPr>
        <w:jc w:val="both"/>
        <w:spacing w:after="0" w:line="216" w:lineRule="auto"/>
        <w:rPr>
          <w:sz w:val="20"/>
          <w:szCs w:val="20"/>
          <w:color w:val="auto"/>
        </w:rPr>
      </w:pPr>
      <w:r>
        <w:rPr>
          <w:rFonts w:ascii="Times New Roman" w:cs="Times New Roman" w:eastAsia="Times New Roman" w:hAnsi="Times New Roman"/>
          <w:sz w:val="21"/>
          <w:szCs w:val="21"/>
          <w:color w:val="auto"/>
        </w:rPr>
        <w:t>Default.” In the event that Administrative Agent receives a Notice of Default, Administrative Agent shall give prompt notice thereof to the Banks. Administrative Agent, following consultation with the Banks, shall (subject to Section 10.07 and Section 12.02) take such action with respect to such Default or Event of Default which is continuing as shall be directed by the Required Banks; provided that, unless and until Administrative Agent shall have received such directions, Administrative Agent may take such action, or refrain from taking such action, with respect to such Default or Event of Default as it shall deem advisable in the best interest of the Banks; and provided further that Administrative Agent shall not send a notice of Default, Event of Default or acceleration to Borrower without the approval of the Required Banks. In no event shall Administrative Agent be required to take any such action which it determines to be contrary to law.</w:t>
      </w:r>
    </w:p>
    <w:p>
      <w:pPr>
        <w:spacing w:after="0" w:line="148" w:lineRule="exact"/>
        <w:rPr>
          <w:sz w:val="20"/>
          <w:szCs w:val="20"/>
          <w:color w:val="auto"/>
        </w:rPr>
      </w:pPr>
    </w:p>
    <w:p>
      <w:pPr>
        <w:jc w:val="both"/>
        <w:ind w:firstLine="629"/>
        <w:spacing w:after="0" w:line="219" w:lineRule="auto"/>
        <w:rPr>
          <w:sz w:val="20"/>
          <w:szCs w:val="20"/>
          <w:color w:val="auto"/>
        </w:rPr>
      </w:pPr>
      <w:r>
        <w:rPr>
          <w:rFonts w:ascii="Times New Roman" w:cs="Times New Roman" w:eastAsia="Times New Roman" w:hAnsi="Times New Roman"/>
          <w:sz w:val="21"/>
          <w:szCs w:val="21"/>
          <w:color w:val="auto"/>
        </w:rPr>
        <w:t xml:space="preserve">SECTION 10.04. </w:t>
      </w:r>
      <w:r>
        <w:rPr>
          <w:rFonts w:ascii="Times New Roman" w:cs="Times New Roman" w:eastAsia="Times New Roman" w:hAnsi="Times New Roman"/>
          <w:sz w:val="21"/>
          <w:szCs w:val="21"/>
          <w:u w:val="single" w:color="auto"/>
          <w:color w:val="auto"/>
        </w:rPr>
        <w:t>Rights of Agent as a Bank.</w:t>
      </w:r>
      <w:r>
        <w:rPr>
          <w:rFonts w:ascii="Times New Roman" w:cs="Times New Roman" w:eastAsia="Times New Roman" w:hAnsi="Times New Roman"/>
          <w:sz w:val="21"/>
          <w:szCs w:val="21"/>
          <w:color w:val="auto"/>
        </w:rPr>
        <w:t xml:space="preserve"> With respect to its Loan Commitment and the Loan provided by it, each Person serving as an Agent in its capacity as a Bank hereunder shall have the same rights and powers hereunder as any other Bank and may exercise the same as though it were not acting as such Agent, and the term any “Bank” or “Banks” shall include each Person serving as an Agent in its capacity as a Bank. Each Person serving as an Agent and its Affiliates may (without having to account therefor to any Bank) accept deposits from, lend money to (on a secured or unsecured basis), and generally engage in any kind of banking, trust or other business with, Borrower (and any Affiliates of Borrower) as if it were not acting as such Agent.</w:t>
      </w:r>
    </w:p>
    <w:p>
      <w:pPr>
        <w:spacing w:after="0" w:line="145" w:lineRule="exact"/>
        <w:rPr>
          <w:sz w:val="20"/>
          <w:szCs w:val="20"/>
          <w:color w:val="auto"/>
        </w:rPr>
      </w:pPr>
    </w:p>
    <w:p>
      <w:pPr>
        <w:jc w:val="both"/>
        <w:ind w:firstLine="629"/>
        <w:spacing w:after="0" w:line="213" w:lineRule="auto"/>
        <w:rPr>
          <w:sz w:val="20"/>
          <w:szCs w:val="20"/>
          <w:color w:val="auto"/>
        </w:rPr>
      </w:pPr>
      <w:r>
        <w:rPr>
          <w:rFonts w:ascii="Times New Roman" w:cs="Times New Roman" w:eastAsia="Times New Roman" w:hAnsi="Times New Roman"/>
          <w:sz w:val="21"/>
          <w:szCs w:val="21"/>
          <w:color w:val="auto"/>
        </w:rPr>
        <w:t xml:space="preserve">SECTION 10.05. </w:t>
      </w:r>
      <w:r>
        <w:rPr>
          <w:rFonts w:ascii="Times New Roman" w:cs="Times New Roman" w:eastAsia="Times New Roman" w:hAnsi="Times New Roman"/>
          <w:sz w:val="21"/>
          <w:szCs w:val="21"/>
          <w:u w:val="single" w:color="auto"/>
          <w:color w:val="auto"/>
        </w:rPr>
        <w:t>Indemnification of Agents.</w:t>
      </w:r>
      <w:r>
        <w:rPr>
          <w:rFonts w:ascii="Times New Roman" w:cs="Times New Roman" w:eastAsia="Times New Roman" w:hAnsi="Times New Roman"/>
          <w:sz w:val="21"/>
          <w:szCs w:val="21"/>
          <w:color w:val="auto"/>
        </w:rPr>
        <w:t xml:space="preserve"> Each Bank agrees to indemnify each Agent (to the extent not reimbursed under Section 12.04 or under the applicable provisions of any other Loan Document, but without limiting the obligations of Borrower under Section 12.04 or such provisions), for its Pro Rata Share of any and all liabilities, obligations, losses, damages, penalties, actions, judgments, suits, costs, expenses or disbursements of any kind and nature whatsoever which may be imposed on, incurred by or asserted against such Agent in any way relating to or arising out of this Agreement, any other Loan Document or any other documents contemplated by or referred to herein or the transactions contemplated hereby or thereby (including, without limitation, the costs and expenses which Borrower is obligated to pay under Section 12.04) or under the applicable provisions of any other Loan Document or the enforcement of any of the terms hereof or thereof or of any such other documents or instruments; provided that no Bank shall be liable for (1) any of the foregoing to the extent they arise from the gross negligence or willful misconduct (as determined by a court of competent jurisdiction in a final and non-appealable judgment) of the party to be indemnified, (2) any loss of principal or interest with respect to the Loan of any Bank serving as an Agent or (3) any loss suffered by such Agent in connection with a swap or other interest rate hedging arrangement entered into with Borrower.</w:t>
      </w:r>
    </w:p>
    <w:p>
      <w:pPr>
        <w:spacing w:after="0" w:line="153" w:lineRule="exact"/>
        <w:rPr>
          <w:sz w:val="20"/>
          <w:szCs w:val="20"/>
          <w:color w:val="auto"/>
        </w:rPr>
      </w:pPr>
    </w:p>
    <w:p>
      <w:pPr>
        <w:jc w:val="both"/>
        <w:ind w:firstLine="629"/>
        <w:spacing w:after="0" w:line="219" w:lineRule="auto"/>
        <w:rPr>
          <w:sz w:val="20"/>
          <w:szCs w:val="20"/>
          <w:color w:val="auto"/>
        </w:rPr>
      </w:pPr>
      <w:r>
        <w:rPr>
          <w:rFonts w:ascii="Times New Roman" w:cs="Times New Roman" w:eastAsia="Times New Roman" w:hAnsi="Times New Roman"/>
          <w:sz w:val="21"/>
          <w:szCs w:val="21"/>
          <w:color w:val="auto"/>
        </w:rPr>
        <w:t xml:space="preserve">SECTION 10.06. </w:t>
      </w:r>
      <w:r>
        <w:rPr>
          <w:rFonts w:ascii="Times New Roman" w:cs="Times New Roman" w:eastAsia="Times New Roman" w:hAnsi="Times New Roman"/>
          <w:sz w:val="21"/>
          <w:szCs w:val="21"/>
          <w:u w:val="single" w:color="auto"/>
          <w:color w:val="auto"/>
        </w:rPr>
        <w:t>Non-Reliance on Agents and Other Banks.</w:t>
      </w:r>
      <w:r>
        <w:rPr>
          <w:rFonts w:ascii="Times New Roman" w:cs="Times New Roman" w:eastAsia="Times New Roman" w:hAnsi="Times New Roman"/>
          <w:sz w:val="21"/>
          <w:szCs w:val="21"/>
          <w:color w:val="auto"/>
        </w:rPr>
        <w:t xml:space="preserve"> Each Bank represents and warrants that (i) the Loan Documents set forth the terms of a commercial lending facility, (ii) in participating as a Bank, it is engaged in making, acquiring or holding commercial loans and in providing other facilities set forth herein as may be applicable to such Bank, in each case in the ordinary course of business, and not for the purpose of investing in the general performance or operations of the Borrower, or for the purpose of purchasing, acquiring or holding any other type of financial instrument such as a security (and each Bank agrees not to assert a claim in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87</w:t>
      </w:r>
    </w:p>
    <w:p>
      <w:pPr>
        <w:sectPr>
          <w:pgSz w:w="11900" w:h="16838" w:orient="portrait"/>
          <w:cols w:equalWidth="0" w:num="1">
            <w:col w:w="11240"/>
          </w:cols>
          <w:pgMar w:left="320" w:top="1225" w:right="339" w:bottom="1440" w:gutter="0" w:footer="0" w:header="0"/>
        </w:sectPr>
      </w:pPr>
    </w:p>
    <w:bookmarkStart w:id="520" w:name="page521"/>
    <w:bookmarkEnd w:id="520"/>
    <w:p>
      <w:pPr>
        <w:jc w:val="both"/>
        <w:spacing w:after="0" w:line="211" w:lineRule="auto"/>
        <w:rPr>
          <w:sz w:val="20"/>
          <w:szCs w:val="20"/>
          <w:color w:val="auto"/>
        </w:rPr>
      </w:pPr>
      <w:r>
        <w:rPr>
          <w:rFonts w:ascii="Times New Roman" w:cs="Times New Roman" w:eastAsia="Times New Roman" w:hAnsi="Times New Roman"/>
          <w:sz w:val="21"/>
          <w:szCs w:val="21"/>
          <w:color w:val="auto"/>
        </w:rPr>
        <w:t>contravention of the foregoing, such as a claim under the federal or state securities laws)and (iii) it is sophisticated with respect to decisions to make, acquire and/or hold commercial loans and to provide other facilities set forth herein, and either it, or the Person exercising discretion in making its decision to make, acquire and/or hold such commercial loans or to provide such other facilities, is experienced in making, acquiring or holding such commercial loans or providing such other facilities. Each Bank agrees that it has, independently and without reliance on any Agent or any other Bank, and based on such documents and information as it has deemed appropriate, made its own credit analysis of Borrower and the decision to enter into this Agreement as a Bank and to make, acquire or hold Loans hereunder and that it will, independently and without reliance upon any Agent or any other Bank, and based on such documents and information as it shall deem appropriate at the time, continue to make its own analysis and decisions in taking or not taking action under this Agreement or any other Loan Document. Each Agent shall not be required to keep itself informed as to the performance or observance by Borrower of this Agreement or any other Loan Document or any other document referred to or provided for herein or therein or to inspect the properties or books of Borrower. Except for notices, reports and other documents and information expressly required to be furnished to the Banks by any Agent hereunder, each Agent shall not have any duty or responsibility to provide any Bank with any credit or other information concerning the affairs, financial condition or business of Borrower (or any Affiliate of Borrower) which may come into the possession of such Agent or any of its Affiliates. Each Agent shall not be required to file this Agreement, any other Loan Document or any document or instrument referred to herein or therein for record, or give notice of this Agreement, any other Loan Document or any document or instrument referred to herein or therein, to anyone. Each Bank, by delivering its signature page to this Agreement on the Closing Date, or delivering its signature page to an Assignment and Assumption Agreement or any other Loan Document pursuant to which it shall become a Bank hereunder, shall be deemed to have acknowledged receipt of, and consented to and approved, each Loan Document and each other document required to be delivered to, or be approved by or satisfactory to, the Administrative Agent or the Banks on the Closing Date.</w:t>
      </w:r>
    </w:p>
    <w:p>
      <w:pPr>
        <w:spacing w:after="0" w:line="181"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Each Bank and each Fronting Bank also acknowledges and agrees that (a) none of the Administrative Agent, any Joint Lead Arranger, any Co-Syndication Agent, any Documentation Agent, or any Sustainability Structuring Agent acting in such capacities have made any assurances as to (i) whether the credit facility evidenced by this Agreement meet such Bank’s or Fronting Bank’s criteria or expectations with regard to environmental impact and sustainability performance, (ii) whether any characteristics of the credit facility evidenced by this Agreement, including the characteristics of the relevant key performance indicators to which the Borrower will link a potential margin and/or facility fee adjustment, including their environmental and sustainability criteria, meet any industry standards or market expectations for sustainability-linked credit facilities or (iii) whether the relevant KPI or targets with respect thereto will be attainable or able to be maintained by the Borrower, and (b) each Bank and Fronting Bank has performed its own independent investigation and analysis of the credit facility evidenced by this Agreement and whether such credit facility meet its own criteria or expectations with regard to environmental impact and/or sustainability performance.</w:t>
      </w:r>
    </w:p>
    <w:p>
      <w:pPr>
        <w:spacing w:after="0" w:line="179"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21"/>
          <w:szCs w:val="21"/>
          <w:color w:val="auto"/>
        </w:rPr>
        <w:t>The Banks acknowledge that there may be a constant flow of information (including information which may be subject to confidentiality obligations in favor of the Borrower) between the Borrower and its Affiliates, on the one hand, and JPMorgan Chase Bank, N.A. and its Affiliates, on the other hand. Without limiting the foregoing, the Borrower or its Affiliates may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88</w:t>
      </w:r>
    </w:p>
    <w:p>
      <w:pPr>
        <w:sectPr>
          <w:pgSz w:w="11900" w:h="16838" w:orient="portrait"/>
          <w:cols w:equalWidth="0" w:num="1">
            <w:col w:w="11240"/>
          </w:cols>
          <w:pgMar w:left="320" w:top="1225" w:right="339" w:bottom="1440" w:gutter="0" w:footer="0" w:header="0"/>
        </w:sectPr>
      </w:pPr>
    </w:p>
    <w:bookmarkStart w:id="521" w:name="page522"/>
    <w:bookmarkEnd w:id="521"/>
    <w:p>
      <w:pPr>
        <w:jc w:val="both"/>
        <w:spacing w:after="0" w:line="212" w:lineRule="auto"/>
        <w:rPr>
          <w:sz w:val="20"/>
          <w:szCs w:val="20"/>
          <w:color w:val="auto"/>
        </w:rPr>
      </w:pPr>
      <w:r>
        <w:rPr>
          <w:rFonts w:ascii="Times New Roman" w:cs="Times New Roman" w:eastAsia="Times New Roman" w:hAnsi="Times New Roman"/>
          <w:sz w:val="21"/>
          <w:szCs w:val="21"/>
          <w:color w:val="auto"/>
        </w:rPr>
        <w:t>provide information, including updates to previously provided information to JPMorgan Chase Bank, N.A. and/or its Affiliates acting in different capacities, including as Bank, lead bank, arranger or potential securities investor, independent of such entity’s role as administrative agent hereunder. The Banks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Banks by the Administrative Agent herein, the Administrative Agent shall not have any duty or responsibility to provide, and shall not be liable for the failure to provide, any Bank with any credit or other information concerning the Loans, the Banks, the business, prospects, operations, property, financial and other condition or creditworthiness of any of the Borrower or any of its Affiliates that is communicated to, obtained by, or in the possession of, the Administrative Agent or any of its Affiliates in any capacity, including any information obtained by the Administrative Agent in the course of communications among the Administrative Agent and Borrower, any Affiliate thereof or any other Person. Notwithstanding the foregoing, any such information may (but shall not be required to) be shared by the Administrative Agent with one or more Banks, or any formal or informal committee or ad hoc group of such Banks, including at the direction of the Borrower; provided that the foregoing shall not be construed to modify any obligation the Administrative Agent has to Borrower or its Affiliates to maintain the confidentiality of information provided to the Administrative Agent or its Affiliates in connection with any other agreement or engagement.</w:t>
      </w:r>
    </w:p>
    <w:p>
      <w:pPr>
        <w:spacing w:after="0" w:line="154" w:lineRule="exact"/>
        <w:rPr>
          <w:sz w:val="20"/>
          <w:szCs w:val="20"/>
          <w:color w:val="auto"/>
        </w:rPr>
      </w:pPr>
    </w:p>
    <w:p>
      <w:pPr>
        <w:jc w:val="both"/>
        <w:ind w:firstLine="629"/>
        <w:spacing w:after="0" w:line="224" w:lineRule="auto"/>
        <w:rPr>
          <w:sz w:val="20"/>
          <w:szCs w:val="20"/>
          <w:color w:val="auto"/>
        </w:rPr>
      </w:pPr>
      <w:r>
        <w:rPr>
          <w:rFonts w:ascii="Times New Roman" w:cs="Times New Roman" w:eastAsia="Times New Roman" w:hAnsi="Times New Roman"/>
          <w:sz w:val="21"/>
          <w:szCs w:val="21"/>
          <w:color w:val="auto"/>
        </w:rPr>
        <w:t xml:space="preserve">SECTION 10.07. </w:t>
      </w:r>
      <w:r>
        <w:rPr>
          <w:rFonts w:ascii="Times New Roman" w:cs="Times New Roman" w:eastAsia="Times New Roman" w:hAnsi="Times New Roman"/>
          <w:sz w:val="21"/>
          <w:szCs w:val="21"/>
          <w:u w:val="single" w:color="auto"/>
          <w:color w:val="auto"/>
        </w:rPr>
        <w:t>Failure of Administrative Agent to Act.</w:t>
      </w:r>
      <w:r>
        <w:rPr>
          <w:rFonts w:ascii="Times New Roman" w:cs="Times New Roman" w:eastAsia="Times New Roman" w:hAnsi="Times New Roman"/>
          <w:sz w:val="21"/>
          <w:szCs w:val="21"/>
          <w:color w:val="auto"/>
        </w:rPr>
        <w:t xml:space="preserve"> Except for action expressly required of Administrative Agent hereunder, Administrative Agent shall in all cases be fully justified in failing or refusing to act hereunder unless it shall have received further assurances (which may include cash collateral) of the indemnification obligations of the Banks under Section 10.05 in respect of any and all liability and expense which may be incurred by it by reason of taking or continuing to take any such action.</w:t>
      </w:r>
    </w:p>
    <w:p>
      <w:pPr>
        <w:spacing w:after="0" w:line="146" w:lineRule="exact"/>
        <w:rPr>
          <w:sz w:val="20"/>
          <w:szCs w:val="20"/>
          <w:color w:val="auto"/>
        </w:rPr>
      </w:pPr>
    </w:p>
    <w:p>
      <w:pPr>
        <w:jc w:val="both"/>
        <w:ind w:firstLine="629"/>
        <w:spacing w:after="0" w:line="211" w:lineRule="auto"/>
        <w:rPr>
          <w:sz w:val="20"/>
          <w:szCs w:val="20"/>
          <w:color w:val="auto"/>
        </w:rPr>
      </w:pPr>
      <w:r>
        <w:rPr>
          <w:rFonts w:ascii="Times New Roman" w:cs="Times New Roman" w:eastAsia="Times New Roman" w:hAnsi="Times New Roman"/>
          <w:sz w:val="21"/>
          <w:szCs w:val="21"/>
          <w:color w:val="auto"/>
        </w:rPr>
        <w:t xml:space="preserve">SECTION 10.08. </w:t>
      </w:r>
      <w:r>
        <w:rPr>
          <w:rFonts w:ascii="Times New Roman" w:cs="Times New Roman" w:eastAsia="Times New Roman" w:hAnsi="Times New Roman"/>
          <w:sz w:val="21"/>
          <w:szCs w:val="21"/>
          <w:u w:val="single" w:color="auto"/>
          <w:color w:val="auto"/>
        </w:rPr>
        <w:t>Resignation or Removal of Administrative Agent.</w:t>
      </w:r>
      <w:r>
        <w:rPr>
          <w:rFonts w:ascii="Times New Roman" w:cs="Times New Roman" w:eastAsia="Times New Roman" w:hAnsi="Times New Roman"/>
          <w:sz w:val="21"/>
          <w:szCs w:val="21"/>
          <w:color w:val="auto"/>
        </w:rPr>
        <w:t xml:space="preserve"> Administrative Agent shall have the right to resign at any time. Administrative Agent may be removed at any time with cause by the Required Banks as a result of its gross negligence or willful misconduct as determined by a court of competent jurisdiction by a final and non-appealable judgment, provided that Borrower and the other Banks shall be promptly notified in writing thereof. Upon any such removal or resignation, the Required Banks shall have the right to appoint a successor Administrative Agent which successor Administrative Agent, so long as it is reasonably acceptable both to the Required Banks and, provided that no Default or Event of Default shall then exist, the Borrower, shall be that Bank then having the greatest Loan Commitment (other than the Bank resigning or being removed as Administrative Agent). If such Bank then having the greatest Loan Commitment (other than the Bank resigning or being removed as Administrative Agent) shall not have accepted such appointment within thirty (30) days after the Required Banks’ removal or resignation of the retiring Administrative Agent, then the retiring Administrative Agent may, on behalf of the Banks, appoint a successor Administrative Agent, which shall be the Bank with the then greatest Loan Commitment willing to serve as such (other than the Bank resigning or being removed as Administrative Agent). The Required Banks or the retiring Administrative Agent, as the case may be, shall upon the appointment of a successor Administrative Agent promptly so notify in writing Borrower and the other Banks.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hereunder. After any retiring Administrative Agent’s resignation or removal hereunder as Administrative Agent, the provisions of this Article X and Section 12.04 shall continue in effect for its benefit in respect of any actions taken or omitted to be taken by it while it was acting as Administrative Agent.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89</w:t>
      </w:r>
    </w:p>
    <w:p>
      <w:pPr>
        <w:sectPr>
          <w:pgSz w:w="11900" w:h="16838" w:orient="portrait"/>
          <w:cols w:equalWidth="0" w:num="1">
            <w:col w:w="11240"/>
          </w:cols>
          <w:pgMar w:left="320" w:top="1225" w:right="339" w:bottom="1440" w:gutter="0" w:footer="0" w:header="0"/>
        </w:sectPr>
      </w:pPr>
    </w:p>
    <w:bookmarkStart w:id="522" w:name="page523"/>
    <w:bookmarkEnd w:id="522"/>
    <w:p>
      <w:pPr>
        <w:jc w:val="both"/>
        <w:ind w:firstLine="629"/>
        <w:spacing w:after="0" w:line="224" w:lineRule="auto"/>
        <w:rPr>
          <w:sz w:val="20"/>
          <w:szCs w:val="20"/>
          <w:color w:val="auto"/>
        </w:rPr>
      </w:pPr>
      <w:r>
        <w:rPr>
          <w:rFonts w:ascii="Times New Roman" w:cs="Times New Roman" w:eastAsia="Times New Roman" w:hAnsi="Times New Roman"/>
          <w:sz w:val="21"/>
          <w:szCs w:val="21"/>
          <w:color w:val="auto"/>
        </w:rPr>
        <w:t xml:space="preserve">SECTION 10.09. </w:t>
      </w:r>
      <w:r>
        <w:rPr>
          <w:rFonts w:ascii="Times New Roman" w:cs="Times New Roman" w:eastAsia="Times New Roman" w:hAnsi="Times New Roman"/>
          <w:sz w:val="21"/>
          <w:szCs w:val="21"/>
          <w:u w:val="single" w:color="auto"/>
          <w:color w:val="auto"/>
        </w:rPr>
        <w:t>Amendments Concerning Agency Function.</w:t>
      </w:r>
      <w:r>
        <w:rPr>
          <w:rFonts w:ascii="Times New Roman" w:cs="Times New Roman" w:eastAsia="Times New Roman" w:hAnsi="Times New Roman"/>
          <w:sz w:val="21"/>
          <w:szCs w:val="21"/>
          <w:color w:val="auto"/>
        </w:rPr>
        <w:t xml:space="preserve"> Notwithstanding anything to the contrary contained in this Agreement, no Agent shall be bound by any waiver, amendment, supplement or modification of this Agreement or any other Loan Document which affects its duties, rights, and/or function hereunder or thereunder unless it shall have given its prior written consent thereto.</w:t>
      </w:r>
    </w:p>
    <w:p>
      <w:pPr>
        <w:spacing w:after="0" w:line="146"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10.10. </w:t>
      </w:r>
      <w:r>
        <w:rPr>
          <w:rFonts w:ascii="Times New Roman" w:cs="Times New Roman" w:eastAsia="Times New Roman" w:hAnsi="Times New Roman"/>
          <w:sz w:val="21"/>
          <w:szCs w:val="21"/>
          <w:u w:val="single" w:color="auto"/>
          <w:color w:val="auto"/>
        </w:rPr>
        <w:t>Liability of Administrative Agent.</w:t>
      </w:r>
      <w:r>
        <w:rPr>
          <w:rFonts w:ascii="Times New Roman" w:cs="Times New Roman" w:eastAsia="Times New Roman" w:hAnsi="Times New Roman"/>
          <w:sz w:val="21"/>
          <w:szCs w:val="21"/>
          <w:color w:val="auto"/>
        </w:rPr>
        <w:t xml:space="preserve"> Administrative Agent shall not have any liabilities or responsibilities to Borrower on account of the failure of any Bank to perform its obligations hereunder or to any Bank on account of the failure of Borrower to perform its obligations hereunder or under any other Loan Document.</w:t>
      </w:r>
    </w:p>
    <w:p>
      <w:pPr>
        <w:spacing w:after="0" w:line="147" w:lineRule="exact"/>
        <w:rPr>
          <w:sz w:val="20"/>
          <w:szCs w:val="20"/>
          <w:color w:val="auto"/>
        </w:rPr>
      </w:pPr>
    </w:p>
    <w:p>
      <w:pPr>
        <w:jc w:val="both"/>
        <w:ind w:firstLine="629"/>
        <w:spacing w:after="0" w:line="229" w:lineRule="auto"/>
        <w:rPr>
          <w:sz w:val="20"/>
          <w:szCs w:val="20"/>
          <w:color w:val="auto"/>
        </w:rPr>
      </w:pPr>
      <w:r>
        <w:rPr>
          <w:rFonts w:ascii="Times New Roman" w:cs="Times New Roman" w:eastAsia="Times New Roman" w:hAnsi="Times New Roman"/>
          <w:sz w:val="21"/>
          <w:szCs w:val="21"/>
          <w:color w:val="auto"/>
        </w:rPr>
        <w:t xml:space="preserve">SECTION 10.11. </w:t>
      </w:r>
      <w:r>
        <w:rPr>
          <w:rFonts w:ascii="Times New Roman" w:cs="Times New Roman" w:eastAsia="Times New Roman" w:hAnsi="Times New Roman"/>
          <w:sz w:val="21"/>
          <w:szCs w:val="21"/>
          <w:u w:val="single" w:color="auto"/>
          <w:color w:val="auto"/>
        </w:rPr>
        <w:t>Transfer of Agency Function.</w:t>
      </w:r>
      <w:r>
        <w:rPr>
          <w:rFonts w:ascii="Times New Roman" w:cs="Times New Roman" w:eastAsia="Times New Roman" w:hAnsi="Times New Roman"/>
          <w:sz w:val="21"/>
          <w:szCs w:val="21"/>
          <w:color w:val="auto"/>
        </w:rPr>
        <w:t xml:space="preserve"> Without the consent of Borrower or any Bank, Administrative Agent may at any time or from time to time transfer its functions as Administrative Agent hereunder to any of its offices wherever located in the United States, provided that Administrative Agent shall promptly notify in writing Borrower and the Banks thereof.</w:t>
      </w:r>
    </w:p>
    <w:p>
      <w:pPr>
        <w:spacing w:after="0" w:line="147" w:lineRule="exact"/>
        <w:rPr>
          <w:sz w:val="20"/>
          <w:szCs w:val="20"/>
          <w:color w:val="auto"/>
        </w:rPr>
      </w:pPr>
    </w:p>
    <w:p>
      <w:pPr>
        <w:jc w:val="both"/>
        <w:ind w:firstLine="629"/>
        <w:spacing w:after="0" w:line="213" w:lineRule="auto"/>
        <w:rPr>
          <w:sz w:val="20"/>
          <w:szCs w:val="20"/>
          <w:color w:val="auto"/>
        </w:rPr>
      </w:pPr>
      <w:r>
        <w:rPr>
          <w:rFonts w:ascii="Times New Roman" w:cs="Times New Roman" w:eastAsia="Times New Roman" w:hAnsi="Times New Roman"/>
          <w:sz w:val="21"/>
          <w:szCs w:val="21"/>
          <w:color w:val="auto"/>
        </w:rPr>
        <w:t xml:space="preserve">SECTION 10.12. </w:t>
      </w:r>
      <w:r>
        <w:rPr>
          <w:rFonts w:ascii="Times New Roman" w:cs="Times New Roman" w:eastAsia="Times New Roman" w:hAnsi="Times New Roman"/>
          <w:sz w:val="21"/>
          <w:szCs w:val="21"/>
          <w:u w:val="single" w:color="auto"/>
          <w:color w:val="auto"/>
        </w:rPr>
        <w:t>Non-Receipt of Funds by Administrative Agent; Erroneous Payments</w:t>
      </w:r>
      <w:r>
        <w:rPr>
          <w:rFonts w:ascii="Times New Roman" w:cs="Times New Roman" w:eastAsia="Times New Roman" w:hAnsi="Times New Roman"/>
          <w:sz w:val="21"/>
          <w:szCs w:val="21"/>
          <w:color w:val="auto"/>
        </w:rPr>
        <w:t>. (a) Unless Administrative Agent shall have received notice from a Bank or Borrower (either one as appropriate being the “</w:t>
      </w:r>
      <w:r>
        <w:rPr>
          <w:rFonts w:ascii="Times New Roman" w:cs="Times New Roman" w:eastAsia="Times New Roman" w:hAnsi="Times New Roman"/>
          <w:sz w:val="21"/>
          <w:szCs w:val="21"/>
          <w:u w:val="single" w:color="auto"/>
          <w:color w:val="auto"/>
        </w:rPr>
        <w:t>Payor</w:t>
      </w:r>
      <w:r>
        <w:rPr>
          <w:rFonts w:ascii="Times New Roman" w:cs="Times New Roman" w:eastAsia="Times New Roman" w:hAnsi="Times New Roman"/>
          <w:sz w:val="21"/>
          <w:szCs w:val="21"/>
          <w:color w:val="auto"/>
        </w:rPr>
        <w:t>”) prior to the date on which such Bank is to make payment hereunder to Administrative Agent of the proceeds of a Loan or Borrower is to make payment to Administrative Agent, as the case may be (either such payment being a “</w:t>
      </w:r>
      <w:r>
        <w:rPr>
          <w:rFonts w:ascii="Times New Roman" w:cs="Times New Roman" w:eastAsia="Times New Roman" w:hAnsi="Times New Roman"/>
          <w:sz w:val="21"/>
          <w:szCs w:val="21"/>
          <w:u w:val="single" w:color="auto"/>
          <w:color w:val="auto"/>
        </w:rPr>
        <w:t>Required Payment</w:t>
      </w:r>
      <w:r>
        <w:rPr>
          <w:rFonts w:ascii="Times New Roman" w:cs="Times New Roman" w:eastAsia="Times New Roman" w:hAnsi="Times New Roman"/>
          <w:sz w:val="21"/>
          <w:szCs w:val="21"/>
          <w:color w:val="auto"/>
        </w:rPr>
        <w:t>”), which notice shall be effective upon receipt, that the Payor will not make the Required Payment in full to Administrative Agent, Administrative Agent may assume that the Required Payment has been made in full to Administrative Agent on such date, and Administrative Agent in its sole discretion may, but shall not be obligated to, in reliance upon such assumption, make the amount thereof available to the intended recipient on such date. If and to the extent the Payor shall not have in fact so made the Required Payment in full to Administrative Agent, the recipient of such payment shall repay to Administrative Agent forthwith on demand such amount made available to it together with interest thereon, for each day from the date such amount was so made available by Administrative Agent until the date Administrative Agent recovers such amount, at the customary rate set by Administrative Agent for the correction of errors among Banks for three (3) Banking Days and thereafter at the Base Rate.</w:t>
      </w:r>
    </w:p>
    <w:p>
      <w:pPr>
        <w:spacing w:after="0" w:line="48" w:lineRule="exact"/>
        <w:rPr>
          <w:sz w:val="20"/>
          <w:szCs w:val="20"/>
          <w:color w:val="auto"/>
        </w:rPr>
      </w:pPr>
    </w:p>
    <w:p>
      <w:pPr>
        <w:jc w:val="both"/>
        <w:ind w:firstLine="634"/>
        <w:spacing w:after="0" w:line="212" w:lineRule="auto"/>
        <w:tabs>
          <w:tab w:leader="none" w:pos="1253" w:val="left"/>
        </w:tabs>
        <w:numPr>
          <w:ilvl w:val="0"/>
          <w:numId w:val="3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Each Bank hereby agrees that (x) if the Administrative Agent notifies such Bank that the Administrative Agent has determined in its sole discretion that any funds received by such Bank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were erroneously transmitted to such Bank (whether or not known to such Bank), and demands the return of such Payment (or a portion thereof), such Bank shall promptly, but in no event later than one Banking Day thereafter (or such later date as the Administrative Agent may, in its sole discretion, specify in writing), return to the Administrative Agent the amount of any such Payment (or portion thereof) as to which such a demand was made in same day funds, together with interest thereon in respect of each day from and including the date such Payment (or portion thereof) was received by such Bank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Bank under this Section 10.12(b)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90</w:t>
      </w:r>
    </w:p>
    <w:p>
      <w:pPr>
        <w:sectPr>
          <w:pgSz w:w="11900" w:h="16838" w:orient="portrait"/>
          <w:cols w:equalWidth="0" w:num="1">
            <w:col w:w="11240"/>
          </w:cols>
          <w:pgMar w:left="320" w:top="1225" w:right="339" w:bottom="1440" w:gutter="0" w:footer="0" w:header="0"/>
        </w:sectPr>
      </w:pPr>
    </w:p>
    <w:bookmarkStart w:id="523" w:name="page524"/>
    <w:bookmarkEnd w:id="523"/>
    <w:p>
      <w:pPr>
        <w:jc w:val="both"/>
        <w:ind w:left="-480" w:firstLine="622"/>
        <w:spacing w:after="0" w:line="266" w:lineRule="auto"/>
        <w:tabs>
          <w:tab w:leader="none" w:pos="738"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or (y) that was not preceded or accompanied by a Payment Notice, it shall be on notice, in each such case,that an error has been made with respect to such Payment. Each Bank agrees that, in each such case, or if it otherwise becomes aware a Payment (or portion thereof) may have been sent in error, such Bank shall promptly notify the Administrative Agent of such occurrence and, upon demand from the Administrative Agent, it shall promptly, but in no event later than one Banking Day thereafter (or such later date as the Administrative Agent may, in its sole discretion, specify in writing), return to the Administrative Agent the amount of any such Payment (or portion thereof) as to which such a demand was made in same day funds, together with interest thereon in respect of each day from and including the date such Payment (or portion thereof) was received by such Bank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76" w:lineRule="exact"/>
        <w:rPr>
          <w:rFonts w:ascii="Times New Roman" w:cs="Times New Roman" w:eastAsia="Times New Roman" w:hAnsi="Times New Roman"/>
          <w:sz w:val="20"/>
          <w:szCs w:val="20"/>
          <w:color w:val="auto"/>
        </w:rPr>
      </w:pPr>
    </w:p>
    <w:p>
      <w:pPr>
        <w:jc w:val="both"/>
        <w:ind w:left="-480" w:firstLine="622"/>
        <w:spacing w:after="0" w:line="256" w:lineRule="auto"/>
        <w:tabs>
          <w:tab w:leader="none" w:pos="721" w:val="left"/>
        </w:tabs>
        <w:numPr>
          <w:ilvl w:val="0"/>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hereby agrees that (x) in the event an erroneous Payment (or portion thereof) are not recovered from any Bank that has received such Payment (or portion thereof) for any reason, the Administrative Agent shall be subrogated to all the rights of such Bank with respect to such amount and (y) an erroneous Payment shall not pay, prepay, repay, discharge or otherwise satisfy any Obligations owed by the Borrower, except, in each case, to the extent such erroneous Payment is, and solely with respect to the amount of such erroneous Payment that is, comprised of funds received by the Administrative Agent from the Borrower for the purpose of making such erroneous Payment.</w:t>
      </w:r>
    </w:p>
    <w:p>
      <w:pPr>
        <w:spacing w:after="0" w:line="170" w:lineRule="exact"/>
        <w:rPr>
          <w:rFonts w:ascii="Times New Roman" w:cs="Times New Roman" w:eastAsia="Times New Roman" w:hAnsi="Times New Roman"/>
          <w:sz w:val="21"/>
          <w:szCs w:val="21"/>
          <w:color w:val="auto"/>
        </w:rPr>
      </w:pPr>
    </w:p>
    <w:p>
      <w:pPr>
        <w:jc w:val="both"/>
        <w:ind w:left="-480" w:firstLine="622"/>
        <w:spacing w:after="0" w:line="263" w:lineRule="auto"/>
        <w:tabs>
          <w:tab w:leader="none" w:pos="850" w:val="left"/>
        </w:tabs>
        <w:numPr>
          <w:ilvl w:val="0"/>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party’s obligations under this Section 10.12(b) shall survive the resignation or replacement of the Administrative Agent or any transfer of rights or obligations by, or the replacement of, a Bank, the termination of the Commitments or the repayment, satisfaction or discharge of all Obligations under any Loan Document.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91</w:t>
      </w:r>
    </w:p>
    <w:p>
      <w:pPr>
        <w:sectPr>
          <w:pgSz w:w="11900" w:h="16838" w:orient="portrait"/>
          <w:cols w:equalWidth="0" w:num="1">
            <w:col w:w="10120"/>
          </w:cols>
          <w:pgMar w:left="1440" w:top="1251" w:right="339" w:bottom="1440" w:gutter="0" w:footer="0" w:header="0"/>
        </w:sectPr>
      </w:pPr>
    </w:p>
    <w:bookmarkStart w:id="524" w:name="page525"/>
    <w:bookmarkEnd w:id="524"/>
    <w:p>
      <w:pPr>
        <w:jc w:val="both"/>
        <w:ind w:firstLine="629"/>
        <w:spacing w:after="0" w:line="215" w:lineRule="auto"/>
        <w:rPr>
          <w:sz w:val="20"/>
          <w:szCs w:val="20"/>
          <w:color w:val="auto"/>
        </w:rPr>
      </w:pPr>
      <w:r>
        <w:rPr>
          <w:rFonts w:ascii="Times New Roman" w:cs="Times New Roman" w:eastAsia="Times New Roman" w:hAnsi="Times New Roman"/>
          <w:sz w:val="21"/>
          <w:szCs w:val="21"/>
          <w:color w:val="auto"/>
        </w:rPr>
        <w:t xml:space="preserve">SECTION 10.13. </w:t>
      </w:r>
      <w:r>
        <w:rPr>
          <w:rFonts w:ascii="Times New Roman" w:cs="Times New Roman" w:eastAsia="Times New Roman" w:hAnsi="Times New Roman"/>
          <w:sz w:val="21"/>
          <w:szCs w:val="21"/>
          <w:u w:val="single" w:color="auto"/>
          <w:color w:val="auto"/>
        </w:rPr>
        <w:t>Payments Free of Taxes</w:t>
      </w:r>
      <w:r>
        <w:rPr>
          <w:rFonts w:ascii="Times New Roman" w:cs="Times New Roman" w:eastAsia="Times New Roman" w:hAnsi="Times New Roman"/>
          <w:sz w:val="21"/>
          <w:szCs w:val="21"/>
          <w:color w:val="auto"/>
        </w:rPr>
        <w:t>. (a)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10.13) the applicable Recipient receives an amount equal to the sum it would have received had no such deduction or withholding been made.</w:t>
      </w:r>
    </w:p>
    <w:p>
      <w:pPr>
        <w:spacing w:after="0" w:line="44" w:lineRule="exact"/>
        <w:rPr>
          <w:sz w:val="20"/>
          <w:szCs w:val="20"/>
          <w:color w:val="auto"/>
        </w:rPr>
      </w:pPr>
    </w:p>
    <w:p>
      <w:pPr>
        <w:ind w:firstLine="634"/>
        <w:spacing w:after="0" w:line="241" w:lineRule="auto"/>
        <w:tabs>
          <w:tab w:leader="none" w:pos="1253" w:val="left"/>
        </w:tabs>
        <w:numPr>
          <w:ilvl w:val="0"/>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Other Taxes by the Borrower</w:t>
      </w:r>
      <w:r>
        <w:rPr>
          <w:rFonts w:ascii="Times New Roman" w:cs="Times New Roman" w:eastAsia="Times New Roman" w:hAnsi="Times New Roman"/>
          <w:sz w:val="21"/>
          <w:szCs w:val="21"/>
          <w:color w:val="auto"/>
        </w:rPr>
        <w:t>. The Borrower shall timely pay to the relevant Governmental Authority in accordance with applicable law, or at the option of the Administrative Agent timely reimburse it for, Other Taxes.</w:t>
      </w:r>
    </w:p>
    <w:p>
      <w:pPr>
        <w:spacing w:after="0" w:line="143" w:lineRule="exact"/>
        <w:rPr>
          <w:rFonts w:ascii="Times New Roman" w:cs="Times New Roman" w:eastAsia="Times New Roman" w:hAnsi="Times New Roman"/>
          <w:sz w:val="21"/>
          <w:szCs w:val="21"/>
          <w:color w:val="auto"/>
        </w:rPr>
      </w:pPr>
    </w:p>
    <w:p>
      <w:pPr>
        <w:jc w:val="both"/>
        <w:ind w:firstLine="634"/>
        <w:spacing w:after="0" w:line="224" w:lineRule="auto"/>
        <w:tabs>
          <w:tab w:leader="none" w:pos="1254" w:val="left"/>
        </w:tabs>
        <w:numPr>
          <w:ilvl w:val="0"/>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Evidence of Payments</w:t>
      </w:r>
      <w:r>
        <w:rPr>
          <w:rFonts w:ascii="Times New Roman" w:cs="Times New Roman" w:eastAsia="Times New Roman" w:hAnsi="Times New Roman"/>
          <w:sz w:val="21"/>
          <w:szCs w:val="21"/>
          <w:color w:val="auto"/>
        </w:rPr>
        <w:t>. As soon as practicable after any payment of Taxes by the Borrower to a Governmental Authority pursuant to this Section 10.13, the Borrower shall deliverto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46" w:lineRule="exact"/>
        <w:rPr>
          <w:rFonts w:ascii="Times New Roman" w:cs="Times New Roman" w:eastAsia="Times New Roman" w:hAnsi="Times New Roman"/>
          <w:sz w:val="21"/>
          <w:szCs w:val="21"/>
          <w:color w:val="auto"/>
        </w:rPr>
      </w:pPr>
    </w:p>
    <w:p>
      <w:pPr>
        <w:jc w:val="both"/>
        <w:ind w:firstLine="634"/>
        <w:spacing w:after="0" w:line="217" w:lineRule="auto"/>
        <w:tabs>
          <w:tab w:leader="none" w:pos="1253" w:val="left"/>
        </w:tabs>
        <w:numPr>
          <w:ilvl w:val="0"/>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Borrower</w:t>
      </w:r>
      <w:r>
        <w:rPr>
          <w:rFonts w:ascii="Times New Roman" w:cs="Times New Roman" w:eastAsia="Times New Roman" w:hAnsi="Times New Roman"/>
          <w:sz w:val="21"/>
          <w:szCs w:val="21"/>
          <w:color w:val="auto"/>
        </w:rPr>
        <w:t>.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out-of-pocket expenses arising therefrom or with respect thereto, whether or not such Indemnified Taxes were correctly or legally imposed or asserted by the relevant Governmental Authority. A certificate as to the amount of such payment or liability delivered to the Borrower by a Recipient (with a copy to the Administrative Agent), or by the Administrative Agent on its own behalf or on behalf of a Recipient, shall be conclusive absent manifest error.</w:t>
      </w:r>
    </w:p>
    <w:p>
      <w:pPr>
        <w:spacing w:after="0" w:line="148" w:lineRule="exact"/>
        <w:rPr>
          <w:rFonts w:ascii="Times New Roman" w:cs="Times New Roman" w:eastAsia="Times New Roman" w:hAnsi="Times New Roman"/>
          <w:sz w:val="21"/>
          <w:szCs w:val="21"/>
          <w:color w:val="auto"/>
        </w:rPr>
      </w:pPr>
    </w:p>
    <w:p>
      <w:pPr>
        <w:jc w:val="both"/>
        <w:ind w:firstLine="634"/>
        <w:spacing w:after="0" w:line="214" w:lineRule="auto"/>
        <w:tabs>
          <w:tab w:leader="none" w:pos="1254" w:val="left"/>
        </w:tabs>
        <w:numPr>
          <w:ilvl w:val="0"/>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Banks</w:t>
      </w:r>
      <w:r>
        <w:rPr>
          <w:rFonts w:ascii="Times New Roman" w:cs="Times New Roman" w:eastAsia="Times New Roman" w:hAnsi="Times New Roman"/>
          <w:sz w:val="21"/>
          <w:szCs w:val="21"/>
          <w:color w:val="auto"/>
        </w:rPr>
        <w:t>. Each Bank shall severally indemnify the Administrative Agent, within 10 days after demand therefor, for (i) any Indemnified Taxes attributable to such Bank (but only to the extent that the Borrower has not already indemnified the Administrative Agent for such Indemnified Taxes and without limiting the obligation of the Borrower to do so), (ii) any Taxes attributable to such Bank's failure to comply with the provisions of Section 12.05(b) relating to the maintenance of a Participant Register and (iii) any Excluded Taxes attributable to such Bank,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Bank by the Administrative Agent shall be conclusive absent manifest error. Each Bank hereby authorizes the Administrative Agent to set off and apply any and all amounts at any time owing to such Bank under any Loan Document or otherwise payable by the Administrative Agent to such Bank from any other source against any amount due to the Administrative Agent under this paragraph (e).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92</w:t>
      </w:r>
    </w:p>
    <w:p>
      <w:pPr>
        <w:sectPr>
          <w:pgSz w:w="11900" w:h="16838" w:orient="portrait"/>
          <w:cols w:equalWidth="0" w:num="1">
            <w:col w:w="11240"/>
          </w:cols>
          <w:pgMar w:left="320" w:top="1225" w:right="339" w:bottom="1440" w:gutter="0" w:footer="0" w:header="0"/>
        </w:sectPr>
      </w:pPr>
    </w:p>
    <w:bookmarkStart w:id="525" w:name="page526"/>
    <w:bookmarkEnd w:id="525"/>
    <w:p>
      <w:pPr>
        <w:spacing w:after="0" w:line="22" w:lineRule="exact"/>
        <w:rPr>
          <w:sz w:val="20"/>
          <w:szCs w:val="20"/>
          <w:color w:val="auto"/>
        </w:rPr>
      </w:pPr>
    </w:p>
    <w:p>
      <w:pPr>
        <w:jc w:val="both"/>
        <w:ind w:firstLine="634"/>
        <w:spacing w:after="0" w:line="213" w:lineRule="auto"/>
        <w:tabs>
          <w:tab w:leader="none" w:pos="1257"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Status of Banks</w:t>
      </w:r>
      <w:r>
        <w:rPr>
          <w:rFonts w:ascii="Times New Roman" w:cs="Times New Roman" w:eastAsia="Times New Roman" w:hAnsi="Times New Roman"/>
          <w:sz w:val="21"/>
          <w:szCs w:val="21"/>
          <w:color w:val="auto"/>
        </w:rPr>
        <w:t>. (i) Any Bank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Bank,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Bank is subject to backup withholding or information reporting requirements. Notwithstanding anything to the contrary in the preceding two sentences, the completion, execution and submission of such documentation (other than such documentation set forth in Section 10.13(f)(ii)(A),(B) and (D) below) shall not be required if in the applicable Bank's reasonable judgment such completion, execution or submission would subject such Bank to any material unreimbursed cost or expense or would materially prejudice the legal or commercial position of such Bank.</w:t>
      </w:r>
    </w:p>
    <w:p>
      <w:pPr>
        <w:spacing w:after="0" w:line="152"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1"/>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in the event that the Borrower is a U.S. Person,</w:t>
      </w:r>
    </w:p>
    <w:p>
      <w:pPr>
        <w:spacing w:after="0" w:line="99" w:lineRule="exact"/>
        <w:rPr>
          <w:rFonts w:ascii="Times New Roman" w:cs="Times New Roman" w:eastAsia="Times New Roman" w:hAnsi="Times New Roman"/>
          <w:sz w:val="21"/>
          <w:szCs w:val="21"/>
          <w:color w:val="auto"/>
        </w:rPr>
      </w:pPr>
    </w:p>
    <w:p>
      <w:pPr>
        <w:jc w:val="both"/>
        <w:ind w:left="1260" w:firstLine="631"/>
        <w:spacing w:after="0" w:line="262" w:lineRule="auto"/>
        <w:tabs>
          <w:tab w:leader="none" w:pos="2412" w:val="left"/>
        </w:tabs>
        <w:numPr>
          <w:ilvl w:val="2"/>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Bank that is a U.S. Person shall deliver to the Borrower and the Administrative Agent on or prior to the date on which such Bank becomes a Bank under this Agreement (and from time to time thereafter upon the reasonable request of the Borrower or the Administrative Agent), an executed copy of IRS Form W-9 certifying that such Bank is exempt from U.S. Federal backup withholding tax;</w:t>
      </w:r>
    </w:p>
    <w:p>
      <w:pPr>
        <w:spacing w:after="0" w:line="45" w:lineRule="exact"/>
        <w:rPr>
          <w:rFonts w:ascii="Times New Roman" w:cs="Times New Roman" w:eastAsia="Times New Roman" w:hAnsi="Times New Roman"/>
          <w:sz w:val="21"/>
          <w:szCs w:val="21"/>
          <w:color w:val="auto"/>
        </w:rPr>
      </w:pPr>
    </w:p>
    <w:p>
      <w:pPr>
        <w:jc w:val="both"/>
        <w:ind w:left="1260" w:firstLine="631"/>
        <w:spacing w:after="0" w:line="249" w:lineRule="auto"/>
        <w:tabs>
          <w:tab w:leader="none" w:pos="2492" w:val="left"/>
        </w:tabs>
        <w:numPr>
          <w:ilvl w:val="2"/>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Bank shall, to the extent it is legally entitled to do so, deliver to the Borrower and the Administrative Agent (in such number of copies as shall be requested by the recipient) on or prior to the date on which such Foreign Bank becomes a Bank under this Agreement (and from time to time thereafter upon the reasonable request of the Borrower or the Administrative Agent), whichever of the following is applicable:</w:t>
      </w:r>
    </w:p>
    <w:p>
      <w:pPr>
        <w:spacing w:after="0" w:line="71" w:lineRule="exact"/>
        <w:rPr>
          <w:rFonts w:ascii="Times New Roman" w:cs="Times New Roman" w:eastAsia="Times New Roman" w:hAnsi="Times New Roman"/>
          <w:sz w:val="21"/>
          <w:szCs w:val="21"/>
          <w:color w:val="auto"/>
        </w:rPr>
      </w:pPr>
    </w:p>
    <w:p>
      <w:pPr>
        <w:jc w:val="both"/>
        <w:ind w:left="1900" w:firstLine="620"/>
        <w:spacing w:after="0" w:line="260" w:lineRule="auto"/>
        <w:tabs>
          <w:tab w:leader="none" w:pos="3037" w:val="left"/>
        </w:tabs>
        <w:numPr>
          <w:ilvl w:val="3"/>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Bank claiming the benefits of an income tax treaty to which the United States is a party (x) with respect to payments of interest under any Loan Document, an executed copy of IRS Form W-8BEN or Form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50" w:lineRule="exact"/>
        <w:rPr>
          <w:rFonts w:ascii="Times New Roman" w:cs="Times New Roman" w:eastAsia="Times New Roman" w:hAnsi="Times New Roman"/>
          <w:sz w:val="20"/>
          <w:szCs w:val="20"/>
          <w:color w:val="auto"/>
        </w:rPr>
      </w:pPr>
    </w:p>
    <w:p>
      <w:pPr>
        <w:ind w:left="1900" w:firstLine="620"/>
        <w:spacing w:after="0" w:line="267" w:lineRule="auto"/>
        <w:tabs>
          <w:tab w:leader="none" w:pos="3040" w:val="left"/>
        </w:tabs>
        <w:numPr>
          <w:ilvl w:val="3"/>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Bank claiming that its extension of credit will generate U.S. effectively connected income, an executed copy of IRS Form W-8ECI;</w:t>
      </w:r>
    </w:p>
    <w:p>
      <w:pPr>
        <w:spacing w:after="0" w:line="52" w:lineRule="exact"/>
        <w:rPr>
          <w:rFonts w:ascii="Times New Roman" w:cs="Times New Roman" w:eastAsia="Times New Roman" w:hAnsi="Times New Roman"/>
          <w:sz w:val="21"/>
          <w:szCs w:val="21"/>
          <w:color w:val="auto"/>
        </w:rPr>
      </w:pPr>
    </w:p>
    <w:p>
      <w:pPr>
        <w:ind w:left="1900" w:firstLine="620"/>
        <w:spacing w:after="0" w:line="267" w:lineRule="auto"/>
        <w:tabs>
          <w:tab w:leader="none" w:pos="3032" w:val="left"/>
        </w:tabs>
        <w:numPr>
          <w:ilvl w:val="3"/>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Bank claiming the benefits of the exemption for portfolio interest under Section 881(c) of the Code, (x) a certificate substantially in the form of EXHIBIT H-1 to the effect that such</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93</w:t>
      </w:r>
    </w:p>
    <w:p>
      <w:pPr>
        <w:sectPr>
          <w:pgSz w:w="11900" w:h="16838" w:orient="portrait"/>
          <w:cols w:equalWidth="0" w:num="1">
            <w:col w:w="11240"/>
          </w:cols>
          <w:pgMar w:left="320" w:top="1440" w:right="339" w:bottom="1440" w:gutter="0" w:footer="0" w:header="0"/>
        </w:sectPr>
      </w:pPr>
    </w:p>
    <w:bookmarkStart w:id="526" w:name="page527"/>
    <w:bookmarkEnd w:id="526"/>
    <w:p>
      <w:pPr>
        <w:jc w:val="both"/>
        <w:ind w:left="780"/>
        <w:spacing w:after="0" w:line="254" w:lineRule="auto"/>
        <w:rPr>
          <w:sz w:val="20"/>
          <w:szCs w:val="20"/>
          <w:color w:val="auto"/>
        </w:rPr>
      </w:pPr>
      <w:r>
        <w:rPr>
          <w:rFonts w:ascii="Times New Roman" w:cs="Times New Roman" w:eastAsia="Times New Roman" w:hAnsi="Times New Roman"/>
          <w:sz w:val="21"/>
          <w:szCs w:val="21"/>
          <w:color w:val="auto"/>
        </w:rPr>
        <w:t>Foreign Bank is not a “bank” within the meaning of Section 881(c)(3)(A) of the Code, a “10 percent shareholder” of the Borrower within the meaning of Section 881(c)(3)(B) of the Code, or a “controlled foreign corporation” within the meaning of Section 881(c)(3)(C) of the Code (a “</w:t>
      </w:r>
      <w:r>
        <w:rPr>
          <w:rFonts w:ascii="Times New Roman" w:cs="Times New Roman" w:eastAsia="Times New Roman" w:hAnsi="Times New Roman"/>
          <w:sz w:val="21"/>
          <w:szCs w:val="21"/>
          <w:u w:val="single" w:color="auto"/>
          <w:color w:val="auto"/>
        </w:rPr>
        <w:t>U.S. Tax Compliance Certificate</w:t>
      </w:r>
      <w:r>
        <w:rPr>
          <w:rFonts w:ascii="Times New Roman" w:cs="Times New Roman" w:eastAsia="Times New Roman" w:hAnsi="Times New Roman"/>
          <w:sz w:val="21"/>
          <w:szCs w:val="21"/>
          <w:color w:val="auto"/>
        </w:rPr>
        <w:t>”) and (y) an executed copy of IRS Form W-8BEN or W-8BEN-E; or</w:t>
      </w:r>
    </w:p>
    <w:p>
      <w:pPr>
        <w:spacing w:after="0" w:line="288" w:lineRule="exact"/>
        <w:rPr>
          <w:sz w:val="20"/>
          <w:szCs w:val="20"/>
          <w:color w:val="auto"/>
        </w:rPr>
      </w:pPr>
    </w:p>
    <w:p>
      <w:pPr>
        <w:jc w:val="both"/>
        <w:ind w:left="780" w:firstLine="620"/>
        <w:spacing w:after="0" w:line="244" w:lineRule="auto"/>
        <w:tabs>
          <w:tab w:leader="none" w:pos="1880" w:val="left"/>
        </w:tabs>
        <w:numPr>
          <w:ilvl w:val="1"/>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a Foreign Bank is not the beneficial owner, an executed copy of IRS Form W-8IMY, accompanied by IRS Form W-8ECI, IRS Form W-8BEN, or IRS Form W-8BEN-E, a U.S. Tax Compliance Certificate substantially in the form of EXHIBIT H-2 or EXHIBIT H-3, IRS Form W-9, and/or other certification documents from each beneficial owner,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Foreign Bank is a partnershipand one or more direct or indirect partners of such Foreign Bank are claiming the portfolio interest exemption, such Foreign Bank may provide a U.S. Tax Compliance Certificate substantially in the form of EXHIBIT H-4 on behalf of each such direct and indirect partner;</w:t>
      </w:r>
    </w:p>
    <w:p>
      <w:pPr>
        <w:spacing w:after="0" w:line="259" w:lineRule="exact"/>
        <w:rPr>
          <w:rFonts w:ascii="Times New Roman" w:cs="Times New Roman" w:eastAsia="Times New Roman" w:hAnsi="Times New Roman"/>
          <w:sz w:val="21"/>
          <w:szCs w:val="21"/>
          <w:color w:val="auto"/>
        </w:rPr>
      </w:pPr>
    </w:p>
    <w:p>
      <w:pPr>
        <w:jc w:val="both"/>
        <w:ind w:left="140" w:firstLine="631"/>
        <w:spacing w:after="0" w:line="244" w:lineRule="auto"/>
        <w:tabs>
          <w:tab w:leader="none" w:pos="1372" w:val="left"/>
        </w:tabs>
        <w:numPr>
          <w:ilvl w:val="0"/>
          <w:numId w:val="3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Bank shall, to the extent it is legally entitled to do so, deliver to the Borrower and the Administrative Agent (in such number of copies as shall be requested by the recipient) on or prior to the date on which such Foreign Bank becomes a Bank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3" w:lineRule="exact"/>
        <w:rPr>
          <w:rFonts w:ascii="Times New Roman" w:cs="Times New Roman" w:eastAsia="Times New Roman" w:hAnsi="Times New Roman"/>
          <w:sz w:val="21"/>
          <w:szCs w:val="21"/>
          <w:color w:val="auto"/>
        </w:rPr>
      </w:pPr>
    </w:p>
    <w:p>
      <w:pPr>
        <w:jc w:val="both"/>
        <w:ind w:left="140" w:firstLine="631"/>
        <w:spacing w:after="0" w:line="246" w:lineRule="auto"/>
        <w:tabs>
          <w:tab w:leader="none" w:pos="1324" w:val="left"/>
        </w:tabs>
        <w:numPr>
          <w:ilvl w:val="0"/>
          <w:numId w:val="3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Bank under any Loan Document would be subject to U.S. Federal withholding Tax imposed by FATCA if such Bank were to fail to comply with the applicable reporting requirements of FATCA (including those contained in Section 1471(b) or 1472(b) of the Code, as applicable), such Bank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w:t>
      </w:r>
    </w:p>
    <w:p>
      <w:pPr>
        <w:spacing w:after="0" w:line="200" w:lineRule="exact"/>
        <w:rPr>
          <w:sz w:val="20"/>
          <w:szCs w:val="20"/>
          <w:color w:val="auto"/>
        </w:rPr>
      </w:pPr>
    </w:p>
    <w:p>
      <w:pPr>
        <w:spacing w:after="0" w:line="28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94</w:t>
      </w:r>
    </w:p>
    <w:p>
      <w:pPr>
        <w:sectPr>
          <w:pgSz w:w="11900" w:h="16838" w:orient="portrait"/>
          <w:cols w:equalWidth="0" w:num="1">
            <w:col w:w="10120"/>
          </w:cols>
          <w:pgMar w:left="1440" w:top="1238" w:right="339" w:bottom="1440" w:gutter="0" w:footer="0" w:header="0"/>
        </w:sectPr>
      </w:pPr>
    </w:p>
    <w:bookmarkStart w:id="527" w:name="page528"/>
    <w:bookmarkEnd w:id="527"/>
    <w:p>
      <w:pPr>
        <w:jc w:val="both"/>
        <w:ind w:left="1260"/>
        <w:spacing w:after="0" w:line="257" w:lineRule="auto"/>
        <w:rPr>
          <w:sz w:val="20"/>
          <w:szCs w:val="20"/>
          <w:color w:val="auto"/>
        </w:rPr>
      </w:pPr>
      <w:r>
        <w:rPr>
          <w:rFonts w:ascii="Times New Roman" w:cs="Times New Roman" w:eastAsia="Times New Roman" w:hAnsi="Times New Roman"/>
          <w:sz w:val="21"/>
          <w:szCs w:val="21"/>
          <w:color w:val="auto"/>
        </w:rPr>
        <w:t>Agent to comply with their obligations under FATCA and to determine that such Bank has complied with such Bank's obligations under FATCA or to determine the amount to deduct and withhold from such payment. Solely for purposes of this clause (D), “FATCA” shall include any amendments made to FATCA after the date of this Agreement.</w:t>
      </w:r>
    </w:p>
    <w:p>
      <w:pPr>
        <w:spacing w:after="0" w:line="194" w:lineRule="exact"/>
        <w:rPr>
          <w:sz w:val="20"/>
          <w:szCs w:val="20"/>
          <w:color w:val="auto"/>
        </w:rPr>
      </w:pPr>
    </w:p>
    <w:p>
      <w:pPr>
        <w:jc w:val="both"/>
        <w:ind w:left="640" w:firstLine="629"/>
        <w:spacing w:after="0" w:line="250" w:lineRule="auto"/>
        <w:rPr>
          <w:sz w:val="20"/>
          <w:szCs w:val="20"/>
          <w:color w:val="auto"/>
        </w:rPr>
      </w:pPr>
      <w:r>
        <w:rPr>
          <w:rFonts w:ascii="Times New Roman" w:cs="Times New Roman" w:eastAsia="Times New Roman" w:hAnsi="Times New Roman"/>
          <w:sz w:val="21"/>
          <w:szCs w:val="21"/>
          <w:color w:val="auto"/>
        </w:rPr>
        <w:t>Each Bank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88" w:lineRule="exact"/>
        <w:rPr>
          <w:sz w:val="20"/>
          <w:szCs w:val="20"/>
          <w:color w:val="auto"/>
        </w:rPr>
      </w:pPr>
    </w:p>
    <w:p>
      <w:pPr>
        <w:jc w:val="both"/>
        <w:ind w:firstLine="634"/>
        <w:spacing w:after="0" w:line="212" w:lineRule="auto"/>
        <w:tabs>
          <w:tab w:leader="none" w:pos="1253" w:val="left"/>
        </w:tabs>
        <w:numPr>
          <w:ilvl w:val="0"/>
          <w:numId w:val="3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Certain Refunds</w:t>
      </w:r>
      <w:r>
        <w:rPr>
          <w:rFonts w:ascii="Times New Roman" w:cs="Times New Roman" w:eastAsia="Times New Roman" w:hAnsi="Times New Roman"/>
          <w:sz w:val="21"/>
          <w:szCs w:val="21"/>
          <w:color w:val="auto"/>
        </w:rPr>
        <w:t>. If any party determines, in its sole discretion exercised in good faith, that it has received a refund of any Taxes as to which it has been indemnified pursuant to this Section 10.13 (including by the payment of additional amounts pursuant to this Section 10.13), it shall pay to the indemnifying party an amount equal to such refund (but only to the extent of indemnity payments made under this Section 10.13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any indemnified party be required to pay any amount to an indemnifying party pursuant to this paragraph (g) the payment of which would place such indemnified party in a less favorable net after-Tax position than such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or to apply for or seek a refund of any Taxes on behalf of, any indemnifying party or any other Person.</w:t>
      </w:r>
    </w:p>
    <w:p>
      <w:pPr>
        <w:spacing w:after="0" w:line="153" w:lineRule="exact"/>
        <w:rPr>
          <w:rFonts w:ascii="Times New Roman" w:cs="Times New Roman" w:eastAsia="Times New Roman" w:hAnsi="Times New Roman"/>
          <w:sz w:val="21"/>
          <w:szCs w:val="21"/>
          <w:color w:val="auto"/>
        </w:rPr>
      </w:pPr>
    </w:p>
    <w:p>
      <w:pPr>
        <w:jc w:val="both"/>
        <w:ind w:firstLine="634"/>
        <w:spacing w:after="0" w:line="229" w:lineRule="auto"/>
        <w:tabs>
          <w:tab w:leader="none" w:pos="1253" w:val="left"/>
        </w:tabs>
        <w:numPr>
          <w:ilvl w:val="0"/>
          <w:numId w:val="3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Each party's obligations under this Section 10.13 shall survive the resignation or replacement of the Administrative Agent or any assignment of rights by, or the replacement of, a Bank, the termination of the Loan Commitments and the repayment, satisfaction or discharge of all obligations under any Loan Document.</w:t>
      </w:r>
    </w:p>
    <w:p>
      <w:pPr>
        <w:spacing w:after="0" w:line="143" w:lineRule="exact"/>
        <w:rPr>
          <w:rFonts w:ascii="Times New Roman" w:cs="Times New Roman" w:eastAsia="Times New Roman" w:hAnsi="Times New Roman"/>
          <w:sz w:val="21"/>
          <w:szCs w:val="21"/>
          <w:color w:val="auto"/>
        </w:rPr>
      </w:pPr>
    </w:p>
    <w:p>
      <w:pPr>
        <w:ind w:firstLine="634"/>
        <w:spacing w:after="0" w:line="245" w:lineRule="auto"/>
        <w:tabs>
          <w:tab w:leader="none" w:pos="1246" w:val="left"/>
        </w:tabs>
        <w:numPr>
          <w:ilvl w:val="0"/>
          <w:numId w:val="3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For purposes of this Section 10.13, the term “</w:t>
      </w:r>
      <w:r>
        <w:rPr>
          <w:rFonts w:ascii="Times New Roman" w:cs="Times New Roman" w:eastAsia="Times New Roman" w:hAnsi="Times New Roman"/>
          <w:sz w:val="21"/>
          <w:szCs w:val="21"/>
          <w:b w:val="1"/>
          <w:bCs w:val="1"/>
          <w:i w:val="1"/>
          <w:iCs w:val="1"/>
          <w:color w:val="auto"/>
        </w:rPr>
        <w:t>Bank</w:t>
      </w:r>
      <w:r>
        <w:rPr>
          <w:rFonts w:ascii="Times New Roman" w:cs="Times New Roman" w:eastAsia="Times New Roman" w:hAnsi="Times New Roman"/>
          <w:sz w:val="21"/>
          <w:szCs w:val="21"/>
          <w:color w:val="auto"/>
        </w:rPr>
        <w:t>” includes any Fronting Bank and the term “</w:t>
      </w:r>
      <w:r>
        <w:rPr>
          <w:rFonts w:ascii="Times New Roman" w:cs="Times New Roman" w:eastAsia="Times New Roman" w:hAnsi="Times New Roman"/>
          <w:sz w:val="21"/>
          <w:szCs w:val="21"/>
          <w:b w:val="1"/>
          <w:bCs w:val="1"/>
          <w:i w:val="1"/>
          <w:iCs w:val="1"/>
          <w:color w:val="auto"/>
        </w:rPr>
        <w:t>applicable law</w:t>
      </w:r>
      <w:r>
        <w:rPr>
          <w:rFonts w:ascii="Times New Roman" w:cs="Times New Roman" w:eastAsia="Times New Roman" w:hAnsi="Times New Roman"/>
          <w:sz w:val="21"/>
          <w:szCs w:val="21"/>
          <w:color w:val="auto"/>
        </w:rPr>
        <w:t>” includes FATCA.</w:t>
      </w:r>
    </w:p>
    <w:p>
      <w:pPr>
        <w:spacing w:after="0" w:line="140" w:lineRule="exact"/>
        <w:rPr>
          <w:sz w:val="20"/>
          <w:szCs w:val="20"/>
          <w:color w:val="auto"/>
        </w:rPr>
      </w:pPr>
    </w:p>
    <w:p>
      <w:pPr>
        <w:jc w:val="both"/>
        <w:ind w:firstLine="629"/>
        <w:spacing w:after="0" w:line="224" w:lineRule="auto"/>
        <w:rPr>
          <w:sz w:val="20"/>
          <w:szCs w:val="20"/>
          <w:color w:val="auto"/>
        </w:rPr>
      </w:pPr>
      <w:r>
        <w:rPr>
          <w:rFonts w:ascii="Times New Roman" w:cs="Times New Roman" w:eastAsia="Times New Roman" w:hAnsi="Times New Roman"/>
          <w:sz w:val="21"/>
          <w:szCs w:val="21"/>
          <w:color w:val="auto"/>
        </w:rPr>
        <w:t xml:space="preserve">SECTION 10.14. </w:t>
      </w:r>
      <w:r>
        <w:rPr>
          <w:rFonts w:ascii="Times New Roman" w:cs="Times New Roman" w:eastAsia="Times New Roman" w:hAnsi="Times New Roman"/>
          <w:sz w:val="21"/>
          <w:szCs w:val="21"/>
          <w:u w:val="single" w:color="auto"/>
          <w:color w:val="auto"/>
        </w:rPr>
        <w:t>Pro Rata Treatment.</w:t>
      </w:r>
      <w:r>
        <w:rPr>
          <w:rFonts w:ascii="Times New Roman" w:cs="Times New Roman" w:eastAsia="Times New Roman" w:hAnsi="Times New Roman"/>
          <w:sz w:val="21"/>
          <w:szCs w:val="21"/>
          <w:color w:val="auto"/>
        </w:rPr>
        <w:t xml:space="preserve"> Except to the extent otherwise provided, (1) each advance of proceeds of the Ratable Loans shall be made by the Banks, (2) each reduction of the amount of the Total Loan Commitment under Section 2.16 shall be applied to the Loan Commitments of the Banks and (3) each payment of the Facility Fee accruing under Section 2.08 shall be made for the account of the Banks, ratably according to the amounts of their respective Loan Commitments.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95</w:t>
      </w:r>
    </w:p>
    <w:p>
      <w:pPr>
        <w:sectPr>
          <w:pgSz w:w="11900" w:h="16838" w:orient="portrait"/>
          <w:cols w:equalWidth="0" w:num="1">
            <w:col w:w="11240"/>
          </w:cols>
          <w:pgMar w:left="320" w:top="1238" w:right="339" w:bottom="1440" w:gutter="0" w:footer="0" w:header="0"/>
        </w:sectPr>
      </w:pPr>
    </w:p>
    <w:bookmarkStart w:id="528" w:name="page529"/>
    <w:bookmarkEnd w:id="528"/>
    <w:p>
      <w:pPr>
        <w:jc w:val="both"/>
        <w:ind w:firstLine="629"/>
        <w:spacing w:after="0" w:line="212" w:lineRule="auto"/>
        <w:rPr>
          <w:sz w:val="20"/>
          <w:szCs w:val="20"/>
          <w:color w:val="auto"/>
        </w:rPr>
      </w:pPr>
      <w:r>
        <w:rPr>
          <w:rFonts w:ascii="Times New Roman" w:cs="Times New Roman" w:eastAsia="Times New Roman" w:hAnsi="Times New Roman"/>
          <w:sz w:val="21"/>
          <w:szCs w:val="21"/>
          <w:color w:val="auto"/>
        </w:rPr>
        <w:t xml:space="preserve">SECTION 10.15. </w:t>
      </w:r>
      <w:r>
        <w:rPr>
          <w:rFonts w:ascii="Times New Roman" w:cs="Times New Roman" w:eastAsia="Times New Roman" w:hAnsi="Times New Roman"/>
          <w:sz w:val="21"/>
          <w:szCs w:val="21"/>
          <w:u w:val="single" w:color="auto"/>
          <w:color w:val="auto"/>
        </w:rPr>
        <w:t>Sharing of Payments Among Banks.</w:t>
      </w:r>
      <w:r>
        <w:rPr>
          <w:rFonts w:ascii="Times New Roman" w:cs="Times New Roman" w:eastAsia="Times New Roman" w:hAnsi="Times New Roman"/>
          <w:sz w:val="21"/>
          <w:szCs w:val="21"/>
          <w:color w:val="auto"/>
        </w:rPr>
        <w:t xml:space="preserve"> If a Bank shall obtain payment of any principal of or interest on any Loan made by it through the exercise of any right of setoff, banker’s lien or counterclaim, or by any other means (including direct payment), and such payment results in such Bank receiving a greater payment than it would have been entitled to had such payment been paid directly to Administrative Agent for disbursement to the Banks, then such Bank shall promptly purchase for cash from the other Banks participations in the Loans made by the other Banks in such amounts, and make such other adjustments from time to time as shall be equitable to the end that all the Banks shall share ratably the benefit of such payment;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Bank as consideration for the assignment of or sale of a participation in any of its Loans or participations in Letters of Credit to any assignee or participant, other than to the Borrower or any Subsidiary or Affiliate thereof (as to which the provisions of this paragraph shall apply). To such end the Banks shall make appropriate adjustments among themselves (by the resale of participations sold or otherwise) if such payment is rescinded or must otherwise be restored. Borrower agrees that any Bank so purchasing a participation in the Loans made by other Banks may exercise all rights of setoff, banker’s lien, counterclaim or similar rights with respect to such participation. Nothing contained herein shall require any Bank to exercise any such right or shall affect the right of any Bank to exercise, and retain the benefits of exercising, any such right with respect to any other indebtedness of Borrower.</w:t>
      </w:r>
    </w:p>
    <w:p>
      <w:pPr>
        <w:spacing w:after="0" w:line="146" w:lineRule="exact"/>
        <w:rPr>
          <w:sz w:val="20"/>
          <w:szCs w:val="20"/>
          <w:color w:val="auto"/>
        </w:rPr>
      </w:pPr>
    </w:p>
    <w:p>
      <w:pPr>
        <w:jc w:val="both"/>
        <w:ind w:firstLine="629"/>
        <w:spacing w:after="0" w:line="224" w:lineRule="auto"/>
        <w:rPr>
          <w:sz w:val="20"/>
          <w:szCs w:val="20"/>
          <w:color w:val="auto"/>
        </w:rPr>
      </w:pPr>
      <w:r>
        <w:rPr>
          <w:rFonts w:ascii="Times New Roman" w:cs="Times New Roman" w:eastAsia="Times New Roman" w:hAnsi="Times New Roman"/>
          <w:sz w:val="21"/>
          <w:szCs w:val="21"/>
          <w:color w:val="auto"/>
        </w:rPr>
        <w:t xml:space="preserve">SECTION 10.16. </w:t>
      </w:r>
      <w:r>
        <w:rPr>
          <w:rFonts w:ascii="Times New Roman" w:cs="Times New Roman" w:eastAsia="Times New Roman" w:hAnsi="Times New Roman"/>
          <w:sz w:val="21"/>
          <w:szCs w:val="21"/>
          <w:u w:val="single" w:color="auto"/>
          <w:color w:val="auto"/>
        </w:rPr>
        <w:t>Possession of Documents.</w:t>
      </w:r>
      <w:r>
        <w:rPr>
          <w:rFonts w:ascii="Times New Roman" w:cs="Times New Roman" w:eastAsia="Times New Roman" w:hAnsi="Times New Roman"/>
          <w:sz w:val="21"/>
          <w:szCs w:val="21"/>
          <w:color w:val="auto"/>
        </w:rPr>
        <w:t xml:space="preserve"> Each Bank shall keep possession of its own Ratable Loan Note. Administrative Agent shall hold all the other Loan Documents and related documents in its possession and maintain separate records and accounts with respect thereto, and shall permit the Banks and their representatives access at all reasonable times to inspect such Loan Documents, related documents, records and accounts.</w:t>
      </w:r>
    </w:p>
    <w:p>
      <w:pPr>
        <w:spacing w:after="0" w:line="146" w:lineRule="exact"/>
        <w:rPr>
          <w:sz w:val="20"/>
          <w:szCs w:val="20"/>
          <w:color w:val="auto"/>
        </w:rPr>
      </w:pPr>
    </w:p>
    <w:p>
      <w:pPr>
        <w:jc w:val="both"/>
        <w:ind w:firstLine="629"/>
        <w:spacing w:after="0" w:line="221" w:lineRule="auto"/>
        <w:rPr>
          <w:sz w:val="20"/>
          <w:szCs w:val="20"/>
          <w:color w:val="auto"/>
        </w:rPr>
      </w:pPr>
      <w:r>
        <w:rPr>
          <w:rFonts w:ascii="Times New Roman" w:cs="Times New Roman" w:eastAsia="Times New Roman" w:hAnsi="Times New Roman"/>
          <w:sz w:val="21"/>
          <w:szCs w:val="21"/>
          <w:color w:val="auto"/>
        </w:rPr>
        <w:t xml:space="preserve">SECTION 10.17. </w:t>
      </w:r>
      <w:r>
        <w:rPr>
          <w:rFonts w:ascii="Times New Roman" w:cs="Times New Roman" w:eastAsia="Times New Roman" w:hAnsi="Times New Roman"/>
          <w:sz w:val="21"/>
          <w:szCs w:val="21"/>
          <w:u w:val="single" w:color="auto"/>
          <w:color w:val="auto"/>
        </w:rPr>
        <w:t>Syndication Agents, Documentation Agents, Etc.</w:t>
      </w:r>
      <w:r>
        <w:rPr>
          <w:rFonts w:ascii="Times New Roman" w:cs="Times New Roman" w:eastAsia="Times New Roman" w:hAnsi="Times New Roman"/>
          <w:sz w:val="21"/>
          <w:szCs w:val="21"/>
          <w:color w:val="auto"/>
        </w:rPr>
        <w:t>. The Banks and financial institutions serving as Syndication Agents, Documentation Agents, Sustainability Structuring Agents or Joint Lead Arrangers shall have no duties or obligations in such capacities and shall incur no liability hereunder in such capacities, but shall have the benefit of the indemnities provided for hereunder. In addition, in acting as an Agent, no Bank will have any responsibility except as set forth herein and shall in no event be subject to any fiduciary or other implied duties.</w:t>
      </w:r>
    </w:p>
    <w:p>
      <w:pPr>
        <w:spacing w:after="0" w:line="146"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10.18.</w:t>
      </w:r>
      <w:r>
        <w:rPr>
          <w:sz w:val="20"/>
          <w:szCs w:val="20"/>
          <w:color w:val="auto"/>
        </w:rPr>
        <w:tab/>
      </w:r>
      <w:r>
        <w:rPr>
          <w:rFonts w:ascii="Times New Roman" w:cs="Times New Roman" w:eastAsia="Times New Roman" w:hAnsi="Times New Roman"/>
          <w:sz w:val="20"/>
          <w:szCs w:val="20"/>
          <w:u w:val="single" w:color="auto"/>
          <w:color w:val="auto"/>
        </w:rPr>
        <w:t>Certain ERISA Matters</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34"/>
        <w:spacing w:after="0" w:line="224" w:lineRule="auto"/>
        <w:tabs>
          <w:tab w:leader="none" w:pos="1254" w:val="left"/>
        </w:tabs>
        <w:numPr>
          <w:ilvl w:val="0"/>
          <w:numId w:val="3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Bank (x) represents and warrants, as of the date such Person became a Bank party hereto, to, and (y) covenants, from the date such Person became a Bank party hereto to the date such Person ceases being a Bank party hereto, for the benefit of the Administrative Agent and each Lead Arranger and their respective Affiliates, and not, for the avoidance of doubt, to or for the benefit of the General Partner or the Borrower, that at least one of the following is and will be true: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96</w:t>
      </w:r>
    </w:p>
    <w:p>
      <w:pPr>
        <w:sectPr>
          <w:pgSz w:w="11900" w:h="16838" w:orient="portrait"/>
          <w:cols w:equalWidth="0" w:num="1">
            <w:col w:w="11240"/>
          </w:cols>
          <w:pgMar w:left="320" w:top="1225" w:right="339" w:bottom="1440" w:gutter="0" w:footer="0" w:header="0"/>
        </w:sectPr>
      </w:pPr>
    </w:p>
    <w:bookmarkStart w:id="529" w:name="page530"/>
    <w:bookmarkEnd w:id="529"/>
    <w:p>
      <w:pPr>
        <w:spacing w:after="0" w:line="21" w:lineRule="exact"/>
        <w:rPr>
          <w:sz w:val="20"/>
          <w:szCs w:val="20"/>
          <w:color w:val="auto"/>
        </w:rPr>
      </w:pPr>
    </w:p>
    <w:p>
      <w:pPr>
        <w:ind w:left="640" w:firstLine="622"/>
        <w:spacing w:after="0" w:line="241" w:lineRule="auto"/>
        <w:tabs>
          <w:tab w:leader="none" w:pos="1885" w:val="left"/>
        </w:tabs>
        <w:numPr>
          <w:ilvl w:val="1"/>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Bank is not using “plan assets” (within the meaning of the Plan Asset Regulations) of one or more Benefit Plans in connection with the Loans, the Letters of Credit, the Loan Commitments or this Agreement,</w:t>
      </w:r>
    </w:p>
    <w:p>
      <w:pPr>
        <w:spacing w:after="0" w:line="143" w:lineRule="exact"/>
        <w:rPr>
          <w:rFonts w:ascii="Times New Roman" w:cs="Times New Roman" w:eastAsia="Times New Roman" w:hAnsi="Times New Roman"/>
          <w:sz w:val="21"/>
          <w:szCs w:val="21"/>
          <w:color w:val="auto"/>
        </w:rPr>
      </w:pPr>
    </w:p>
    <w:p>
      <w:pPr>
        <w:jc w:val="both"/>
        <w:ind w:left="640" w:firstLine="622"/>
        <w:spacing w:after="0" w:line="217" w:lineRule="auto"/>
        <w:tabs>
          <w:tab w:leader="none" w:pos="1891" w:val="left"/>
        </w:tabs>
        <w:numPr>
          <w:ilvl w:val="1"/>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Letters of Credit, the Loan Commitments and this Agreement,</w:t>
      </w:r>
    </w:p>
    <w:p>
      <w:pPr>
        <w:spacing w:after="0" w:line="148" w:lineRule="exact"/>
        <w:rPr>
          <w:rFonts w:ascii="Times New Roman" w:cs="Times New Roman" w:eastAsia="Times New Roman" w:hAnsi="Times New Roman"/>
          <w:sz w:val="21"/>
          <w:szCs w:val="21"/>
          <w:color w:val="auto"/>
        </w:rPr>
      </w:pPr>
    </w:p>
    <w:p>
      <w:pPr>
        <w:jc w:val="both"/>
        <w:ind w:left="640" w:firstLine="622"/>
        <w:spacing w:after="0" w:line="216" w:lineRule="auto"/>
        <w:tabs>
          <w:tab w:leader="none" w:pos="1897" w:val="left"/>
        </w:tabs>
        <w:numPr>
          <w:ilvl w:val="1"/>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Letters of Credit, the Loan Commitments and this Agreement, (C) the entrance into, participation in, administration of and performance of the Loans, the Letters of Credit, the Loan Commitments and this Agreement satisfies the requirements of sub-sections (b) through (g) of Part I of PTE 84- 14 and (D) to the best knowledge of such Bank, the requirements of subsection (a) of Part I of PTE 84-14 are satisfied with respect to such Bank's entrance into, participation in, administration of and performance of the Loans, the Letters of Credit, the Loan Commitments and this Agreement, or</w:t>
      </w:r>
    </w:p>
    <w:p>
      <w:pPr>
        <w:spacing w:after="0" w:line="147" w:lineRule="exact"/>
        <w:rPr>
          <w:rFonts w:ascii="Times New Roman" w:cs="Times New Roman" w:eastAsia="Times New Roman" w:hAnsi="Times New Roman"/>
          <w:sz w:val="21"/>
          <w:szCs w:val="21"/>
          <w:color w:val="auto"/>
        </w:rPr>
      </w:pPr>
    </w:p>
    <w:p>
      <w:pPr>
        <w:ind w:left="640" w:firstLine="622"/>
        <w:spacing w:after="0" w:line="241" w:lineRule="auto"/>
        <w:tabs>
          <w:tab w:leader="none" w:pos="1885" w:val="left"/>
        </w:tabs>
        <w:numPr>
          <w:ilvl w:val="1"/>
          <w:numId w:val="3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representation, warranty and covenant as may be agreed in writing between the Administrative Agent, in its sole discretion, and such Bank.</w:t>
      </w:r>
    </w:p>
    <w:p>
      <w:pPr>
        <w:spacing w:after="0" w:line="143" w:lineRule="exact"/>
        <w:rPr>
          <w:rFonts w:ascii="Times New Roman" w:cs="Times New Roman" w:eastAsia="Times New Roman" w:hAnsi="Times New Roman"/>
          <w:sz w:val="21"/>
          <w:szCs w:val="21"/>
          <w:color w:val="auto"/>
        </w:rPr>
      </w:pPr>
    </w:p>
    <w:p>
      <w:pPr>
        <w:jc w:val="both"/>
        <w:ind w:firstLine="634"/>
        <w:spacing w:after="0" w:line="216" w:lineRule="auto"/>
        <w:tabs>
          <w:tab w:leader="none" w:pos="1253" w:val="left"/>
        </w:tabs>
        <w:numPr>
          <w:ilvl w:val="0"/>
          <w:numId w:val="3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unless either (1) sub-clause (i) in the immediately preceding clause (a) is true with respect to a Bank or (2) such Bank has provided another representation, warranty and covenant as provided in sub-clause (iv) in the immediately preceding clause (a), such Bank further (x) represents and warrants, as of the date such Person became a Bank party hereto, to, and (y) covenants, from the date such Person became a Bank party hereto to the date such Person ceases being a Bank party hereto, for the benefit of the Administrative Agent and each Lead Arranger and their respective Affiliates, and not, for the avoidance of doubt, to or for the benefit of the General Partner or the Borrower, that none of the Administrative Agent or any Lead Arranger or any of their respective Affiliates is a fiduciary with respect to the assets of such Bank (including in connection with the reservation or exercise of any rights by the Administrative Agent under this Agreement, any Loan Document or any documents related to hereto or thereto).</w:t>
      </w:r>
    </w:p>
    <w:p>
      <w:pPr>
        <w:spacing w:after="0" w:line="147" w:lineRule="exact"/>
        <w:rPr>
          <w:rFonts w:ascii="Times New Roman" w:cs="Times New Roman" w:eastAsia="Times New Roman" w:hAnsi="Times New Roman"/>
          <w:sz w:val="21"/>
          <w:szCs w:val="21"/>
          <w:color w:val="auto"/>
        </w:rPr>
      </w:pPr>
    </w:p>
    <w:p>
      <w:pPr>
        <w:jc w:val="both"/>
        <w:ind w:firstLine="634"/>
        <w:spacing w:after="0" w:line="224" w:lineRule="auto"/>
        <w:tabs>
          <w:tab w:leader="none" w:pos="1254" w:val="left"/>
        </w:tabs>
        <w:numPr>
          <w:ilvl w:val="0"/>
          <w:numId w:val="3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each Lead Arranger hereby informs the Banks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Loan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97</w:t>
      </w:r>
    </w:p>
    <w:p>
      <w:pPr>
        <w:sectPr>
          <w:pgSz w:w="11900" w:h="16838" w:orient="portrait"/>
          <w:cols w:equalWidth="0" w:num="1">
            <w:col w:w="11240"/>
          </w:cols>
          <w:pgMar w:left="320" w:top="1440" w:right="339" w:bottom="1440" w:gutter="0" w:footer="0" w:header="0"/>
        </w:sectPr>
      </w:pPr>
    </w:p>
    <w:bookmarkStart w:id="530" w:name="page531"/>
    <w:bookmarkEnd w:id="530"/>
    <w:p>
      <w:pPr>
        <w:jc w:val="both"/>
        <w:spacing w:after="0" w:line="217" w:lineRule="auto"/>
        <w:rPr>
          <w:sz w:val="20"/>
          <w:szCs w:val="20"/>
          <w:color w:val="auto"/>
        </w:rPr>
      </w:pPr>
      <w:r>
        <w:rPr>
          <w:rFonts w:ascii="Times New Roman" w:cs="Times New Roman" w:eastAsia="Times New Roman" w:hAnsi="Times New Roman"/>
          <w:sz w:val="21"/>
          <w:szCs w:val="21"/>
          <w:color w:val="auto"/>
        </w:rPr>
        <w:t>Commitments, this Agreement and any other Loan Documents (ii) may recognize a gain if it extended the Loans, the Letters of Credit or the Loan Commitments for an amount less than the amount being paid for an interest in the Loans, the Letters of Credit or the Loan Commitments by such Bank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48" w:lineRule="exact"/>
        <w:rPr>
          <w:sz w:val="20"/>
          <w:szCs w:val="20"/>
          <w:color w:val="auto"/>
        </w:rPr>
      </w:pPr>
    </w:p>
    <w:p>
      <w:pPr>
        <w:jc w:val="both"/>
        <w:ind w:firstLine="629"/>
        <w:spacing w:after="0" w:line="214" w:lineRule="auto"/>
        <w:rPr>
          <w:sz w:val="20"/>
          <w:szCs w:val="20"/>
          <w:color w:val="auto"/>
        </w:rPr>
      </w:pPr>
      <w:r>
        <w:rPr>
          <w:rFonts w:ascii="Times New Roman" w:cs="Times New Roman" w:eastAsia="Times New Roman" w:hAnsi="Times New Roman"/>
          <w:sz w:val="21"/>
          <w:szCs w:val="21"/>
          <w:color w:val="auto"/>
        </w:rPr>
        <w:t xml:space="preserve">SECTION 10.19. </w:t>
      </w:r>
      <w:r>
        <w:rPr>
          <w:rFonts w:ascii="Times New Roman" w:cs="Times New Roman" w:eastAsia="Times New Roman" w:hAnsi="Times New Roman"/>
          <w:sz w:val="21"/>
          <w:szCs w:val="21"/>
          <w:u w:val="single" w:color="auto"/>
          <w:color w:val="auto"/>
        </w:rPr>
        <w:t>Sustainability Matters.</w:t>
      </w:r>
      <w:r>
        <w:rPr>
          <w:rFonts w:ascii="Times New Roman" w:cs="Times New Roman" w:eastAsia="Times New Roman" w:hAnsi="Times New Roman"/>
          <w:sz w:val="21"/>
          <w:szCs w:val="21"/>
          <w:color w:val="auto"/>
        </w:rPr>
        <w:t xml:space="preserve"> Each party hereto hereby agrees that none of the Administrative Agent, any Joint Lead Arranger or any Sustainability Structuring Agent shall have (x) any duty to ascertain, inquire into or otherwise independently verify any sustainability related information or any other information or materials provided by the Borrower and used in connection with the sustainability provisions of the credit facility evidenced by this Agreement, including with respect to the applicable KPI nor (y) any responsibility for (or liability in respect of) the completeness or accuracy of such information. Each party hereto hereby agrees that none of Administrative Agent, any Sustainability Structuring Agent or any Joint Lead Arranger shall have any responsibility for (or liability in respect of) reviewing, auditing or otherwise evaluating any calculation by the Borrower of any Sustainability Rate Adjustment (or any of the data or computations that are part of or related to any such calculation) set forth in any Pricing Certificate or notice as to a PricingCertificate Inaccuracy (and the Administrative Agent, the Joint Lead Arrangers and the Sustainability Structuring Agents may rely conclusively on any such certificate or notice, without further inquiry).</w:t>
      </w:r>
    </w:p>
    <w:p>
      <w:pPr>
        <w:spacing w:after="0" w:line="15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color w:val="auto"/>
        </w:rPr>
        <w:t>ARTICLE XI</w:t>
      </w:r>
    </w:p>
    <w:p>
      <w:pPr>
        <w:spacing w:after="0" w:line="1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NATURE OF OBLIGATIONS</w:t>
      </w:r>
    </w:p>
    <w:p>
      <w:pPr>
        <w:spacing w:after="0" w:line="178" w:lineRule="exact"/>
        <w:rPr>
          <w:sz w:val="20"/>
          <w:szCs w:val="20"/>
          <w:color w:val="auto"/>
        </w:rPr>
      </w:pPr>
    </w:p>
    <w:p>
      <w:pPr>
        <w:jc w:val="both"/>
        <w:ind w:firstLine="629"/>
        <w:spacing w:after="0" w:line="214" w:lineRule="auto"/>
        <w:rPr>
          <w:sz w:val="20"/>
          <w:szCs w:val="20"/>
          <w:color w:val="auto"/>
        </w:rPr>
      </w:pPr>
      <w:r>
        <w:rPr>
          <w:rFonts w:ascii="Times New Roman" w:cs="Times New Roman" w:eastAsia="Times New Roman" w:hAnsi="Times New Roman"/>
          <w:sz w:val="21"/>
          <w:szCs w:val="21"/>
          <w:color w:val="auto"/>
        </w:rPr>
        <w:t xml:space="preserve">SECTION 11.01. </w:t>
      </w:r>
      <w:r>
        <w:rPr>
          <w:rFonts w:ascii="Times New Roman" w:cs="Times New Roman" w:eastAsia="Times New Roman" w:hAnsi="Times New Roman"/>
          <w:sz w:val="21"/>
          <w:szCs w:val="21"/>
          <w:u w:val="single" w:color="auto"/>
          <w:color w:val="auto"/>
        </w:rPr>
        <w:t>Absolute and Unconditional Obligations.</w:t>
      </w:r>
      <w:r>
        <w:rPr>
          <w:rFonts w:ascii="Times New Roman" w:cs="Times New Roman" w:eastAsia="Times New Roman" w:hAnsi="Times New Roman"/>
          <w:sz w:val="21"/>
          <w:szCs w:val="21"/>
          <w:color w:val="auto"/>
        </w:rPr>
        <w:t xml:space="preserve"> Borrower acknowledges and agrees that its obligations and liabilities under this Agreement and under the other Loan Documents shall be absolute and unconditional irrespective of (1) any lack of validity or enforceability of any of the Obligations, any Loan Documents, or any agreement or instrument relating thereto; (2) any change in the time, manner or place of payment of, or in any other term in respect of, all or any of the Obligations, or any other amendment or waiver of or consent to any departure from any Loan Documents or any other documents or instruments executed in connection with or related to the Obligations; (3) any exchange or release of any collateral, if any, or of any other Person from all or any of the Obligations; or (4) any other circumstances which might otherwise constitute a defense available to, or a discharge of, Borrower or any other Person in respect of the Obligations. The obligations and liabilities of Borrower under this Agreement and the other Loan Documents shall not be conditioned or contingent upon the pursuit by any Bank or any other Person at any time of any right or remedy against Borrower, General Partner or any other Person which may be or become liable in respect of all or any part of the Obligations or against any collateral or security or guarantee therefor or right of setoff with respect thereto.</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98</w:t>
      </w:r>
    </w:p>
    <w:p>
      <w:pPr>
        <w:sectPr>
          <w:pgSz w:w="11900" w:h="16838" w:orient="portrait"/>
          <w:cols w:equalWidth="0" w:num="1">
            <w:col w:w="11240"/>
          </w:cols>
          <w:pgMar w:left="320" w:top="1225" w:right="339" w:bottom="1440" w:gutter="0" w:footer="0" w:header="0"/>
        </w:sectPr>
      </w:pPr>
    </w:p>
    <w:bookmarkStart w:id="531" w:name="page532"/>
    <w:bookmarkEnd w:id="531"/>
    <w:p>
      <w:pPr>
        <w:spacing w:after="0" w:line="231" w:lineRule="exact"/>
        <w:rPr>
          <w:sz w:val="20"/>
          <w:szCs w:val="20"/>
          <w:color w:val="auto"/>
        </w:rPr>
      </w:pPr>
    </w:p>
    <w:p>
      <w:pPr>
        <w:jc w:val="both"/>
        <w:ind w:firstLine="629"/>
        <w:spacing w:after="0" w:line="210" w:lineRule="auto"/>
        <w:rPr>
          <w:sz w:val="20"/>
          <w:szCs w:val="20"/>
          <w:color w:val="auto"/>
        </w:rPr>
      </w:pPr>
      <w:r>
        <w:rPr>
          <w:rFonts w:ascii="Times New Roman" w:cs="Times New Roman" w:eastAsia="Times New Roman" w:hAnsi="Times New Roman"/>
          <w:sz w:val="21"/>
          <w:szCs w:val="21"/>
          <w:color w:val="auto"/>
        </w:rPr>
        <w:t xml:space="preserve">SECTION 11.02. </w:t>
      </w:r>
      <w:r>
        <w:rPr>
          <w:rFonts w:ascii="Times New Roman" w:cs="Times New Roman" w:eastAsia="Times New Roman" w:hAnsi="Times New Roman"/>
          <w:sz w:val="21"/>
          <w:szCs w:val="21"/>
          <w:u w:val="single" w:color="auto"/>
          <w:color w:val="auto"/>
        </w:rPr>
        <w:t>Non-Recourse to VRT Principals and the General Partner.</w:t>
      </w:r>
      <w:r>
        <w:rPr>
          <w:rFonts w:ascii="Times New Roman" w:cs="Times New Roman" w:eastAsia="Times New Roman" w:hAnsi="Times New Roman"/>
          <w:sz w:val="21"/>
          <w:szCs w:val="21"/>
          <w:color w:val="auto"/>
        </w:rPr>
        <w:t xml:space="preserve"> This Agreement and the obligations hereunder and under the other Loan Documents are fully recourse to Borrower. Notwithstanding anything to the contrary contained in this Agreement, in any of the other Loan Documents, or in any other instruments, certificates, documents or agreements executed in connection with the Loans (all of the foregoing, for purposes of this Section, hereinafter referred to, individually and collectively, as the “Relevant Documents”), and notwithstanding any applicable law that would make the General Partner liable for the debts or obligations of the Borrower, including as a general partner, no recourse under or upon any Obligation, representation, warranty, promise or other matter whatsoever shall be had against any of the VRT Principals or the General Partner, and each Bank expressly waives and releases, on behalf of itself and its successors and assigns, all right to assert any liability whatsoever under or with respect to the Relevant Documents against, or to satisfy any claim or obligation arising thereunder against, any of the VRT Principals or the General Partner or out of any assets of the VRT Principals or the General Partner, provided, however, that nothing in this Section shall be deemed to (1) release Borrower from any liability pursuant to, or from any of its obligations under, the Relevant Documents, or from liability for its fraudulent actions or fraudulent omissions; (2) release any VRT Principals or the General Partner from personal liability arising outside of the terms of this Agreement for its, his or her own fraudulent actions, fraudulent omissions, misappropriation of funds, rents or insurance proceeds, gross negligence or willful misconduct; (3) constitute a waiver of any obligation evidenced or secured by, or contained in, the Relevant Documents or affect in any way the validity or enforceability of the Relevant Documents; or (4) limit the right of Administrative Agent and/or the Banks to proceed against or realize upon any collateral hereafter given for the Loans and Letters of Credit or any and all of the assets of Borrower (notwithstanding the fact that the VRT Principals and the General Partner have an ownership interest in Borrower and, thereby, an interest in the assets of Borrower) or to name Borrower (or, to the extent that the same are required by applicable law or are determined by a court to be necessary parties in connection with an action or suit against Borrower or any collateral hereafter given for the Loans, the General Partner) as a party defendant in, and to enforce against any collateral hereafter given for the Loans and/or assets of Borrower any judgment obtained by Administrative Agent and/or the Banks with respect to, any action or suit under the Relevant Documents so long as no judgment shall be taken (except to the extent taking a judgment is required by applicable law or determined by a court to be necessary to preserve Administrative Agent’s and/or Banks’ rights against any collateral hereafter given for the Loans or Borrower, but not otherwise) or shall be enforced against any of the VRT Principals or the General Partner or their assets.</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ARTICLE XII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MISCELLANEOUS</w:t>
      </w:r>
    </w:p>
    <w:p>
      <w:pPr>
        <w:spacing w:after="0" w:line="178" w:lineRule="exact"/>
        <w:rPr>
          <w:sz w:val="20"/>
          <w:szCs w:val="20"/>
          <w:color w:val="auto"/>
        </w:rPr>
      </w:pPr>
    </w:p>
    <w:p>
      <w:pPr>
        <w:jc w:val="both"/>
        <w:ind w:firstLine="629"/>
        <w:spacing w:after="0" w:line="221" w:lineRule="auto"/>
        <w:rPr>
          <w:sz w:val="20"/>
          <w:szCs w:val="20"/>
          <w:color w:val="auto"/>
        </w:rPr>
      </w:pPr>
      <w:r>
        <w:rPr>
          <w:rFonts w:ascii="Times New Roman" w:cs="Times New Roman" w:eastAsia="Times New Roman" w:hAnsi="Times New Roman"/>
          <w:sz w:val="21"/>
          <w:szCs w:val="21"/>
          <w:color w:val="auto"/>
        </w:rPr>
        <w:t xml:space="preserve">SECTION 12.01. </w:t>
      </w:r>
      <w:r>
        <w:rPr>
          <w:rFonts w:ascii="Times New Roman" w:cs="Times New Roman" w:eastAsia="Times New Roman" w:hAnsi="Times New Roman"/>
          <w:sz w:val="21"/>
          <w:szCs w:val="21"/>
          <w:u w:val="single" w:color="auto"/>
          <w:color w:val="auto"/>
        </w:rPr>
        <w:t>Binding Effect of Request for Advance.</w:t>
      </w:r>
      <w:r>
        <w:rPr>
          <w:rFonts w:ascii="Times New Roman" w:cs="Times New Roman" w:eastAsia="Times New Roman" w:hAnsi="Times New Roman"/>
          <w:sz w:val="21"/>
          <w:szCs w:val="21"/>
          <w:color w:val="auto"/>
        </w:rPr>
        <w:t xml:space="preserve"> Borrower agrees that, by its acceptance of any advance of proceeds of the Loans under this Agreement or the issuance of any Letter of Credit, it shall be bound in all respects by the request for advance or Letter of Credit submitted on its behalf in connection therewith with the same force and effect as if Borrower had itself executed and submitted the request for advance or Letter of Credit and whether or not the request for advance is executed and/or submitted by an authorized person.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99</w:t>
      </w:r>
    </w:p>
    <w:p>
      <w:pPr>
        <w:sectPr>
          <w:pgSz w:w="11900" w:h="16838" w:orient="portrait"/>
          <w:cols w:equalWidth="0" w:num="1">
            <w:col w:w="11240"/>
          </w:cols>
          <w:pgMar w:left="320" w:top="1440" w:right="339" w:bottom="1440" w:gutter="0" w:footer="0" w:header="0"/>
        </w:sectPr>
      </w:pPr>
    </w:p>
    <w:bookmarkStart w:id="532" w:name="page533"/>
    <w:bookmarkEnd w:id="532"/>
    <w:p>
      <w:pPr>
        <w:spacing w:after="0" w:line="21" w:lineRule="exact"/>
        <w:rPr>
          <w:sz w:val="20"/>
          <w:szCs w:val="20"/>
          <w:color w:val="auto"/>
        </w:rPr>
      </w:pPr>
    </w:p>
    <w:p>
      <w:pPr>
        <w:jc w:val="both"/>
        <w:ind w:firstLine="629"/>
        <w:spacing w:after="0" w:line="211" w:lineRule="auto"/>
        <w:rPr>
          <w:sz w:val="20"/>
          <w:szCs w:val="20"/>
          <w:color w:val="auto"/>
        </w:rPr>
      </w:pPr>
      <w:r>
        <w:rPr>
          <w:rFonts w:ascii="Times New Roman" w:cs="Times New Roman" w:eastAsia="Times New Roman" w:hAnsi="Times New Roman"/>
          <w:sz w:val="21"/>
          <w:szCs w:val="21"/>
          <w:color w:val="auto"/>
        </w:rPr>
        <w:t xml:space="preserve">SECTION 12.02. </w:t>
      </w:r>
      <w:r>
        <w:rPr>
          <w:rFonts w:ascii="Times New Roman" w:cs="Times New Roman" w:eastAsia="Times New Roman" w:hAnsi="Times New Roman"/>
          <w:sz w:val="21"/>
          <w:szCs w:val="21"/>
          <w:u w:val="single" w:color="auto"/>
          <w:color w:val="auto"/>
        </w:rPr>
        <w:t>Amendments and Waivers.</w:t>
      </w:r>
      <w:r>
        <w:rPr>
          <w:rFonts w:ascii="Times New Roman" w:cs="Times New Roman" w:eastAsia="Times New Roman" w:hAnsi="Times New Roman"/>
          <w:sz w:val="21"/>
          <w:szCs w:val="21"/>
          <w:color w:val="auto"/>
        </w:rPr>
        <w:t xml:space="preserve"> Subject to Section 1.08, Section 2.16(c) (with respect to the Incremental Commitments) and Sections 3.02(b), (c) and (d), no amendment, forbearance or material waiver of any provision of this Agreement or any other Loan Document nor consent to any material departure by Borrower therefrom, shall in any event be effective unless the same shall be in writing and signed by the Required Banks and, solely for purposes of its acknowledgment thereof, Administrative Agent, and then such waiver or consent shall be effective only in the specific instance and for the specific purpose for which given,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amendment, waiver, consent or forbearance shall, unless in writing and signed by all the Banks (or in the case of (1), (2), (4) and (7) below, signed by all the Banks directly and adversely affected thereby) do any of the following: (1) forgive or reduce the principal of, or interest on, the Loans or any fees due hereunder or any other amount due hereunder or under any other Loan Document; (2) postpone or extend any date fixed for any payment of principal of, or interest on, the Loans or any fees or other amounts due hereunder or under any other Loan Document, or postpone the scheduled date of expiration of any Loan Commitment; (3) change the definition of Required Banks, (4) change the definition of Pro Rata Share or change Section 9.03, 10.14 or 10.15 in a manner that would alter the pro rata sharing of payments required thereby; (5) amend this Section 12.02 or any other provision requiring the unanimous consent of the Banks; (6) waive any default in payment under paragraph (1) of Section 9.01 or any default under paragraph (5) of Section 9.01; (7) increase or decrease any Loan Commitment of any Bank (except changes in Loan Commitments pursuant to Section 2.16); (8) release any guaranty (other than a guaranty given pursuant to Section 12.21 or Section 12.22); (9) permit the expiration date of any Letter of Credit to be later than the first anniversary of the Maturity Date; or (10) permit the assignment or transfer by the Borrower of any of its rights or obligations hereunder or under any other Loan Document except in a transaction permitted (with or without the Required Banks’ consent) pursuant to Section 7.01; and provided further, that an amendment, waiver or consent relating to the Letters of Credit (including any letter of credit application; provided that the provisions of this Agreement shall prevail if there is an inconsistency between this Agreement and such amendment, waiver or consent to a letter of credit application) shall only be binding if in writing and signed by the Fronting Banks affected thereby.</w:t>
      </w:r>
    </w:p>
    <w:p>
      <w:pPr>
        <w:spacing w:after="0" w:line="178"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Notwithstanding the foregoing, 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95"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Any advance of proceeds of the Loans made prior to or without the fulfillment by Borrower of all of the conditions precedent thereto, whether or not known to Administrative Agent and the Banks, shall not constitute a waiver of the requirement that all conditions, including the non-performed conditions, shall be required with respect to all future advances. No failure on the part of Administrative Agent or any Bank to exercise, and no delay in exercising, any right hereunder shall operate as a waiver thereof or preclude any other or further exercise thereof or the exercise of any other right. The remedies herein provided are cumulative and not exclusive of any remedies provided by law.</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100</w:t>
      </w:r>
    </w:p>
    <w:p>
      <w:pPr>
        <w:sectPr>
          <w:pgSz w:w="11900" w:h="16838" w:orient="portrait"/>
          <w:cols w:equalWidth="0" w:num="1">
            <w:col w:w="11240"/>
          </w:cols>
          <w:pgMar w:left="320" w:top="1440" w:right="339" w:bottom="1440" w:gutter="0" w:footer="0" w:header="0"/>
        </w:sectPr>
      </w:pPr>
    </w:p>
    <w:bookmarkStart w:id="533" w:name="page534"/>
    <w:bookmarkEnd w:id="533"/>
    <w:p>
      <w:pPr>
        <w:spacing w:after="0" w:line="47" w:lineRule="exact"/>
        <w:rPr>
          <w:sz w:val="20"/>
          <w:szCs w:val="20"/>
          <w:color w:val="auto"/>
        </w:rPr>
      </w:pPr>
    </w:p>
    <w:p>
      <w:pPr>
        <w:jc w:val="both"/>
        <w:ind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12.03.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or any Bank may have had notice or knowledge of any Default or incorrect representation or warranty at the time any credit is extended hereunder, and shall continue in full force and effect as long as any Obligations hereunder are outstanding and unpaid.</w:t>
      </w:r>
    </w:p>
    <w:p>
      <w:pPr>
        <w:spacing w:after="0" w:line="184" w:lineRule="exact"/>
        <w:rPr>
          <w:sz w:val="20"/>
          <w:szCs w:val="20"/>
          <w:color w:val="auto"/>
        </w:rPr>
      </w:pPr>
    </w:p>
    <w:p>
      <w:pPr>
        <w:jc w:val="both"/>
        <w:ind w:firstLine="629"/>
        <w:spacing w:after="0" w:line="250" w:lineRule="auto"/>
        <w:rPr>
          <w:sz w:val="20"/>
          <w:szCs w:val="20"/>
          <w:color w:val="auto"/>
        </w:rPr>
      </w:pPr>
      <w:r>
        <w:rPr>
          <w:rFonts w:ascii="Times New Roman" w:cs="Times New Roman" w:eastAsia="Times New Roman" w:hAnsi="Times New Roman"/>
          <w:sz w:val="21"/>
          <w:szCs w:val="21"/>
          <w:color w:val="auto"/>
        </w:rPr>
        <w:t xml:space="preserve">SECTION 12.04. </w:t>
      </w:r>
      <w:r>
        <w:rPr>
          <w:rFonts w:ascii="Times New Roman" w:cs="Times New Roman" w:eastAsia="Times New Roman" w:hAnsi="Times New Roman"/>
          <w:sz w:val="21"/>
          <w:szCs w:val="21"/>
          <w:u w:val="single" w:color="auto"/>
          <w:color w:val="auto"/>
        </w:rPr>
        <w:t>Expenses; Indemnification.</w:t>
      </w:r>
      <w:r>
        <w:rPr>
          <w:rFonts w:ascii="Times New Roman" w:cs="Times New Roman" w:eastAsia="Times New Roman" w:hAnsi="Times New Roman"/>
          <w:sz w:val="21"/>
          <w:szCs w:val="21"/>
          <w:color w:val="auto"/>
        </w:rPr>
        <w:t xml:space="preserve"> Borrower agrees to reimburse Administrative Agent on demand for all reasonable out-of-pocket costs, expenses, and charges (including, without limitation, all reasonable fees and charges of engineers, appraisers and external legal counsel) incurred by Administrative Agent in connection with the Loans and the Loan Documents (including any amendments, modifications and waivers thereto), to reimburse each Fronting Bank for all reasonable out-of-pocket expenses incurred by it in connection with the issuance, amendment, renewal or extension of any Letter of Credit or any demand for payment thereunder, and to reimburse each of the Banks for reasonable out-of-pocket legal costs, expenses and charges incurred by each of the Banks in connection with the performance or enforcement of this Agreement, the Notes, or any other Loan Documents, including during any workout or restructuring;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Borrower is not responsible for costs, expenses and charges incurred by the Bank Parties in connection with the administration or syndication of the Loans (other than any administration fee payable to Administrative Agent). Borrower agrees to indemnify Administrative Agent, each Bank, each Lead Arranger, each Sustainability Structuring Agent, Affiliates of the foregoing, and their respective directors, officers, employees, partners, agents and advisors (each, an “</w:t>
      </w:r>
      <w:r>
        <w:rPr>
          <w:rFonts w:ascii="Times New Roman" w:cs="Times New Roman" w:eastAsia="Times New Roman" w:hAnsi="Times New Roman"/>
          <w:sz w:val="21"/>
          <w:szCs w:val="21"/>
          <w:u w:val="single" w:color="auto"/>
          <w:color w:val="auto"/>
        </w:rPr>
        <w:t>indemnified person</w:t>
      </w:r>
      <w:r>
        <w:rPr>
          <w:rFonts w:ascii="Times New Roman" w:cs="Times New Roman" w:eastAsia="Times New Roman" w:hAnsi="Times New Roman"/>
          <w:sz w:val="21"/>
          <w:szCs w:val="21"/>
          <w:color w:val="auto"/>
        </w:rPr>
        <w:t xml:space="preserve"> ”) from, and hold each of them harmless against, any and all losses, liabilities, claims, damages or expenses incurred by any of them arising out of or by reason of (w) the execution, delivery or performance of the Loan Documents or the use of the proceeds of the Loans or Letters of Credit, directly or indirectly, by Borrower, (x) any claims by brokers due to acts or omissions by Borrower, (y) any investigation or litigation or other proceedings (including any threatened investigation or litigation or other proceedings) relating to any actual or proposed use by Borrower of the proceeds of the Loans, including without limitation, the reasonable fees and disbursements of third-party counsel incurred in connection with any such investigation or litigation or other proceedings, or (z) third party claims or actions against any indemnified person relating to or arising from this Agreement and the other Loan Documents and the transactions contemplated pursuant to this Agreement and the other Loan Documents, in all cases whether or not such investigation or litigation or other proceeding is brought by the Borrower or its equity holders, Affiliates, creditors or any other third Person and regardless of whether any indemnified person is a party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indemnification shall exclude any such losses, liabilities, claims, damages or expenses incurred by reason of the gross negligence or willful misconduct of such indemnified person to be indemnified as determined by a final and non-appealable judgment of a court of competent jurisdiction. In third-party litigation, or the preparation therefor, the Borrower shall be entitled to select counsel reasonably acceptable to the Required Banks, and the Agent (as approved by the Required Banks) shall be entitled to select their own supervisory counsel, and,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101</w:t>
      </w:r>
    </w:p>
    <w:p>
      <w:pPr>
        <w:sectPr>
          <w:pgSz w:w="11900" w:h="16838" w:orient="portrait"/>
          <w:cols w:equalWidth="0" w:num="1">
            <w:col w:w="11240"/>
          </w:cols>
          <w:pgMar w:left="320" w:top="1440" w:right="33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21"/>
          <w:szCs w:val="21"/>
          <w:color w:val="auto"/>
        </w:rPr>
        <w:t>in addition to the foregoing indemnity, the Borrower agrees to pay promptly the reasonable fees and expenses of each such counsel.</w:t>
      </w:r>
    </w:p>
    <w:p>
      <w:pPr>
        <w:spacing w:after="0" w:line="230" w:lineRule="exact"/>
        <w:rPr>
          <w:sz w:val="20"/>
          <w:szCs w:val="20"/>
          <w:color w:val="auto"/>
        </w:rPr>
      </w:pPr>
    </w:p>
    <w:p>
      <w:pPr>
        <w:ind w:firstLine="629"/>
        <w:spacing w:after="0" w:line="280" w:lineRule="auto"/>
        <w:rPr>
          <w:sz w:val="20"/>
          <w:szCs w:val="20"/>
          <w:color w:val="auto"/>
        </w:rPr>
      </w:pPr>
      <w:r>
        <w:rPr>
          <w:rFonts w:ascii="Times New Roman" w:cs="Times New Roman" w:eastAsia="Times New Roman" w:hAnsi="Times New Roman"/>
          <w:sz w:val="21"/>
          <w:szCs w:val="21"/>
          <w:color w:val="auto"/>
        </w:rPr>
        <w:t>The obligations of Borrower under this Section shall survive the repayment of all amounts due under or in connection with any of the Loan Documents and the termination of the Loan Commitments.</w:t>
      </w:r>
    </w:p>
    <w:p>
      <w:pPr>
        <w:spacing w:after="0" w:line="118"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12.05.</w:t>
      </w:r>
      <w:r>
        <w:rPr>
          <w:sz w:val="20"/>
          <w:szCs w:val="20"/>
          <w:color w:val="auto"/>
        </w:rPr>
        <w:tab/>
      </w:r>
      <w:r>
        <w:rPr>
          <w:rFonts w:ascii="Times New Roman" w:cs="Times New Roman" w:eastAsia="Times New Roman" w:hAnsi="Times New Roman"/>
          <w:sz w:val="20"/>
          <w:szCs w:val="20"/>
          <w:u w:val="single" w:color="auto"/>
          <w:color w:val="auto"/>
        </w:rPr>
        <w:t>Assignment; Participation.</w:t>
      </w:r>
    </w:p>
    <w:p>
      <w:pPr>
        <w:spacing w:after="0" w:line="178" w:lineRule="exact"/>
        <w:rPr>
          <w:sz w:val="20"/>
          <w:szCs w:val="20"/>
          <w:color w:val="auto"/>
        </w:rPr>
      </w:pPr>
    </w:p>
    <w:p>
      <w:pPr>
        <w:jc w:val="both"/>
        <w:ind w:firstLine="634"/>
        <w:spacing w:after="0" w:line="215" w:lineRule="auto"/>
        <w:tabs>
          <w:tab w:leader="none" w:pos="1254" w:val="left"/>
        </w:tabs>
        <w:numPr>
          <w:ilvl w:val="1"/>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binding upon, and shall inure to the benefit of, Borrower, Administrative Agent, the Banks and their respective successors and permitted assigns. Except as provided in Section 7.01, the Borrower may not assign or transfer any of its rights or obligations hereunder or under any other Loan Document without the prior written consent of all the Banks (and any attempted such assignment or transfer without such consent shall be null and void). Except as otherwise provided under Section 12.04, nothing in this Agreement, expressed or implied, shall be construed to confer upon any Person (other than the parties hereto, their respective successors and assigns permitted hereby (including any Affiliate of the Fronting Bank that issues any Letter of Credit), Participants (to the extent provided in paragraph (b) of this Section) and, to the extent expressly contemplated hereby, the Affiliates and their respective directors, officers, employees, agents and advisors of each of the Administrative Agent, the Fronting Bank and the Banks) any legal or equitable right, remedy or claim under or by reason of this Agreement.</w:t>
      </w:r>
    </w:p>
    <w:p>
      <w:pPr>
        <w:spacing w:after="0" w:line="148" w:lineRule="exact"/>
        <w:rPr>
          <w:rFonts w:ascii="Times New Roman" w:cs="Times New Roman" w:eastAsia="Times New Roman" w:hAnsi="Times New Roman"/>
          <w:sz w:val="21"/>
          <w:szCs w:val="21"/>
          <w:color w:val="auto"/>
        </w:rPr>
      </w:pPr>
    </w:p>
    <w:p>
      <w:pPr>
        <w:jc w:val="both"/>
        <w:ind w:firstLine="634"/>
        <w:spacing w:after="0" w:line="211" w:lineRule="auto"/>
        <w:tabs>
          <w:tab w:leader="none" w:pos="1253" w:val="left"/>
        </w:tabs>
        <w:numPr>
          <w:ilvl w:val="1"/>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12.05(e), prior to the occurrence of an Event of Default, any Bank may at any time, grant to an existing Bank or one or more banks, finance companies, insurance companies or other entities, other than a natural person or the Borrower and its Affiliates or a Defaulting Lender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in minimum amounts for a voting participation of not less than $5,000,000 (or any lesser amount in the case of voting participations to an existing Bank or any lesser amount equal to such Bank’s entire remaining amount of Loans and Loan Commitments) participating interests in its Loan Commitment or any or all of its Loans. After the occurrence and during the continuance of an Event of Default, any Bank may at any time grant to any Person, other than a natural person or the Borrower and its Affiliates, in any amount (also a “Participant”), participating interests in its Loan Commitment or any or all of its Loans. Any participation made during the continuation of an Event of Default shall not be affected by the subsequent cure of such Event of Default. In the event of any such grant by a Bank of a participating interest to a Participant, whether or not upon notice to Borrower and Administrative Agent, such Bank shall remain responsible for the performance of its obligations hereunder, and Borrower and Administrative Agent shall continue to deal solely and directly with such Bank in connection with such Bank’s rights and obligations under this Agreement. Any agreement pursuant to which any Bank may grant such a participating interest shall provide that such Bank shall retain the sole right and responsibility to enforce the obligations of Borrower hereunder and under any other Loan Document, including, without limitation, the right to approve any amendment, modification or waiver of any provision of this Agreement or any other Loan Document; provided that such participation agreement may provide that such Bank will not agree to any modification, amendment or waiver of this Agreement described in clause (1), (2), (3), (4), (5), (6) or (7) of Section 12.02 without the consent of the Participant (subject to the final proviso of the first sentence of Section 12.02). The Borrower agrees that each Participant shall, to the extent provided in its participation agreement, be entitled to the benefits of Article III with respect to its participating interest. The Borrower agrees that each Participant shall be entitled to the benefits of Section 10.13 (subject to the requirements and limitations therein, including the requirements under Section 10.13(f) (it being understood that the documentation required under Section 10.13(f) shall be delivered to the participating Bank)) to the same extent as if it were a Bank and had acquired its interest by assignment pursuant to paragraph (c) of this Section; provided that such Participant (A) agrees to</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102</w:t>
      </w:r>
    </w:p>
    <w:p>
      <w:pPr>
        <w:sectPr>
          <w:pgSz w:w="11900" w:h="16838" w:orient="portrait"/>
          <w:cols w:equalWidth="0" w:num="1">
            <w:col w:w="11240"/>
          </w:cols>
          <w:pgMar w:left="320" w:top="1251" w:right="339" w:bottom="1440" w:gutter="0" w:footer="0" w:header="0"/>
        </w:sectPr>
      </w:pPr>
    </w:p>
    <w:bookmarkStart w:id="535" w:name="page536"/>
    <w:bookmarkEnd w:id="535"/>
    <w:p>
      <w:pPr>
        <w:jc w:val="both"/>
        <w:spacing w:after="0" w:line="212" w:lineRule="auto"/>
        <w:rPr>
          <w:sz w:val="20"/>
          <w:szCs w:val="20"/>
          <w:color w:val="auto"/>
        </w:rPr>
      </w:pPr>
      <w:r>
        <w:rPr>
          <w:rFonts w:ascii="Times New Roman" w:cs="Times New Roman" w:eastAsia="Times New Roman" w:hAnsi="Times New Roman"/>
          <w:sz w:val="21"/>
          <w:szCs w:val="21"/>
          <w:color w:val="auto"/>
        </w:rPr>
        <w:t>be subject to the provisions of Sections 3.07 and 3.08 as if it were an assignee under paragraph (c) of this Section; and (B) shall not be entitled to receive any greater payment under Section 10.13, with respect to any participation, than its participating Bank would have been entitled to receive. Each Bank that sells a participation agrees, at the Borrower’s request and expense, to use reasonable efforts to cooperate with the Borrower to effectuate the provisions of Section 3.07 with respect to any Participant. To the extent permitted by law, each Participant also shall be entitled to the benefits of Section 12.08 as though it were a Bank; provided that such Participant agrees to be subject to Section 10.15 as though it were a Bank. Each Bank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Bank shall have any obligation to disclose all or any portion of the Participant Register (including the identity of any Participant or any information relating to a Participant's interest in any Loan Commitments, Loans, Letters of Credit or its other obligations under any Loan Document) to any Person except to the extent that such disclosure is necessary to establish that such Loan Commitment, Loan, Letter of Credit or other obligation is in registered form under Section 5f.103-1(c) of the United States Treasury Regulations. The entries in the Participant Register shall be conclusive absent manifest error, and such Bank shall treat each Person whose name is recorded in the Participant Register as the owner of such participation for all purposes of this Agreement notwithstanding any notice to the contrary. For the avoidance of doubt, the Administrative Agent shall have no responsibility for maintaining a Participant Register.</w:t>
      </w:r>
    </w:p>
    <w:p>
      <w:pPr>
        <w:spacing w:after="0" w:line="142" w:lineRule="exact"/>
        <w:rPr>
          <w:sz w:val="20"/>
          <w:szCs w:val="20"/>
          <w:color w:val="auto"/>
        </w:rPr>
      </w:pPr>
    </w:p>
    <w:p>
      <w:pPr>
        <w:ind w:left="1260" w:hanging="626"/>
        <w:spacing w:after="0"/>
        <w:tabs>
          <w:tab w:leader="none" w:pos="1260" w:val="left"/>
        </w:tabs>
        <w:numPr>
          <w:ilvl w:val="1"/>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12.05(e), any Bank may at any time assign to a Qualified Institution (in each case, an “</w:t>
      </w:r>
      <w:r>
        <w:rPr>
          <w:rFonts w:ascii="Times New Roman" w:cs="Times New Roman" w:eastAsia="Times New Roman" w:hAnsi="Times New Roman"/>
          <w:sz w:val="21"/>
          <w:szCs w:val="21"/>
          <w:u w:val="single" w:color="auto"/>
          <w:color w:val="auto"/>
        </w:rPr>
        <w:t>Assignee</w:t>
      </w:r>
      <w:r>
        <w:rPr>
          <w:rFonts w:ascii="Times New Roman" w:cs="Times New Roman" w:eastAsia="Times New Roman" w:hAnsi="Times New Roman"/>
          <w:sz w:val="21"/>
          <w:szCs w:val="21"/>
          <w:color w:val="auto"/>
        </w:rPr>
        <w:t>”)</w:t>
      </w:r>
    </w:p>
    <w:p>
      <w:pPr>
        <w:jc w:val="both"/>
        <w:ind w:firstLine="5"/>
        <w:spacing w:after="0" w:line="210" w:lineRule="auto"/>
        <w:tabs>
          <w:tab w:leader="none" w:pos="282" w:val="left"/>
        </w:tabs>
        <w:numPr>
          <w:ilvl w:val="0"/>
          <w:numId w:val="3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the occurrence of an Event of Default, in minimum amounts of not less than Five Million Dollars ($5,000,000) and integral multiples of One Million Dollars ($1,000,000) thereafter (or any lesser amount in the case of assignments to an existing Bank or an assignment by a Bank to a Bank Affiliate or any lesser amount equal to such Bank’s entire remaining amount of Loans and Loan Commitments) and (ii) after the occurrence and during the continuance of an Event of Default, in any amount, all or a proportionate part of all, of its rights and obligations under this Agreement, the Notes and the other Loan Documents, and, in either case, such Assignee shall assume such rights and obligations, pursuant to an Assignment and Assumption Agreement (including an agreement incorporating an Assignment and Assumption Agreement by reference to an Approved Electronic Platform) executed by such Assignee and such transferor Bank; provided, that such assignment shall be subject to the consent of the Administrative Agent and the Fronting Bank and if no Event of Default shall have occurred and be continuing, the consent of Borrower, which consents shall not be unreasonably withheld or delayed;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(a) if an Assignee is a Bank Affiliate of such transferor Bank or was a Bank immediately prior to such assignment, no such consents shall be required unless in either case the Assignee is a Defaulting Lender or an Affiliate of a Defaulting Lender (in which case, such consent may be withheld in the sole discretion of the Administrative Agent or the Borrower) and (b) the Borrower shall be deemed to have consented to an assignment of all or a portion of the Loans and Loan Commitments unless it shall have objected thereto by written notice to the Administrative Agent within ten (10) Business Days after having received notice thereof. Upon execution and delivery of such instrument and an Administrative Questionnaire and payment by such Assignee to such transferor Bank of an amount equal to the purchase price agreed between such transferor Bank and such Assignee, such Assignee shall be a Bank party to this Agreement and shall have all the rights and obligations of a Bank with a Loan Commitment as set forth in such Assignment and Assumption Agreement, and no further consent or action by any party shall be required and the transferor Bank shall be released from its obligations hereunder to a corresponding extent. Upon the consummation of any assignment pursuant to this subsection (c), the transferor Bank, Administrative Agent and Borrower shall make appropriate arrangements so that, if required, a new Note is issued to the Assignee. In connection with any such assignment (other than an assignment by a Bank to a Bank Affiliate), the transferor Bank shall pay to Administrative Agent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103</w:t>
      </w:r>
    </w:p>
    <w:p>
      <w:pPr>
        <w:sectPr>
          <w:pgSz w:w="11900" w:h="16838" w:orient="portrait"/>
          <w:cols w:equalWidth="0" w:num="1">
            <w:col w:w="11240"/>
          </w:cols>
          <w:pgMar w:left="320" w:top="1224" w:right="339" w:bottom="1440" w:gutter="0" w:footer="0" w:header="0"/>
        </w:sectPr>
      </w:pPr>
    </w:p>
    <w:bookmarkStart w:id="536" w:name="page537"/>
    <w:bookmarkEnd w:id="536"/>
    <w:p>
      <w:pPr>
        <w:jc w:val="both"/>
        <w:spacing w:after="0" w:line="223" w:lineRule="auto"/>
        <w:rPr>
          <w:sz w:val="20"/>
          <w:szCs w:val="20"/>
          <w:color w:val="auto"/>
        </w:rPr>
      </w:pPr>
      <w:r>
        <w:rPr>
          <w:rFonts w:ascii="Times New Roman" w:cs="Times New Roman" w:eastAsia="Times New Roman" w:hAnsi="Times New Roman"/>
          <w:sz w:val="20"/>
          <w:szCs w:val="20"/>
          <w:color w:val="auto"/>
        </w:rPr>
        <w:t>an administrative fee for processing such assignment in the amount of $3,500. If the Assignee is not incorporated under the laws of the United States of America or a state thereof, it shall, prior to the first date on which interest or fees are payable hereunder for its account, deliver to Borrower and Administrative Agent certification as to exemption from, or reduction of, deduction or withholding of any United States federal income taxes in accordance with Section 10.13. Any assignment made during the continuation of an Event of Default shall not be affected by any subsequent cure of such Event of Default. Any consent required hereunder shall be given or denied within ten (10) Banking Days after receipt by the applicable Person of request therefor; any failure to respond within such ten (10) Banking Day period shall be deemed a denial. The Administrative Agent, acting for this purpose as a non-fiduciary agent of the Borrower, shall maintain at one of its offices a copy of each Assignment and Assumption Agreement delivered to it and a register for the recordation of the names and addresses of the Banks, and the Loan Commitment of, and principal amount (and stated interest) of the Loans and Letter of Credit participations owing to, each Bank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the Fronting Bank and the Banks shall treat each Person whose name is recorded in the Register pursuant to the terms hereof as a Bank hereunder for all purposes of this Agreement, notwithstanding notice to the contrary. The Register shall be available for inspection by the Borrower, the Fronting Bank and any Bank, at any reasonable time and from time to time upon reasonable prior notice.</w:t>
      </w:r>
    </w:p>
    <w:p>
      <w:pPr>
        <w:spacing w:after="0" w:line="152" w:lineRule="exact"/>
        <w:rPr>
          <w:sz w:val="20"/>
          <w:szCs w:val="20"/>
          <w:color w:val="auto"/>
        </w:rPr>
      </w:pPr>
    </w:p>
    <w:p>
      <w:pPr>
        <w:jc w:val="both"/>
        <w:ind w:firstLine="634"/>
        <w:spacing w:after="0" w:line="229" w:lineRule="auto"/>
        <w:tabs>
          <w:tab w:leader="none" w:pos="1253" w:val="left"/>
        </w:tabs>
        <w:numPr>
          <w:ilvl w:val="0"/>
          <w:numId w:val="3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Bank may at any time assign or pledge all or any portion of its rights under this Agreement and its Note to secure the obligations of such Bank, including to a Federal Reserve Bank or other central bank having jurisdiction over such Bank. No such assignment shall release the transferor Bank from its obligations hereunder.</w:t>
      </w:r>
    </w:p>
    <w:p>
      <w:pPr>
        <w:spacing w:after="0" w:line="147" w:lineRule="exact"/>
        <w:rPr>
          <w:rFonts w:ascii="Times New Roman" w:cs="Times New Roman" w:eastAsia="Times New Roman" w:hAnsi="Times New Roman"/>
          <w:sz w:val="21"/>
          <w:szCs w:val="21"/>
          <w:color w:val="auto"/>
        </w:rPr>
      </w:pPr>
    </w:p>
    <w:p>
      <w:pPr>
        <w:jc w:val="both"/>
        <w:ind w:firstLine="634"/>
        <w:spacing w:after="0" w:line="213" w:lineRule="auto"/>
        <w:tabs>
          <w:tab w:leader="none" w:pos="1254" w:val="left"/>
        </w:tabs>
        <w:numPr>
          <w:ilvl w:val="0"/>
          <w:numId w:val="3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Section 12.05(d), so long as no Event of Default shall have occurred and be continuing, no Bank shall be permitted to enter into an assignment of, or sell a participation interest in, its Loans and Loan Commitment, which would result in such Bank holding Loans and a Loan Commitment, without Participants, of less than Ten Million Dollars ($10,000,000), which minimum amount shall be reduced pro rata as a result of a decrease of the aggregate Loan Commitments pursuant to Section 2.16;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Bank shall be prohibited from assigning its entire Loans and Loan Commitment so long as such assignment is otherwise permitted hereby. Any provision herein to the contrary notwithstanding, without the Borrower’s prior written consent which it may grant or withhold in its sole and absolute discretion, in no event shall any Bank assign, sell or grant a participation interest in or otherwise transfer (or permit any participant to assign its participation interest or a sub-participation interest), its Loan, Loan Commitment or any interest therein to SL Green Realty Corp. or any of its Affiliates or any fund or entity managed or advised by it or any of its Affiliates; provided that (x) the Administrative Agent shall not be responsible or have any liability for, or have any duty to ascertain, inquire into, monitor or enforce, compliance with the foregoing restriction on assignments and participations and (y) each assignee or participant shall be required to represent and warrant in the applicable assignment or participation agreement that it is not an entity that violates the foregoing restriction on assignments and participations.</w:t>
      </w:r>
    </w:p>
    <w:p>
      <w:pPr>
        <w:spacing w:after="0" w:line="147" w:lineRule="exact"/>
        <w:rPr>
          <w:rFonts w:ascii="Times New Roman" w:cs="Times New Roman" w:eastAsia="Times New Roman" w:hAnsi="Times New Roman"/>
          <w:sz w:val="21"/>
          <w:szCs w:val="21"/>
          <w:color w:val="auto"/>
        </w:rPr>
      </w:pPr>
    </w:p>
    <w:p>
      <w:pPr>
        <w:jc w:val="both"/>
        <w:ind w:firstLine="634"/>
        <w:spacing w:after="0" w:line="217" w:lineRule="auto"/>
        <w:tabs>
          <w:tab w:leader="none" w:pos="1257" w:val="left"/>
        </w:tabs>
        <w:numPr>
          <w:ilvl w:val="0"/>
          <w:numId w:val="3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recognizes that in connection with a Bank’s selling of Participations or making of assignments, any or all documentation, financial statements and other data, or copies thereof, relevant to Borrower or the Loans may be exhibited to and retained by any such Participant or assignee or prospective Participant or assignee in accordance with Section 12.23. In connection with a Bank’s delivery of any financial statements and appraisals to any such Participant or assignee or prospective Participant or assignee, such Bank shall also indicate that the same are delivered on a confidential basis. Borrower agrees to provide all assistance reasonably requested by a Bank to enable such Bank to sell Participations or make assignments of its Loan and Loan Commitment as permitted by this Section 12.05.</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104</w:t>
      </w:r>
    </w:p>
    <w:p>
      <w:pPr>
        <w:sectPr>
          <w:pgSz w:w="11900" w:h="16838" w:orient="portrait"/>
          <w:cols w:equalWidth="0" w:num="1">
            <w:col w:w="11240"/>
          </w:cols>
          <w:pgMar w:left="320" w:top="1225" w:right="339" w:bottom="1440" w:gutter="0" w:footer="0" w:header="0"/>
        </w:sectPr>
      </w:pPr>
    </w:p>
    <w:bookmarkStart w:id="537" w:name="page538"/>
    <w:bookmarkEnd w:id="537"/>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12.06. </w:t>
      </w:r>
      <w:r>
        <w:rPr>
          <w:rFonts w:ascii="Times New Roman" w:cs="Times New Roman" w:eastAsia="Times New Roman" w:hAnsi="Times New Roman"/>
          <w:sz w:val="21"/>
          <w:szCs w:val="21"/>
          <w:u w:val="single" w:color="auto"/>
          <w:color w:val="auto"/>
        </w:rPr>
        <w:t>Documentation Satisfactory.</w:t>
      </w:r>
      <w:r>
        <w:rPr>
          <w:rFonts w:ascii="Times New Roman" w:cs="Times New Roman" w:eastAsia="Times New Roman" w:hAnsi="Times New Roman"/>
          <w:sz w:val="21"/>
          <w:szCs w:val="21"/>
          <w:color w:val="auto"/>
        </w:rPr>
        <w:t xml:space="preserve"> All documentation required from or to be submitted on behalf of Borrower in connection with this Agreement and the documents relating hereto shall be subject to the prior approval of, and be satisfactory in form and substance to, Administrative Agent, its counsel and, where specifically provided herein, the Banks. In addition, the persons or parties responsible for the execution and delivery of, and signatories to, all of such documentation, shall be acceptable to, and subject to the approval of, Administrative Agent and its counsel and the Banks.</w:t>
      </w:r>
    </w:p>
    <w:p>
      <w:pPr>
        <w:spacing w:after="0" w:line="169"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12.07.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 Unless the party to be notified otherwise notifies the other parties in writing as provided in this Section, and except as otherwise provided in this Agreement, notices shall be given to Administrative Agent by telephone, confirmed by writing, and to the Banks and to Borrower by ordinary mail or overnight courier or telecopy, receipt confirmed, addressed to such party at (i) if to the Borrower, its address on the signature page of this Agreement, (ii) if to the Administrative Agent from the Borrower, to JPMorgan Chase Bank, N.A., at the address separately provided to the Borrower, (iii) if to the Administrative Agent from the Banks to JPMorgan Chase Bank, N.A., 8181 Communications Pkwy, Plano, TX 75024, Attention: Cody Canafax, Telephone: 972-324-5152, (iv) if to any Bank, at its address, electronic mail or telecopy number set forth in its Administrative Questionnaire, (v) if to any Fronting Bank, at its address separately provided to the Borrower or (vi) if to any party, at such other address, electronic mail or telecopy number as such party may hereafter specify for the purpose by notice to the Administrative Agent, the Banks and the Borrower. Notices shall be effective: (1) if by telephone, at the time of such telephone conversation, (2) if given by mail, three (3) calendar days after mailing; (3) if given by overnight courier, upon receipt; and (4) if given by telecopy, upon receipt if received by the recipient during its normal business hours. Notices delivered through Electronic Systems, to the extent provided in paragraph (b) below, shall be effective as provided in said paragraph (b).</w:t>
      </w:r>
    </w:p>
    <w:p>
      <w:pPr>
        <w:spacing w:after="0" w:line="175" w:lineRule="exact"/>
        <w:rPr>
          <w:sz w:val="20"/>
          <w:szCs w:val="20"/>
          <w:color w:val="auto"/>
        </w:rPr>
      </w:pPr>
    </w:p>
    <w:p>
      <w:pPr>
        <w:jc w:val="both"/>
        <w:ind w:firstLine="634"/>
        <w:spacing w:after="0" w:line="263" w:lineRule="auto"/>
        <w:tabs>
          <w:tab w:leader="none" w:pos="1253" w:val="left"/>
        </w:tabs>
        <w:numPr>
          <w:ilvl w:val="0"/>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Notices and other communications to the Borrower, the Administrative Agent, the Banks and the Fronting Banks hereunder may be delivered or furnished by using Electronic Systems (including the Approved Electronic Platform and the Approved Borrower Portal) pursuant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105</w:t>
      </w:r>
    </w:p>
    <w:p>
      <w:pPr>
        <w:sectPr>
          <w:pgSz w:w="11900" w:h="16838" w:orient="portrait"/>
          <w:cols w:equalWidth="0" w:num="1">
            <w:col w:w="11240"/>
          </w:cols>
          <w:pgMar w:left="320" w:top="1251" w:right="339" w:bottom="1440" w:gutter="0" w:footer="0" w:header="0"/>
        </w:sectPr>
      </w:pPr>
    </w:p>
    <w:bookmarkStart w:id="538" w:name="page539"/>
    <w:bookmarkEnd w:id="538"/>
    <w:p>
      <w:pPr>
        <w:jc w:val="both"/>
        <w:spacing w:after="0" w:line="262" w:lineRule="auto"/>
        <w:rPr>
          <w:sz w:val="20"/>
          <w:szCs w:val="20"/>
          <w:color w:val="auto"/>
        </w:rPr>
      </w:pPr>
      <w:r>
        <w:rPr>
          <w:rFonts w:ascii="Times New Roman" w:cs="Times New Roman" w:eastAsia="Times New Roman" w:hAnsi="Times New Roman"/>
          <w:sz w:val="21"/>
          <w:szCs w:val="21"/>
          <w:color w:val="auto"/>
        </w:rPr>
        <w:t>to procedures approved by the Administrative Agent; provided that the foregoing shall not apply to notices pursuant to Article II unless otherwise agreed by the Administrative Agent and the applicable Bank.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64"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Banking Day for the recipient.</w:t>
      </w:r>
    </w:p>
    <w:p>
      <w:pPr>
        <w:spacing w:after="0" w:line="190" w:lineRule="exact"/>
        <w:rPr>
          <w:sz w:val="20"/>
          <w:szCs w:val="20"/>
          <w:color w:val="auto"/>
        </w:rPr>
      </w:pPr>
    </w:p>
    <w:p>
      <w:pPr>
        <w:jc w:val="both"/>
        <w:ind w:firstLine="634"/>
        <w:spacing w:after="0" w:line="263" w:lineRule="auto"/>
        <w:tabs>
          <w:tab w:leader="none" w:pos="1254"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party hereto may change its address or telecopy number for notices and other communications hereunder by notice to the other parties hereto in accordance with this Section 12.07, except that each Bank must only give such notice to the Administrative Agent, the Borrower and the Fronting Banks.</w:t>
      </w:r>
    </w:p>
    <w:p>
      <w:pPr>
        <w:spacing w:after="0" w:line="136"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Electronic Systems.</w:t>
      </w:r>
    </w:p>
    <w:p>
      <w:pPr>
        <w:spacing w:after="0" w:line="177" w:lineRule="exact"/>
        <w:rPr>
          <w:rFonts w:ascii="Times New Roman" w:cs="Times New Roman" w:eastAsia="Times New Roman" w:hAnsi="Times New Roman"/>
          <w:sz w:val="21"/>
          <w:szCs w:val="21"/>
          <w:color w:val="auto"/>
        </w:rPr>
      </w:pPr>
    </w:p>
    <w:p>
      <w:pPr>
        <w:jc w:val="both"/>
        <w:ind w:left="640" w:firstLine="622"/>
        <w:spacing w:after="0" w:line="224" w:lineRule="auto"/>
        <w:tabs>
          <w:tab w:leader="none" w:pos="1885" w:val="left"/>
        </w:tabs>
        <w:numPr>
          <w:ilvl w:val="1"/>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agrees that the Administrative Agent may, but shall not be obligated to, make Communications (as defined below) available to the Fronting Banks and the other Banks by posting the Communications on Debt Domain, Intralinks, Syndtrak, ClearPar or a substantially similar Electronic System chosen by the Administrative Agent to be its electronic transmission system (the “</w:t>
      </w:r>
      <w:r>
        <w:rPr>
          <w:rFonts w:ascii="Times New Roman" w:cs="Times New Roman" w:eastAsia="Times New Roman" w:hAnsi="Times New Roman"/>
          <w:sz w:val="21"/>
          <w:szCs w:val="21"/>
          <w:u w:val="single" w:color="auto"/>
          <w:color w:val="auto"/>
        </w:rPr>
        <w:t>Approved Electronic Platform</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jc w:val="both"/>
        <w:ind w:left="640" w:firstLine="622"/>
        <w:spacing w:after="0" w:line="215" w:lineRule="auto"/>
        <w:tabs>
          <w:tab w:leader="none" w:pos="1891" w:val="left"/>
        </w:tabs>
        <w:numPr>
          <w:ilvl w:val="1"/>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Banks and the Borrower acknowledges and agrees that the distribution of material through an electronic medium is not necessarily secure, that the Administrative Agent is not responsible for approving or vetting the representatives or contacts of any Bank that are added to the Approved Electronic Platform, and that there are confidentiality and other risks associated with such distribution. Each of the Banks and the Borrower hereby approves distribution of the Communications through the Approved Electronic Platform and understands and assumes the risks of such distribution.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106</w:t>
      </w:r>
    </w:p>
    <w:p>
      <w:pPr>
        <w:sectPr>
          <w:pgSz w:w="11900" w:h="16838" w:orient="portrait"/>
          <w:cols w:equalWidth="0" w:num="1">
            <w:col w:w="11240"/>
          </w:cols>
          <w:pgMar w:left="320" w:top="1251" w:right="339" w:bottom="1440" w:gutter="0" w:footer="0" w:header="0"/>
        </w:sectPr>
      </w:pPr>
    </w:p>
    <w:bookmarkStart w:id="539" w:name="page540"/>
    <w:bookmarkEnd w:id="539"/>
    <w:p>
      <w:pPr>
        <w:spacing w:after="0" w:line="21" w:lineRule="exact"/>
        <w:rPr>
          <w:sz w:val="20"/>
          <w:szCs w:val="20"/>
          <w:color w:val="auto"/>
        </w:rPr>
      </w:pPr>
    </w:p>
    <w:p>
      <w:pPr>
        <w:jc w:val="both"/>
        <w:ind w:left="6" w:firstLine="622"/>
        <w:spacing w:after="0" w:line="212" w:lineRule="auto"/>
        <w:tabs>
          <w:tab w:leader="none" w:pos="1264" w:val="left"/>
        </w:tabs>
        <w:numPr>
          <w:ilvl w:val="1"/>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Approved Electronic Platform and the Communications are provided “as is” and “as available.” None of the Administrative Agent or the Borrower or any of their respective Affiliates and such Affiliates’ respective directors, officers, employees, agents or advisors (the “</w:t>
      </w:r>
      <w:r>
        <w:rPr>
          <w:rFonts w:ascii="Times New Roman" w:cs="Times New Roman" w:eastAsia="Times New Roman" w:hAnsi="Times New Roman"/>
          <w:sz w:val="21"/>
          <w:szCs w:val="21"/>
          <w:u w:val="single" w:color="auto"/>
          <w:color w:val="auto"/>
        </w:rPr>
        <w:t>Communications Parties</w:t>
      </w:r>
      <w:r>
        <w:rPr>
          <w:rFonts w:ascii="Times New Roman" w:cs="Times New Roman" w:eastAsia="Times New Roman" w:hAnsi="Times New Roman"/>
          <w:sz w:val="21"/>
          <w:szCs w:val="21"/>
          <w:color w:val="auto"/>
        </w:rPr>
        <w:t>”) warrant the adequacy of the Approved Electronic Platform and each expressly disclaims liability for errors or omissions in the Approved Electronic Platform and the Communications. No warranty of any kind, express, implied or statutory, including any warranty of merchantability, fitness for a particular purpose, non-infringement of third-party rights or freedom from viruses or other code defects, is made by any Communications Party in connection with the Communications or any Approved Electronic Platform. In no event shall any Communications Party have any liability to the other parties hereto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an Electronic System. “</w:t>
      </w:r>
      <w:r>
        <w:rPr>
          <w:rFonts w:ascii="Times New Roman" w:cs="Times New Roman" w:eastAsia="Times New Roman" w:hAnsi="Times New Roman"/>
          <w:sz w:val="21"/>
          <w:szCs w:val="21"/>
          <w:u w:val="single" w:color="auto"/>
          <w:color w:val="auto"/>
        </w:rPr>
        <w:t>Communications</w:t>
      </w:r>
      <w:r>
        <w:rPr>
          <w:rFonts w:ascii="Times New Roman" w:cs="Times New Roman" w:eastAsia="Times New Roman" w:hAnsi="Times New Roman"/>
          <w:sz w:val="21"/>
          <w:szCs w:val="21"/>
          <w:color w:val="auto"/>
        </w:rPr>
        <w:t>” means, collectively, any notice, demand, communication, information, document or other material provided by or on behalf of the Borrower pursuant to any Loan Document or the transactions contemplated therein which is distributed by the Administrative Agent, any Bank or any Fronting Bank by means of electronic communications pursuant to this Section, including through an Electronic System.</w:t>
      </w:r>
    </w:p>
    <w:p>
      <w:pPr>
        <w:spacing w:after="0" w:line="157" w:lineRule="exact"/>
        <w:rPr>
          <w:rFonts w:ascii="Times New Roman" w:cs="Times New Roman" w:eastAsia="Times New Roman" w:hAnsi="Times New Roman"/>
          <w:sz w:val="21"/>
          <w:szCs w:val="21"/>
          <w:color w:val="auto"/>
        </w:rPr>
      </w:pPr>
    </w:p>
    <w:p>
      <w:pPr>
        <w:jc w:val="both"/>
        <w:ind w:left="6" w:firstLine="622"/>
        <w:spacing w:after="0" w:line="219" w:lineRule="auto"/>
        <w:tabs>
          <w:tab w:leader="none" w:pos="1252" w:val="left"/>
        </w:tabs>
        <w:numPr>
          <w:ilvl w:val="1"/>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Bank agrees that notice to it (as provided in the next sentence) specifying that Communications have been posted to the Approved Electronic Platform shall constitute effective delivery of the Communications to such Bank for purposes of the Loan Documents to the extent such Communications have been so posted. Each Bank agrees (i) to notify the Administrative Agent in writing (which could be in the form of electronic communication) from time to time of such Bank’s (as applicable) email address to which the foregoing notice may be sent by electronic transmission and (ii) that the foregoing notice may be sent to such email address.</w:t>
      </w:r>
    </w:p>
    <w:p>
      <w:pPr>
        <w:spacing w:after="0" w:line="144" w:lineRule="exact"/>
        <w:rPr>
          <w:rFonts w:ascii="Times New Roman" w:cs="Times New Roman" w:eastAsia="Times New Roman" w:hAnsi="Times New Roman"/>
          <w:sz w:val="21"/>
          <w:szCs w:val="21"/>
          <w:color w:val="auto"/>
        </w:rPr>
      </w:pPr>
    </w:p>
    <w:p>
      <w:pPr>
        <w:jc w:val="both"/>
        <w:ind w:left="6" w:firstLine="622"/>
        <w:spacing w:after="0" w:line="229" w:lineRule="auto"/>
        <w:tabs>
          <w:tab w:leader="none" w:pos="1259" w:val="left"/>
        </w:tabs>
        <w:numPr>
          <w:ilvl w:val="1"/>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94" w:lineRule="exact"/>
        <w:rPr>
          <w:rFonts w:ascii="Times New Roman" w:cs="Times New Roman" w:eastAsia="Times New Roman" w:hAnsi="Times New Roman"/>
          <w:sz w:val="21"/>
          <w:szCs w:val="21"/>
          <w:color w:val="auto"/>
        </w:rPr>
      </w:pPr>
    </w:p>
    <w:p>
      <w:pPr>
        <w:ind w:left="6" w:firstLine="622"/>
        <w:spacing w:after="0" w:line="241" w:lineRule="auto"/>
        <w:tabs>
          <w:tab w:leader="none" w:pos="1252" w:val="left"/>
        </w:tabs>
        <w:numPr>
          <w:ilvl w:val="1"/>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herein shall prejudice the right of the Administrative Agent or any Bank to give any notice or other communication pursuant to any Loan Document in any other manner specified in such Loan Document.</w:t>
      </w:r>
    </w:p>
    <w:p>
      <w:pPr>
        <w:spacing w:after="0" w:line="91" w:lineRule="exact"/>
        <w:rPr>
          <w:rFonts w:ascii="Times New Roman" w:cs="Times New Roman" w:eastAsia="Times New Roman" w:hAnsi="Times New Roman"/>
          <w:sz w:val="21"/>
          <w:szCs w:val="21"/>
          <w:color w:val="auto"/>
        </w:rPr>
      </w:pPr>
    </w:p>
    <w:p>
      <w:pPr>
        <w:ind w:left="626" w:hanging="626"/>
        <w:spacing w:after="0"/>
        <w:tabs>
          <w:tab w:leader="none" w:pos="626" w:val="left"/>
        </w:tabs>
        <w:numPr>
          <w:ilvl w:val="0"/>
          <w:numId w:val="3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Communications.</w:t>
      </w:r>
    </w:p>
    <w:p>
      <w:pPr>
        <w:spacing w:after="0" w:line="125" w:lineRule="exact"/>
        <w:rPr>
          <w:rFonts w:ascii="Times New Roman" w:cs="Times New Roman" w:eastAsia="Times New Roman" w:hAnsi="Times New Roman"/>
          <w:sz w:val="21"/>
          <w:szCs w:val="21"/>
          <w:color w:val="auto"/>
        </w:rPr>
      </w:pPr>
    </w:p>
    <w:p>
      <w:pPr>
        <w:jc w:val="both"/>
        <w:ind w:left="6" w:firstLine="622"/>
        <w:spacing w:after="0" w:line="229" w:lineRule="auto"/>
        <w:tabs>
          <w:tab w:leader="none" w:pos="1252" w:val="left"/>
        </w:tabs>
        <w:numPr>
          <w:ilvl w:val="1"/>
          <w:numId w:val="3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the Banks and the Fronting Banks agree that the Borrower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21"/>
          <w:szCs w:val="21"/>
          <w:u w:val="single" w:color="auto"/>
          <w:color w:val="auto"/>
        </w:rPr>
        <w:t>Approved Borrower Portal</w:t>
      </w:r>
      <w:r>
        <w:rPr>
          <w:rFonts w:ascii="Times New Roman" w:cs="Times New Roman" w:eastAsia="Times New Roman" w:hAnsi="Times New Roman"/>
          <w:sz w:val="21"/>
          <w:szCs w:val="21"/>
          <w:color w:val="auto"/>
        </w:rPr>
        <w:t>”).</w:t>
      </w:r>
    </w:p>
    <w:p>
      <w:pPr>
        <w:spacing w:after="0" w:line="94" w:lineRule="exact"/>
        <w:rPr>
          <w:rFonts w:ascii="Times New Roman" w:cs="Times New Roman" w:eastAsia="Times New Roman" w:hAnsi="Times New Roman"/>
          <w:sz w:val="21"/>
          <w:szCs w:val="21"/>
          <w:color w:val="auto"/>
        </w:rPr>
      </w:pPr>
    </w:p>
    <w:p>
      <w:pPr>
        <w:jc w:val="both"/>
        <w:ind w:left="6" w:firstLine="622"/>
        <w:spacing w:after="0" w:line="217" w:lineRule="auto"/>
        <w:tabs>
          <w:tab w:leader="none" w:pos="1258" w:val="left"/>
        </w:tabs>
        <w:numPr>
          <w:ilvl w:val="1"/>
          <w:numId w:val="3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Banks, each of the Fronting Banks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Banks, each of the Fronting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26"/>
        <w:spacing w:after="0"/>
        <w:rPr>
          <w:sz w:val="20"/>
          <w:szCs w:val="20"/>
          <w:color w:val="auto"/>
        </w:rPr>
      </w:pPr>
      <w:r>
        <w:rPr>
          <w:rFonts w:ascii="Times New Roman" w:cs="Times New Roman" w:eastAsia="Times New Roman" w:hAnsi="Times New Roman"/>
          <w:sz w:val="21"/>
          <w:szCs w:val="21"/>
          <w:color w:val="auto"/>
        </w:rPr>
        <w:t>107</w:t>
      </w:r>
    </w:p>
    <w:p>
      <w:pPr>
        <w:sectPr>
          <w:pgSz w:w="11900" w:h="16838" w:orient="portrait"/>
          <w:cols w:equalWidth="0" w:num="1">
            <w:col w:w="10606"/>
          </w:cols>
          <w:pgMar w:left="954" w:top="1440" w:right="339" w:bottom="1440" w:gutter="0" w:footer="0" w:header="0"/>
        </w:sectPr>
      </w:pPr>
    </w:p>
    <w:bookmarkStart w:id="540" w:name="page541"/>
    <w:bookmarkEnd w:id="540"/>
    <w:p>
      <w:pPr>
        <w:spacing w:after="0" w:line="241" w:lineRule="auto"/>
        <w:rPr>
          <w:sz w:val="20"/>
          <w:szCs w:val="20"/>
          <w:color w:val="auto"/>
        </w:rPr>
      </w:pPr>
      <w:r>
        <w:rPr>
          <w:rFonts w:ascii="Times New Roman" w:cs="Times New Roman" w:eastAsia="Times New Roman" w:hAnsi="Times New Roman"/>
          <w:sz w:val="21"/>
          <w:szCs w:val="21"/>
          <w:color w:val="auto"/>
        </w:rPr>
        <w:t>Banks and the Borrower hereby approves distribution of Borrower Communications through the Approved Borrower Portal and understands and assumes the risks of such distribution.</w:t>
      </w:r>
    </w:p>
    <w:p>
      <w:pPr>
        <w:spacing w:after="0" w:line="91" w:lineRule="exact"/>
        <w:rPr>
          <w:sz w:val="20"/>
          <w:szCs w:val="20"/>
          <w:color w:val="auto"/>
        </w:rPr>
      </w:pPr>
    </w:p>
    <w:p>
      <w:pPr>
        <w:jc w:val="both"/>
        <w:ind w:firstLine="622"/>
        <w:spacing w:after="0" w:line="212" w:lineRule="auto"/>
        <w:tabs>
          <w:tab w:leader="none" w:pos="1257"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JOINT LEAD ARRANGER, ANY CO-DOCUMENTATION AGENT, ANY SYNDICATION AGENT OR ANY OF THEIR RESPECTIVE RELATED PARTIES (COLLECTIVELY, “</w:t>
      </w:r>
      <w:r>
        <w:rPr>
          <w:rFonts w:ascii="Times New Roman" w:cs="Times New Roman" w:eastAsia="Times New Roman" w:hAnsi="Times New Roman"/>
          <w:sz w:val="21"/>
          <w:szCs w:val="21"/>
          <w:u w:val="single" w:color="auto"/>
          <w:color w:val="auto"/>
        </w:rPr>
        <w:t>APPLICABLE PARTIES</w:t>
      </w:r>
      <w:r>
        <w:rPr>
          <w:rFonts w:ascii="Times New Roman" w:cs="Times New Roman" w:eastAsia="Times New Roman" w:hAnsi="Times New Roman"/>
          <w:sz w:val="21"/>
          <w:szCs w:val="21"/>
          <w:color w:val="auto"/>
        </w:rPr>
        <w:t>”) HAVE ANY LIABILITY TO THE BORROWER, THE GENERAL PARTNER, ANY LOAN PARTY, ANY BANK, ANY FRONTING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24"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 Communications</w:t>
      </w:r>
      <w:r>
        <w:rPr>
          <w:rFonts w:ascii="Times New Roman" w:cs="Times New Roman" w:eastAsia="Times New Roman" w:hAnsi="Times New Roman"/>
          <w:sz w:val="21"/>
          <w:szCs w:val="21"/>
          <w:color w:val="auto"/>
        </w:rPr>
        <w:t>” means, collectively, any notice of borrowing, notice of Election, Conversion or Continuation, notice of prepayment, notice requesting the issuance, amendment or extension of a Letter of Credit or other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w:t>
      </w:r>
    </w:p>
    <w:p>
      <w:pPr>
        <w:spacing w:after="0" w:line="143" w:lineRule="exact"/>
        <w:rPr>
          <w:sz w:val="20"/>
          <w:szCs w:val="20"/>
          <w:color w:val="auto"/>
        </w:rPr>
      </w:pPr>
    </w:p>
    <w:p>
      <w:pPr>
        <w:jc w:val="both"/>
        <w:ind w:firstLine="622"/>
        <w:spacing w:after="0" w:line="224" w:lineRule="auto"/>
        <w:tabs>
          <w:tab w:leader="none" w:pos="1245" w:val="left"/>
        </w:tabs>
        <w:numPr>
          <w:ilvl w:val="0"/>
          <w:numId w:val="3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Banks, each of the Fronting Banks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108</w:t>
      </w:r>
    </w:p>
    <w:p>
      <w:pPr>
        <w:sectPr>
          <w:pgSz w:w="11900" w:h="16838" w:orient="portrait"/>
          <w:cols w:equalWidth="0" w:num="1">
            <w:col w:w="10600"/>
          </w:cols>
          <w:pgMar w:left="960" w:top="1225" w:right="339" w:bottom="1440" w:gutter="0" w:footer="0" w:header="0"/>
        </w:sectPr>
      </w:pPr>
    </w:p>
    <w:bookmarkStart w:id="541" w:name="page542"/>
    <w:bookmarkEnd w:id="541"/>
    <w:p>
      <w:pPr>
        <w:spacing w:after="0" w:line="21" w:lineRule="exact"/>
        <w:rPr>
          <w:sz w:val="20"/>
          <w:szCs w:val="20"/>
          <w:color w:val="auto"/>
        </w:rPr>
      </w:pPr>
    </w:p>
    <w:p>
      <w:pPr>
        <w:ind w:left="640" w:firstLine="622"/>
        <w:spacing w:after="0" w:line="241" w:lineRule="auto"/>
        <w:tabs>
          <w:tab w:leader="none" w:pos="1893" w:val="left"/>
        </w:tabs>
        <w:numPr>
          <w:ilvl w:val="0"/>
          <w:numId w:val="3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herein shall prejudice the right of the Borrower to give any notice or other communication pursuant to any Loan Document in any other manner specified in such Loan Document.</w:t>
      </w:r>
    </w:p>
    <w:p>
      <w:pPr>
        <w:spacing w:after="0" w:line="144" w:lineRule="exact"/>
        <w:rPr>
          <w:sz w:val="20"/>
          <w:szCs w:val="20"/>
          <w:color w:val="auto"/>
        </w:rPr>
      </w:pPr>
    </w:p>
    <w:p>
      <w:pPr>
        <w:jc w:val="both"/>
        <w:ind w:firstLine="629"/>
        <w:spacing w:after="0" w:line="221" w:lineRule="auto"/>
        <w:rPr>
          <w:sz w:val="20"/>
          <w:szCs w:val="20"/>
          <w:color w:val="auto"/>
        </w:rPr>
      </w:pPr>
      <w:r>
        <w:rPr>
          <w:rFonts w:ascii="Times New Roman" w:cs="Times New Roman" w:eastAsia="Times New Roman" w:hAnsi="Times New Roman"/>
          <w:sz w:val="21"/>
          <w:szCs w:val="21"/>
          <w:color w:val="auto"/>
        </w:rPr>
        <w:t xml:space="preserve">SECTION 12.08. </w:t>
      </w:r>
      <w:r>
        <w:rPr>
          <w:rFonts w:ascii="Times New Roman" w:cs="Times New Roman" w:eastAsia="Times New Roman" w:hAnsi="Times New Roman"/>
          <w:sz w:val="21"/>
          <w:szCs w:val="21"/>
          <w:u w:val="single" w:color="auto"/>
          <w:color w:val="auto"/>
        </w:rPr>
        <w:t>Setoff.</w:t>
      </w:r>
      <w:r>
        <w:rPr>
          <w:rFonts w:ascii="Times New Roman" w:cs="Times New Roman" w:eastAsia="Times New Roman" w:hAnsi="Times New Roman"/>
          <w:sz w:val="21"/>
          <w:szCs w:val="21"/>
          <w:color w:val="auto"/>
        </w:rPr>
        <w:t xml:space="preserve"> Each Bank hereby waives any right of setoff, bankers’ lien or counterclaim a Bank may have to offset balances (general or special, time or demand, provisional or final) held by it for the account of Borrower at any of such Bank’s offices, in Dollars or in any other currency, against any amount payable by Borrower to such Bank under this Agreement or such Bank’s Note, or any other Loan Document. Payments by Borrower hereunder or under the other Loan Documents shall be made without setoff or counterclaim.</w:t>
      </w:r>
    </w:p>
    <w:p>
      <w:pPr>
        <w:spacing w:after="0" w:line="146" w:lineRule="exact"/>
        <w:rPr>
          <w:sz w:val="20"/>
          <w:szCs w:val="20"/>
          <w:color w:val="auto"/>
        </w:rPr>
      </w:pPr>
    </w:p>
    <w:p>
      <w:pPr>
        <w:jc w:val="both"/>
        <w:ind w:firstLine="629"/>
        <w:spacing w:after="0" w:line="241" w:lineRule="auto"/>
        <w:rPr>
          <w:sz w:val="20"/>
          <w:szCs w:val="20"/>
          <w:color w:val="auto"/>
        </w:rPr>
      </w:pPr>
      <w:r>
        <w:rPr>
          <w:rFonts w:ascii="Times New Roman" w:cs="Times New Roman" w:eastAsia="Times New Roman" w:hAnsi="Times New Roman"/>
          <w:sz w:val="21"/>
          <w:szCs w:val="21"/>
          <w:color w:val="auto"/>
        </w:rPr>
        <w:t xml:space="preserve">SECTION 12.09. </w:t>
      </w:r>
      <w:r>
        <w:rPr>
          <w:rFonts w:ascii="Times New Roman" w:cs="Times New Roman" w:eastAsia="Times New Roman" w:hAnsi="Times New Roman"/>
          <w:sz w:val="21"/>
          <w:szCs w:val="21"/>
          <w:u w:val="single" w:color="auto"/>
          <w:color w:val="auto"/>
        </w:rPr>
        <w:t>Table of Contents; Headings.</w:t>
      </w:r>
      <w:r>
        <w:rPr>
          <w:rFonts w:ascii="Times New Roman" w:cs="Times New Roman" w:eastAsia="Times New Roman" w:hAnsi="Times New Roman"/>
          <w:sz w:val="21"/>
          <w:szCs w:val="21"/>
          <w:color w:val="auto"/>
        </w:rPr>
        <w:t xml:space="preserve"> Any table of contents and the headings and captions hereunder are for convenience only and shall not affect the interpretation or construction of this Agreement.</w:t>
      </w:r>
    </w:p>
    <w:p>
      <w:pPr>
        <w:spacing w:after="0" w:line="144" w:lineRule="exact"/>
        <w:rPr>
          <w:sz w:val="20"/>
          <w:szCs w:val="20"/>
          <w:color w:val="auto"/>
        </w:rPr>
      </w:pPr>
    </w:p>
    <w:p>
      <w:pPr>
        <w:jc w:val="both"/>
        <w:ind w:firstLine="629"/>
        <w:spacing w:after="0" w:line="224" w:lineRule="auto"/>
        <w:rPr>
          <w:sz w:val="20"/>
          <w:szCs w:val="20"/>
          <w:color w:val="auto"/>
        </w:rPr>
      </w:pPr>
      <w:r>
        <w:rPr>
          <w:rFonts w:ascii="Times New Roman" w:cs="Times New Roman" w:eastAsia="Times New Roman" w:hAnsi="Times New Roman"/>
          <w:sz w:val="21"/>
          <w:szCs w:val="21"/>
          <w:color w:val="auto"/>
        </w:rPr>
        <w:t xml:space="preserve">SECTION 12.10.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xml:space="preserve"> The provisions of this Agreement are intended to be severable. If for any reason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spacing w:after="0" w:line="146" w:lineRule="exact"/>
        <w:rPr>
          <w:sz w:val="20"/>
          <w:szCs w:val="20"/>
          <w:color w:val="auto"/>
        </w:rPr>
      </w:pPr>
    </w:p>
    <w:p>
      <w:pPr>
        <w:jc w:val="both"/>
        <w:ind w:firstLine="629"/>
        <w:spacing w:after="0" w:line="210" w:lineRule="auto"/>
        <w:rPr>
          <w:sz w:val="20"/>
          <w:szCs w:val="20"/>
          <w:color w:val="auto"/>
        </w:rPr>
      </w:pPr>
      <w:r>
        <w:rPr>
          <w:rFonts w:ascii="Times New Roman" w:cs="Times New Roman" w:eastAsia="Times New Roman" w:hAnsi="Times New Roman"/>
          <w:sz w:val="21"/>
          <w:szCs w:val="21"/>
          <w:color w:val="auto"/>
        </w:rPr>
        <w:t xml:space="preserve">SECTION 12.11. </w:t>
      </w:r>
      <w:r>
        <w:rPr>
          <w:rFonts w:ascii="Times New Roman" w:cs="Times New Roman" w:eastAsia="Times New Roman" w:hAnsi="Times New Roman"/>
          <w:sz w:val="21"/>
          <w:szCs w:val="21"/>
          <w:u w:val="single" w:color="auto"/>
          <w:color w:val="auto"/>
        </w:rPr>
        <w:t>Counterparts; Electronic Execution</w:t>
      </w:r>
      <w:r>
        <w:rPr>
          <w:rFonts w:ascii="Times New Roman" w:cs="Times New Roman" w:eastAsia="Times New Roman" w:hAnsi="Times New Roman"/>
          <w:sz w:val="21"/>
          <w:szCs w:val="21"/>
          <w:color w:val="auto"/>
        </w:rPr>
        <w:t>. This Agreement may be executed in any number of counterparts, all of which taken together shall constitute one and the same instrument, and any party hereto may execute this Agreement by signing any such counterpart. Delivery of an executed counterpart of a signature page of (x) this Agreement, (y) any other Loan Document and/or (z) any document, amendment, approval, consent, information, notice (including, for the avoidance of doubt, any notice delivered pursuant to Section 12.07 and any Assignment and Assumption Agreement),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Banks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Bank,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Banks and the Borrower, Electronic Signatures transmitted by telecopy, emailed pdf. or any other electronic means that reproduces an image of an actual executed signature page and/or any electronic</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109</w:t>
      </w:r>
    </w:p>
    <w:p>
      <w:pPr>
        <w:sectPr>
          <w:pgSz w:w="11900" w:h="16838" w:orient="portrait"/>
          <w:cols w:equalWidth="0" w:num="1">
            <w:col w:w="11240"/>
          </w:cols>
          <w:pgMar w:left="320" w:top="1440" w:right="339" w:bottom="1440" w:gutter="0" w:footer="0" w:header="0"/>
        </w:sectPr>
      </w:pPr>
    </w:p>
    <w:bookmarkStart w:id="542" w:name="page543"/>
    <w:bookmarkEnd w:id="542"/>
    <w:p>
      <w:pPr>
        <w:jc w:val="both"/>
        <w:spacing w:after="0" w:line="213" w:lineRule="auto"/>
        <w:rPr>
          <w:sz w:val="20"/>
          <w:szCs w:val="20"/>
          <w:color w:val="auto"/>
        </w:rPr>
      </w:pPr>
      <w:r>
        <w:rPr>
          <w:rFonts w:ascii="Times New Roman" w:cs="Times New Roman" w:eastAsia="Times New Roman" w:hAnsi="Times New Roman"/>
          <w:sz w:val="21"/>
          <w:szCs w:val="21"/>
          <w:color w:val="auto"/>
        </w:rPr>
        <w:t>images of this Agreement, any other Loan Document and/or any Ancillary Document shall have the same legal effect, validity and enforceability as any paper original, (ii) the Administrative Agent and each of the Banks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Bank’s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spacing w:after="0" w:line="174" w:lineRule="exact"/>
        <w:rPr>
          <w:sz w:val="20"/>
          <w:szCs w:val="20"/>
          <w:color w:val="auto"/>
        </w:rPr>
      </w:pPr>
    </w:p>
    <w:p>
      <w:pPr>
        <w:jc w:val="both"/>
        <w:ind w:firstLine="629"/>
        <w:spacing w:after="0" w:line="224" w:lineRule="auto"/>
        <w:rPr>
          <w:sz w:val="20"/>
          <w:szCs w:val="20"/>
          <w:color w:val="auto"/>
        </w:rPr>
      </w:pPr>
      <w:r>
        <w:rPr>
          <w:rFonts w:ascii="Times New Roman" w:cs="Times New Roman" w:eastAsia="Times New Roman" w:hAnsi="Times New Roman"/>
          <w:sz w:val="21"/>
          <w:szCs w:val="21"/>
          <w:color w:val="auto"/>
        </w:rPr>
        <w:t xml:space="preserve">SECTION 12.12. </w:t>
      </w:r>
      <w:r>
        <w:rPr>
          <w:rFonts w:ascii="Times New Roman" w:cs="Times New Roman" w:eastAsia="Times New Roman" w:hAnsi="Times New Roman"/>
          <w:sz w:val="21"/>
          <w:szCs w:val="21"/>
          <w:u w:val="single" w:color="auto"/>
          <w:color w:val="auto"/>
        </w:rPr>
        <w:t>Integration.</w:t>
      </w:r>
      <w:r>
        <w:rPr>
          <w:rFonts w:ascii="Times New Roman" w:cs="Times New Roman" w:eastAsia="Times New Roman" w:hAnsi="Times New Roman"/>
          <w:sz w:val="21"/>
          <w:szCs w:val="21"/>
          <w:color w:val="auto"/>
        </w:rPr>
        <w:t xml:space="preserve"> The Loan Documents set forth the entire agreement among the parties hereto relating to the transactions contemplated thereby (except with respect to agreements relating solely tocompensation, consideration and the coordinated syndication of the Loan) and supersede any prior oral or written statements or agreements with respect to such transactions.</w:t>
      </w:r>
    </w:p>
    <w:p>
      <w:pPr>
        <w:spacing w:after="0" w:line="173" w:lineRule="exact"/>
        <w:rPr>
          <w:sz w:val="20"/>
          <w:szCs w:val="20"/>
          <w:color w:val="auto"/>
        </w:rPr>
      </w:pPr>
    </w:p>
    <w:p>
      <w:pPr>
        <w:jc w:val="both"/>
        <w:ind w:firstLine="629"/>
        <w:spacing w:after="0" w:line="293" w:lineRule="auto"/>
        <w:rPr>
          <w:sz w:val="20"/>
          <w:szCs w:val="20"/>
          <w:color w:val="auto"/>
        </w:rPr>
      </w:pPr>
      <w:r>
        <w:rPr>
          <w:rFonts w:ascii="Times New Roman" w:cs="Times New Roman" w:eastAsia="Times New Roman" w:hAnsi="Times New Roman"/>
          <w:sz w:val="21"/>
          <w:szCs w:val="21"/>
          <w:color w:val="auto"/>
        </w:rPr>
        <w:t xml:space="preserve">SECTION 12.13.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xml:space="preserve"> This Agreement and the other Loan Documents shall be governed by, and interpreted and construed in accordance with, the laws of the State of New York.</w:t>
      </w:r>
    </w:p>
    <w:p>
      <w:pPr>
        <w:spacing w:after="0" w:line="131"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Each of the Banks and the Administrative Agent hereby irrevocably and unconditionally agrees that, notwithstanding the governing law provisions of any applicable Loan Document, any claims brought against the Administrative Agent by any Bank relating to this Agreement, any other Loan Document or the consummation or administration of the transactions contemplated hereby or thereby shall be construed in accordance with and governed by the law of the State of New York.</w:t>
      </w:r>
    </w:p>
    <w:p>
      <w:pPr>
        <w:spacing w:after="0" w:line="180"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12.14. </w:t>
      </w:r>
      <w:r>
        <w:rPr>
          <w:rFonts w:ascii="Times New Roman" w:cs="Times New Roman" w:eastAsia="Times New Roman" w:hAnsi="Times New Roman"/>
          <w:sz w:val="21"/>
          <w:szCs w:val="21"/>
          <w:u w:val="single" w:color="auto"/>
          <w:color w:val="auto"/>
        </w:rPr>
        <w:t>Waivers.</w:t>
      </w:r>
      <w:r>
        <w:rPr>
          <w:rFonts w:ascii="Times New Roman" w:cs="Times New Roman" w:eastAsia="Times New Roman" w:hAnsi="Times New Roman"/>
          <w:sz w:val="21"/>
          <w:szCs w:val="21"/>
          <w:color w:val="auto"/>
        </w:rPr>
        <w:t xml:space="preserve"> To the extent permitted or not expressly prohibited by applicable law, in connection with the obligations and liabilities as aforesaid, Borrower hereby waives (1) notice of any actions taken by any Bank Party under this Agreement, any other Loan Document or any other agreement or instrument relating hereto or thereto except to the extent otherwise provided herein; (2) all other notices, demands and protests, and all other formalities of</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110</w:t>
      </w:r>
    </w:p>
    <w:p>
      <w:pPr>
        <w:sectPr>
          <w:pgSz w:w="11900" w:h="16838" w:orient="portrait"/>
          <w:cols w:equalWidth="0" w:num="1">
            <w:col w:w="11240"/>
          </w:cols>
          <w:pgMar w:left="320" w:top="1225" w:right="339" w:bottom="1440" w:gutter="0" w:footer="0" w:header="0"/>
        </w:sectPr>
      </w:pPr>
    </w:p>
    <w:bookmarkStart w:id="543" w:name="page544"/>
    <w:bookmarkEnd w:id="543"/>
    <w:p>
      <w:pPr>
        <w:jc w:val="both"/>
        <w:spacing w:after="0" w:line="257" w:lineRule="auto"/>
        <w:rPr>
          <w:sz w:val="20"/>
          <w:szCs w:val="20"/>
          <w:color w:val="auto"/>
        </w:rPr>
      </w:pPr>
      <w:r>
        <w:rPr>
          <w:rFonts w:ascii="Times New Roman" w:cs="Times New Roman" w:eastAsia="Times New Roman" w:hAnsi="Times New Roman"/>
          <w:sz w:val="21"/>
          <w:szCs w:val="21"/>
          <w:color w:val="auto"/>
        </w:rPr>
        <w:t>every kind in connection with the enforcement of the Obligations, the omission of or delay in which, but for the provisions of this Section 12.14, might constitute grounds for relieving Borrower of its obligations hereunder; (3) any requirement that any Bank Party protect, secure, perfect or insure any Lien on any collateral or exhaust any right or take any action against Borrower or any other Person or any collateral; (4) any right or claim of right to cause a marshalling of the assets of Borrower; and (5) all rights of subrogation or contribution, whether arising by contract or operation of law (including, without limitation, any such right arising under the Bankruptcy Code) or otherwise by reason of payment by Borrower, pursuant to this Agreement or any other Loan Document.</w:t>
      </w:r>
    </w:p>
    <w:p>
      <w:pPr>
        <w:spacing w:after="0" w:line="168" w:lineRule="exact"/>
        <w:rPr>
          <w:sz w:val="20"/>
          <w:szCs w:val="20"/>
          <w:color w:val="auto"/>
        </w:rPr>
      </w:pPr>
    </w:p>
    <w:p>
      <w:pPr>
        <w:jc w:val="both"/>
        <w:ind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12.15. </w:t>
      </w:r>
      <w:r>
        <w:rPr>
          <w:rFonts w:ascii="Times New Roman" w:cs="Times New Roman" w:eastAsia="Times New Roman" w:hAnsi="Times New Roman"/>
          <w:sz w:val="21"/>
          <w:szCs w:val="21"/>
          <w:u w:val="single" w:color="auto"/>
          <w:color w:val="auto"/>
        </w:rPr>
        <w:t>Jurisdiction; Immunities.</w:t>
      </w:r>
      <w:r>
        <w:rPr>
          <w:rFonts w:ascii="Times New Roman" w:cs="Times New Roman" w:eastAsia="Times New Roman" w:hAnsi="Times New Roman"/>
          <w:sz w:val="21"/>
          <w:szCs w:val="21"/>
          <w:color w:val="auto"/>
        </w:rPr>
        <w:t xml:space="preserve"> Borrower, Administrative Agent and each Bank hereby irrevocably submit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over any action or proceeding (whether in tort, contract, law or equity) arising out of or relating to this Agreement, the Notes or any other Loan Document. Borrower, Administrative Agent, and each Bank irrevocably agree that all claims in respect of such action or proceeding may be heard and determined in such New York State or United States Federal court. Borrower, Administrative Agent, and each Bank irrevocably consent to the service of any and all process in any such action or proceeding by the mailing of copies of such process to Borrower, Administrative Agent or each Bank, as the case may be, at the addresses specified herein. Borrower, Administrative Agent and each Bank agree that a final judgment in any such action or proceeding shall be conclusive and may be enforced in other jurisdictions by suit on the judgment or in any other manner provided by law. Borrower, Administrative Agent and each Bank further waive any objection to venue in the State of New York and any objection to an action or proceeding in the State of New York on the basis of forum non conveniens. Borrower, Administrative Agent and each Bank agree that any action or proceeding brought against Borrower, Administrative Agent or any Bank, as the case may be, shall be brought only in the United States District Court for the Southern District of New York sitting in the Borough of Manhattan (or if such court lacks subject matter jurisdiction, the Supreme Court of the State of New York sitting in the Borough of Manhattan), and any appellate court from any thereof, to the extent permitted or not expressly prohibited by applicable law. Nothing in this Agreement or in any other Loan Document shall affect any right that the Administrative Agent, any Fronting Bank or any Bank may otherwise have to bring any action or proceeding relating to this Agreement against the Borrower or its properties in the courts of any jurisdiction.</w:t>
      </w:r>
    </w:p>
    <w:p>
      <w:pPr>
        <w:spacing w:after="0" w:line="179" w:lineRule="exact"/>
        <w:rPr>
          <w:sz w:val="20"/>
          <w:szCs w:val="20"/>
          <w:color w:val="auto"/>
        </w:rPr>
      </w:pPr>
    </w:p>
    <w:p>
      <w:pPr>
        <w:jc w:val="both"/>
        <w:ind w:firstLine="629"/>
        <w:spacing w:after="0" w:line="280" w:lineRule="auto"/>
        <w:rPr>
          <w:sz w:val="20"/>
          <w:szCs w:val="20"/>
          <w:color w:val="auto"/>
        </w:rPr>
      </w:pPr>
      <w:r>
        <w:rPr>
          <w:rFonts w:ascii="Times New Roman" w:cs="Times New Roman" w:eastAsia="Times New Roman" w:hAnsi="Times New Roman"/>
          <w:sz w:val="21"/>
          <w:szCs w:val="21"/>
          <w:color w:val="auto"/>
        </w:rPr>
        <w:t>Nothing in this Section shall affect the right of Borrower, Administrative Agent or any Bank to serve legal process in any other manner permitted by law.</w:t>
      </w:r>
    </w:p>
    <w:p>
      <w:pPr>
        <w:spacing w:after="0" w:line="52" w:lineRule="exact"/>
        <w:rPr>
          <w:sz w:val="20"/>
          <w:szCs w:val="20"/>
          <w:color w:val="auto"/>
        </w:rPr>
      </w:pPr>
    </w:p>
    <w:p>
      <w:pPr>
        <w:jc w:val="both"/>
        <w:ind w:firstLine="629"/>
        <w:spacing w:after="0" w:line="258" w:lineRule="auto"/>
        <w:rPr>
          <w:sz w:val="20"/>
          <w:szCs w:val="20"/>
          <w:color w:val="auto"/>
        </w:rPr>
      </w:pPr>
      <w:r>
        <w:rPr>
          <w:rFonts w:ascii="Times New Roman" w:cs="Times New Roman" w:eastAsia="Times New Roman" w:hAnsi="Times New Roman"/>
          <w:sz w:val="21"/>
          <w:szCs w:val="21"/>
          <w:color w:val="auto"/>
        </w:rPr>
        <w:t>To the extent that Borrower, Administrative Agent or any Bank have or hereafter may acquire any immunity from jurisdiction of any court or from any legal process (whether from service or notice, attachment prior to judgment, attachment in aid of execution, execution or otherwise) with respect to itself or its property, Borrower, Administrative Agent and each Bank hereby irrevocably waive such immunity in respect of its obligations under this Agreement, the Notes and any other Loan Document.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111</w:t>
      </w:r>
    </w:p>
    <w:p>
      <w:pPr>
        <w:sectPr>
          <w:pgSz w:w="11900" w:h="16838" w:orient="portrait"/>
          <w:cols w:equalWidth="0" w:num="1">
            <w:col w:w="11240"/>
          </w:cols>
          <w:pgMar w:left="320" w:top="1252" w:right="339" w:bottom="1440" w:gutter="0" w:footer="0" w:header="0"/>
        </w:sectPr>
      </w:pPr>
    </w:p>
    <w:bookmarkStart w:id="544" w:name="page545"/>
    <w:bookmarkEnd w:id="544"/>
    <w:p>
      <w:pPr>
        <w:jc w:val="both"/>
        <w:ind w:firstLine="629"/>
        <w:spacing w:after="0" w:line="252" w:lineRule="auto"/>
        <w:rPr>
          <w:sz w:val="20"/>
          <w:szCs w:val="20"/>
          <w:color w:val="auto"/>
        </w:rPr>
      </w:pPr>
      <w:r>
        <w:rPr>
          <w:rFonts w:ascii="Times New Roman" w:cs="Times New Roman" w:eastAsia="Times New Roman" w:hAnsi="Times New Roman"/>
          <w:sz w:val="21"/>
          <w:szCs w:val="21"/>
          <w:color w:val="auto"/>
        </w:rPr>
        <w:t>BORROWER, ADMINISTRATIVE AGENT AND EACH BANK WAIVE ANY RIGHT EACH SUCH PARTY MAY HAVE TO JURY TRIAL IN CONNECTION WITH ANY SUIT, ACTION OR PROCEEDING BROUGHT WITH RESPECT TO THIS AGREEMENT, THE NOTES OR THE LOAN. IN ADDITION, BORROWER HEREBY WAIVES, IN CONNECTION WITH ANY SUIT, ACTION OR PROCEEDING BROUGHT BY ADMINISTRATIVE AGENT OR THE BANKS WITH RESPECT TO THE NOTES, ANY RIGHT BORROWER MAY HAVE (1) TO THE EXTENT PERMITTED OR NOT EXPRESSLY PROHIBITED BY APPLICABLE LAW, TO INTERPOSE ANY COUNTERCLAIM THEREIN (OTHER THAN A COUNTERCLAIM THAT IF NOT BROUGHT IN THE SUIT, ACTION OR PROCEEDING BROUGHT BY ADMINISTRATIVE AGENT OR THE BANKS COULD NOT BE BROUGHT IN A SEPARATE SUIT, ACTION OR PROCEEDING OR WOULD BE SUBJECT TO DISMISSAL OR SIMILAR DISPOSITION FOR FAILURE TO HAVE BEEN ASSERTED IN SUCH SUIT, ACTION OR PROCEEDING BROUGHT BY ADMINISTRATIVE AGENT OR THE BANKS) OR (2) TO THE EXTENT PERMITTED OR NOT EXPRESSLY PROHIBITED BY APPLICABLE LAW, TO HAVE THE SAME CONSOLIDATED WITH ANY OTHER OR SEPARATE SUIT, ACTION OR PROCEEDING. NOTHING HEREIN CONTAINED SHALL PREVENT OR PROHIBIT BORROWER FROM INSTITUTING OR MAINTAINING A SEPARATE ACTION AGAINST ADMINISTRATIVE AGENT OR THE BANKS WITH RESPECT TO ANY ASSERTED CLAIM.</w:t>
      </w:r>
    </w:p>
    <w:p>
      <w:pPr>
        <w:spacing w:after="0" w:line="78"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 xml:space="preserve">To the extent permitted by applicable law (i) the Borrower shall not assert, and the Borrower hereby waives, any claim against a Lender-Related Person for any Liabilities arising from the use by others of information or other materials (including, without limitation, any personal data) obtained through telecommunications, electronic or other information transmission systems (including the Internet, any Approved Electronic Platform and any Approved Borrower Portal),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any Loan or Letter of Credit or the use of the proceeds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Section shall relieve the Borrower of any obligation it may have to indemnify an indemnified person, as provided in Section 12.04, against any special, indirect, consequential or punitive damages asserted against such indemnified person by a third party.</w:t>
      </w:r>
    </w:p>
    <w:p>
      <w:pPr>
        <w:spacing w:after="0" w:line="48"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u w:val="single" w:color="auto"/>
          <w:color w:val="auto"/>
        </w:rPr>
        <w:t>SECTION 12.16.</w:t>
      </w:r>
      <w:r>
        <w:rPr>
          <w:sz w:val="20"/>
          <w:szCs w:val="20"/>
          <w:color w:val="auto"/>
        </w:rPr>
        <w:tab/>
      </w:r>
      <w:r>
        <w:rPr>
          <w:rFonts w:ascii="Times New Roman" w:cs="Times New Roman" w:eastAsia="Times New Roman" w:hAnsi="Times New Roman"/>
          <w:sz w:val="20"/>
          <w:szCs w:val="20"/>
          <w:u w:val="single" w:color="auto"/>
          <w:color w:val="auto"/>
        </w:rPr>
        <w:t>[Reserved].</w:t>
      </w:r>
    </w:p>
    <w:p>
      <w:pPr>
        <w:spacing w:after="0" w:line="178"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u w:val="single" w:color="auto"/>
          <w:color w:val="auto"/>
        </w:rPr>
        <w:t>SECTION 12.17.</w:t>
      </w:r>
      <w:r>
        <w:rPr>
          <w:sz w:val="20"/>
          <w:szCs w:val="20"/>
          <w:color w:val="auto"/>
        </w:rPr>
        <w:tab/>
      </w:r>
      <w:r>
        <w:rPr>
          <w:rFonts w:ascii="Times New Roman" w:cs="Times New Roman" w:eastAsia="Times New Roman" w:hAnsi="Times New Roman"/>
          <w:sz w:val="20"/>
          <w:szCs w:val="20"/>
          <w:u w:val="single" w:color="auto"/>
          <w:color w:val="auto"/>
        </w:rPr>
        <w:t>[Reserved].</w:t>
      </w:r>
    </w:p>
    <w:p>
      <w:pPr>
        <w:spacing w:after="0" w:line="178"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color w:val="auto"/>
        </w:rPr>
        <w:t>SECTION 12.18.</w:t>
      </w:r>
      <w:r>
        <w:rPr>
          <w:sz w:val="20"/>
          <w:szCs w:val="20"/>
          <w:color w:val="auto"/>
        </w:rPr>
        <w:tab/>
      </w: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29"/>
        <w:spacing w:after="0" w:line="221" w:lineRule="auto"/>
        <w:rPr>
          <w:sz w:val="20"/>
          <w:szCs w:val="20"/>
          <w:color w:val="auto"/>
        </w:rPr>
      </w:pPr>
      <w:r>
        <w:rPr>
          <w:rFonts w:ascii="Times New Roman" w:cs="Times New Roman" w:eastAsia="Times New Roman" w:hAnsi="Times New Roman"/>
          <w:sz w:val="21"/>
          <w:szCs w:val="21"/>
          <w:color w:val="auto"/>
        </w:rPr>
        <w:t xml:space="preserve">SECTION 12.19. </w:t>
      </w:r>
      <w:r>
        <w:rPr>
          <w:rFonts w:ascii="Times New Roman" w:cs="Times New Roman" w:eastAsia="Times New Roman" w:hAnsi="Times New Roman"/>
          <w:sz w:val="21"/>
          <w:szCs w:val="21"/>
          <w:u w:val="single" w:color="auto"/>
          <w:color w:val="auto"/>
        </w:rPr>
        <w:t>USA Patriot Act.</w:t>
      </w:r>
      <w:r>
        <w:rPr>
          <w:rFonts w:ascii="Times New Roman" w:cs="Times New Roman" w:eastAsia="Times New Roman" w:hAnsi="Times New Roman"/>
          <w:sz w:val="21"/>
          <w:szCs w:val="21"/>
          <w:color w:val="auto"/>
        </w:rPr>
        <w:t xml:space="preserve"> Each Bank hereby notifies the Borrower that pursuant to the requirements of the USA Patriot Act (Title III of Pub. L. 107-56 (signed into law October 26, 2001)) (the “Patriot Act”), it is required to obtain, verify and record information that identifies the Borrower and the General Partner, which information includes the name and address of the Borrower and the General Partner and other information that will allow such Bank to identify the Borrower and the General Partner in accordance with the Patriot Act. The Borrower shall provide such information and take such actions as are reasonably requested by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112</w:t>
      </w:r>
    </w:p>
    <w:p>
      <w:pPr>
        <w:sectPr>
          <w:pgSz w:w="11900" w:h="16838" w:orient="portrait"/>
          <w:cols w:equalWidth="0" w:num="1">
            <w:col w:w="11240"/>
          </w:cols>
          <w:pgMar w:left="320" w:top="1251" w:right="339" w:bottom="1440" w:gutter="0" w:footer="0" w:header="0"/>
        </w:sectPr>
      </w:pPr>
    </w:p>
    <w:bookmarkStart w:id="545" w:name="page546"/>
    <w:bookmarkEnd w:id="545"/>
    <w:p>
      <w:pPr>
        <w:jc w:val="both"/>
        <w:spacing w:after="0" w:line="229" w:lineRule="auto"/>
        <w:rPr>
          <w:sz w:val="20"/>
          <w:szCs w:val="20"/>
          <w:color w:val="auto"/>
        </w:rPr>
      </w:pPr>
      <w:r>
        <w:rPr>
          <w:rFonts w:ascii="Times New Roman" w:cs="Times New Roman" w:eastAsia="Times New Roman" w:hAnsi="Times New Roman"/>
          <w:sz w:val="21"/>
          <w:szCs w:val="21"/>
          <w:color w:val="auto"/>
        </w:rPr>
        <w:t>the Administrative Agent or any Bank in order to assist the Administrative Agent and the Banks in maintaining compliance with applicable “know your customer” and anti-money laundering rules and regulations, including, without limitation, the Patriot Act and the Beneficial Ownership Regulation.</w:t>
      </w:r>
    </w:p>
    <w:p>
      <w:pPr>
        <w:spacing w:after="0" w:line="147" w:lineRule="exact"/>
        <w:rPr>
          <w:sz w:val="20"/>
          <w:szCs w:val="20"/>
          <w:color w:val="auto"/>
        </w:rPr>
      </w:pPr>
    </w:p>
    <w:p>
      <w:pPr>
        <w:jc w:val="both"/>
        <w:ind w:firstLine="629"/>
        <w:spacing w:after="0" w:line="241" w:lineRule="auto"/>
        <w:rPr>
          <w:sz w:val="20"/>
          <w:szCs w:val="20"/>
          <w:color w:val="auto"/>
        </w:rPr>
      </w:pPr>
      <w:r>
        <w:rPr>
          <w:rFonts w:ascii="Times New Roman" w:cs="Times New Roman" w:eastAsia="Times New Roman" w:hAnsi="Times New Roman"/>
          <w:sz w:val="21"/>
          <w:szCs w:val="21"/>
          <w:color w:val="auto"/>
        </w:rPr>
        <w:t xml:space="preserve">SECTION 12.20. </w:t>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 xml:space="preserve"> Notwithstanding any provision of this Agreement to the contrary, if any Bank becomes a Defaulting Lender, then the following provisions shall apply for so long as such Bank is a Defaulting Lender:</w:t>
      </w:r>
    </w:p>
    <w:p>
      <w:pPr>
        <w:spacing w:after="0" w:line="144" w:lineRule="exact"/>
        <w:rPr>
          <w:sz w:val="20"/>
          <w:szCs w:val="20"/>
          <w:color w:val="auto"/>
        </w:rPr>
      </w:pPr>
    </w:p>
    <w:p>
      <w:pPr>
        <w:ind w:left="1260" w:hanging="626"/>
        <w:spacing w:after="0"/>
        <w:tabs>
          <w:tab w:leader="none" w:pos="1260"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fees shall cease to accrue on the Loan Commitment of such Defaulting Lender pursuant to Section 2.08;</w:t>
      </w:r>
    </w:p>
    <w:p>
      <w:pPr>
        <w:spacing w:after="0" w:line="177" w:lineRule="exact"/>
        <w:rPr>
          <w:rFonts w:ascii="Times New Roman" w:cs="Times New Roman" w:eastAsia="Times New Roman" w:hAnsi="Times New Roman"/>
          <w:sz w:val="21"/>
          <w:szCs w:val="21"/>
          <w:color w:val="auto"/>
        </w:rPr>
      </w:pPr>
    </w:p>
    <w:p>
      <w:pPr>
        <w:jc w:val="both"/>
        <w:ind w:firstLine="634"/>
        <w:spacing w:after="0" w:line="214" w:lineRule="auto"/>
        <w:tabs>
          <w:tab w:leader="none" w:pos="1253"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the Loan Commitment and outstanding New Term Loans (if any) of such Defaulting Lender shall not be included in determining whether the Required Banks have taken or may take any action hereunder (including any consent to any amendment, waiver or other modification pursuant to Section 12.02) and (y)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provided, that (i) such Defaulting Lender’s Loan Commitment may not be increased or extended without its consent; (ii) the principal amount of, or interest or fees payable on, Loans or Letters of Credit may not be reduced or excused or the scheduled date of payment may not be postponed as to such Defaulting Lender without such Defaulting Lender’s consent; and (iii) any waiver, amendment or modification requiring the consent of all Banks or each affected Bank that by its terms affects any Defaulting Lender more adversely than other affected Banks shall require the written consent of such Defaulting Lender;</w:t>
      </w:r>
    </w:p>
    <w:p>
      <w:pPr>
        <w:spacing w:after="0" w:line="146"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Letters of Credit are outstanding at the time such Bank becomes a Defaulting Lender then:</w:t>
      </w:r>
    </w:p>
    <w:p>
      <w:pPr>
        <w:spacing w:after="0" w:line="177" w:lineRule="exact"/>
        <w:rPr>
          <w:rFonts w:ascii="Times New Roman" w:cs="Times New Roman" w:eastAsia="Times New Roman" w:hAnsi="Times New Roman"/>
          <w:sz w:val="21"/>
          <w:szCs w:val="21"/>
          <w:color w:val="auto"/>
        </w:rPr>
      </w:pPr>
    </w:p>
    <w:p>
      <w:pPr>
        <w:jc w:val="both"/>
        <w:ind w:left="640" w:firstLine="622"/>
        <w:spacing w:after="0" w:line="221" w:lineRule="auto"/>
        <w:tabs>
          <w:tab w:leader="none" w:pos="1893" w:val="left"/>
        </w:tabs>
        <w:numPr>
          <w:ilvl w:val="1"/>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or any part of such Defaulting Lender’s Pro Rata Share of such Letters of Credit shall be reallocated among the non-Defaulting Lenders in accordance with their respective Pro Rata Shares but only (x) to the extent (A) the sum of all non-Defaulting Lenders’ Pro Rata Shares of Loans and Letters of Credit plus such Defaulting Lender’s Pro Rata Share of Letters of Credit does not exceed (B) the total of all non-Defaulting Lenders’ Loan Commitments and (y) if the conditions set forth in Sections 4.02(1) and (2) are satisfied at such time;</w:t>
      </w:r>
    </w:p>
    <w:p>
      <w:pPr>
        <w:spacing w:after="0" w:line="145" w:lineRule="exact"/>
        <w:rPr>
          <w:rFonts w:ascii="Times New Roman" w:cs="Times New Roman" w:eastAsia="Times New Roman" w:hAnsi="Times New Roman"/>
          <w:sz w:val="21"/>
          <w:szCs w:val="21"/>
          <w:color w:val="auto"/>
        </w:rPr>
      </w:pPr>
    </w:p>
    <w:p>
      <w:pPr>
        <w:jc w:val="both"/>
        <w:ind w:left="640" w:firstLine="622"/>
        <w:spacing w:after="0" w:line="219" w:lineRule="auto"/>
        <w:tabs>
          <w:tab w:leader="none" w:pos="1893" w:val="left"/>
        </w:tabs>
        <w:numPr>
          <w:ilvl w:val="1"/>
          <w:numId w:val="3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reallocation described in clause (1) above cannot be effected, Borrower shall within one Banking Day following notice by the Administrative Agent, cash collateralize for the benefit of the Fronting Bank only the Borrower’s obligations corresponding to such Defaulting Lender’s Pro Rata Share of the Letters of Credit (after giving effect to any partial reallocation pursuant to clause (1) above) in accordance with the procedures set forth in Section 2.17(e) for so long as such Letters of Credit are outstanding or until such time and to the extent that, as a result of the paydown of the Loans, the reallocation described in clause (1) above can be effected;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113</w:t>
      </w:r>
    </w:p>
    <w:p>
      <w:pPr>
        <w:sectPr>
          <w:pgSz w:w="11900" w:h="16838" w:orient="portrait"/>
          <w:cols w:equalWidth="0" w:num="1">
            <w:col w:w="11240"/>
          </w:cols>
          <w:pgMar w:left="320" w:top="1225" w:right="339" w:bottom="1440" w:gutter="0" w:footer="0" w:header="0"/>
        </w:sectPr>
      </w:pPr>
    </w:p>
    <w:bookmarkStart w:id="546" w:name="page547"/>
    <w:bookmarkEnd w:id="546"/>
    <w:p>
      <w:pPr>
        <w:spacing w:after="0" w:line="47" w:lineRule="exact"/>
        <w:rPr>
          <w:sz w:val="20"/>
          <w:szCs w:val="20"/>
          <w:color w:val="auto"/>
        </w:rPr>
      </w:pPr>
    </w:p>
    <w:p>
      <w:pPr>
        <w:jc w:val="both"/>
        <w:ind w:left="640" w:firstLine="622"/>
        <w:spacing w:after="0" w:line="262" w:lineRule="auto"/>
        <w:tabs>
          <w:tab w:leader="none" w:pos="1893"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Borrower cash collateralizes any portion of such Defaulting Lender’s Pro Rata Share of the Letters of Credit pursuant to clause (2) above, Borrower shall not be required to pay any fees to such Defaulting Lender pursuant to Section 2.17(g) with respect to such Defaulting Lender’s Pro Rata Share of the Letters of Credit during the period such Defaulting Lender’s Pro Rata Share of the Letters of Credit is cash collateralized;</w:t>
      </w:r>
    </w:p>
    <w:p>
      <w:pPr>
        <w:spacing w:after="0" w:line="163" w:lineRule="exact"/>
        <w:rPr>
          <w:rFonts w:ascii="Times New Roman" w:cs="Times New Roman" w:eastAsia="Times New Roman" w:hAnsi="Times New Roman"/>
          <w:sz w:val="21"/>
          <w:szCs w:val="21"/>
          <w:color w:val="auto"/>
        </w:rPr>
      </w:pPr>
    </w:p>
    <w:p>
      <w:pPr>
        <w:jc w:val="both"/>
        <w:ind w:left="640" w:firstLine="622"/>
        <w:spacing w:after="0" w:line="270" w:lineRule="auto"/>
        <w:tabs>
          <w:tab w:leader="none" w:pos="1893"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Pro Rata Shares of the non-Defaulting Lenders are reallocated pursuant to clause (1) above, then the fees payable to the Banks pursuant to Section 2.08 and Section 2.17(g) shall be adjusted in accordance with such non-Defaulting Lenders’ reallocated Pro Rata Shares;</w:t>
      </w:r>
    </w:p>
    <w:p>
      <w:pPr>
        <w:spacing w:after="0" w:line="154" w:lineRule="exact"/>
        <w:rPr>
          <w:rFonts w:ascii="Times New Roman" w:cs="Times New Roman" w:eastAsia="Times New Roman" w:hAnsi="Times New Roman"/>
          <w:sz w:val="21"/>
          <w:szCs w:val="21"/>
          <w:color w:val="auto"/>
        </w:rPr>
      </w:pPr>
    </w:p>
    <w:p>
      <w:pPr>
        <w:jc w:val="both"/>
        <w:ind w:left="640" w:firstLine="622"/>
        <w:spacing w:after="0" w:line="255" w:lineRule="auto"/>
        <w:tabs>
          <w:tab w:leader="none" w:pos="1893"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all or any portion of such Defaulting Lender’s Pro Rata Share of outstanding Letters of Credit is neither reallocated nor cash collateralized pursuant to clause (1) or (2) above, then, without prejudice to any rights or remedies of the Fronting Bank or any other Bank hereunder, all Facility Fees that otherwise would have been payable to such Defaulting Lender (solely with respect to the portion of such Defaulting Lender’s Loan Commitment that was utilized by such Pro Rata Share of the outstanding Letters of Credit) and letter of credit fees payable under Section 2.17(g) with respect to such Defaulting Lender’s Pro Rata Share of the outstanding Letters of Credit shall be payable to the Fronting Bank until and to the extent that such Pro Rata Share is reallocated and/or cash collateralized; and</w:t>
      </w:r>
    </w:p>
    <w:p>
      <w:pPr>
        <w:spacing w:after="0" w:line="168" w:lineRule="exact"/>
        <w:rPr>
          <w:rFonts w:ascii="Times New Roman" w:cs="Times New Roman" w:eastAsia="Times New Roman" w:hAnsi="Times New Roman"/>
          <w:sz w:val="21"/>
          <w:szCs w:val="21"/>
          <w:color w:val="auto"/>
        </w:rPr>
      </w:pPr>
    </w:p>
    <w:p>
      <w:pPr>
        <w:jc w:val="both"/>
        <w:ind w:left="640" w:firstLine="622"/>
        <w:spacing w:after="0" w:line="256" w:lineRule="auto"/>
        <w:tabs>
          <w:tab w:leader="none" w:pos="1893"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such Bank is a Defaulting Lender, the Fronting Bank shall not be required to issue, amend or increase any Letter of Credit, unless it is satisfied that the related exposure and the Defaulting Lender’s then outstanding Pro Rata Share of outstanding Letters of Credit will be 100% covered by the Loan Commitments of the non-Defaulting Lenders and/or cash collateral will be provided by the Borrower in accordance with Section 12.20(c)(2), and participating interests in any newly issued or increased Letter of Credit shall be allocated among non-Defaulting Lenders in a manner consistent with Section 12.20(c)(1) (and such Defaulting Lender shall not participate therein); and</w:t>
      </w:r>
    </w:p>
    <w:p>
      <w:pPr>
        <w:spacing w:after="0" w:line="170" w:lineRule="exact"/>
        <w:rPr>
          <w:rFonts w:ascii="Times New Roman" w:cs="Times New Roman" w:eastAsia="Times New Roman" w:hAnsi="Times New Roman"/>
          <w:sz w:val="21"/>
          <w:szCs w:val="21"/>
          <w:color w:val="auto"/>
        </w:rPr>
      </w:pPr>
    </w:p>
    <w:p>
      <w:pPr>
        <w:jc w:val="both"/>
        <w:ind w:firstLine="634"/>
        <w:spacing w:after="0" w:line="253" w:lineRule="auto"/>
        <w:tabs>
          <w:tab w:leader="none" w:pos="1253" w:val="left"/>
        </w:tabs>
        <w:numPr>
          <w:ilvl w:val="0"/>
          <w:numId w:val="3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of principal, interest, fees or other amounts received by the Administrative Agent for the account of such Defaulting Lender (whether voluntary or mandatory, at maturity, or otherwise) or received by the Administrative Agent from a Defaulting Lender pursuant to Section 12.08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Fronting Bank hereunder; third, to cash collateralize LC Exposure with respect to such Defaulting Lender in accordance with this Section; fourth, as the Borrower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Borrower, to be held in a deposit account and released pro rata in order to (x) satisfy such Defaulting Lender’s potential future funding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114</w:t>
      </w:r>
    </w:p>
    <w:p>
      <w:pPr>
        <w:sectPr>
          <w:pgSz w:w="11900" w:h="16838" w:orient="portrait"/>
          <w:cols w:equalWidth="0" w:num="1">
            <w:col w:w="11240"/>
          </w:cols>
          <w:pgMar w:left="320" w:top="1440" w:right="339" w:bottom="1440" w:gutter="0" w:footer="0" w:header="0"/>
        </w:sectPr>
      </w:pPr>
    </w:p>
    <w:bookmarkStart w:id="547" w:name="page548"/>
    <w:bookmarkEnd w:id="547"/>
    <w:p>
      <w:pPr>
        <w:jc w:val="both"/>
        <w:spacing w:after="0" w:line="266" w:lineRule="auto"/>
        <w:rPr>
          <w:sz w:val="20"/>
          <w:szCs w:val="20"/>
          <w:color w:val="auto"/>
        </w:rPr>
      </w:pPr>
      <w:r>
        <w:rPr>
          <w:rFonts w:ascii="Times New Roman" w:cs="Times New Roman" w:eastAsia="Times New Roman" w:hAnsi="Times New Roman"/>
          <w:sz w:val="20"/>
          <w:szCs w:val="20"/>
          <w:color w:val="auto"/>
        </w:rPr>
        <w:t>obligations with respect to Loans under this Agreement and (y) cash collateralize future LC Exposure with respect to such Defaulting Lender with respect to future Letters of Credit issued under this Agreement, in accordance with this Section; sixth, to the payment of any amounts owing to the Banks or the Fronting Banks as a result of any judgment of a court of competent jurisdiction obtained by any Bank or the Fronting Banks against such Defaulting Lender as a result of such Defaulting Lender’s breach of its obligations under this Agreement or under any other Loan Document;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eighth, to such Defaulting Lender or as otherwise directed by a court of competent jurisdiction; provided that if</w:t>
      </w:r>
    </w:p>
    <w:p>
      <w:pPr>
        <w:spacing w:after="0" w:line="2" w:lineRule="exact"/>
        <w:rPr>
          <w:sz w:val="20"/>
          <w:szCs w:val="20"/>
          <w:color w:val="auto"/>
        </w:rPr>
      </w:pPr>
    </w:p>
    <w:p>
      <w:pPr>
        <w:jc w:val="both"/>
        <w:ind w:firstLine="5"/>
        <w:spacing w:after="0" w:line="251" w:lineRule="auto"/>
        <w:tabs>
          <w:tab w:leader="none" w:pos="299" w:val="left"/>
        </w:tabs>
        <w:numPr>
          <w:ilvl w:val="0"/>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payment is a payment of the principal amount of any Loans or reimbursement obligations with respect to Letters of Credit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reimbursement obligations with respect to Letters of Credit owed to, all non-Defaulting Lenders on a pro rata basis prior to being applied to the payment of any Loans of, or reimbursement obligations with respect to Letters of Credit owed to, such Defaulting Lender until such time as all Loans and funded and unfunded participations in the Borrower’s obligations corresponding to such Defaulting Lender’s LC Exposure are held by the Banks pro rata in accordance with the Loan Commitments without giving effect to clause (c) above. Any payments, prepayments or other amounts paid or payable to a Defaulting Lender that are applied (or held) to pay amounts owed by a Defaulting Lender or to post cash collateral pursuant to this Section shall be deemed paid to and redirected by such Defaulting Lender, and each Bank irrevocably consents hereto.</w:t>
      </w:r>
    </w:p>
    <w:p>
      <w:pPr>
        <w:spacing w:after="0" w:line="175" w:lineRule="exact"/>
        <w:rPr>
          <w:sz w:val="20"/>
          <w:szCs w:val="20"/>
          <w:color w:val="auto"/>
        </w:rPr>
      </w:pPr>
    </w:p>
    <w:p>
      <w:pPr>
        <w:jc w:val="both"/>
        <w:ind w:firstLine="629"/>
        <w:spacing w:after="0" w:line="253" w:lineRule="auto"/>
        <w:rPr>
          <w:sz w:val="20"/>
          <w:szCs w:val="20"/>
          <w:color w:val="auto"/>
        </w:rPr>
      </w:pPr>
      <w:r>
        <w:rPr>
          <w:rFonts w:ascii="Times New Roman" w:cs="Times New Roman" w:eastAsia="Times New Roman" w:hAnsi="Times New Roman"/>
          <w:sz w:val="21"/>
          <w:szCs w:val="21"/>
          <w:color w:val="auto"/>
        </w:rPr>
        <w:t>If (i) a Bankruptcy Event or a Bail-In Action with respect to a Parent of any Bank shall occur following the date hereof and for so long as such event shall continue or (ii) the Fronting Bank has a good faith belief that any Bank has defaulted in fulfilling its obligations under one or more other agreements in which such bank commits to extend credit, the Fronting Bank shall not be required to issue, amend or increase any Letter of Credit, unless the Fronting Bank (x) shall have entered into arrangements with Borrower or such Bank, satisfactory to the Fronting Bank to defease any risk to it in respect of such Bank hereunder, or (y) is satisfied that the related exposure and such Bank’s then outstanding Pro Rata Share of outstanding Letters of Credit will be 100% covered by the Loan Commitments of the other Banks and/or cash collateral will be provided by the Borrower in accordance with Section 12.20(c)(2), and participating interests in any newly issued or increased Letter of Credit shall be allocated among the other Banks in a manner consistent with Section 12.20(c)(1) (and such Bank shall not participate therein).</w:t>
      </w:r>
    </w:p>
    <w:p>
      <w:pPr>
        <w:spacing w:after="0" w:line="145" w:lineRule="exact"/>
        <w:rPr>
          <w:sz w:val="20"/>
          <w:szCs w:val="20"/>
          <w:color w:val="auto"/>
        </w:rPr>
      </w:pPr>
    </w:p>
    <w:p>
      <w:pPr>
        <w:jc w:val="both"/>
        <w:ind w:firstLine="629"/>
        <w:spacing w:after="0" w:line="219" w:lineRule="auto"/>
        <w:rPr>
          <w:sz w:val="20"/>
          <w:szCs w:val="20"/>
          <w:color w:val="auto"/>
        </w:rPr>
      </w:pPr>
      <w:r>
        <w:rPr>
          <w:rFonts w:ascii="Times New Roman" w:cs="Times New Roman" w:eastAsia="Times New Roman" w:hAnsi="Times New Roman"/>
          <w:sz w:val="21"/>
          <w:szCs w:val="21"/>
          <w:color w:val="auto"/>
        </w:rPr>
        <w:t>In the event that the Administrative Agent, the Borrower, and the Fronting Bank each agrees that a Defaulting Lender has adequately remedied all matters that caused such Bank to be a Defaulting Lender, then such Bank shall thereupon cease to be a Defaulting Lender and the Pro Rata Shares of the Banks with respect to the outstanding Letters of Credit shall be readjusted to reflect the inclusion of such Bank’s Loan Commitment and on such date such Bank shall purchase at par such of the Loans of the other Banks as the Administrative Agent shall determine may be necessary in order for such Bank to hold such Loans in accordance with its Pro Rata Share and cash collateral under Section 12.20(c)(3) to be redelivered to the Borrower.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115</w:t>
      </w:r>
    </w:p>
    <w:p>
      <w:pPr>
        <w:sectPr>
          <w:pgSz w:w="11900" w:h="16838" w:orient="portrait"/>
          <w:cols w:equalWidth="0" w:num="1">
            <w:col w:w="11240"/>
          </w:cols>
          <w:pgMar w:left="320" w:top="1251" w:right="339" w:bottom="1440" w:gutter="0" w:footer="0" w:header="0"/>
        </w:sectPr>
      </w:pPr>
    </w:p>
    <w:bookmarkStart w:id="548" w:name="page549"/>
    <w:bookmarkEnd w:id="548"/>
    <w:p>
      <w:pPr>
        <w:spacing w:after="0" w:line="21" w:lineRule="exact"/>
        <w:rPr>
          <w:sz w:val="20"/>
          <w:szCs w:val="20"/>
          <w:color w:val="auto"/>
        </w:rPr>
      </w:pPr>
    </w:p>
    <w:p>
      <w:pPr>
        <w:jc w:val="both"/>
        <w:ind w:firstLine="629"/>
        <w:spacing w:after="0" w:line="224" w:lineRule="auto"/>
        <w:rPr>
          <w:sz w:val="20"/>
          <w:szCs w:val="20"/>
          <w:color w:val="auto"/>
        </w:rPr>
      </w:pPr>
      <w:r>
        <w:rPr>
          <w:rFonts w:ascii="Times New Roman" w:cs="Times New Roman" w:eastAsia="Times New Roman" w:hAnsi="Times New Roman"/>
          <w:sz w:val="21"/>
          <w:szCs w:val="21"/>
          <w:color w:val="auto"/>
        </w:rPr>
        <w:t>In the event that a Bank shall become a Defaulting Lender, then, provided that no Event of Default shall have occurred and be outstanding, and subject to the provisions of applicable law, for so long as such Bank shall remain a Defaulting Lender, Borrower shall have the right to replace such Defaulting Lender as though it were an Affected Bank, in accordance with the provisions of Section 3.07.</w:t>
      </w:r>
    </w:p>
    <w:p>
      <w:pPr>
        <w:spacing w:after="0" w:line="146" w:lineRule="exact"/>
        <w:rPr>
          <w:sz w:val="20"/>
          <w:szCs w:val="20"/>
          <w:color w:val="auto"/>
        </w:rPr>
      </w:pPr>
    </w:p>
    <w:p>
      <w:pPr>
        <w:jc w:val="both"/>
        <w:ind w:firstLine="629"/>
        <w:spacing w:after="0" w:line="210" w:lineRule="auto"/>
        <w:rPr>
          <w:sz w:val="20"/>
          <w:szCs w:val="20"/>
          <w:color w:val="auto"/>
        </w:rPr>
      </w:pPr>
      <w:r>
        <w:rPr>
          <w:rFonts w:ascii="Times New Roman" w:cs="Times New Roman" w:eastAsia="Times New Roman" w:hAnsi="Times New Roman"/>
          <w:sz w:val="21"/>
          <w:szCs w:val="21"/>
          <w:color w:val="auto"/>
        </w:rPr>
        <w:t xml:space="preserve">SECTION 12.21. </w:t>
      </w:r>
      <w:r>
        <w:rPr>
          <w:rFonts w:ascii="Times New Roman" w:cs="Times New Roman" w:eastAsia="Times New Roman" w:hAnsi="Times New Roman"/>
          <w:sz w:val="21"/>
          <w:szCs w:val="21"/>
          <w:u w:val="single" w:color="auto"/>
          <w:color w:val="auto"/>
        </w:rPr>
        <w:t>Use for Mortgages.</w:t>
      </w:r>
      <w:r>
        <w:rPr>
          <w:rFonts w:ascii="Times New Roman" w:cs="Times New Roman" w:eastAsia="Times New Roman" w:hAnsi="Times New Roman"/>
          <w:sz w:val="21"/>
          <w:szCs w:val="21"/>
          <w:color w:val="auto"/>
        </w:rPr>
        <w:t xml:space="preserve"> From time to time, on not less than ten (10) Banking Days’ notice, the Borrower may request proceeds of the Loans be used to refinance or acquire properties secured by certain secured mortgage Debt of the Borrower and/or its subsidiaries (including mortgage encumbering properties held by a nominee of Borrower and/or its subsidiaries), in which event, a portion of the Loans equal to the amount of the advances made hereunder in connection with such refinancing or acquisition, at the Borrower’s election, may be secured by an amended and restated mortgage on the property securing the mortgage Debt to be so refinanced or acquired (a “Refinancing Mortgage”) and evidenced by a mortgage note executed by Borrower and/or one or more Subsidiaries (provided that if Borrower shall not execute such mortgage note, the Borrower shall execute a guaranty of such mortgage note), as more particularly set forth in Section 2.09, provided that no Refinancing Mortgage may encumber a property located in a Special Flood Hazard Area as designated by the Federal Emergency Management Agency. At least seven (7) Banking Days prior to the recordation of any Refinancing Mortgage, the Administrative Agent shall provide all Banks with a legal description and special flood hazard determination form for all property proposed to be encumbered thereby. Any such Refinancing Mortgage and any other agreement, certifications, opinions and other documents will be (i) in form and substance reasonably acceptable to the Administrative Agent and its counsel, (ii) be consistent in all respects with the terms of this Agreement, and (iii) subject to being released or assigned by the Administrative Agent at the request of the Borrower (it being understood and agreed that the Administrative Agent and the Banks shall not be required to give any representations or warranties with respect to any such release or assignment, including with respect to any aspects of the Debt secured thereby, except that it is the holder thereof and authorized to execute and deliver the same). In addition, in connection with each Refinancing Mortgage, the Administrative Agent, at the request and expense of Borrower, will provide subordination, non-disturbance and attornment agreements and intercreditor and/or subordination agreements with respect to any other Debt secured by the related mortgaged property, in each case in form and substance reasonably satisfactory to the Administrative Agent. Unless otherwise directed by Borrower, any prepayments made by the Borrower shall be applied first to any and all Loans outstanding that are not secured by a Refinancing Mortgage, and only to Loans secured by Refinancing Mortgages if there shall be no other Loans outstanding at the time. Notwithstanding anything to the contrary set forth herein, if there is one or more Refinancing Mortgages outstanding at the time, no MIRE Event may be closed until the date on which the Administrative Agent shall have received confirmation from each Bank that such Bank has completed any necessary flood insurance due diligence to its reasonable satisfaction; provided that no Bank shall unreasonably delay, withhold or condition such confirmation. For purposes hereof, “MIRE Event” means, any increase, extension or renewal of any of the Loan Commitments or Loans (including any increase of Loan Commitments pursuant to Section 2.16 or otherwise, but excluding (i) any extension of the Maturity Date pursuant to Section 2.18, (ii) any continuation or conversion of Loans, (iii) the making of any Loan or (iv) the issuance, renewal or extension of Letters of Credit).</w:t>
      </w:r>
    </w:p>
    <w:p>
      <w:pPr>
        <w:spacing w:after="0" w:line="160" w:lineRule="exact"/>
        <w:rPr>
          <w:sz w:val="20"/>
          <w:szCs w:val="20"/>
          <w:color w:val="auto"/>
        </w:rPr>
      </w:pPr>
    </w:p>
    <w:p>
      <w:pPr>
        <w:jc w:val="both"/>
        <w:ind w:firstLine="629"/>
        <w:spacing w:after="0" w:line="221" w:lineRule="auto"/>
        <w:rPr>
          <w:sz w:val="20"/>
          <w:szCs w:val="20"/>
          <w:color w:val="auto"/>
        </w:rPr>
      </w:pPr>
      <w:r>
        <w:rPr>
          <w:rFonts w:ascii="Times New Roman" w:cs="Times New Roman" w:eastAsia="Times New Roman" w:hAnsi="Times New Roman"/>
          <w:sz w:val="21"/>
          <w:szCs w:val="21"/>
          <w:color w:val="auto"/>
        </w:rPr>
        <w:t xml:space="preserve">SECTION 12.22. </w:t>
      </w:r>
      <w:r>
        <w:rPr>
          <w:rFonts w:ascii="Times New Roman" w:cs="Times New Roman" w:eastAsia="Times New Roman" w:hAnsi="Times New Roman"/>
          <w:sz w:val="21"/>
          <w:szCs w:val="21"/>
          <w:u w:val="single" w:color="auto"/>
          <w:color w:val="auto"/>
        </w:rPr>
        <w:t>Partner Guaranties.</w:t>
      </w:r>
      <w:r>
        <w:rPr>
          <w:rFonts w:ascii="Times New Roman" w:cs="Times New Roman" w:eastAsia="Times New Roman" w:hAnsi="Times New Roman"/>
          <w:sz w:val="21"/>
          <w:szCs w:val="21"/>
          <w:color w:val="auto"/>
        </w:rPr>
        <w:t xml:space="preserve"> At Borrower’s request from time to time, Administrative Agent shall accept “partner” guaranties of all or a portion of the Loans from limited partners in Borrower or limited partners or members of Borrower’s subsidiaries in such amounts and on such terms as Borrower shall request, provided that Administrative Agent shall have reasonably satisfied itself and the Banks with respect to know-your-customer requirements, Anti-Corruption Laws, OFAC, the Beneficial Ownership Regulation and similar restrictions in respect of any such proposed guarantor.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116</w:t>
      </w:r>
    </w:p>
    <w:p>
      <w:pPr>
        <w:sectPr>
          <w:pgSz w:w="11900" w:h="16838" w:orient="portrait"/>
          <w:cols w:equalWidth="0" w:num="1">
            <w:col w:w="11240"/>
          </w:cols>
          <w:pgMar w:left="320" w:top="1440" w:right="339" w:bottom="1440" w:gutter="0" w:footer="0" w:header="0"/>
        </w:sectPr>
      </w:pPr>
    </w:p>
    <w:bookmarkStart w:id="549" w:name="page550"/>
    <w:bookmarkEnd w:id="549"/>
    <w:p>
      <w:pPr>
        <w:jc w:val="both"/>
        <w:ind w:firstLine="629"/>
        <w:spacing w:after="0" w:line="211" w:lineRule="auto"/>
        <w:rPr>
          <w:sz w:val="20"/>
          <w:szCs w:val="20"/>
          <w:color w:val="auto"/>
        </w:rPr>
      </w:pPr>
      <w:r>
        <w:rPr>
          <w:rFonts w:ascii="Times New Roman" w:cs="Times New Roman" w:eastAsia="Times New Roman" w:hAnsi="Times New Roman"/>
          <w:sz w:val="21"/>
          <w:szCs w:val="21"/>
          <w:color w:val="auto"/>
        </w:rPr>
        <w:t xml:space="preserve">SECTION 12.23.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Each of the Administrative Agent, the Fronting Banks and the Banks agrees to maintain the confidentiality of the Information (as defined below), except that Information may be disclosed (a) to its and its Affiliates' directors, officers, employees, and agents, including accountants, legal counsel, consultants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hereunder or any suit, action or proceeding relating to this Agreement or the enforcement of rights hereunder,</w:t>
      </w:r>
    </w:p>
    <w:p>
      <w:pPr>
        <w:spacing w:after="0" w:line="2" w:lineRule="exact"/>
        <w:rPr>
          <w:sz w:val="20"/>
          <w:szCs w:val="20"/>
          <w:color w:val="auto"/>
        </w:rPr>
      </w:pPr>
    </w:p>
    <w:p>
      <w:pPr>
        <w:jc w:val="both"/>
        <w:ind w:firstLine="5"/>
        <w:spacing w:after="0" w:line="211" w:lineRule="auto"/>
        <w:tabs>
          <w:tab w:leader="none" w:pos="270"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an agreement containing provisions substantially the same as those of this Section, to (i) any assignee of or Participant in, or any bona fide prospective assignee of or Participant in, any of its rights or obligations under this Agreement, to the extent reasonably requested by such assignee or Participant or prospective assignee or Participant or (ii) any actual or prospective counterparty (or its advisors) to any swap or derivative transaction or insurers, reinsurers or credit risk support providers relating to the Borrower and its obligations, (g) with the consent of the Borrower, (h) [intentionally omitted]; or (i) to the extent such Information (x) becomes publicly available other than as a result of a breach of this Section or (y) becomes available to the Administrative Agent, any Fronting Bank or any Bank on a non-confidential basis from a source other than the Borrower. For the purposes of this Section,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means all information received from the Borrower relating to the Borrower or its business, other than any such information that was available to the Administrative Agent, any Fronting Bank or any Bank on a non-confidential basis prior to disclosure by the Borrower. In addition, the Administrative Agent and the Banks may disclose the existence of this Agreement and information about this Agreement to market data collectors, similar service providers to the lending industry and service providers to the Administrative Agent and the Banks in connection with the administration of this Agreement, the other Loan Documents, and the Loan Commitments.</w:t>
      </w:r>
    </w:p>
    <w:p>
      <w:pPr>
        <w:spacing w:after="0" w:line="150" w:lineRule="exact"/>
        <w:rPr>
          <w:sz w:val="20"/>
          <w:szCs w:val="20"/>
          <w:color w:val="auto"/>
        </w:rPr>
      </w:pPr>
    </w:p>
    <w:p>
      <w:pPr>
        <w:jc w:val="both"/>
        <w:ind w:firstLine="629"/>
        <w:spacing w:after="0" w:line="224" w:lineRule="auto"/>
        <w:rPr>
          <w:sz w:val="20"/>
          <w:szCs w:val="20"/>
          <w:color w:val="auto"/>
        </w:rPr>
      </w:pPr>
      <w:r>
        <w:rPr>
          <w:rFonts w:ascii="Times New Roman" w:cs="Times New Roman" w:eastAsia="Times New Roman" w:hAnsi="Times New Roman"/>
          <w:sz w:val="21"/>
          <w:szCs w:val="21"/>
          <w:color w:val="auto"/>
        </w:rPr>
        <w:t>For the avoidance of doubt, nothing in this Section 12.23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21"/>
          <w:szCs w:val="21"/>
          <w:u w:val="single" w:color="auto"/>
          <w:color w:val="auto"/>
        </w:rPr>
        <w:t>Regulatory Authority</w:t>
      </w:r>
      <w:r>
        <w:rPr>
          <w:rFonts w:ascii="Times New Roman" w:cs="Times New Roman" w:eastAsia="Times New Roman" w:hAnsi="Times New Roman"/>
          <w:sz w:val="21"/>
          <w:szCs w:val="21"/>
          <w:color w:val="auto"/>
        </w:rPr>
        <w:t>”) to the extent that any such prohibition on disclosure set forth in this Section 12.23 shall be prohibited by the laws or regulations applicable to such Regulatory Authority.</w:t>
      </w:r>
    </w:p>
    <w:p>
      <w:pPr>
        <w:spacing w:after="0" w:line="146" w:lineRule="exact"/>
        <w:rPr>
          <w:sz w:val="20"/>
          <w:szCs w:val="20"/>
          <w:color w:val="auto"/>
        </w:rPr>
      </w:pPr>
    </w:p>
    <w:p>
      <w:pPr>
        <w:ind w:left="640"/>
        <w:spacing w:after="0"/>
        <w:tabs>
          <w:tab w:leader="none" w:pos="2500" w:val="left"/>
        </w:tabs>
        <w:rPr>
          <w:sz w:val="20"/>
          <w:szCs w:val="20"/>
          <w:color w:val="auto"/>
        </w:rPr>
      </w:pPr>
      <w:r>
        <w:rPr>
          <w:rFonts w:ascii="Times New Roman" w:cs="Times New Roman" w:eastAsia="Times New Roman" w:hAnsi="Times New Roman"/>
          <w:sz w:val="21"/>
          <w:szCs w:val="21"/>
          <w:u w:val="single" w:color="auto"/>
          <w:color w:val="auto"/>
        </w:rPr>
        <w:t>SECTION 12.24.</w:t>
      </w:r>
      <w:r>
        <w:rPr>
          <w:sz w:val="20"/>
          <w:szCs w:val="20"/>
          <w:color w:val="auto"/>
        </w:rPr>
        <w:tab/>
      </w:r>
      <w:r>
        <w:rPr>
          <w:rFonts w:ascii="Times New Roman" w:cs="Times New Roman" w:eastAsia="Times New Roman" w:hAnsi="Times New Roman"/>
          <w:sz w:val="20"/>
          <w:szCs w:val="20"/>
          <w:u w:val="single" w:color="auto"/>
          <w:color w:val="auto"/>
        </w:rPr>
        <w:t>Transitional Arrangements.</w:t>
      </w:r>
    </w:p>
    <w:p>
      <w:pPr>
        <w:spacing w:after="0" w:line="178" w:lineRule="exact"/>
        <w:rPr>
          <w:sz w:val="20"/>
          <w:szCs w:val="20"/>
          <w:color w:val="auto"/>
        </w:rPr>
      </w:pPr>
    </w:p>
    <w:p>
      <w:pPr>
        <w:jc w:val="both"/>
        <w:ind w:firstLine="634"/>
        <w:spacing w:after="0" w:line="229" w:lineRule="auto"/>
        <w:tabs>
          <w:tab w:leader="none" w:pos="1254" w:val="left"/>
        </w:tabs>
        <w:numPr>
          <w:ilvl w:val="0"/>
          <w:numId w:val="3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Existing 2022 Credit Agreement Superseded</w:t>
      </w:r>
      <w:r>
        <w:rPr>
          <w:rFonts w:ascii="Times New Roman" w:cs="Times New Roman" w:eastAsia="Times New Roman" w:hAnsi="Times New Roman"/>
          <w:sz w:val="21"/>
          <w:szCs w:val="21"/>
          <w:color w:val="auto"/>
        </w:rPr>
        <w:t>. This Agreement shall supersede the Existing 2022 Credit Agreement in its entirety, except as provided in this Section 12.24. On the Closing Date, (i) the loans outstanding under the Existing 2022 Credit Agreement shall become Loans hereunder, (ii) the rights and obligations of the parties under the Existing 2022 Credit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117</w:t>
      </w:r>
    </w:p>
    <w:p>
      <w:pPr>
        <w:sectPr>
          <w:pgSz w:w="11900" w:h="16838" w:orient="portrait"/>
          <w:cols w:equalWidth="0" w:num="1">
            <w:col w:w="11240"/>
          </w:cols>
          <w:pgMar w:left="320" w:top="1225" w:right="339" w:bottom="1440" w:gutter="0" w:footer="0" w:header="0"/>
        </w:sectPr>
      </w:pPr>
    </w:p>
    <w:bookmarkStart w:id="550" w:name="page551"/>
    <w:bookmarkEnd w:id="550"/>
    <w:p>
      <w:pPr>
        <w:jc w:val="both"/>
        <w:spacing w:after="0" w:line="210" w:lineRule="auto"/>
        <w:rPr>
          <w:sz w:val="20"/>
          <w:szCs w:val="20"/>
          <w:color w:val="auto"/>
        </w:rPr>
      </w:pPr>
      <w:r>
        <w:rPr>
          <w:rFonts w:ascii="Times New Roman" w:cs="Times New Roman" w:eastAsia="Times New Roman" w:hAnsi="Times New Roman"/>
          <w:sz w:val="21"/>
          <w:szCs w:val="21"/>
          <w:color w:val="auto"/>
        </w:rPr>
        <w:t>Agreement and the “Notes” defined therein shall be subsumed within and be governed by this Agreement and the Notes; provided, however, that for purposes of this clause (ii) any of the “Obligations” (as defined in the Existing 2022 Credit Agreement) outstanding under the Existing 2022 Credit Agreement shall, for purposes of this Agreement, be Obligations hereunder, (iii) this Agreement shall not in any way release or impair the rights, duties or obligations created pursuant to the Existing 2022 Credit Agreement or any other Loan Document or affect the relative priorities thereof, in each case to the extent in force and effect thereunder as of the Closing Date, except as modified hereby or by documents, instruments and agreements executed and delivered in connection herewith, and all of such rights, duties and obligations are assumed, ratified and affirmed by the Borrower; (iv) the obligations incurred under the Existing 2022 Credit Agreement shall, to the extent outstanding on the Closing Date, continue outstanding under this Agreement and shall not be deemed to be paid, released, discharged or otherwise satisfied by the execution of this Agreement, and this Agreement shall not constitute a refinancing, substitution or novation of such obligations or any of the other rights, duties and obligations of the parties hereunder; and (v) the execution, delivery and effectiveness of this Agreement shall not operate as a waiver of any right, power or remedy of the Banks or the Administrative Agent under the Existing 2022 Credit Agreement, or constitute a waiver of any covenant, agreement or obligation under the Existing 2022 Credit Agreement, except to the extent that any such covenant, agreement or obligation is no longer set forth herein or is modified hereby. The Banks’ interests in such obligations, and participations in outstanding Letters of Credit under the Existing 2022 Credit Agreement, shall be reallocated on the Closing Date in accordance with each Bank's Pro Rata Share. On the Closing Date, (A) the loan commitment of each Bank that is a party to the Existing 2022 Credit Agreement but is not a party to this Agreement (an “Exiting Bank”) shall be terminated, all outstanding obligations owing to such Exiting Banks under the Existing 2022 Credit Agreement on the Closing Date shall be paid in full, and each Exiting Bank shall cease to be a Bank under this Agreement; provided, however, that, notwithstanding anything else provided herein or otherwise, any rights of an Existing Bank under the Loan Documents that are intended by their express terms to survive termination of the Loan Commitments and/or the repayment, satisfaction or discharge of obligations under any Loan Document shall survive for such Exiting Bank hereunder, and (B) each Person listed on Schedule 1 attached to this Agreement shall be a Bank under this Agreement with the Loan Commitment set forth opposite its name on such Schedule 1. Each Bank agrees to waive any amounts that would have otherwise been payable pursuant to Section 3.05 of the Existing 2022 Credit Agreement as a result of the conversion of any Term Benchmark Loans (as defined in the Existing 2022 Credit Agreement) on the Closing Date.</w:t>
      </w:r>
    </w:p>
    <w:p>
      <w:pPr>
        <w:spacing w:after="0" w:line="167" w:lineRule="exact"/>
        <w:rPr>
          <w:sz w:val="20"/>
          <w:szCs w:val="20"/>
          <w:color w:val="auto"/>
        </w:rPr>
      </w:pPr>
    </w:p>
    <w:p>
      <w:pPr>
        <w:jc w:val="both"/>
        <w:ind w:firstLine="634"/>
        <w:spacing w:after="0" w:line="224" w:lineRule="auto"/>
        <w:tabs>
          <w:tab w:leader="none" w:pos="1253" w:val="left"/>
        </w:tabs>
        <w:numPr>
          <w:ilvl w:val="0"/>
          <w:numId w:val="3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Interest and Fees under Existing 2022 Credit Agreement</w:t>
      </w:r>
      <w:r>
        <w:rPr>
          <w:rFonts w:ascii="Times New Roman" w:cs="Times New Roman" w:eastAsia="Times New Roman" w:hAnsi="Times New Roman"/>
          <w:sz w:val="21"/>
          <w:szCs w:val="21"/>
          <w:color w:val="auto"/>
        </w:rPr>
        <w:t>. All interest and all commitment, facility and other fees and expenses owing or accruing under or in respect of the Existing 2022 Credit Agreement shall be calculated as of the Closing Date (prorated in the case of any fractional periods), and shall be paid on the Closing Date in accordance with the method specified in the Existing 2022 Credit Agreement as if such agreement were still in effect.</w:t>
      </w:r>
    </w:p>
    <w:p>
      <w:pPr>
        <w:spacing w:after="0" w:line="146" w:lineRule="exact"/>
        <w:rPr>
          <w:sz w:val="20"/>
          <w:szCs w:val="20"/>
          <w:color w:val="auto"/>
        </w:rPr>
      </w:pPr>
    </w:p>
    <w:p>
      <w:pPr>
        <w:jc w:val="both"/>
        <w:ind w:firstLine="629"/>
        <w:spacing w:after="0" w:line="214" w:lineRule="auto"/>
        <w:rPr>
          <w:sz w:val="20"/>
          <w:szCs w:val="20"/>
          <w:color w:val="auto"/>
        </w:rPr>
      </w:pPr>
      <w:r>
        <w:rPr>
          <w:rFonts w:ascii="Times New Roman" w:cs="Times New Roman" w:eastAsia="Times New Roman" w:hAnsi="Times New Roman"/>
          <w:sz w:val="21"/>
          <w:szCs w:val="21"/>
          <w:color w:val="auto"/>
        </w:rPr>
        <w:t xml:space="preserve">SECTION 12.25. </w:t>
      </w:r>
      <w:r>
        <w:rPr>
          <w:rFonts w:ascii="Times New Roman" w:cs="Times New Roman" w:eastAsia="Times New Roman" w:hAnsi="Times New Roman"/>
          <w:sz w:val="21"/>
          <w:szCs w:val="21"/>
          <w:u w:val="single" w:color="auto"/>
          <w:color w:val="auto"/>
        </w:rPr>
        <w:t>No Advisory or Fiduciary Responsibility.</w:t>
      </w:r>
      <w:r>
        <w:rPr>
          <w:rFonts w:ascii="Times New Roman" w:cs="Times New Roman" w:eastAsia="Times New Roman" w:hAnsi="Times New Roman"/>
          <w:sz w:val="21"/>
          <w:szCs w:val="21"/>
          <w:color w:val="auto"/>
        </w:rPr>
        <w:t xml:space="preserve"> (a) 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the Lead Arrangers, the Sustainability Structuring Agents, and the Banks are arm’s-length commercial transactions between the Borrower and its Affiliates, on the one hand, and the Administrative Agent, the Lead Arrangers, the Sustainability Structuring Agents, and the Banks, on the other hand, (B) the Borrower has consulted its own legal, accounting, regulatory and tax advisors to the extent it has deemed appropriate and none of the Administrative Agent, the Lead Arrangers, the Sustainability Structuring Agents or the Banks is advising the Borrower as to any legal, tax, accounting or regulatory matters, and (C) the Borrower is capable of evaluating, and understands and accepts, the terms, risks and conditions of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118</w:t>
      </w:r>
    </w:p>
    <w:p>
      <w:pPr>
        <w:sectPr>
          <w:pgSz w:w="11900" w:h="16838" w:orient="portrait"/>
          <w:cols w:equalWidth="0" w:num="1">
            <w:col w:w="11240"/>
          </w:cols>
          <w:pgMar w:left="320" w:top="1225" w:right="339" w:bottom="1440" w:gutter="0" w:footer="0" w:header="0"/>
        </w:sectPr>
      </w:pPr>
    </w:p>
    <w:bookmarkStart w:id="551" w:name="page552"/>
    <w:bookmarkEnd w:id="551"/>
    <w:p>
      <w:pPr>
        <w:jc w:val="both"/>
        <w:spacing w:after="0" w:line="213" w:lineRule="auto"/>
        <w:rPr>
          <w:sz w:val="20"/>
          <w:szCs w:val="20"/>
          <w:color w:val="auto"/>
        </w:rPr>
      </w:pPr>
      <w:r>
        <w:rPr>
          <w:rFonts w:ascii="Times New Roman" w:cs="Times New Roman" w:eastAsia="Times New Roman" w:hAnsi="Times New Roman"/>
          <w:sz w:val="21"/>
          <w:szCs w:val="21"/>
          <w:color w:val="auto"/>
        </w:rPr>
        <w:t>and by the other Loan Documents; (ii) (A) the Administrative Agent, each Lead Arranger, each Sustainability Structuring Agent and each Bank is and has been acting solely as a principal and, except as expressly agreed in writing by the relevant parties, has not been, is not, and will not be acting as an advisor, agent or fiduciary for the Borrower or any of its Affiliates, or any other Person and (B) none of the Administrative Agent, any Lead Arranger, any Sustainability Structuring Agent or any Bank has any obligation to the Borrower or any of its Affiliates with respect to the transactions contemplated hereby except those obligations expressly set forth herein and in the other Loan Documents; and (iii) the Administrative Agent, the Lead Arrangers, the Sustainability Structuring Agents and the Banks and their respective Affiliates may be engaged in a broad range of transactions that involve interests that differ from those of the Borrower and its Affiliates, and none of the Administrative Agent, any Lead Arranger, any Sustainability Structuring Agent, or any Bank has any obligation to disclose any of such interests to the Borrower or its Affiliates. The Borrower agrees that it will not assert any claim against the Administrative Agent, any Lead Arranger, any Sustainability Structuring Agent or any Bank based on an alleged breach of fiduciary duty by such Person in connection with this Agreement and the transactions contemplated hereby.</w:t>
      </w:r>
    </w:p>
    <w:p>
      <w:pPr>
        <w:spacing w:after="0" w:line="179" w:lineRule="exact"/>
        <w:rPr>
          <w:sz w:val="20"/>
          <w:szCs w:val="20"/>
          <w:color w:val="auto"/>
        </w:rPr>
      </w:pPr>
    </w:p>
    <w:p>
      <w:pPr>
        <w:jc w:val="both"/>
        <w:ind w:firstLine="634"/>
        <w:spacing w:after="0" w:line="254" w:lineRule="auto"/>
        <w:tabs>
          <w:tab w:leader="none" w:pos="1184" w:val="left"/>
        </w:tabs>
        <w:numPr>
          <w:ilvl w:val="0"/>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further acknowledges and agrees, and acknowledges its Subsidiaries’ understanding, that each Credit Party, together with its Affiliates, in addition to providing or participating in commercial lending facilities such as that provided hereunder, may be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75" w:lineRule="exact"/>
        <w:rPr>
          <w:rFonts w:ascii="Times New Roman" w:cs="Times New Roman" w:eastAsia="Times New Roman" w:hAnsi="Times New Roman"/>
          <w:sz w:val="21"/>
          <w:szCs w:val="21"/>
          <w:color w:val="auto"/>
        </w:rPr>
      </w:pPr>
    </w:p>
    <w:p>
      <w:pPr>
        <w:jc w:val="both"/>
        <w:ind w:firstLine="634"/>
        <w:spacing w:after="0" w:line="253" w:lineRule="auto"/>
        <w:tabs>
          <w:tab w:leader="none" w:pos="1100" w:val="left"/>
        </w:tabs>
        <w:numPr>
          <w:ilvl w:val="0"/>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119</w:t>
      </w:r>
    </w:p>
    <w:p>
      <w:pPr>
        <w:sectPr>
          <w:pgSz w:w="11900" w:h="16838" w:orient="portrait"/>
          <w:cols w:equalWidth="0" w:num="1">
            <w:col w:w="11240"/>
          </w:cols>
          <w:pgMar w:left="320" w:top="1225" w:right="339" w:bottom="1440" w:gutter="0" w:footer="0" w:header="0"/>
        </w:sectPr>
      </w:pPr>
    </w:p>
    <w:bookmarkStart w:id="552" w:name="page553"/>
    <w:bookmarkEnd w:id="552"/>
    <w:p>
      <w:pPr>
        <w:spacing w:after="0" w:line="21" w:lineRule="exact"/>
        <w:rPr>
          <w:sz w:val="20"/>
          <w:szCs w:val="20"/>
          <w:color w:val="auto"/>
        </w:rPr>
      </w:pPr>
    </w:p>
    <w:p>
      <w:pPr>
        <w:jc w:val="both"/>
        <w:ind w:firstLine="629"/>
        <w:spacing w:after="0" w:line="221" w:lineRule="auto"/>
        <w:rPr>
          <w:sz w:val="20"/>
          <w:szCs w:val="20"/>
          <w:color w:val="auto"/>
        </w:rPr>
      </w:pPr>
      <w:r>
        <w:rPr>
          <w:rFonts w:ascii="Times New Roman" w:cs="Times New Roman" w:eastAsia="Times New Roman" w:hAnsi="Times New Roman"/>
          <w:sz w:val="21"/>
          <w:szCs w:val="21"/>
          <w:color w:val="auto"/>
        </w:rPr>
        <w:t xml:space="preserve">SECTION 12.26. </w:t>
      </w:r>
      <w:r>
        <w:rPr>
          <w:rFonts w:ascii="Times New Roman" w:cs="Times New Roman" w:eastAsia="Times New Roman" w:hAnsi="Times New Roman"/>
          <w:sz w:val="21"/>
          <w:szCs w:val="21"/>
          <w:u w:val="single" w:color="auto"/>
          <w:color w:val="auto"/>
        </w:rPr>
        <w:t>Acknowledgement and Consent to Bail-In of Affected Financial Institutions</w:t>
      </w:r>
      <w:r>
        <w:rPr>
          <w:rFonts w:ascii="Times New Roman" w:cs="Times New Roman" w:eastAsia="Times New Roman" w:hAnsi="Times New Roman"/>
          <w:sz w:val="21"/>
          <w:szCs w:val="21"/>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46" w:lineRule="exact"/>
        <w:rPr>
          <w:sz w:val="20"/>
          <w:szCs w:val="20"/>
          <w:color w:val="auto"/>
        </w:rPr>
      </w:pPr>
    </w:p>
    <w:p>
      <w:pPr>
        <w:ind w:firstLine="634"/>
        <w:spacing w:after="0" w:line="241" w:lineRule="auto"/>
        <w:tabs>
          <w:tab w:leader="none" w:pos="1254"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3"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effects of any Bail-In Action on any such liability, including, if applicable:</w:t>
      </w:r>
    </w:p>
    <w:p>
      <w:pPr>
        <w:spacing w:after="0" w:line="177" w:lineRule="exact"/>
        <w:rPr>
          <w:rFonts w:ascii="Times New Roman" w:cs="Times New Roman" w:eastAsia="Times New Roman" w:hAnsi="Times New Roman"/>
          <w:sz w:val="21"/>
          <w:szCs w:val="21"/>
          <w:color w:val="auto"/>
        </w:rPr>
      </w:pPr>
    </w:p>
    <w:p>
      <w:pPr>
        <w:ind w:left="1880" w:hanging="618"/>
        <w:spacing w:after="0"/>
        <w:tabs>
          <w:tab w:leader="none" w:pos="1880" w:val="left"/>
        </w:tabs>
        <w:numPr>
          <w:ilvl w:val="1"/>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full or in part or cancellation of any such liability;</w:t>
      </w:r>
    </w:p>
    <w:p>
      <w:pPr>
        <w:spacing w:after="0" w:line="177" w:lineRule="exact"/>
        <w:rPr>
          <w:rFonts w:ascii="Times New Roman" w:cs="Times New Roman" w:eastAsia="Times New Roman" w:hAnsi="Times New Roman"/>
          <w:sz w:val="21"/>
          <w:szCs w:val="21"/>
          <w:color w:val="auto"/>
        </w:rPr>
      </w:pPr>
    </w:p>
    <w:p>
      <w:pPr>
        <w:jc w:val="both"/>
        <w:ind w:left="640" w:firstLine="622"/>
        <w:spacing w:after="0" w:line="224" w:lineRule="auto"/>
        <w:tabs>
          <w:tab w:leader="none" w:pos="1891" w:val="left"/>
        </w:tabs>
        <w:numPr>
          <w:ilvl w:val="1"/>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6" w:lineRule="exact"/>
        <w:rPr>
          <w:rFonts w:ascii="Times New Roman" w:cs="Times New Roman" w:eastAsia="Times New Roman" w:hAnsi="Times New Roman"/>
          <w:sz w:val="21"/>
          <w:szCs w:val="21"/>
          <w:color w:val="auto"/>
        </w:rPr>
      </w:pPr>
    </w:p>
    <w:p>
      <w:pPr>
        <w:ind w:left="640" w:firstLine="622"/>
        <w:spacing w:after="0" w:line="241" w:lineRule="auto"/>
        <w:tabs>
          <w:tab w:leader="none" w:pos="1897" w:val="left"/>
        </w:tabs>
        <w:numPr>
          <w:ilvl w:val="1"/>
          <w:numId w:val="3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variation of the terms of such liability in connection with the exercise of the Write-Down and Conversion Powers of the applicable Resolution Authority.</w:t>
      </w:r>
    </w:p>
    <w:p>
      <w:pPr>
        <w:spacing w:after="0" w:line="144" w:lineRule="exact"/>
        <w:rPr>
          <w:sz w:val="20"/>
          <w:szCs w:val="20"/>
          <w:color w:val="auto"/>
        </w:rPr>
      </w:pPr>
    </w:p>
    <w:p>
      <w:pPr>
        <w:jc w:val="both"/>
        <w:ind w:firstLine="629"/>
        <w:spacing w:after="0" w:line="216" w:lineRule="auto"/>
        <w:rPr>
          <w:sz w:val="20"/>
          <w:szCs w:val="20"/>
          <w:color w:val="auto"/>
        </w:rPr>
      </w:pPr>
      <w:r>
        <w:rPr>
          <w:rFonts w:ascii="Times New Roman" w:cs="Times New Roman" w:eastAsia="Times New Roman" w:hAnsi="Times New Roman"/>
          <w:sz w:val="21"/>
          <w:szCs w:val="21"/>
          <w:color w:val="auto"/>
        </w:rPr>
        <w:t xml:space="preserve">SECTION 12.27. </w:t>
      </w:r>
      <w:r>
        <w:rPr>
          <w:rFonts w:ascii="Times New Roman" w:cs="Times New Roman" w:eastAsia="Times New Roman" w:hAnsi="Times New Roman"/>
          <w:sz w:val="21"/>
          <w:szCs w:val="21"/>
          <w:u w:val="single" w:color="auto"/>
          <w:color w:val="auto"/>
        </w:rPr>
        <w:t>Acknowledgement Regarding Any Supported QFCs.</w:t>
      </w:r>
      <w:r>
        <w:rPr>
          <w:rFonts w:ascii="Times New Roman" w:cs="Times New Roman" w:eastAsia="Times New Roman" w:hAnsi="Times New Roman"/>
          <w:sz w:val="21"/>
          <w:szCs w:val="21"/>
          <w:color w:val="auto"/>
        </w:rPr>
        <w:t xml:space="preserve"> To the extent that the Loan Documents provide support, through a guarantee or otherwise, for interest rate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48" w:lineRule="exact"/>
        <w:rPr>
          <w:sz w:val="20"/>
          <w:szCs w:val="20"/>
          <w:color w:val="auto"/>
        </w:rPr>
      </w:pPr>
    </w:p>
    <w:p>
      <w:pPr>
        <w:jc w:val="both"/>
        <w:ind w:firstLine="629"/>
        <w:spacing w:after="0" w:line="215" w:lineRule="auto"/>
        <w:rPr>
          <w:sz w:val="20"/>
          <w:szCs w:val="20"/>
          <w:color w:val="auto"/>
        </w:rPr>
      </w:pPr>
      <w:r>
        <w:rPr>
          <w:rFonts w:ascii="Times New Roman" w:cs="Times New Roman" w:eastAsia="Times New Roman" w:hAnsi="Times New Roman"/>
          <w:sz w:val="21"/>
          <w:szCs w:val="21"/>
          <w:color w:val="auto"/>
        </w:rPr>
        <w:t>In the event a Covered Entity that is party to a Supported QFC (each, a “</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120</w:t>
      </w:r>
    </w:p>
    <w:p>
      <w:pPr>
        <w:sectPr>
          <w:pgSz w:w="11900" w:h="16838" w:orient="portrait"/>
          <w:cols w:equalWidth="0" w:num="1">
            <w:col w:w="11240"/>
          </w:cols>
          <w:pgMar w:left="320" w:top="1440" w:right="339" w:bottom="1440" w:gutter="0" w:footer="0" w:header="0"/>
        </w:sectPr>
      </w:pPr>
    </w:p>
    <w:bookmarkStart w:id="553" w:name="page554"/>
    <w:bookmarkEnd w:id="553"/>
    <w:p>
      <w:pPr>
        <w:jc w:val="both"/>
        <w:spacing w:after="0" w:line="221" w:lineRule="auto"/>
        <w:rPr>
          <w:sz w:val="20"/>
          <w:szCs w:val="20"/>
          <w:color w:val="auto"/>
        </w:rPr>
      </w:pPr>
      <w:r>
        <w:rPr>
          <w:rFonts w:ascii="Times New Roman" w:cs="Times New Roman" w:eastAsia="Times New Roman" w:hAnsi="Times New Roman"/>
          <w:sz w:val="21"/>
          <w:szCs w:val="21"/>
          <w:color w:val="auto"/>
        </w:rPr>
        <w:t>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121</w:t>
      </w:r>
    </w:p>
    <w:p>
      <w:pPr>
        <w:sectPr>
          <w:pgSz w:w="11900" w:h="16838" w:orient="portrait"/>
          <w:cols w:equalWidth="0" w:num="1">
            <w:col w:w="11240"/>
          </w:cols>
          <w:pgMar w:left="320" w:top="1225" w:right="339" w:bottom="1440" w:gutter="0" w:footer="0" w:header="0"/>
        </w:sectPr>
      </w:pPr>
    </w:p>
    <w:bookmarkStart w:id="554" w:name="page555"/>
    <w:bookmarkEnd w:id="554"/>
    <w:p>
      <w:pPr>
        <w:spacing w:after="0" w:line="280" w:lineRule="auto"/>
        <w:rPr>
          <w:sz w:val="20"/>
          <w:szCs w:val="20"/>
          <w:color w:val="auto"/>
        </w:rPr>
      </w:pPr>
      <w:r>
        <w:rPr>
          <w:rFonts w:ascii="Times New Roman" w:cs="Times New Roman" w:eastAsia="Times New Roman" w:hAnsi="Times New Roman"/>
          <w:sz w:val="21"/>
          <w:szCs w:val="21"/>
          <w:color w:val="auto"/>
        </w:rPr>
        <w:t>IN WITNESS WHEREOF, the parties hereto have caused this Third Amended and Restated Revolving Credit Agreement to be duly executed as of the day and year first above written.</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VORNADO REALTY L.P.,</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a Delaware limited partnership</w:t>
      </w:r>
    </w:p>
    <w:p>
      <w:pPr>
        <w:spacing w:after="0" w:line="11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By: Vornado Realty Trust,</w:t>
      </w:r>
    </w:p>
    <w:p>
      <w:pPr>
        <w:spacing w:after="0" w:line="1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a Maryland real estate investment trust,</w:t>
      </w:r>
    </w:p>
    <w:p>
      <w:pPr>
        <w:ind w:left="4180"/>
        <w:spacing w:after="0"/>
        <w:rPr>
          <w:sz w:val="20"/>
          <w:szCs w:val="20"/>
          <w:color w:val="auto"/>
        </w:rPr>
      </w:pPr>
      <w:r>
        <w:rPr>
          <w:rFonts w:ascii="Times New Roman" w:cs="Times New Roman" w:eastAsia="Times New Roman" w:hAnsi="Times New Roman"/>
          <w:sz w:val="21"/>
          <w:szCs w:val="21"/>
          <w:color w:val="auto"/>
        </w:rPr>
        <w:t>general partner</w:t>
      </w:r>
    </w:p>
    <w:p>
      <w:pPr>
        <w:spacing w:after="0" w:line="18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By: /s/_Steve Borenstein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-10795</wp:posOffset>
            </wp:positionV>
            <wp:extent cx="11309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20">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21"/>
          <w:szCs w:val="21"/>
          <w:color w:val="auto"/>
        </w:rPr>
        <w:t>Name: Steve Borenstein</w:t>
      </w:r>
    </w:p>
    <w:p>
      <w:pPr>
        <w:ind w:left="4560"/>
        <w:spacing w:after="0"/>
        <w:rPr>
          <w:sz w:val="20"/>
          <w:szCs w:val="20"/>
          <w:color w:val="auto"/>
        </w:rPr>
      </w:pPr>
      <w:r>
        <w:rPr>
          <w:rFonts w:ascii="Times New Roman" w:cs="Times New Roman" w:eastAsia="Times New Roman" w:hAnsi="Times New Roman"/>
          <w:sz w:val="21"/>
          <w:szCs w:val="21"/>
          <w:color w:val="auto"/>
        </w:rPr>
        <w:t>Title: Secretary</w:t>
      </w:r>
    </w:p>
    <w:p>
      <w:pPr>
        <w:spacing w:after="0" w:line="23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u w:val="single" w:color="auto"/>
          <w:color w:val="auto"/>
        </w:rPr>
        <w:t>Address for Notices:</w:t>
      </w:r>
    </w:p>
    <w:p>
      <w:pPr>
        <w:spacing w:after="0" w:line="20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888 Seventh Avenue</w:t>
      </w:r>
    </w:p>
    <w:p>
      <w:pPr>
        <w:spacing w:after="0" w:line="1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New York, New York 10106</w:t>
      </w:r>
    </w:p>
    <w:p>
      <w:pPr>
        <w:ind w:left="3780"/>
        <w:spacing w:after="0" w:line="234" w:lineRule="auto"/>
        <w:rPr>
          <w:sz w:val="20"/>
          <w:szCs w:val="20"/>
          <w:color w:val="auto"/>
        </w:rPr>
      </w:pPr>
      <w:r>
        <w:rPr>
          <w:rFonts w:ascii="Times New Roman" w:cs="Times New Roman" w:eastAsia="Times New Roman" w:hAnsi="Times New Roman"/>
          <w:sz w:val="21"/>
          <w:szCs w:val="21"/>
          <w:color w:val="auto"/>
        </w:rPr>
        <w:t>Attention: President and Chief Financial Officer</w:t>
      </w:r>
    </w:p>
    <w:p>
      <w:pPr>
        <w:ind w:left="3780"/>
        <w:spacing w:after="0" w:line="221" w:lineRule="auto"/>
        <w:rPr>
          <w:sz w:val="20"/>
          <w:szCs w:val="20"/>
          <w:color w:val="auto"/>
        </w:rPr>
      </w:pPr>
      <w:r>
        <w:rPr>
          <w:rFonts w:ascii="Times New Roman" w:cs="Times New Roman" w:eastAsia="Times New Roman" w:hAnsi="Times New Roman"/>
          <w:sz w:val="21"/>
          <w:szCs w:val="21"/>
          <w:color w:val="auto"/>
        </w:rPr>
        <w:t>Telephone: (212) 894-7000</w:t>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Telecopy: (212) 974-3566</w:t>
      </w:r>
    </w:p>
    <w:p>
      <w:pPr>
        <w:spacing w:after="0" w:line="1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with copies to:</w:t>
      </w:r>
    </w:p>
    <w:p>
      <w:pPr>
        <w:spacing w:after="0" w:line="15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Vornado Realty Trust</w:t>
      </w:r>
    </w:p>
    <w:p>
      <w:pPr>
        <w:spacing w:after="0" w:line="1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888 Seventh Avenue</w:t>
      </w:r>
    </w:p>
    <w:p>
      <w:pPr>
        <w:ind w:left="3780"/>
        <w:spacing w:after="0" w:line="234" w:lineRule="auto"/>
        <w:rPr>
          <w:sz w:val="20"/>
          <w:szCs w:val="20"/>
          <w:color w:val="auto"/>
        </w:rPr>
      </w:pPr>
      <w:r>
        <w:rPr>
          <w:rFonts w:ascii="Times New Roman" w:cs="Times New Roman" w:eastAsia="Times New Roman" w:hAnsi="Times New Roman"/>
          <w:sz w:val="21"/>
          <w:szCs w:val="21"/>
          <w:color w:val="auto"/>
        </w:rPr>
        <w:t>New York, New York 10106</w:t>
      </w:r>
    </w:p>
    <w:p>
      <w:pPr>
        <w:ind w:left="3780"/>
        <w:spacing w:after="0" w:line="234" w:lineRule="auto"/>
        <w:rPr>
          <w:sz w:val="20"/>
          <w:szCs w:val="20"/>
          <w:color w:val="auto"/>
        </w:rPr>
      </w:pPr>
      <w:r>
        <w:rPr>
          <w:rFonts w:ascii="Times New Roman" w:cs="Times New Roman" w:eastAsia="Times New Roman" w:hAnsi="Times New Roman"/>
          <w:sz w:val="21"/>
          <w:szCs w:val="21"/>
          <w:color w:val="auto"/>
        </w:rPr>
        <w:t>Attention: Executive Vice President - Capital Markets</w:t>
      </w:r>
    </w:p>
    <w:p>
      <w:pPr>
        <w:ind w:left="3780"/>
        <w:spacing w:after="0" w:line="234" w:lineRule="auto"/>
        <w:rPr>
          <w:sz w:val="20"/>
          <w:szCs w:val="20"/>
          <w:color w:val="auto"/>
        </w:rPr>
      </w:pPr>
      <w:r>
        <w:rPr>
          <w:rFonts w:ascii="Times New Roman" w:cs="Times New Roman" w:eastAsia="Times New Roman" w:hAnsi="Times New Roman"/>
          <w:sz w:val="21"/>
          <w:szCs w:val="21"/>
          <w:color w:val="auto"/>
        </w:rPr>
        <w:t>Telephone: (212) 894-7000</w:t>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Telecopy: (212) 894-7073</w:t>
      </w:r>
    </w:p>
    <w:p>
      <w:pPr>
        <w:spacing w:after="0" w:line="1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and</w:t>
      </w:r>
    </w:p>
    <w:p>
      <w:pPr>
        <w:spacing w:after="0" w:line="15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Vornado Realty Trust</w:t>
      </w:r>
    </w:p>
    <w:p>
      <w:pPr>
        <w:ind w:left="3780"/>
        <w:spacing w:after="0"/>
        <w:rPr>
          <w:sz w:val="20"/>
          <w:szCs w:val="20"/>
          <w:color w:val="auto"/>
        </w:rPr>
      </w:pPr>
      <w:r>
        <w:rPr>
          <w:rFonts w:ascii="Times New Roman" w:cs="Times New Roman" w:eastAsia="Times New Roman" w:hAnsi="Times New Roman"/>
          <w:sz w:val="21"/>
          <w:szCs w:val="21"/>
          <w:color w:val="auto"/>
        </w:rPr>
        <w:t>888 Seventh Avenue</w:t>
      </w:r>
    </w:p>
    <w:p>
      <w:pPr>
        <w:ind w:left="3780"/>
        <w:spacing w:after="0" w:line="234" w:lineRule="auto"/>
        <w:rPr>
          <w:sz w:val="20"/>
          <w:szCs w:val="20"/>
          <w:color w:val="auto"/>
        </w:rPr>
      </w:pPr>
      <w:r>
        <w:rPr>
          <w:rFonts w:ascii="Times New Roman" w:cs="Times New Roman" w:eastAsia="Times New Roman" w:hAnsi="Times New Roman"/>
          <w:sz w:val="21"/>
          <w:szCs w:val="21"/>
          <w:color w:val="auto"/>
        </w:rPr>
        <w:t>New York, New York 10106</w:t>
      </w:r>
    </w:p>
    <w:p>
      <w:pPr>
        <w:ind w:left="3780"/>
        <w:spacing w:after="0" w:line="234" w:lineRule="auto"/>
        <w:rPr>
          <w:sz w:val="20"/>
          <w:szCs w:val="20"/>
          <w:color w:val="auto"/>
        </w:rPr>
      </w:pPr>
      <w:r>
        <w:rPr>
          <w:rFonts w:ascii="Times New Roman" w:cs="Times New Roman" w:eastAsia="Times New Roman" w:hAnsi="Times New Roman"/>
          <w:sz w:val="21"/>
          <w:szCs w:val="21"/>
          <w:color w:val="auto"/>
        </w:rPr>
        <w:t>Attention: Senior Vice President - Corporation Counsel</w:t>
      </w:r>
    </w:p>
    <w:p>
      <w:pPr>
        <w:ind w:left="3780"/>
        <w:spacing w:after="0" w:line="234" w:lineRule="auto"/>
        <w:rPr>
          <w:sz w:val="20"/>
          <w:szCs w:val="20"/>
          <w:color w:val="auto"/>
        </w:rPr>
      </w:pPr>
      <w:r>
        <w:rPr>
          <w:rFonts w:ascii="Times New Roman" w:cs="Times New Roman" w:eastAsia="Times New Roman" w:hAnsi="Times New Roman"/>
          <w:sz w:val="21"/>
          <w:szCs w:val="21"/>
          <w:color w:val="auto"/>
        </w:rPr>
        <w:t>Telephone: (212) 894-7000</w:t>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Telecopy: (212) 894-7996</w:t>
      </w:r>
    </w:p>
    <w:p>
      <w:pPr>
        <w:sectPr>
          <w:pgSz w:w="11900" w:h="16838" w:orient="portrait"/>
          <w:cols w:equalWidth="0" w:num="1">
            <w:col w:w="11240"/>
          </w:cols>
          <w:pgMar w:left="320" w:top="1382" w:right="339" w:bottom="1440" w:gutter="0" w:footer="0" w:header="0"/>
        </w:sectPr>
      </w:pPr>
    </w:p>
    <w:bookmarkStart w:id="555" w:name="page556"/>
    <w:bookmarkEnd w:id="555"/>
    <w:p>
      <w:pPr>
        <w:ind w:left="2660"/>
        <w:spacing w:after="0" w:line="280" w:lineRule="auto"/>
        <w:rPr>
          <w:sz w:val="20"/>
          <w:szCs w:val="20"/>
          <w:color w:val="auto"/>
        </w:rPr>
      </w:pPr>
      <w:r>
        <w:rPr>
          <w:rFonts w:ascii="Times New Roman" w:cs="Times New Roman" w:eastAsia="Times New Roman" w:hAnsi="Times New Roman"/>
          <w:sz w:val="21"/>
          <w:szCs w:val="21"/>
          <w:color w:val="auto"/>
        </w:rPr>
        <w:t>JPMORGAN CHASE BANK, N.A., as Administrative Agent and as a Bank and Fronting Bank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Cody A. Canafax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6186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21">
                      <a:extLst>
                        <a:ext uri="{28A0092B-C50C-407E-A947-70E740481C1C}"/>
                      </a:extLst>
                    </a:blip>
                    <a:srcRect/>
                    <a:stretch>
                      <a:fillRect/>
                    </a:stretch>
                  </pic:blipFill>
                  <pic:spPr bwMode="auto">
                    <a:xfrm>
                      <a:off x="0" y="0"/>
                      <a:ext cx="1618615" cy="8255"/>
                    </a:xfrm>
                    <a:prstGeom prst="rect">
                      <a:avLst/>
                    </a:prstGeom>
                    <a:noFill/>
                  </pic:spPr>
                </pic:pic>
              </a:graphicData>
            </a:graphic>
          </wp:anchor>
        </w:drawing>
      </w:r>
    </w:p>
    <w:p>
      <w:pPr>
        <w:spacing w:after="0" w:line="1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Cody A. Canafax</w:t>
      </w:r>
    </w:p>
    <w:p>
      <w:pPr>
        <w:spacing w:after="0" w:line="1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Executive Director</w:t>
      </w:r>
    </w:p>
    <w:p>
      <w:pPr>
        <w:sectPr>
          <w:pgSz w:w="11900" w:h="16838" w:orient="portrait"/>
          <w:cols w:equalWidth="0" w:num="1">
            <w:col w:w="9420"/>
          </w:cols>
          <w:pgMar w:left="1440" w:top="1382" w:right="1039" w:bottom="1440" w:gutter="0" w:footer="0" w:header="0"/>
        </w:sectPr>
      </w:pPr>
    </w:p>
    <w:bookmarkStart w:id="556" w:name="page557"/>
    <w:bookmarkEnd w:id="556"/>
    <w:p>
      <w:pPr>
        <w:ind w:left="2660"/>
        <w:spacing w:after="0"/>
        <w:rPr>
          <w:sz w:val="20"/>
          <w:szCs w:val="20"/>
          <w:color w:val="auto"/>
        </w:rPr>
      </w:pPr>
      <w:r>
        <w:rPr>
          <w:rFonts w:ascii="Times New Roman" w:cs="Times New Roman" w:eastAsia="Times New Roman" w:hAnsi="Times New Roman"/>
          <w:sz w:val="20"/>
          <w:szCs w:val="20"/>
          <w:color w:val="auto"/>
        </w:rPr>
        <w:t>BANK OF AMERICA, N.A. as a Bank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Cheryl Sneor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3970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22">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Cheryl Sneor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Vice President</w:t>
      </w:r>
    </w:p>
    <w:p>
      <w:pPr>
        <w:sectPr>
          <w:pgSz w:w="11900" w:h="16838" w:orient="portrait"/>
          <w:cols w:equalWidth="0" w:num="1">
            <w:col w:w="9019"/>
          </w:cols>
          <w:pgMar w:left="1440" w:top="1382" w:right="1440" w:bottom="1440" w:gutter="0" w:footer="0" w:header="0"/>
        </w:sectPr>
      </w:pPr>
    </w:p>
    <w:bookmarkStart w:id="557" w:name="page558"/>
    <w:bookmarkEnd w:id="557"/>
    <w:p>
      <w:pPr>
        <w:ind w:left="2660"/>
        <w:spacing w:after="0"/>
        <w:rPr>
          <w:sz w:val="20"/>
          <w:szCs w:val="20"/>
          <w:color w:val="auto"/>
        </w:rPr>
      </w:pPr>
      <w:r>
        <w:rPr>
          <w:rFonts w:ascii="Times New Roman" w:cs="Times New Roman" w:eastAsia="Times New Roman" w:hAnsi="Times New Roman"/>
          <w:sz w:val="21"/>
          <w:szCs w:val="21"/>
          <w:color w:val="auto"/>
        </w:rPr>
        <w:t>BMO Bank. N.A., as a Bank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Rebecca Liu Chabanon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7995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23">
                      <a:extLst>
                        <a:ext uri="{28A0092B-C50C-407E-A947-70E740481C1C}"/>
                      </a:extLst>
                    </a:blip>
                    <a:srcRect/>
                    <a:stretch>
                      <a:fillRect/>
                    </a:stretch>
                  </pic:blipFill>
                  <pic:spPr bwMode="auto">
                    <a:xfrm>
                      <a:off x="0" y="0"/>
                      <a:ext cx="179959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Rebecca Liu Chabanon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Director</w:t>
      </w:r>
    </w:p>
    <w:p>
      <w:pPr>
        <w:sectPr>
          <w:pgSz w:w="11900" w:h="16838" w:orient="portrait"/>
          <w:cols w:equalWidth="0" w:num="1">
            <w:col w:w="9019"/>
          </w:cols>
          <w:pgMar w:left="1440" w:top="1382" w:right="1440" w:bottom="1440" w:gutter="0" w:footer="0" w:header="0"/>
        </w:sectPr>
      </w:pPr>
    </w:p>
    <w:bookmarkStart w:id="558" w:name="page559"/>
    <w:bookmarkEnd w:id="558"/>
    <w:p>
      <w:pPr>
        <w:jc w:val="center"/>
        <w:ind w:right="19"/>
        <w:spacing w:after="0"/>
        <w:rPr>
          <w:sz w:val="20"/>
          <w:szCs w:val="20"/>
          <w:color w:val="auto"/>
        </w:rPr>
      </w:pPr>
      <w:r>
        <w:rPr>
          <w:rFonts w:ascii="Times New Roman" w:cs="Times New Roman" w:eastAsia="Times New Roman" w:hAnsi="Times New Roman"/>
          <w:sz w:val="20"/>
          <w:szCs w:val="20"/>
          <w:color w:val="auto"/>
        </w:rPr>
        <w:t>PNC Bank, National Association, as a Bank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Brian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18300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24">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Brian Kelly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SVP</w:t>
      </w:r>
    </w:p>
    <w:p>
      <w:pPr>
        <w:sectPr>
          <w:pgSz w:w="11900" w:h="16838" w:orient="portrait"/>
          <w:cols w:equalWidth="0" w:num="1">
            <w:col w:w="9019"/>
          </w:cols>
          <w:pgMar w:left="1440" w:top="1382" w:right="1440" w:bottom="1440" w:gutter="0" w:footer="0" w:header="0"/>
        </w:sectPr>
      </w:pPr>
    </w:p>
    <w:bookmarkStart w:id="559" w:name="page560"/>
    <w:bookmarkEnd w:id="559"/>
    <w:p>
      <w:pPr>
        <w:jc w:val="center"/>
        <w:ind w:right="99"/>
        <w:spacing w:after="0"/>
        <w:rPr>
          <w:sz w:val="20"/>
          <w:szCs w:val="20"/>
          <w:color w:val="auto"/>
        </w:rPr>
      </w:pPr>
      <w:r>
        <w:rPr>
          <w:rFonts w:ascii="Times New Roman" w:cs="Times New Roman" w:eastAsia="Times New Roman" w:hAnsi="Times New Roman"/>
          <w:sz w:val="20"/>
          <w:szCs w:val="20"/>
          <w:color w:val="auto"/>
        </w:rPr>
        <w:t>U.S. Bank National Association, as a Bank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Patrick T.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4909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25">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Patrick T. Brooks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Vice President</w:t>
      </w:r>
    </w:p>
    <w:p>
      <w:pPr>
        <w:sectPr>
          <w:pgSz w:w="11900" w:h="16838" w:orient="portrait"/>
          <w:cols w:equalWidth="0" w:num="1">
            <w:col w:w="9019"/>
          </w:cols>
          <w:pgMar w:left="1440" w:top="1382" w:right="1440" w:bottom="1440" w:gutter="0" w:footer="0" w:header="0"/>
        </w:sectPr>
      </w:pPr>
    </w:p>
    <w:bookmarkStart w:id="560" w:name="page561"/>
    <w:bookmarkEnd w:id="560"/>
    <w:p>
      <w:pPr>
        <w:ind w:left="2660"/>
        <w:spacing w:after="0"/>
        <w:rPr>
          <w:sz w:val="20"/>
          <w:szCs w:val="20"/>
          <w:color w:val="auto"/>
        </w:rPr>
      </w:pPr>
      <w:r>
        <w:rPr>
          <w:rFonts w:ascii="Times New Roman" w:cs="Times New Roman" w:eastAsia="Times New Roman" w:hAnsi="Times New Roman"/>
          <w:sz w:val="20"/>
          <w:szCs w:val="20"/>
          <w:color w:val="auto"/>
        </w:rPr>
        <w:t>Wells Fargo Bank, N.A. as Bank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By: /s/ Jackson Helms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1912620</wp:posOffset>
            </wp:positionH>
            <wp:positionV relativeFrom="paragraph">
              <wp:posOffset>-10795</wp:posOffset>
            </wp:positionV>
            <wp:extent cx="13601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2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Jackson Helms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Vice President</w:t>
      </w:r>
    </w:p>
    <w:p>
      <w:pPr>
        <w:sectPr>
          <w:pgSz w:w="11900" w:h="16838" w:orient="portrait"/>
          <w:cols w:equalWidth="0" w:num="1">
            <w:col w:w="9019"/>
          </w:cols>
          <w:pgMar w:left="1440" w:top="1382" w:right="1440" w:bottom="1440" w:gutter="0" w:footer="0" w:header="0"/>
        </w:sectPr>
      </w:pPr>
    </w:p>
    <w:bookmarkStart w:id="561" w:name="page562"/>
    <w:bookmarkEnd w:id="561"/>
    <w:p>
      <w:pPr>
        <w:ind w:left="2660"/>
        <w:spacing w:after="0"/>
        <w:rPr>
          <w:sz w:val="20"/>
          <w:szCs w:val="20"/>
          <w:color w:val="auto"/>
        </w:rPr>
      </w:pPr>
      <w:r>
        <w:rPr>
          <w:rFonts w:ascii="Times New Roman" w:cs="Times New Roman" w:eastAsia="Times New Roman" w:hAnsi="Times New Roman"/>
          <w:sz w:val="20"/>
          <w:szCs w:val="20"/>
          <w:color w:val="auto"/>
        </w:rPr>
        <w:t>Manufacturers and Traders Trust Company, as a Bank</w:t>
      </w:r>
    </w:p>
    <w:p>
      <w:pPr>
        <w:spacing w:after="0" w:line="200" w:lineRule="exact"/>
        <w:rPr>
          <w:sz w:val="20"/>
          <w:szCs w:val="20"/>
          <w:color w:val="auto"/>
        </w:rPr>
      </w:pPr>
    </w:p>
    <w:p>
      <w:pPr>
        <w:spacing w:after="0" w:line="290"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Jeffrey Prather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4757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27">
                      <a:extLst>
                        <a:ext uri="{28A0092B-C50C-407E-A947-70E740481C1C}"/>
                      </a:extLst>
                    </a:blip>
                    <a:srcRect/>
                    <a:stretch>
                      <a:fillRect/>
                    </a:stretch>
                  </pic:blipFill>
                  <pic:spPr bwMode="auto">
                    <a:xfrm>
                      <a:off x="0" y="0"/>
                      <a:ext cx="147574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Jeffrey Prather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Senior Vice President</w:t>
      </w:r>
    </w:p>
    <w:p>
      <w:pPr>
        <w:sectPr>
          <w:pgSz w:w="11900" w:h="16838" w:orient="portrait"/>
          <w:cols w:equalWidth="0" w:num="1">
            <w:col w:w="9019"/>
          </w:cols>
          <w:pgMar w:left="1440" w:top="1382" w:right="1440" w:bottom="1440" w:gutter="0" w:footer="0" w:header="0"/>
        </w:sectPr>
      </w:pPr>
    </w:p>
    <w:bookmarkStart w:id="562" w:name="page563"/>
    <w:bookmarkEnd w:id="562"/>
    <w:p>
      <w:pPr>
        <w:ind w:left="2660"/>
        <w:spacing w:after="0"/>
        <w:rPr>
          <w:sz w:val="20"/>
          <w:szCs w:val="20"/>
          <w:color w:val="auto"/>
        </w:rPr>
      </w:pPr>
      <w:r>
        <w:rPr>
          <w:rFonts w:ascii="Times New Roman" w:cs="Times New Roman" w:eastAsia="Times New Roman" w:hAnsi="Times New Roman"/>
          <w:sz w:val="20"/>
          <w:szCs w:val="20"/>
          <w:color w:val="auto"/>
        </w:rPr>
        <w:t>MIZUHO BANK, LTD., as a Bank</w:t>
      </w:r>
    </w:p>
    <w:p>
      <w:pPr>
        <w:spacing w:after="0" w:line="200" w:lineRule="exact"/>
        <w:rPr>
          <w:sz w:val="20"/>
          <w:szCs w:val="20"/>
          <w:color w:val="auto"/>
        </w:rPr>
      </w:pPr>
    </w:p>
    <w:p>
      <w:pPr>
        <w:spacing w:after="0" w:line="290"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7373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28">
                      <a:extLst>
                        <a:ext uri="{28A0092B-C50C-407E-A947-70E740481C1C}"/>
                      </a:extLst>
                    </a:blip>
                    <a:srcRect/>
                    <a:stretch>
                      <a:fillRect/>
                    </a:stretch>
                  </pic:blipFill>
                  <pic:spPr bwMode="auto">
                    <a:xfrm>
                      <a:off x="0" y="0"/>
                      <a:ext cx="173736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Donna DeMagistris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Managing Director</w:t>
      </w:r>
    </w:p>
    <w:p>
      <w:pPr>
        <w:sectPr>
          <w:pgSz w:w="11900" w:h="16838" w:orient="portrait"/>
          <w:cols w:equalWidth="0" w:num="1">
            <w:col w:w="9019"/>
          </w:cols>
          <w:pgMar w:left="1440" w:top="1383" w:right="1440" w:bottom="1440" w:gutter="0" w:footer="0" w:header="0"/>
        </w:sectPr>
      </w:pPr>
    </w:p>
    <w:bookmarkStart w:id="563" w:name="page564"/>
    <w:bookmarkEnd w:id="563"/>
    <w:p>
      <w:pPr>
        <w:ind w:left="2660"/>
        <w:spacing w:after="0"/>
        <w:rPr>
          <w:sz w:val="20"/>
          <w:szCs w:val="20"/>
          <w:color w:val="auto"/>
        </w:rPr>
      </w:pPr>
      <w:r>
        <w:rPr>
          <w:rFonts w:ascii="Times New Roman" w:cs="Times New Roman" w:eastAsia="Times New Roman" w:hAnsi="Times New Roman"/>
          <w:sz w:val="21"/>
          <w:szCs w:val="21"/>
          <w:color w:val="auto"/>
        </w:rPr>
        <w:t>Citizens Bank, N.A., as a Bank</w:t>
      </w:r>
    </w:p>
    <w:p>
      <w:pPr>
        <w:spacing w:after="0" w:line="200" w:lineRule="exact"/>
        <w:rPr>
          <w:sz w:val="20"/>
          <w:szCs w:val="20"/>
          <w:color w:val="auto"/>
        </w:rPr>
      </w:pPr>
    </w:p>
    <w:p>
      <w:pPr>
        <w:spacing w:after="0" w:line="279"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Brian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2090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9">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Brian Waldron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Senior Vice President</w:t>
      </w:r>
    </w:p>
    <w:p>
      <w:pPr>
        <w:sectPr>
          <w:pgSz w:w="11900" w:h="16838" w:orient="portrait"/>
          <w:cols w:equalWidth="0" w:num="1">
            <w:col w:w="9019"/>
          </w:cols>
          <w:pgMar w:left="1440" w:top="1382" w:right="1440" w:bottom="1440" w:gutter="0" w:footer="0" w:header="0"/>
        </w:sectPr>
      </w:pPr>
    </w:p>
    <w:bookmarkStart w:id="564" w:name="page565"/>
    <w:bookmarkEnd w:id="564"/>
    <w:p>
      <w:pPr>
        <w:jc w:val="center"/>
        <w:ind w:right="-140"/>
        <w:spacing w:after="0"/>
        <w:rPr>
          <w:sz w:val="20"/>
          <w:szCs w:val="20"/>
          <w:color w:val="auto"/>
        </w:rPr>
      </w:pPr>
      <w:r>
        <w:rPr>
          <w:rFonts w:ascii="Times New Roman" w:cs="Times New Roman" w:eastAsia="Times New Roman" w:hAnsi="Times New Roman"/>
          <w:sz w:val="20"/>
          <w:szCs w:val="20"/>
          <w:color w:val="auto"/>
        </w:rPr>
        <w:t>GOLDMAN SACHS BANK USA, as a Bank</w:t>
      </w:r>
    </w:p>
    <w:p>
      <w:pPr>
        <w:spacing w:after="0" w:line="200" w:lineRule="exact"/>
        <w:rPr>
          <w:sz w:val="20"/>
          <w:szCs w:val="20"/>
          <w:color w:val="auto"/>
        </w:rPr>
      </w:pPr>
    </w:p>
    <w:p>
      <w:pPr>
        <w:spacing w:after="0" w:line="290"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4046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30">
                      <a:extLst>
                        <a:ext uri="{28A0092B-C50C-407E-A947-70E740481C1C}"/>
                      </a:extLst>
                    </a:blip>
                    <a:srcRect/>
                    <a:stretch>
                      <a:fillRect/>
                    </a:stretch>
                  </pic:blipFill>
                  <pic:spPr bwMode="auto">
                    <a:xfrm>
                      <a:off x="0" y="0"/>
                      <a:ext cx="140462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Jonathan Dworkin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Authorized Signatory</w:t>
      </w:r>
    </w:p>
    <w:p>
      <w:pPr>
        <w:sectPr>
          <w:pgSz w:w="11900" w:h="16838" w:orient="portrait"/>
          <w:cols w:equalWidth="0" w:num="1">
            <w:col w:w="9019"/>
          </w:cols>
          <w:pgMar w:left="1440" w:top="1382" w:right="1440" w:bottom="1440" w:gutter="0" w:footer="0" w:header="0"/>
        </w:sectPr>
      </w:pPr>
    </w:p>
    <w:bookmarkStart w:id="565" w:name="page566"/>
    <w:bookmarkEnd w:id="565"/>
    <w:p>
      <w:pPr>
        <w:ind w:left="2660"/>
        <w:spacing w:after="0"/>
        <w:rPr>
          <w:sz w:val="20"/>
          <w:szCs w:val="20"/>
          <w:color w:val="auto"/>
        </w:rPr>
      </w:pPr>
      <w:r>
        <w:rPr>
          <w:rFonts w:ascii="Times New Roman" w:cs="Times New Roman" w:eastAsia="Times New Roman" w:hAnsi="Times New Roman"/>
          <w:sz w:val="20"/>
          <w:szCs w:val="20"/>
          <w:color w:val="auto"/>
        </w:rPr>
        <w:t>MORGAN STANLEY BANK, N.A., as a Bank</w:t>
      </w:r>
    </w:p>
    <w:p>
      <w:pPr>
        <w:spacing w:after="0" w:line="200" w:lineRule="exact"/>
        <w:rPr>
          <w:sz w:val="20"/>
          <w:szCs w:val="20"/>
          <w:color w:val="auto"/>
        </w:rPr>
      </w:pPr>
    </w:p>
    <w:p>
      <w:pPr>
        <w:spacing w:after="0" w:line="290"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1607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31">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Michael King</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Authorized Signatory</w:t>
      </w:r>
    </w:p>
    <w:p>
      <w:pPr>
        <w:sectPr>
          <w:pgSz w:w="11900" w:h="16838" w:orient="portrait"/>
          <w:cols w:equalWidth="0" w:num="1">
            <w:col w:w="9019"/>
          </w:cols>
          <w:pgMar w:left="1440" w:top="1382" w:right="1440" w:bottom="1440" w:gutter="0" w:footer="0" w:header="0"/>
        </w:sectPr>
      </w:pPr>
    </w:p>
    <w:bookmarkStart w:id="566" w:name="page567"/>
    <w:bookmarkEnd w:id="566"/>
    <w:p>
      <w:pPr>
        <w:ind w:left="2660"/>
        <w:spacing w:after="0"/>
        <w:rPr>
          <w:sz w:val="20"/>
          <w:szCs w:val="20"/>
          <w:color w:val="auto"/>
        </w:rPr>
      </w:pPr>
      <w:r>
        <w:rPr>
          <w:rFonts w:ascii="Times New Roman" w:cs="Times New Roman" w:eastAsia="Times New Roman" w:hAnsi="Times New Roman"/>
          <w:sz w:val="21"/>
          <w:szCs w:val="21"/>
          <w:color w:val="auto"/>
        </w:rPr>
        <w:t>CITIBANK, N.A., as a Bank</w:t>
      </w:r>
    </w:p>
    <w:p>
      <w:pPr>
        <w:spacing w:after="0" w:line="200" w:lineRule="exact"/>
        <w:rPr>
          <w:sz w:val="20"/>
          <w:szCs w:val="20"/>
          <w:color w:val="auto"/>
        </w:rPr>
      </w:pPr>
    </w:p>
    <w:p>
      <w:pPr>
        <w:spacing w:after="0" w:line="279"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Saad Zaman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0864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32">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Saad Zaman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Authorized Signatory</w:t>
      </w:r>
    </w:p>
    <w:p>
      <w:pPr>
        <w:sectPr>
          <w:pgSz w:w="11900" w:h="16838" w:orient="portrait"/>
          <w:cols w:equalWidth="0" w:num="1">
            <w:col w:w="9019"/>
          </w:cols>
          <w:pgMar w:left="1440" w:top="1382" w:right="1440" w:bottom="1440" w:gutter="0" w:footer="0" w:header="0"/>
        </w:sectPr>
      </w:pPr>
    </w:p>
    <w:bookmarkStart w:id="567" w:name="page568"/>
    <w:bookmarkEnd w:id="567"/>
    <w:p>
      <w:pPr>
        <w:jc w:val="center"/>
        <w:ind w:right="159"/>
        <w:spacing w:after="0"/>
        <w:rPr>
          <w:sz w:val="20"/>
          <w:szCs w:val="20"/>
          <w:color w:val="auto"/>
        </w:rPr>
      </w:pPr>
      <w:r>
        <w:rPr>
          <w:rFonts w:ascii="Times New Roman" w:cs="Times New Roman" w:eastAsia="Times New Roman" w:hAnsi="Times New Roman"/>
          <w:sz w:val="20"/>
          <w:szCs w:val="20"/>
          <w:color w:val="auto"/>
        </w:rPr>
        <w:t>The Bank of New York Mellon, as a Bank</w:t>
      </w:r>
    </w:p>
    <w:p>
      <w:pPr>
        <w:spacing w:after="0" w:line="200" w:lineRule="exact"/>
        <w:rPr>
          <w:sz w:val="20"/>
          <w:szCs w:val="20"/>
          <w:color w:val="auto"/>
        </w:rPr>
      </w:pPr>
    </w:p>
    <w:p>
      <w:pPr>
        <w:spacing w:after="0" w:line="290"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Carol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153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33">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Carol Murray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Director</w:t>
      </w:r>
    </w:p>
    <w:p>
      <w:pPr>
        <w:sectPr>
          <w:pgSz w:w="11900" w:h="16838" w:orient="portrait"/>
          <w:cols w:equalWidth="0" w:num="1">
            <w:col w:w="9019"/>
          </w:cols>
          <w:pgMar w:left="1440" w:top="1382" w:right="1440" w:bottom="1440" w:gutter="0" w:footer="0" w:header="0"/>
        </w:sectPr>
      </w:pPr>
    </w:p>
    <w:bookmarkStart w:id="568" w:name="page569"/>
    <w:bookmarkEnd w:id="568"/>
    <w:p>
      <w:pPr>
        <w:ind w:left="2660"/>
        <w:spacing w:after="0"/>
        <w:rPr>
          <w:sz w:val="20"/>
          <w:szCs w:val="20"/>
          <w:color w:val="auto"/>
        </w:rPr>
      </w:pPr>
      <w:r>
        <w:rPr>
          <w:rFonts w:ascii="Times New Roman" w:cs="Times New Roman" w:eastAsia="Times New Roman" w:hAnsi="Times New Roman"/>
          <w:sz w:val="20"/>
          <w:szCs w:val="20"/>
          <w:color w:val="auto"/>
        </w:rPr>
        <w:t>Deutsche Bank AG New York Branch, as a Bank</w:t>
      </w:r>
    </w:p>
    <w:p>
      <w:pPr>
        <w:spacing w:after="0" w:line="200" w:lineRule="exact"/>
        <w:rPr>
          <w:sz w:val="20"/>
          <w:szCs w:val="20"/>
          <w:color w:val="auto"/>
        </w:rPr>
      </w:pPr>
    </w:p>
    <w:p>
      <w:pPr>
        <w:spacing w:after="0" w:line="290"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0941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34">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Alison Lugo</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30"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1309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35">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Marko Lukin</w:t>
      </w:r>
    </w:p>
    <w:p>
      <w:pPr>
        <w:spacing w:after="0" w:line="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Vice President</w:t>
      </w:r>
    </w:p>
    <w:p>
      <w:pPr>
        <w:sectPr>
          <w:pgSz w:w="11900" w:h="16838" w:orient="portrait"/>
          <w:cols w:equalWidth="0" w:num="1">
            <w:col w:w="9019"/>
          </w:cols>
          <w:pgMar w:left="1440" w:top="1382" w:right="1440" w:bottom="1440" w:gutter="0" w:footer="0" w:header="0"/>
        </w:sectPr>
      </w:pPr>
    </w:p>
    <w:bookmarkStart w:id="569" w:name="page570"/>
    <w:bookmarkEnd w:id="569"/>
    <w:p>
      <w:pPr>
        <w:ind w:left="2660"/>
        <w:spacing w:after="0"/>
        <w:rPr>
          <w:sz w:val="20"/>
          <w:szCs w:val="20"/>
          <w:color w:val="auto"/>
        </w:rPr>
      </w:pPr>
      <w:r>
        <w:rPr>
          <w:rFonts w:ascii="Times New Roman" w:cs="Times New Roman" w:eastAsia="Times New Roman" w:hAnsi="Times New Roman"/>
          <w:sz w:val="20"/>
          <w:szCs w:val="20"/>
          <w:color w:val="auto"/>
        </w:rPr>
        <w:t>ING Capital LLC, as a Bank</w:t>
      </w:r>
    </w:p>
    <w:p>
      <w:pPr>
        <w:spacing w:after="0" w:line="200" w:lineRule="exact"/>
        <w:rPr>
          <w:sz w:val="20"/>
          <w:szCs w:val="20"/>
          <w:color w:val="auto"/>
        </w:rPr>
      </w:pPr>
    </w:p>
    <w:p>
      <w:pPr>
        <w:spacing w:after="0" w:line="290"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Jeffrey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3208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36">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Jeffrey Schwartz</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Director</w:t>
      </w:r>
    </w:p>
    <w:p>
      <w:pPr>
        <w:spacing w:after="0" w:line="230"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Craig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1385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37">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Craig Bender</w:t>
      </w:r>
    </w:p>
    <w:p>
      <w:pPr>
        <w:spacing w:after="0" w:line="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Managing Director</w:t>
      </w:r>
    </w:p>
    <w:p>
      <w:pPr>
        <w:sectPr>
          <w:pgSz w:w="11900" w:h="16838" w:orient="portrait"/>
          <w:cols w:equalWidth="0" w:num="1">
            <w:col w:w="9019"/>
          </w:cols>
          <w:pgMar w:left="1440" w:top="1382" w:right="1440" w:bottom="1440" w:gutter="0" w:footer="0" w:header="0"/>
        </w:sectPr>
      </w:pPr>
    </w:p>
    <w:bookmarkStart w:id="570" w:name="page571"/>
    <w:bookmarkEnd w:id="570"/>
    <w:p>
      <w:pPr>
        <w:ind w:left="2660"/>
        <w:spacing w:after="0"/>
        <w:rPr>
          <w:sz w:val="20"/>
          <w:szCs w:val="20"/>
          <w:color w:val="auto"/>
        </w:rPr>
      </w:pPr>
      <w:r>
        <w:rPr>
          <w:rFonts w:ascii="Times New Roman" w:cs="Times New Roman" w:eastAsia="Times New Roman" w:hAnsi="Times New Roman"/>
          <w:sz w:val="20"/>
          <w:szCs w:val="20"/>
          <w:color w:val="auto"/>
        </w:rPr>
        <w:t>Agricultural Bank of China Limited, New York Branch, as a Bank</w:t>
      </w:r>
    </w:p>
    <w:p>
      <w:pPr>
        <w:spacing w:after="0" w:line="200" w:lineRule="exact"/>
        <w:rPr>
          <w:sz w:val="20"/>
          <w:szCs w:val="20"/>
          <w:color w:val="auto"/>
        </w:rPr>
      </w:pPr>
    </w:p>
    <w:p>
      <w:pPr>
        <w:spacing w:after="0" w:line="290"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1239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38">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Nelson Chou</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SVP &amp; Head of Corporate Banking Department</w:t>
      </w:r>
    </w:p>
    <w:p>
      <w:pPr>
        <w:sectPr>
          <w:pgSz w:w="11900" w:h="16838" w:orient="portrait"/>
          <w:cols w:equalWidth="0" w:num="1">
            <w:col w:w="9019"/>
          </w:cols>
          <w:pgMar w:left="1440" w:top="1382" w:right="1440" w:bottom="1440" w:gutter="0" w:footer="0" w:header="0"/>
        </w:sectPr>
      </w:pPr>
    </w:p>
    <w:bookmarkStart w:id="571" w:name="page572"/>
    <w:bookmarkEnd w:id="571"/>
    <w:p>
      <w:pPr>
        <w:jc w:val="center"/>
        <w:ind w:right="-59"/>
        <w:spacing w:after="0"/>
        <w:rPr>
          <w:sz w:val="20"/>
          <w:szCs w:val="20"/>
          <w:color w:val="auto"/>
        </w:rPr>
      </w:pPr>
      <w:r>
        <w:rPr>
          <w:rFonts w:ascii="Times New Roman" w:cs="Times New Roman" w:eastAsia="Times New Roman" w:hAnsi="Times New Roman"/>
          <w:sz w:val="21"/>
          <w:szCs w:val="21"/>
          <w:b w:val="1"/>
          <w:bCs w:val="1"/>
          <w:u w:val="single" w:color="auto"/>
          <w:color w:val="auto"/>
        </w:rPr>
        <w:t>SCHEDULE 4</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SUSTAINABILITY TABLE</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9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KPI</w:t>
            </w:r>
          </w:p>
        </w:tc>
        <w:tc>
          <w:tcPr>
            <w:tcW w:w="16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7"/>
                <w:szCs w:val="17"/>
                <w:b w:val="1"/>
                <w:bCs w:val="1"/>
                <w:color w:val="auto"/>
              </w:rPr>
              <w:t>Baseline</w:t>
            </w: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440" w:type="dxa"/>
            <w:vAlign w:val="bottom"/>
            <w:tcBorders>
              <w:top w:val="single" w:sz="8" w:color="auto"/>
            </w:tcBorders>
            <w:gridSpan w:val="10"/>
            <w:vMerge w:val="restart"/>
          </w:tcPr>
          <w:p>
            <w:pPr>
              <w:ind w:left="200"/>
              <w:spacing w:after="0"/>
              <w:rPr>
                <w:sz w:val="20"/>
                <w:szCs w:val="20"/>
                <w:color w:val="auto"/>
              </w:rPr>
            </w:pPr>
            <w:r>
              <w:rPr>
                <w:rFonts w:ascii="Arial" w:cs="Arial" w:eastAsia="Arial" w:hAnsi="Arial"/>
                <w:sz w:val="19"/>
                <w:szCs w:val="19"/>
                <w:b w:val="1"/>
                <w:bCs w:val="1"/>
                <w:color w:val="auto"/>
              </w:rPr>
              <w:t>Annual Sustainability Targets and Thresholds</w:t>
            </w: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16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Metrics</w:t>
            </w:r>
          </w:p>
        </w:tc>
        <w:tc>
          <w:tcPr>
            <w:tcW w:w="1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40" w:type="dxa"/>
            <w:vAlign w:val="bottom"/>
            <w:gridSpan w:val="10"/>
            <w:vMerge w:val="continue"/>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20" w:type="dxa"/>
            <w:vAlign w:val="bottom"/>
            <w:tcBorders>
              <w:left w:val="single" w:sz="8" w:color="auto"/>
              <w:bottom w:val="single" w:sz="8" w:color="auto"/>
              <w:right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92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tcPr>
          <w:p>
            <w:pPr>
              <w:jc w:val="right"/>
              <w:ind w:right="527"/>
              <w:spacing w:after="0"/>
              <w:rPr>
                <w:sz w:val="20"/>
                <w:szCs w:val="20"/>
                <w:color w:val="auto"/>
              </w:rPr>
            </w:pPr>
            <w:r>
              <w:rPr>
                <w:rFonts w:ascii="Times New Roman" w:cs="Times New Roman" w:eastAsia="Times New Roman" w:hAnsi="Times New Roman"/>
                <w:sz w:val="19"/>
                <w:szCs w:val="19"/>
                <w:color w:val="auto"/>
              </w:rPr>
              <w:t>2019</w:t>
            </w:r>
          </w:p>
        </w:tc>
        <w:tc>
          <w:tcPr>
            <w:tcW w:w="1220" w:type="dxa"/>
            <w:vAlign w:val="bottom"/>
            <w:gridSpan w:val="3"/>
          </w:tcPr>
          <w:p>
            <w:pPr>
              <w:jc w:val="center"/>
              <w:ind w:left="93"/>
              <w:spacing w:after="0"/>
              <w:rPr>
                <w:sz w:val="20"/>
                <w:szCs w:val="20"/>
                <w:color w:val="auto"/>
              </w:rPr>
            </w:pPr>
            <w:r>
              <w:rPr>
                <w:rFonts w:ascii="Times New Roman" w:cs="Times New Roman" w:eastAsia="Times New Roman" w:hAnsi="Times New Roman"/>
                <w:sz w:val="17"/>
                <w:szCs w:val="17"/>
                <w:b w:val="1"/>
                <w:bCs w:val="1"/>
                <w:color w:val="auto"/>
              </w:rPr>
              <w:t>CY2025</w:t>
            </w:r>
          </w:p>
        </w:tc>
        <w:tc>
          <w:tcPr>
            <w:tcW w:w="24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CY2026</w:t>
            </w:r>
          </w:p>
        </w:tc>
        <w:tc>
          <w:tcPr>
            <w:tcW w:w="14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CY2027</w:t>
            </w:r>
          </w:p>
        </w:tc>
        <w:tc>
          <w:tcPr>
            <w:tcW w:w="14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CY2028</w:t>
            </w:r>
          </w:p>
        </w:tc>
        <w:tc>
          <w:tcPr>
            <w:tcW w:w="14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CY2029</w:t>
            </w:r>
          </w:p>
        </w:tc>
        <w:tc>
          <w:tcPr>
            <w:tcW w:w="1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920" w:type="dxa"/>
            <w:vAlign w:val="bottom"/>
            <w:tcBorders>
              <w:left w:val="single" w:sz="8" w:color="auto"/>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760" w:type="dxa"/>
            <w:vAlign w:val="bottom"/>
            <w:gridSpan w:val="2"/>
          </w:tcPr>
          <w:p>
            <w:pPr>
              <w:jc w:val="center"/>
              <w:ind w:left="573"/>
              <w:spacing w:after="0" w:line="176" w:lineRule="exact"/>
              <w:rPr>
                <w:sz w:val="20"/>
                <w:szCs w:val="20"/>
                <w:color w:val="auto"/>
              </w:rPr>
            </w:pPr>
            <w:r>
              <w:rPr>
                <w:rFonts w:ascii="Times New Roman" w:cs="Times New Roman" w:eastAsia="Times New Roman" w:hAnsi="Times New Roman"/>
                <w:sz w:val="17"/>
                <w:szCs w:val="17"/>
                <w:color w:val="auto"/>
              </w:rPr>
              <w:t>&lt;</w:t>
            </w:r>
          </w:p>
        </w:tc>
        <w:tc>
          <w:tcPr>
            <w:tcW w:w="46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720" w:type="dxa"/>
            <w:vAlign w:val="bottom"/>
            <w:gridSpan w:val="2"/>
          </w:tcPr>
          <w:p>
            <w:pPr>
              <w:jc w:val="center"/>
              <w:ind w:left="533"/>
              <w:spacing w:after="0" w:line="176" w:lineRule="exact"/>
              <w:rPr>
                <w:sz w:val="20"/>
                <w:szCs w:val="20"/>
                <w:color w:val="auto"/>
              </w:rPr>
            </w:pPr>
            <w:r>
              <w:rPr>
                <w:rFonts w:ascii="Times New Roman" w:cs="Times New Roman" w:eastAsia="Times New Roman" w:hAnsi="Times New Roman"/>
                <w:sz w:val="17"/>
                <w:szCs w:val="17"/>
                <w:color w:val="auto"/>
              </w:rPr>
              <w:t>&lt;</w:t>
            </w:r>
          </w:p>
        </w:tc>
        <w:tc>
          <w:tcPr>
            <w:tcW w:w="66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gridSpan w:val="3"/>
          </w:tcPr>
          <w:p>
            <w:pPr>
              <w:jc w:val="center"/>
              <w:ind w:right="40"/>
              <w:spacing w:after="0" w:line="176" w:lineRule="exact"/>
              <w:rPr>
                <w:sz w:val="20"/>
                <w:szCs w:val="20"/>
                <w:color w:val="auto"/>
              </w:rPr>
            </w:pPr>
            <w:r>
              <w:rPr>
                <w:rFonts w:ascii="Times New Roman" w:cs="Times New Roman" w:eastAsia="Times New Roman" w:hAnsi="Times New Roman"/>
                <w:sz w:val="17"/>
                <w:szCs w:val="17"/>
                <w:color w:val="auto"/>
              </w:rPr>
              <w:t>&lt;</w:t>
            </w:r>
          </w:p>
        </w:tc>
        <w:tc>
          <w:tcPr>
            <w:tcW w:w="1400" w:type="dxa"/>
            <w:vAlign w:val="bottom"/>
            <w:tcBorders>
              <w:right w:val="single" w:sz="8" w:color="auto"/>
            </w:tcBorders>
            <w:gridSpan w:val="3"/>
          </w:tcPr>
          <w:p>
            <w:pPr>
              <w:jc w:val="center"/>
              <w:ind w:right="60"/>
              <w:spacing w:after="0" w:line="176" w:lineRule="exact"/>
              <w:rPr>
                <w:sz w:val="20"/>
                <w:szCs w:val="20"/>
                <w:color w:val="auto"/>
              </w:rPr>
            </w:pPr>
            <w:r>
              <w:rPr>
                <w:rFonts w:ascii="Times New Roman" w:cs="Times New Roman" w:eastAsia="Times New Roman" w:hAnsi="Times New Roman"/>
                <w:sz w:val="17"/>
                <w:szCs w:val="17"/>
                <w:color w:val="auto"/>
              </w:rPr>
              <w:t>&lt;</w:t>
            </w:r>
          </w:p>
        </w:tc>
        <w:tc>
          <w:tcPr>
            <w:tcW w:w="720" w:type="dxa"/>
            <w:vAlign w:val="bottom"/>
            <w:gridSpan w:val="2"/>
          </w:tcPr>
          <w:p>
            <w:pPr>
              <w:jc w:val="center"/>
              <w:ind w:left="553"/>
              <w:spacing w:after="0" w:line="176" w:lineRule="exact"/>
              <w:rPr>
                <w:sz w:val="20"/>
                <w:szCs w:val="20"/>
                <w:color w:val="auto"/>
              </w:rPr>
            </w:pPr>
            <w:r>
              <w:rPr>
                <w:rFonts w:ascii="Times New Roman" w:cs="Times New Roman" w:eastAsia="Times New Roman" w:hAnsi="Times New Roman"/>
                <w:sz w:val="17"/>
                <w:szCs w:val="17"/>
                <w:color w:val="auto"/>
                <w:w w:val="82"/>
              </w:rPr>
              <w:t>&lt;</w:t>
            </w:r>
          </w:p>
        </w:tc>
        <w:tc>
          <w:tcPr>
            <w:tcW w:w="68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6"/>
              </w:rPr>
              <w:t>KPI Target</w:t>
            </w:r>
          </w:p>
        </w:tc>
        <w:tc>
          <w:tcPr>
            <w:tcW w:w="0" w:type="dxa"/>
            <w:vAlign w:val="bottom"/>
          </w:tcPr>
          <w:p>
            <w:pPr>
              <w:spacing w:after="0"/>
              <w:rPr>
                <w:sz w:val="1"/>
                <w:szCs w:val="1"/>
                <w:color w:val="auto"/>
              </w:rPr>
            </w:pPr>
          </w:p>
        </w:tc>
      </w:tr>
      <w:tr>
        <w:trPr>
          <w:trHeight w:val="20"/>
        </w:trPr>
        <w:tc>
          <w:tcPr>
            <w:tcW w:w="920" w:type="dxa"/>
            <w:vAlign w:val="bottom"/>
            <w:tcBorders>
              <w:left w:val="single" w:sz="8" w:color="auto"/>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220" w:type="dxa"/>
            <w:vAlign w:val="bottom"/>
            <w:gridSpan w:val="3"/>
          </w:tcPr>
          <w:p>
            <w:pPr>
              <w:jc w:val="center"/>
              <w:ind w:left="93"/>
              <w:spacing w:after="0"/>
              <w:rPr>
                <w:sz w:val="20"/>
                <w:szCs w:val="20"/>
                <w:color w:val="auto"/>
              </w:rPr>
            </w:pPr>
            <w:r>
              <w:rPr>
                <w:rFonts w:ascii="Times New Roman" w:cs="Times New Roman" w:eastAsia="Times New Roman" w:hAnsi="Times New Roman"/>
                <w:sz w:val="17"/>
                <w:szCs w:val="17"/>
                <w:color w:val="auto"/>
              </w:rPr>
              <w:t>82,374</w:t>
            </w:r>
          </w:p>
        </w:tc>
        <w:tc>
          <w:tcPr>
            <w:tcW w:w="24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80,314</w:t>
            </w:r>
          </w:p>
        </w:tc>
        <w:tc>
          <w:tcPr>
            <w:tcW w:w="14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78,306</w:t>
            </w:r>
          </w:p>
        </w:tc>
        <w:tc>
          <w:tcPr>
            <w:tcW w:w="14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76,349</w:t>
            </w:r>
          </w:p>
        </w:tc>
        <w:tc>
          <w:tcPr>
            <w:tcW w:w="14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74,440</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9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KPI</w:t>
            </w:r>
          </w:p>
        </w:tc>
        <w:tc>
          <w:tcPr>
            <w:tcW w:w="1600" w:type="dxa"/>
            <w:vAlign w:val="bottom"/>
            <w:tcBorders>
              <w:right w:val="single" w:sz="8" w:color="auto"/>
            </w:tcBorders>
            <w:vMerge w:val="restart"/>
          </w:tcPr>
          <w:p>
            <w:pPr>
              <w:jc w:val="right"/>
              <w:ind w:right="407"/>
              <w:spacing w:after="0"/>
              <w:rPr>
                <w:sz w:val="20"/>
                <w:szCs w:val="20"/>
                <w:color w:val="auto"/>
              </w:rPr>
            </w:pPr>
            <w:r>
              <w:rPr>
                <w:rFonts w:ascii="Times New Roman" w:cs="Times New Roman" w:eastAsia="Times New Roman" w:hAnsi="Times New Roman"/>
                <w:sz w:val="19"/>
                <w:szCs w:val="19"/>
                <w:color w:val="auto"/>
              </w:rPr>
              <w:t>206,554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920" w:type="dxa"/>
            <w:vAlign w:val="bottom"/>
            <w:tcBorders>
              <w:left w:val="single" w:sz="8" w:color="auto"/>
              <w:right w:val="single" w:sz="8" w:color="auto"/>
            </w:tcBorders>
            <w:vMerge w:val="continue"/>
          </w:tcPr>
          <w:p>
            <w:pPr>
              <w:spacing w:after="0"/>
              <w:rPr>
                <w:sz w:val="22"/>
                <w:szCs w:val="22"/>
                <w:color w:val="auto"/>
              </w:rPr>
            </w:pPr>
          </w:p>
        </w:tc>
        <w:tc>
          <w:tcPr>
            <w:tcW w:w="1600" w:type="dxa"/>
            <w:vAlign w:val="bottom"/>
            <w:tcBorders>
              <w:right w:val="single" w:sz="8" w:color="auto"/>
            </w:tcBorders>
            <w:vMerge w:val="continue"/>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92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920" w:type="dxa"/>
            <w:vAlign w:val="bottom"/>
            <w:tcBorders>
              <w:left w:val="single" w:sz="8" w:color="auto"/>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760" w:type="dxa"/>
            <w:vAlign w:val="bottom"/>
            <w:gridSpan w:val="2"/>
          </w:tcPr>
          <w:p>
            <w:pPr>
              <w:jc w:val="center"/>
              <w:ind w:left="573"/>
              <w:spacing w:after="0" w:line="185" w:lineRule="exact"/>
              <w:rPr>
                <w:sz w:val="20"/>
                <w:szCs w:val="20"/>
                <w:color w:val="auto"/>
              </w:rPr>
            </w:pPr>
            <w:r>
              <w:rPr>
                <w:rFonts w:ascii="Times New Roman" w:cs="Times New Roman" w:eastAsia="Times New Roman" w:hAnsi="Times New Roman"/>
                <w:sz w:val="17"/>
                <w:szCs w:val="17"/>
                <w:color w:val="auto"/>
              </w:rPr>
              <w:t>&gt;</w:t>
            </w:r>
          </w:p>
        </w:tc>
        <w:tc>
          <w:tcPr>
            <w:tcW w:w="4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720" w:type="dxa"/>
            <w:vAlign w:val="bottom"/>
            <w:gridSpan w:val="2"/>
          </w:tcPr>
          <w:p>
            <w:pPr>
              <w:jc w:val="center"/>
              <w:ind w:left="533"/>
              <w:spacing w:after="0" w:line="185" w:lineRule="exact"/>
              <w:rPr>
                <w:sz w:val="20"/>
                <w:szCs w:val="20"/>
                <w:color w:val="auto"/>
              </w:rPr>
            </w:pPr>
            <w:r>
              <w:rPr>
                <w:rFonts w:ascii="Times New Roman" w:cs="Times New Roman" w:eastAsia="Times New Roman" w:hAnsi="Times New Roman"/>
                <w:sz w:val="17"/>
                <w:szCs w:val="17"/>
                <w:color w:val="auto"/>
              </w:rPr>
              <w:t>&gt;</w:t>
            </w:r>
          </w:p>
        </w:tc>
        <w:tc>
          <w:tcPr>
            <w:tcW w:w="66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gridSpan w:val="3"/>
          </w:tcPr>
          <w:p>
            <w:pPr>
              <w:jc w:val="center"/>
              <w:ind w:right="40"/>
              <w:spacing w:after="0" w:line="185" w:lineRule="exact"/>
              <w:rPr>
                <w:sz w:val="20"/>
                <w:szCs w:val="20"/>
                <w:color w:val="auto"/>
              </w:rPr>
            </w:pPr>
            <w:r>
              <w:rPr>
                <w:rFonts w:ascii="Times New Roman" w:cs="Times New Roman" w:eastAsia="Times New Roman" w:hAnsi="Times New Roman"/>
                <w:sz w:val="17"/>
                <w:szCs w:val="17"/>
                <w:color w:val="auto"/>
              </w:rPr>
              <w:t>&gt;</w:t>
            </w:r>
          </w:p>
        </w:tc>
        <w:tc>
          <w:tcPr>
            <w:tcW w:w="1400" w:type="dxa"/>
            <w:vAlign w:val="bottom"/>
            <w:tcBorders>
              <w:right w:val="single" w:sz="8" w:color="auto"/>
            </w:tcBorders>
            <w:gridSpan w:val="3"/>
          </w:tcPr>
          <w:p>
            <w:pPr>
              <w:jc w:val="center"/>
              <w:ind w:right="60"/>
              <w:spacing w:after="0" w:line="185" w:lineRule="exact"/>
              <w:rPr>
                <w:sz w:val="20"/>
                <w:szCs w:val="20"/>
                <w:color w:val="auto"/>
              </w:rPr>
            </w:pPr>
            <w:r>
              <w:rPr>
                <w:rFonts w:ascii="Times New Roman" w:cs="Times New Roman" w:eastAsia="Times New Roman" w:hAnsi="Times New Roman"/>
                <w:sz w:val="17"/>
                <w:szCs w:val="17"/>
                <w:color w:val="auto"/>
              </w:rPr>
              <w:t>&gt;</w:t>
            </w:r>
          </w:p>
        </w:tc>
        <w:tc>
          <w:tcPr>
            <w:tcW w:w="720" w:type="dxa"/>
            <w:vAlign w:val="bottom"/>
            <w:gridSpan w:val="2"/>
          </w:tcPr>
          <w:p>
            <w:pPr>
              <w:jc w:val="center"/>
              <w:ind w:left="553"/>
              <w:spacing w:after="0" w:line="185" w:lineRule="exact"/>
              <w:rPr>
                <w:sz w:val="20"/>
                <w:szCs w:val="20"/>
                <w:color w:val="auto"/>
              </w:rPr>
            </w:pPr>
            <w:r>
              <w:rPr>
                <w:rFonts w:ascii="Times New Roman" w:cs="Times New Roman" w:eastAsia="Times New Roman" w:hAnsi="Times New Roman"/>
                <w:sz w:val="17"/>
                <w:szCs w:val="17"/>
                <w:color w:val="auto"/>
                <w:w w:val="82"/>
              </w:rPr>
              <w:t>&gt;</w:t>
            </w:r>
          </w:p>
        </w:tc>
        <w:tc>
          <w:tcPr>
            <w:tcW w:w="68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KPI Threshold</w:t>
            </w:r>
          </w:p>
        </w:tc>
        <w:tc>
          <w:tcPr>
            <w:tcW w:w="0" w:type="dxa"/>
            <w:vAlign w:val="bottom"/>
          </w:tcPr>
          <w:p>
            <w:pPr>
              <w:spacing w:after="0"/>
              <w:rPr>
                <w:sz w:val="1"/>
                <w:szCs w:val="1"/>
                <w:color w:val="auto"/>
              </w:rPr>
            </w:pPr>
          </w:p>
        </w:tc>
      </w:tr>
      <w:tr>
        <w:trPr>
          <w:trHeight w:val="228"/>
        </w:trPr>
        <w:tc>
          <w:tcPr>
            <w:tcW w:w="92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spacing w:after="0"/>
              <w:rPr>
                <w:sz w:val="19"/>
                <w:szCs w:val="19"/>
                <w:color w:val="auto"/>
              </w:rPr>
            </w:pPr>
          </w:p>
        </w:tc>
        <w:tc>
          <w:tcPr>
            <w:tcW w:w="1220" w:type="dxa"/>
            <w:vAlign w:val="bottom"/>
            <w:gridSpan w:val="3"/>
          </w:tcPr>
          <w:p>
            <w:pPr>
              <w:jc w:val="center"/>
              <w:ind w:left="93"/>
              <w:spacing w:after="0"/>
              <w:rPr>
                <w:sz w:val="20"/>
                <w:szCs w:val="20"/>
                <w:color w:val="auto"/>
              </w:rPr>
            </w:pPr>
            <w:r>
              <w:rPr>
                <w:rFonts w:ascii="Times New Roman" w:cs="Times New Roman" w:eastAsia="Times New Roman" w:hAnsi="Times New Roman"/>
                <w:sz w:val="17"/>
                <w:szCs w:val="17"/>
                <w:color w:val="auto"/>
              </w:rPr>
              <w:t>85,473</w:t>
            </w:r>
          </w:p>
        </w:tc>
        <w:tc>
          <w:tcPr>
            <w:tcW w:w="24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84,618</w:t>
            </w:r>
          </w:p>
        </w:tc>
        <w:tc>
          <w:tcPr>
            <w:tcW w:w="142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83,772</w:t>
            </w:r>
          </w:p>
        </w:tc>
        <w:tc>
          <w:tcPr>
            <w:tcW w:w="14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82,934</w:t>
            </w:r>
          </w:p>
        </w:tc>
        <w:tc>
          <w:tcPr>
            <w:tcW w:w="14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7"/>
                <w:szCs w:val="17"/>
                <w:color w:val="auto"/>
              </w:rPr>
              <w:t>82,105</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920" w:type="dxa"/>
            <w:vAlign w:val="bottom"/>
            <w:tcBorders>
              <w:left w:val="single" w:sz="8" w:color="auto"/>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right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379" w:right="399" w:bottom="1440" w:gutter="0" w:footer="0" w:header="0"/>
        </w:sectPr>
      </w:pPr>
    </w:p>
    <w:bookmarkStart w:id="572" w:name="page573"/>
    <w:bookmarkEnd w:id="572"/>
    <w:p>
      <w:pPr>
        <w:jc w:val="right"/>
        <w:spacing w:after="0"/>
        <w:rPr>
          <w:sz w:val="20"/>
          <w:szCs w:val="20"/>
          <w:color w:val="auto"/>
        </w:rPr>
      </w:pPr>
      <w:r>
        <w:rPr>
          <w:rFonts w:ascii="Times New Roman" w:cs="Times New Roman" w:eastAsia="Times New Roman" w:hAnsi="Times New Roman"/>
          <w:sz w:val="21"/>
          <w:szCs w:val="2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NO. 1 TO FOURTH AMENDED AND RESTATED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REVOLVING CREDIT AGREEMENT</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AMENDMENT NO. 1 TO FOURTH AMENDED AND RESTATED REVOLVING CREDIT AGREEMENT</w:t>
      </w:r>
      <w:r>
        <w:rPr>
          <w:rFonts w:ascii="Times New Roman" w:cs="Times New Roman" w:eastAsia="Times New Roman" w:hAnsi="Times New Roman"/>
          <w:sz w:val="21"/>
          <w:szCs w:val="21"/>
          <w:color w:val="auto"/>
        </w:rPr>
        <w:t>,</w:t>
      </w:r>
    </w:p>
    <w:p>
      <w:pPr>
        <w:spacing w:after="0" w:line="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dated as of February 4, 2026 (this “</w:t>
      </w:r>
      <w:r>
        <w:rPr>
          <w:rFonts w:ascii="Times New Roman" w:cs="Times New Roman" w:eastAsia="Times New Roman" w:hAnsi="Times New Roman"/>
          <w:sz w:val="21"/>
          <w:szCs w:val="21"/>
          <w:u w:val="single" w:color="auto"/>
          <w:color w:val="auto"/>
        </w:rPr>
        <w:t>Amendment No</w:t>
      </w:r>
      <w:r>
        <w:rPr>
          <w:rFonts w:ascii="Times New Roman" w:cs="Times New Roman" w:eastAsia="Times New Roman" w:hAnsi="Times New Roman"/>
          <w:sz w:val="21"/>
          <w:szCs w:val="21"/>
          <w:color w:val="auto"/>
        </w:rPr>
        <w:t>. 1”), is by and among VORNADO REALTY L.P., a limited partnership organized and existing under the laws of the State of Delaware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JPMORGAN CHASE BANK, N.A., as agent for the Banks defined below (in such capacity, together with its successors in such capacity,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the Fronting Banks party hereto, and STANDARD CHARTERED BANK (the “</w:t>
      </w:r>
      <w:r>
        <w:rPr>
          <w:rFonts w:ascii="Times New Roman" w:cs="Times New Roman" w:eastAsia="Times New Roman" w:hAnsi="Times New Roman"/>
          <w:sz w:val="21"/>
          <w:szCs w:val="21"/>
          <w:u w:val="single" w:color="auto"/>
          <w:color w:val="auto"/>
        </w:rPr>
        <w:t>New Lender</w:t>
      </w:r>
      <w:r>
        <w:rPr>
          <w:rFonts w:ascii="Times New Roman" w:cs="Times New Roman" w:eastAsia="Times New Roman" w:hAnsi="Times New Roman"/>
          <w:sz w:val="21"/>
          <w:szCs w:val="21"/>
          <w:color w:val="auto"/>
        </w:rPr>
        <w:t>”). Reference is made to that certain Fourth Amended and Restated Revolving Credit Agreement, dated as of January 7, 2026, by and among the Borrower, the Banks referenced therein and the Administrative Agent (such agreement,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Capitalized terms used herein without definition shall have the same meanings as set forth in the Credit Agreement, as amended hereby.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17"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 pursuant to Section 2.16(c) of the Credit Agreement, the Borrower has requested, and the New Lender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agreed to provide, a New Ratable Commitment under the Credit Agreement, and such New Ratable Commitment may be effected by an amendment to the Credit Agreement signed only by the Borrower, the Administrative Agent, the Fronting Banks and the New Lender; and</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New Lender wishes to be added as a “Bank” under the Credit Agreement;</w:t>
      </w:r>
    </w:p>
    <w:p>
      <w:pPr>
        <w:spacing w:after="0" w:line="217" w:lineRule="exact"/>
        <w:rPr>
          <w:sz w:val="20"/>
          <w:szCs w:val="20"/>
          <w:color w:val="auto"/>
        </w:rPr>
      </w:pPr>
    </w:p>
    <w:p>
      <w:pPr>
        <w:jc w:val="both"/>
        <w:ind w:firstLine="629"/>
        <w:spacing w:after="0" w:line="284"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in consideration of the premises and the agreements, provisions and covenants herein contained,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hereto agree as follows: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1.  NEW RATABLE COMMITMENT</w:t>
      </w:r>
      <w:r>
        <w:rPr>
          <w:rFonts w:ascii="Times New Roman" w:cs="Times New Roman" w:eastAsia="Times New Roman" w:hAnsi="Times New Roman"/>
          <w:sz w:val="21"/>
          <w:szCs w:val="21"/>
          <w:color w:val="auto"/>
        </w:rPr>
        <w:t>. As of the Amendment Effective Date (as defined below):</w:t>
      </w:r>
    </w:p>
    <w:p>
      <w:pPr>
        <w:spacing w:after="0" w:line="178" w:lineRule="exact"/>
        <w:rPr>
          <w:sz w:val="20"/>
          <w:szCs w:val="20"/>
          <w:color w:val="auto"/>
        </w:rPr>
      </w:pPr>
    </w:p>
    <w:p>
      <w:pPr>
        <w:jc w:val="both"/>
        <w:ind w:firstLine="629"/>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1.1 </w:t>
      </w:r>
      <w:r>
        <w:rPr>
          <w:rFonts w:ascii="Times New Roman" w:cs="Times New Roman" w:eastAsia="Times New Roman" w:hAnsi="Times New Roman"/>
          <w:sz w:val="21"/>
          <w:szCs w:val="21"/>
          <w:b w:val="1"/>
          <w:bCs w:val="1"/>
          <w:u w:val="single" w:color="auto"/>
          <w:color w:val="auto"/>
        </w:rPr>
        <w:t>New Commitment</w:t>
      </w:r>
      <w:r>
        <w:rPr>
          <w:rFonts w:ascii="Times New Roman" w:cs="Times New Roman" w:eastAsia="Times New Roman" w:hAnsi="Times New Roman"/>
          <w:sz w:val="21"/>
          <w:szCs w:val="21"/>
          <w:color w:val="auto"/>
        </w:rPr>
        <w:t>. The New Lender shall have a New Ratable Commitment in the amount of $25,000,000.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Amendment Effective Date, and so long as the conditions set forth in Section 4 are satisfied, (a) the New Lender shall purchase from each of the Banks, at the principal amount thereof, such interests in the Ratable Loans outstanding on such date as shall be necessary in order that, after giving effect to all such assignments and purchases, such Ratable Loans will be held by existing Banks and the New Lender ratably in accordance with their Loan Commitments after giving effect to the addition of such New Ratable Commitment to the Loan Commitments, (b) the New Ratable Commitment of the New Lender shall be deemed for all purposes a Loan Commitment and each Ratable Loan made under such New Ratable Commitment shall be deemed, for all purposes, a Ratable Loan, (c) the New Lender shall become a Bank with respect to its New Ratable Commitment and all matters relating thereto and (d)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to the Credit Agreement will be replaced with the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attached hereto.</w:t>
      </w:r>
    </w:p>
    <w:p>
      <w:pPr>
        <w:spacing w:after="0" w:line="149" w:lineRule="exact"/>
        <w:rPr>
          <w:sz w:val="20"/>
          <w:szCs w:val="20"/>
          <w:color w:val="auto"/>
        </w:rPr>
      </w:pPr>
    </w:p>
    <w:p>
      <w:pPr>
        <w:jc w:val="both"/>
        <w:ind w:firstLine="629"/>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1.2 </w:t>
      </w:r>
      <w:r>
        <w:rPr>
          <w:rFonts w:ascii="Times New Roman" w:cs="Times New Roman" w:eastAsia="Times New Roman" w:hAnsi="Times New Roman"/>
          <w:sz w:val="21"/>
          <w:szCs w:val="21"/>
          <w:b w:val="1"/>
          <w:bCs w:val="1"/>
          <w:u w:val="single" w:color="auto"/>
          <w:color w:val="auto"/>
        </w:rPr>
        <w:t>New Lender</w:t>
      </w:r>
      <w:r>
        <w:rPr>
          <w:rFonts w:ascii="Times New Roman" w:cs="Times New Roman" w:eastAsia="Times New Roman" w:hAnsi="Times New Roman"/>
          <w:sz w:val="21"/>
          <w:szCs w:val="21"/>
          <w:color w:val="auto"/>
        </w:rPr>
        <w:t>. From and after the Amendment Effective Date, the New Lender shall be deemed to be a Bank for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purposes of the Credit Agreement, and each reference to the Banks in the Credit Agreement shall be deemed to include the New Lender. The New Lender hereby covenants and agrees to become a party to the Credit Agreement and any of the other</w:t>
      </w:r>
    </w:p>
    <w:p>
      <w:pPr>
        <w:sectPr>
          <w:pgSz w:w="11900" w:h="16838" w:orient="portrait"/>
          <w:cols w:equalWidth="0" w:num="1">
            <w:col w:w="11240"/>
          </w:cols>
          <w:pgMar w:left="320" w:top="124" w:right="339" w:bottom="1440" w:gutter="0" w:footer="0" w:header="0"/>
        </w:sectPr>
      </w:pPr>
    </w:p>
    <w:bookmarkStart w:id="573" w:name="page574"/>
    <w:bookmarkEnd w:id="573"/>
    <w:p>
      <w:pPr>
        <w:jc w:val="both"/>
        <w:spacing w:after="0" w:line="224" w:lineRule="auto"/>
        <w:rPr>
          <w:sz w:val="20"/>
          <w:szCs w:val="20"/>
          <w:color w:val="auto"/>
        </w:rPr>
      </w:pPr>
      <w:r>
        <w:rPr>
          <w:rFonts w:ascii="Times New Roman" w:cs="Times New Roman" w:eastAsia="Times New Roman" w:hAnsi="Times New Roman"/>
          <w:sz w:val="21"/>
          <w:szCs w:val="21"/>
          <w:color w:val="auto"/>
        </w:rPr>
        <w:t>Loan Documents as the Administrative Agent may reasonably request. The New Lender appoints JPMorgan Chase Bank, N.A. as the Administrative Agent and authorizes the Administrative Agent to take such action on its behalf and to exercise such powers under the Credit Agreement and the other Loan Documents as are delegated to the Administrative Agent by the terms thereof, together with such powers as are reasonably incidental thereto.</w:t>
      </w:r>
    </w:p>
    <w:p>
      <w:pPr>
        <w:spacing w:after="0" w:line="142" w:lineRule="exact"/>
        <w:rPr>
          <w:sz w:val="20"/>
          <w:szCs w:val="20"/>
          <w:color w:val="auto"/>
        </w:rPr>
      </w:pPr>
    </w:p>
    <w:p>
      <w:pPr>
        <w:jc w:val="both"/>
        <w:ind w:firstLine="629"/>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1.3 </w:t>
      </w:r>
      <w:r>
        <w:rPr>
          <w:rFonts w:ascii="Times New Roman" w:cs="Times New Roman" w:eastAsia="Times New Roman" w:hAnsi="Times New Roman"/>
          <w:sz w:val="21"/>
          <w:szCs w:val="21"/>
          <w:b w:val="1"/>
          <w:bCs w:val="1"/>
          <w:u w:val="single" w:color="auto"/>
          <w:color w:val="auto"/>
        </w:rPr>
        <w:t>Request under Section 2.16(c) of Credit Agreement</w:t>
      </w:r>
      <w:r>
        <w:rPr>
          <w:rFonts w:ascii="Times New Roman" w:cs="Times New Roman" w:eastAsia="Times New Roman" w:hAnsi="Times New Roman"/>
          <w:sz w:val="21"/>
          <w:szCs w:val="21"/>
          <w:color w:val="auto"/>
        </w:rPr>
        <w:t>. This Amendment No. 1 is and shall be deemed to be for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purposes of the Credit Agreement the first exercise by the Borrower of its rights under Section 2.16(c) of the Credit Agreement to request Incremental Commitments.</w:t>
      </w:r>
    </w:p>
    <w:p>
      <w:pPr>
        <w:spacing w:after="0" w:line="141" w:lineRule="exact"/>
        <w:rPr>
          <w:sz w:val="20"/>
          <w:szCs w:val="20"/>
          <w:color w:val="auto"/>
        </w:rPr>
      </w:pPr>
    </w:p>
    <w:p>
      <w:pPr>
        <w:jc w:val="both"/>
        <w:ind w:firstLine="629"/>
        <w:spacing w:after="0" w:line="211" w:lineRule="auto"/>
        <w:rPr>
          <w:sz w:val="20"/>
          <w:szCs w:val="20"/>
          <w:color w:val="auto"/>
        </w:rPr>
      </w:pPr>
      <w:r>
        <w:rPr>
          <w:rFonts w:ascii="Times New Roman" w:cs="Times New Roman" w:eastAsia="Times New Roman" w:hAnsi="Times New Roman"/>
          <w:sz w:val="21"/>
          <w:szCs w:val="21"/>
          <w:b w:val="1"/>
          <w:bCs w:val="1"/>
          <w:color w:val="auto"/>
        </w:rPr>
        <w:t xml:space="preserve">1.4 </w:t>
      </w:r>
      <w:r>
        <w:rPr>
          <w:rFonts w:ascii="Times New Roman" w:cs="Times New Roman" w:eastAsia="Times New Roman" w:hAnsi="Times New Roman"/>
          <w:sz w:val="21"/>
          <w:szCs w:val="21"/>
          <w:b w:val="1"/>
          <w:bCs w:val="1"/>
          <w:u w:val="single" w:color="auto"/>
          <w:color w:val="auto"/>
        </w:rPr>
        <w:t>Representations, Warranties and Agreements of New Lender</w:t>
      </w:r>
      <w:r>
        <w:rPr>
          <w:rFonts w:ascii="Times New Roman" w:cs="Times New Roman" w:eastAsia="Times New Roman" w:hAnsi="Times New Roman"/>
          <w:sz w:val="21"/>
          <w:szCs w:val="21"/>
          <w:color w:val="auto"/>
        </w:rPr>
        <w:t>. The New Lender (a) represents and warrants that (i)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 has full power and authority, and has taken all action necessary, to execute and deliver this Amendment No. 1 and to consummate the transactions contemplated hereby and to become a Bank under the Credit Agreement, (ii) it satisfies the requirements, if any, specified in the Credit Agreement that are required to be satisfied by it in order to become a Bank, (iii) from and after the Amendment Effective Date, it shall be bound by the provisions of the Credit Agreement as a Bank thereunder and, to the extent of its Loan Commitments, shall have the obligations of a Bank thereunder, (iv) it is sophisticated with respect to decisions to acquire assets of the type represented by the Loan Commitment and either it, or the Person exercising discretion in making its decision to acquire the Loan Commitment, is experienced in acquiring assets of such type, (v) it has received a copy of the Credit Agreement, together with copies of the most recent financial statements referred to in Section 5.15 thereof or delivered pursuant to Section 6.09(1) and Section 6.09(2) thereof, as applicable, and such other documents and information as it has deemed appropriate to make its own credit analysis and decision to enter into this Amendment No. 1 and to acquire the Loan Commitment on the basis of which it has made such analysis and decision independently and without reliance on the Administrative Agent or any other Bank, and (vi) it has delivered any documentation required to be delivered by it pursuant to the terms of the Credit Agreement, duly completed and executed by it; and (b) agrees that (i) it will, independently and without reliance upon the Administrative Agent or any other Bank,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Bank. Without limiting the foregoing, the New Lender represents and warrants, and agrees to, each of the matters set forth in Section 10.06 of the Credit Agreement, including that the Loan Documents set out the terms of a commercial lending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2.  REPRESENTATIONS AND WARRANTIES OF THE BORROWER</w:t>
      </w:r>
    </w:p>
    <w:p>
      <w:pPr>
        <w:spacing w:after="0" w:line="208" w:lineRule="exact"/>
        <w:rPr>
          <w:sz w:val="20"/>
          <w:szCs w:val="20"/>
          <w:color w:val="auto"/>
        </w:rPr>
      </w:pPr>
    </w:p>
    <w:p>
      <w:pPr>
        <w:jc w:val="both"/>
        <w:ind w:firstLine="1257"/>
        <w:spacing w:after="0" w:line="280" w:lineRule="auto"/>
        <w:rPr>
          <w:sz w:val="20"/>
          <w:szCs w:val="20"/>
          <w:color w:val="auto"/>
        </w:rPr>
      </w:pPr>
      <w:r>
        <w:rPr>
          <w:rFonts w:ascii="Times New Roman" w:cs="Times New Roman" w:eastAsia="Times New Roman" w:hAnsi="Times New Roman"/>
          <w:sz w:val="21"/>
          <w:szCs w:val="21"/>
          <w:color w:val="auto"/>
        </w:rPr>
        <w:t>In order to induce the New Lender and Administrative Agent to enter into this Amendment No. 1, the Borrower represents and warrants to the New Lender and Administrative Agent that the following statements are true, correct and complete:</w:t>
      </w:r>
    </w:p>
    <w:p>
      <w:pPr>
        <w:spacing w:after="0" w:line="144" w:lineRule="exact"/>
        <w:rPr>
          <w:sz w:val="20"/>
          <w:szCs w:val="20"/>
          <w:color w:val="auto"/>
        </w:rPr>
      </w:pPr>
    </w:p>
    <w:p>
      <w:pPr>
        <w:jc w:val="both"/>
        <w:ind w:firstLine="1262"/>
        <w:spacing w:after="0" w:line="258" w:lineRule="auto"/>
        <w:tabs>
          <w:tab w:leader="none" w:pos="1671" w:val="left"/>
        </w:tabs>
        <w:numPr>
          <w:ilvl w:val="0"/>
          <w:numId w:val="3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by the Borrower of this Amendment No. 1 and the Credit Agreement as amended by this Amendment No. 1 (the “</w:t>
      </w:r>
      <w:r>
        <w:rPr>
          <w:rFonts w:ascii="Times New Roman" w:cs="Times New Roman" w:eastAsia="Times New Roman" w:hAnsi="Times New Roman"/>
          <w:sz w:val="21"/>
          <w:szCs w:val="21"/>
          <w:u w:val="single" w:color="auto"/>
          <w:color w:val="auto"/>
        </w:rPr>
        <w:t>Amended Credit Agreement</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Amendment Documents</w:t>
      </w:r>
      <w:r>
        <w:rPr>
          <w:rFonts w:ascii="Times New Roman" w:cs="Times New Roman" w:eastAsia="Times New Roman" w:hAnsi="Times New Roman"/>
          <w:sz w:val="21"/>
          <w:szCs w:val="21"/>
          <w:color w:val="auto"/>
        </w:rPr>
        <w:t>”) are within its partnership authority, have been duly authorized by all requisite action, and are not in conflict with the terms of any organizational instruments of such entity, or any instrument or agreement to which Borrower or General Partner is a party or by which Borrower, General Partner or any of their respective assets may be bound or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56" w:right="339" w:bottom="1440" w:gutter="0" w:footer="0" w:header="0"/>
        </w:sectPr>
      </w:pPr>
    </w:p>
    <w:bookmarkStart w:id="574" w:name="page575"/>
    <w:bookmarkEnd w:id="574"/>
    <w:p>
      <w:pPr>
        <w:jc w:val="both"/>
        <w:ind w:firstLine="1262"/>
        <w:spacing w:after="0" w:line="263" w:lineRule="auto"/>
        <w:tabs>
          <w:tab w:leader="none" w:pos="1725"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officers of General Partner executing this Amendment No. 1 and any other Amendment Documents required to be delivered by it on behalf of Borrower hereunder have been duly elected or appointed and were fully authorized to execute the same at the time each such Amendment Document was executed;</w:t>
      </w:r>
    </w:p>
    <w:p>
      <w:pPr>
        <w:spacing w:after="0" w:line="175" w:lineRule="exact"/>
        <w:rPr>
          <w:rFonts w:ascii="Times New Roman" w:cs="Times New Roman" w:eastAsia="Times New Roman" w:hAnsi="Times New Roman"/>
          <w:sz w:val="21"/>
          <w:szCs w:val="21"/>
          <w:color w:val="auto"/>
        </w:rPr>
      </w:pPr>
    </w:p>
    <w:p>
      <w:pPr>
        <w:jc w:val="both"/>
        <w:ind w:firstLine="1262"/>
        <w:spacing w:after="0" w:line="251" w:lineRule="auto"/>
        <w:tabs>
          <w:tab w:leader="none" w:pos="1846"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and delivery of, and the performance of the obligations required to be performed by Borrower under, this Amendment No. 1 and any other Amendment Documents do not and will not (a) violate any provision of, or, except for those which have been made or obtained, require any filing (other than SEC disclosure filings), registration, consent or approval under, any Law (including, without limitation, Regulation U), order, writ, judgment, injunction, decree, determination or award presently in effect having applicability to it, except for such violations, or filings, registrations, consents and approvals which if not done or obtained would not likely cause a Material Adverse Change to occur, (b) result in a breach of or constitute a default under or require any consent under any indenture or loan or credit agreement or any other agreement, lease or instrument to which it may be a party or by which it or its properties may be bound or affected except for consents which have been obtained or which if not obtained are not likely to cause a Material Adverse Change to occur, (c) result in, or require, the creation or imposition of any Lien, upon or with respect to any of its properties now owned or hereafter acquired which would likely cause a Material Adverse Change to occur, or (d) cause it to be in default under any such Law, order, writ, judgment, injunction, decree, determination or award or any such indenture, agreement, lease or instrument which would likely cause a Material Adverse Change to occur; to the best of its knowledge, Borrower is in compliance with all Laws applicable to it and its properties where the failure to be in compliance would cause a Material Adverse Change to occur;</w:t>
      </w:r>
    </w:p>
    <w:p>
      <w:pPr>
        <w:spacing w:after="0" w:line="184" w:lineRule="exact"/>
        <w:rPr>
          <w:rFonts w:ascii="Times New Roman" w:cs="Times New Roman" w:eastAsia="Times New Roman" w:hAnsi="Times New Roman"/>
          <w:sz w:val="21"/>
          <w:szCs w:val="21"/>
          <w:color w:val="auto"/>
        </w:rPr>
      </w:pPr>
    </w:p>
    <w:p>
      <w:pPr>
        <w:jc w:val="both"/>
        <w:ind w:firstLine="1262"/>
        <w:spacing w:after="0" w:line="270" w:lineRule="auto"/>
        <w:tabs>
          <w:tab w:leader="none" w:pos="1791"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this Amendment No. 1 and the other Amendment Documents is a legal, valid and binding obligation of Borrower, enforceable in accordance with its terms, except to the extent that such enforcement may be limited by applicable bankruptcy, insolvency and other similar laws affecting creditors’ rights generally, as well as general principles of equity;</w:t>
      </w:r>
    </w:p>
    <w:p>
      <w:pPr>
        <w:spacing w:after="0" w:line="154" w:lineRule="exact"/>
        <w:rPr>
          <w:rFonts w:ascii="Times New Roman" w:cs="Times New Roman" w:eastAsia="Times New Roman" w:hAnsi="Times New Roman"/>
          <w:sz w:val="21"/>
          <w:szCs w:val="21"/>
          <w:color w:val="auto"/>
        </w:rPr>
      </w:pPr>
    </w:p>
    <w:p>
      <w:pPr>
        <w:ind w:left="1800" w:hanging="538"/>
        <w:spacing w:after="0"/>
        <w:tabs>
          <w:tab w:leader="none" w:pos="1800"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No. 1 and the other Amendment Documents have been duly executed and delivered by the</w:t>
      </w:r>
    </w:p>
    <w:p>
      <w:pPr>
        <w:spacing w:after="0" w:line="3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w:t>
      </w:r>
    </w:p>
    <w:p>
      <w:pPr>
        <w:spacing w:after="0" w:line="192" w:lineRule="exact"/>
        <w:rPr>
          <w:rFonts w:ascii="Times New Roman" w:cs="Times New Roman" w:eastAsia="Times New Roman" w:hAnsi="Times New Roman"/>
          <w:sz w:val="21"/>
          <w:szCs w:val="21"/>
          <w:color w:val="auto"/>
        </w:rPr>
      </w:pPr>
    </w:p>
    <w:p>
      <w:pPr>
        <w:jc w:val="both"/>
        <w:ind w:firstLine="1262"/>
        <w:spacing w:after="0" w:line="254" w:lineRule="auto"/>
        <w:tabs>
          <w:tab w:leader="none" w:pos="1783"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of the Borrower contained in Article V of the Credit Agreement are and will be true and correct in all material respects (or in the case of any representation or warranty that is qualified as to “materiality”, “Material Adverse Change” or similar language, in all respects) on and as of the Amendment Effective Date to the same extent as though made on and as of such dates (except in those cases where such representation or warranty expressly relates to an earlier date, in which case such representations and warranties were true and correct in all material respects (or in the case of any representation or warranty that is qualified as to “materiality”, “Material Adverse Change” or similar language, in all respects) as of such date, and except for changes in factual circumstances permitted hereunder), provided that Section 5.20 of the Credit Agreement is qualified insofar as the Borrower will be required to file this Amendment No. 1 in connection with its compliance with its periodic reporting obligations;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81" w:right="339" w:bottom="1440" w:gutter="0" w:footer="0" w:header="0"/>
        </w:sectPr>
      </w:pPr>
    </w:p>
    <w:bookmarkStart w:id="575" w:name="page576"/>
    <w:bookmarkEnd w:id="575"/>
    <w:p>
      <w:pPr>
        <w:ind w:left="1940" w:hanging="678"/>
        <w:spacing w:after="0"/>
        <w:tabs>
          <w:tab w:leader="none" w:pos="1940" w:val="left"/>
        </w:tabs>
        <w:numPr>
          <w:ilvl w:val="0"/>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has occurred and is continuing, both before and after giving effect to this</w:t>
      </w:r>
    </w:p>
    <w:p>
      <w:pPr>
        <w:spacing w:after="0" w:line="3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Amendment No. 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SECTION 3.  CONDITIONS TO EFFECTIVENESS</w:t>
      </w:r>
    </w:p>
    <w:p>
      <w:pPr>
        <w:spacing w:after="0" w:line="208" w:lineRule="exact"/>
        <w:rPr>
          <w:sz w:val="20"/>
          <w:szCs w:val="20"/>
          <w:color w:val="auto"/>
        </w:rPr>
      </w:pPr>
    </w:p>
    <w:p>
      <w:pPr>
        <w:ind w:firstLine="629"/>
        <w:spacing w:after="0" w:line="293" w:lineRule="auto"/>
        <w:rPr>
          <w:sz w:val="20"/>
          <w:szCs w:val="20"/>
          <w:color w:val="auto"/>
        </w:rPr>
      </w:pPr>
      <w:r>
        <w:rPr>
          <w:rFonts w:ascii="Times New Roman" w:cs="Times New Roman" w:eastAsia="Times New Roman" w:hAnsi="Times New Roman"/>
          <w:sz w:val="21"/>
          <w:szCs w:val="21"/>
          <w:color w:val="auto"/>
        </w:rPr>
        <w:t>Except as set forth below, Section 1 of this Amendment No. 1 shall become effective only upon the satisfaction of the following conditions precedent (the “</w:t>
      </w:r>
      <w:r>
        <w:rPr>
          <w:rFonts w:ascii="Times New Roman" w:cs="Times New Roman" w:eastAsia="Times New Roman" w:hAnsi="Times New Roman"/>
          <w:sz w:val="21"/>
          <w:szCs w:val="21"/>
          <w:u w:val="single" w:color="auto"/>
          <w:color w:val="auto"/>
        </w:rPr>
        <w:t>Amendment Effective Date</w:t>
      </w:r>
      <w:r>
        <w:rPr>
          <w:rFonts w:ascii="Times New Roman" w:cs="Times New Roman" w:eastAsia="Times New Roman" w:hAnsi="Times New Roman"/>
          <w:sz w:val="21"/>
          <w:szCs w:val="21"/>
          <w:color w:val="auto"/>
        </w:rPr>
        <w:t>”):</w:t>
      </w:r>
    </w:p>
    <w:p>
      <w:pPr>
        <w:spacing w:after="0" w:line="105" w:lineRule="exact"/>
        <w:rPr>
          <w:sz w:val="20"/>
          <w:szCs w:val="20"/>
          <w:color w:val="auto"/>
        </w:rPr>
      </w:pPr>
    </w:p>
    <w:p>
      <w:pPr>
        <w:jc w:val="both"/>
        <w:ind w:firstLine="1262"/>
        <w:spacing w:after="0" w:line="229" w:lineRule="auto"/>
        <w:tabs>
          <w:tab w:leader="none" w:pos="1946" w:val="left"/>
        </w:tabs>
        <w:numPr>
          <w:ilvl w:val="0"/>
          <w:numId w:val="3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Borrower, the Administrative Agent, the New Lender, and each of the Fronting Banks under the Credit Agreement shall have indicated their consent hereto by the execution and delivery of the signature pages hereof to the Administrative Agent.</w:t>
      </w:r>
    </w:p>
    <w:p>
      <w:pPr>
        <w:spacing w:after="0" w:line="147" w:lineRule="exact"/>
        <w:rPr>
          <w:rFonts w:ascii="Times New Roman" w:cs="Times New Roman" w:eastAsia="Times New Roman" w:hAnsi="Times New Roman"/>
          <w:sz w:val="21"/>
          <w:szCs w:val="21"/>
          <w:b w:val="1"/>
          <w:bCs w:val="1"/>
          <w:color w:val="auto"/>
        </w:rPr>
      </w:pPr>
    </w:p>
    <w:p>
      <w:pPr>
        <w:jc w:val="both"/>
        <w:ind w:firstLine="1262"/>
        <w:spacing w:after="0" w:line="224" w:lineRule="auto"/>
        <w:tabs>
          <w:tab w:leader="none" w:pos="1947" w:val="left"/>
        </w:tabs>
        <w:numPr>
          <w:ilvl w:val="0"/>
          <w:numId w:val="3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Administrative Agent shall have received a secretary’s certificate of the Borrower (i) either confirming that there have been no changes to its organizational documents since January 7, 2026, or if there have been changes to the Borrower’s organizational documents since such date, certifying as to such changes, and (ii) certifying as to resolutions and incumbency of officers with respect to this Amendment No. 1 and the transactions contemplated hereby.</w:t>
      </w:r>
    </w:p>
    <w:p>
      <w:pPr>
        <w:spacing w:after="0" w:line="146" w:lineRule="exact"/>
        <w:rPr>
          <w:rFonts w:ascii="Times New Roman" w:cs="Times New Roman" w:eastAsia="Times New Roman" w:hAnsi="Times New Roman"/>
          <w:sz w:val="21"/>
          <w:szCs w:val="21"/>
          <w:b w:val="1"/>
          <w:bCs w:val="1"/>
          <w:color w:val="auto"/>
        </w:rPr>
      </w:pPr>
    </w:p>
    <w:p>
      <w:pPr>
        <w:jc w:val="both"/>
        <w:ind w:firstLine="1262"/>
        <w:spacing w:after="0" w:line="229" w:lineRule="auto"/>
        <w:tabs>
          <w:tab w:leader="none" w:pos="1959" w:val="left"/>
        </w:tabs>
        <w:numPr>
          <w:ilvl w:val="0"/>
          <w:numId w:val="3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Administrative Agent shall have received all reasonable out-of-pocket costs and expenses for which invoices have been presented (including the reasonable fees and expenses of legal counsel for which the Borrower agrees it is responsible pursuant to Section 12.04 of the Credit Agreement), incurred in connection with this Amendment No. 1.</w:t>
      </w:r>
    </w:p>
    <w:p>
      <w:pPr>
        <w:spacing w:after="0" w:line="147" w:lineRule="exact"/>
        <w:rPr>
          <w:rFonts w:ascii="Times New Roman" w:cs="Times New Roman" w:eastAsia="Times New Roman" w:hAnsi="Times New Roman"/>
          <w:sz w:val="21"/>
          <w:szCs w:val="21"/>
          <w:b w:val="1"/>
          <w:bCs w:val="1"/>
          <w:color w:val="auto"/>
        </w:rPr>
      </w:pPr>
    </w:p>
    <w:p>
      <w:pPr>
        <w:ind w:firstLine="1262"/>
        <w:spacing w:after="0" w:line="241" w:lineRule="auto"/>
        <w:tabs>
          <w:tab w:leader="none" w:pos="1933" w:val="left"/>
        </w:tabs>
        <w:numPr>
          <w:ilvl w:val="0"/>
          <w:numId w:val="3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Execution and delivery to the Administrative Agent by the Borrower of a Note in favor of the New Lender, in each case in the amounts of its Commitments set forth on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attached hereto.</w:t>
      </w:r>
    </w:p>
    <w:p>
      <w:pPr>
        <w:spacing w:after="0" w:line="143" w:lineRule="exact"/>
        <w:rPr>
          <w:rFonts w:ascii="Times New Roman" w:cs="Times New Roman" w:eastAsia="Times New Roman" w:hAnsi="Times New Roman"/>
          <w:sz w:val="21"/>
          <w:szCs w:val="21"/>
          <w:b w:val="1"/>
          <w:bCs w:val="1"/>
          <w:color w:val="auto"/>
        </w:rPr>
      </w:pPr>
    </w:p>
    <w:p>
      <w:pPr>
        <w:jc w:val="both"/>
        <w:ind w:firstLine="1262"/>
        <w:spacing w:after="0" w:line="229" w:lineRule="auto"/>
        <w:tabs>
          <w:tab w:leader="none" w:pos="1960" w:val="left"/>
        </w:tabs>
        <w:numPr>
          <w:ilvl w:val="0"/>
          <w:numId w:val="3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Delivery to the Administrative Agent by Sullivan &amp; Cromwell LLP and Venable LLP, as counsel to the Borrower, of opinions addressed to the New Lender and the Administrative Agent in form and substance reasonably satisfactory to the Administrative Agent.</w:t>
      </w:r>
    </w:p>
    <w:p>
      <w:pPr>
        <w:spacing w:after="0" w:line="147" w:lineRule="exact"/>
        <w:rPr>
          <w:rFonts w:ascii="Times New Roman" w:cs="Times New Roman" w:eastAsia="Times New Roman" w:hAnsi="Times New Roman"/>
          <w:sz w:val="21"/>
          <w:szCs w:val="21"/>
          <w:b w:val="1"/>
          <w:bCs w:val="1"/>
          <w:color w:val="auto"/>
        </w:rPr>
      </w:pPr>
    </w:p>
    <w:p>
      <w:pPr>
        <w:jc w:val="both"/>
        <w:ind w:firstLine="1262"/>
        <w:spacing w:after="0" w:line="229" w:lineRule="auto"/>
        <w:tabs>
          <w:tab w:leader="none" w:pos="1916" w:val="left"/>
        </w:tabs>
        <w:numPr>
          <w:ilvl w:val="0"/>
          <w:numId w:val="3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Payment by the Borrower of any agreed upon compensation to the New Lender and the Administrative Agent as provided in Section 2.16(c)(vi)(e) of the Credit Agreement arising out of the addition of the New Lender as a “Bank” under the Credit Agreement.</w:t>
      </w:r>
    </w:p>
    <w:p>
      <w:pPr>
        <w:spacing w:after="0" w:line="147" w:lineRule="exact"/>
        <w:rPr>
          <w:rFonts w:ascii="Times New Roman" w:cs="Times New Roman" w:eastAsia="Times New Roman" w:hAnsi="Times New Roman"/>
          <w:sz w:val="21"/>
          <w:szCs w:val="21"/>
          <w:b w:val="1"/>
          <w:bCs w:val="1"/>
          <w:color w:val="auto"/>
        </w:rPr>
      </w:pPr>
    </w:p>
    <w:p>
      <w:pPr>
        <w:jc w:val="both"/>
        <w:ind w:firstLine="1262"/>
        <w:spacing w:after="0" w:line="221" w:lineRule="auto"/>
        <w:tabs>
          <w:tab w:leader="none" w:pos="1997" w:val="left"/>
        </w:tabs>
        <w:numPr>
          <w:ilvl w:val="0"/>
          <w:numId w:val="3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conditions set forth in Section 4.02 of the Credit Agreement shall have been satisfied and the Administrative Agent shall have received a certificate dated the Amendment Effective Date and executed by authorized signatory of the Borrower that such conditions have been satisfied and that the Borrower shall be in pro forma compliance with the covenants set forth in Article VIII of the Credit Agreement after giving effect to the New Ratable Commitments and the Ratable Loans to be made thereunder on the Amendment Effective Date.</w:t>
      </w:r>
    </w:p>
    <w:p>
      <w:pPr>
        <w:spacing w:after="0" w:line="145" w:lineRule="exact"/>
        <w:rPr>
          <w:rFonts w:ascii="Times New Roman" w:cs="Times New Roman" w:eastAsia="Times New Roman" w:hAnsi="Times New Roman"/>
          <w:sz w:val="21"/>
          <w:szCs w:val="21"/>
          <w:b w:val="1"/>
          <w:bCs w:val="1"/>
          <w:color w:val="auto"/>
        </w:rPr>
      </w:pPr>
    </w:p>
    <w:p>
      <w:pPr>
        <w:ind w:firstLine="1262"/>
        <w:spacing w:after="0" w:line="241" w:lineRule="auto"/>
        <w:tabs>
          <w:tab w:leader="none" w:pos="1957" w:val="left"/>
        </w:tabs>
        <w:numPr>
          <w:ilvl w:val="0"/>
          <w:numId w:val="3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Upon satisfaction of the foregoing conditions, the Administrative Agent shall deliver written notice to the Borrower and the Banks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2" w:right="339" w:bottom="1440" w:gutter="0" w:footer="0" w:header="0"/>
        </w:sectPr>
      </w:pPr>
    </w:p>
    <w:bookmarkStart w:id="576" w:name="page577"/>
    <w:bookmarkEnd w:id="576"/>
    <w:p>
      <w:pPr>
        <w:spacing w:after="0"/>
        <w:rPr>
          <w:sz w:val="20"/>
          <w:szCs w:val="20"/>
          <w:color w:val="auto"/>
        </w:rPr>
      </w:pPr>
      <w:r>
        <w:rPr>
          <w:rFonts w:ascii="Times New Roman" w:cs="Times New Roman" w:eastAsia="Times New Roman" w:hAnsi="Times New Roman"/>
          <w:sz w:val="21"/>
          <w:szCs w:val="21"/>
          <w:b w:val="1"/>
          <w:bCs w:val="1"/>
          <w:color w:val="auto"/>
        </w:rPr>
        <w:t>SECTION 4.  MISCELLANEOUS</w:t>
      </w:r>
    </w:p>
    <w:p>
      <w:pPr>
        <w:spacing w:after="0" w:line="178" w:lineRule="exact"/>
        <w:rPr>
          <w:sz w:val="20"/>
          <w:szCs w:val="20"/>
          <w:color w:val="auto"/>
        </w:rPr>
      </w:pPr>
    </w:p>
    <w:p>
      <w:pPr>
        <w:ind w:left="1940" w:hanging="678"/>
        <w:spacing w:after="0"/>
        <w:tabs>
          <w:tab w:leader="none" w:pos="1940" w:val="left"/>
        </w:tabs>
        <w:numPr>
          <w:ilvl w:val="0"/>
          <w:numId w:val="3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Reference to and Effect on the Credit Agreement and the Other Loan Documents</w:t>
      </w:r>
      <w:r>
        <w:rPr>
          <w:rFonts w:ascii="Times New Roman" w:cs="Times New Roman" w:eastAsia="Times New Roman" w:hAnsi="Times New Roman"/>
          <w:sz w:val="21"/>
          <w:szCs w:val="21"/>
          <w:color w:val="auto"/>
        </w:rPr>
        <w:t>.</w:t>
      </w:r>
    </w:p>
    <w:p>
      <w:pPr>
        <w:spacing w:after="0" w:line="208" w:lineRule="exact"/>
        <w:rPr>
          <w:sz w:val="20"/>
          <w:szCs w:val="20"/>
          <w:color w:val="auto"/>
        </w:rPr>
      </w:pPr>
    </w:p>
    <w:p>
      <w:pPr>
        <w:jc w:val="both"/>
        <w:ind w:firstLine="1262"/>
        <w:spacing w:after="0" w:line="258" w:lineRule="auto"/>
        <w:tabs>
          <w:tab w:leader="none" w:pos="1805" w:val="left"/>
        </w:tabs>
        <w:numPr>
          <w:ilvl w:val="0"/>
          <w:numId w:val="3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and after the effective date of this Amendment No. 1,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Amended Credit Agreement. This Amendment No. 1 shall be deemed to be a “Loan Document” under the Credit Agreement.</w:t>
      </w:r>
    </w:p>
    <w:p>
      <w:pPr>
        <w:spacing w:after="0" w:line="169" w:lineRule="exact"/>
        <w:rPr>
          <w:rFonts w:ascii="Times New Roman" w:cs="Times New Roman" w:eastAsia="Times New Roman" w:hAnsi="Times New Roman"/>
          <w:sz w:val="21"/>
          <w:szCs w:val="21"/>
          <w:color w:val="auto"/>
        </w:rPr>
      </w:pPr>
    </w:p>
    <w:p>
      <w:pPr>
        <w:jc w:val="both"/>
        <w:ind w:firstLine="1262"/>
        <w:spacing w:after="0" w:line="258" w:lineRule="auto"/>
        <w:tabs>
          <w:tab w:leader="none" w:pos="1741" w:val="left"/>
        </w:tabs>
        <w:numPr>
          <w:ilvl w:val="0"/>
          <w:numId w:val="3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specifically amended by this Amendment No. 1, the Credit Agreement and the other Loan Documents shall remain in full force and effect and are hereby ratified and confirmed. The parties hereto do not intend this Amendment No. 1 or the transactions contemplated hereby to be, and this Amendment No. 1 and the transactions contemplated hereby shall not be construed to be, a novation of any of the obligations owing by the Borrower under or in connection with the Credit Agreement or any of the other Loan Documents.</w:t>
      </w:r>
    </w:p>
    <w:p>
      <w:pPr>
        <w:spacing w:after="0" w:line="169" w:lineRule="exact"/>
        <w:rPr>
          <w:rFonts w:ascii="Times New Roman" w:cs="Times New Roman" w:eastAsia="Times New Roman" w:hAnsi="Times New Roman"/>
          <w:sz w:val="21"/>
          <w:szCs w:val="21"/>
          <w:color w:val="auto"/>
        </w:rPr>
      </w:pPr>
    </w:p>
    <w:p>
      <w:pPr>
        <w:jc w:val="both"/>
        <w:ind w:firstLine="1262"/>
        <w:spacing w:after="0" w:line="263" w:lineRule="auto"/>
        <w:tabs>
          <w:tab w:leader="none" w:pos="1888" w:val="left"/>
        </w:tabs>
        <w:numPr>
          <w:ilvl w:val="0"/>
          <w:numId w:val="3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of this Amendment No. 1 shall not, except as expressly provided herein, constitute a waiver of any provision of, or operate as a waiver of any right, power or remedy of the Administrative Agent or any Bank under the Credit Agreement or any of the other Loan Documents.</w:t>
      </w:r>
    </w:p>
    <w:p>
      <w:pPr>
        <w:spacing w:after="0" w:line="132" w:lineRule="exact"/>
        <w:rPr>
          <w:sz w:val="20"/>
          <w:szCs w:val="20"/>
          <w:color w:val="auto"/>
        </w:rPr>
      </w:pPr>
    </w:p>
    <w:p>
      <w:pPr>
        <w:ind w:firstLine="1262"/>
        <w:spacing w:after="0" w:line="245" w:lineRule="auto"/>
        <w:tabs>
          <w:tab w:leader="none" w:pos="1934" w:val="left"/>
        </w:tabs>
        <w:numPr>
          <w:ilvl w:val="0"/>
          <w:numId w:val="3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Headings</w:t>
      </w:r>
      <w:r>
        <w:rPr>
          <w:rFonts w:ascii="Times New Roman" w:cs="Times New Roman" w:eastAsia="Times New Roman" w:hAnsi="Times New Roman"/>
          <w:sz w:val="21"/>
          <w:szCs w:val="21"/>
          <w:color w:val="auto"/>
        </w:rPr>
        <w:t>. Section and subsection headings in this Amendment No. 1 are included herein for convenience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reference only and shall not constitute a part of this Amendment No. 1 for any other purpose or be given any substantive effect.</w:t>
      </w:r>
    </w:p>
    <w:p>
      <w:pPr>
        <w:spacing w:after="0" w:line="135" w:lineRule="exact"/>
        <w:rPr>
          <w:rFonts w:ascii="Times New Roman" w:cs="Times New Roman" w:eastAsia="Times New Roman" w:hAnsi="Times New Roman"/>
          <w:sz w:val="21"/>
          <w:szCs w:val="21"/>
          <w:b w:val="1"/>
          <w:bCs w:val="1"/>
          <w:color w:val="auto"/>
        </w:rPr>
      </w:pPr>
    </w:p>
    <w:p>
      <w:pPr>
        <w:jc w:val="both"/>
        <w:ind w:firstLine="1262"/>
        <w:spacing w:after="0" w:line="231" w:lineRule="auto"/>
        <w:tabs>
          <w:tab w:leader="none" w:pos="1985" w:val="left"/>
        </w:tabs>
        <w:numPr>
          <w:ilvl w:val="0"/>
          <w:numId w:val="3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Applicable Law</w:t>
      </w:r>
      <w:r>
        <w:rPr>
          <w:rFonts w:ascii="Times New Roman" w:cs="Times New Roman" w:eastAsia="Times New Roman" w:hAnsi="Times New Roman"/>
          <w:sz w:val="21"/>
          <w:szCs w:val="21"/>
          <w:color w:val="auto"/>
        </w:rPr>
        <w:t>. THIS AMENDMENT NO. 1 AND THE RIGHTS AND OBLIGATIONS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HEREUNDER SHALL BE GOVERNED BY, AND CONSTRUED AND INTERPRETED IN ACCORDANCE WITH, THE LAW OF THE STATE OF NEW YORK.</w:t>
      </w:r>
    </w:p>
    <w:p>
      <w:pPr>
        <w:spacing w:after="0" w:line="141" w:lineRule="exact"/>
        <w:rPr>
          <w:rFonts w:ascii="Times New Roman" w:cs="Times New Roman" w:eastAsia="Times New Roman" w:hAnsi="Times New Roman"/>
          <w:sz w:val="21"/>
          <w:szCs w:val="21"/>
          <w:b w:val="1"/>
          <w:bCs w:val="1"/>
          <w:color w:val="auto"/>
        </w:rPr>
      </w:pPr>
    </w:p>
    <w:p>
      <w:pPr>
        <w:jc w:val="both"/>
        <w:ind w:firstLine="1262"/>
        <w:spacing w:after="0" w:line="214" w:lineRule="auto"/>
        <w:tabs>
          <w:tab w:leader="none" w:pos="1933" w:val="left"/>
        </w:tabs>
        <w:numPr>
          <w:ilvl w:val="0"/>
          <w:numId w:val="3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Counterparts; Effectiveness</w:t>
      </w:r>
      <w:r>
        <w:rPr>
          <w:rFonts w:ascii="Times New Roman" w:cs="Times New Roman" w:eastAsia="Times New Roman" w:hAnsi="Times New Roman"/>
          <w:sz w:val="21"/>
          <w:szCs w:val="21"/>
          <w:color w:val="auto"/>
        </w:rPr>
        <w:t>. This Amendment No. 1 may be executed in any number of counterparts and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This Amendment No. 1 (other than the provisions of Section 1 hereof, the effectiveness of which is governed by Section 3 hereof) shall become effective upon the execution of a counterpart hereof by the Borrower and the Banks. Delivery of an executed counterpart of a signature page of this Amendment No. 1 by telecopy, emailed pdf. or any other electronic means that reproduces an image of the actual executed signature page shall be effective as delivery of a manually executed counterpart of this Amendment No. 1. The words “execution,” “signed,” “signature,” “delivery,” and words of like import in or relating to this Amendment No. 1 and/or any document to be signed in connection with this Amendment No. 1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51" w:right="339" w:bottom="1440" w:gutter="0" w:footer="0" w:header="0"/>
        </w:sectPr>
      </w:pPr>
    </w:p>
    <w:bookmarkStart w:id="577" w:name="page578"/>
    <w:bookmarkEnd w:id="577"/>
    <w:p>
      <w:pPr>
        <w:jc w:val="both"/>
        <w:spacing w:after="0" w:line="231" w:lineRule="auto"/>
        <w:rPr>
          <w:sz w:val="20"/>
          <w:szCs w:val="20"/>
          <w:color w:val="auto"/>
        </w:rPr>
      </w:pPr>
      <w:r>
        <w:rPr>
          <w:rFonts w:ascii="Times New Roman" w:cs="Times New Roman" w:eastAsia="Times New Roman" w:hAnsi="Times New Roman"/>
          <w:sz w:val="21"/>
          <w:szCs w:val="21"/>
          <w:color w:val="auto"/>
        </w:rPr>
        <w:t>delivery thereof or the use of a paper-based recordkeeping system, as the case may be. As used herein, “</w:t>
      </w:r>
      <w:r>
        <w:rPr>
          <w:rFonts w:ascii="Times New Roman" w:cs="Times New Roman" w:eastAsia="Times New Roman" w:hAnsi="Times New Roman"/>
          <w:sz w:val="21"/>
          <w:szCs w:val="21"/>
          <w:b w:val="1"/>
          <w:bCs w:val="1"/>
          <w:i w:val="1"/>
          <w:iCs w:val="1"/>
          <w:color w:val="auto"/>
        </w:rPr>
        <w:t>Electronic Signatures</w:t>
      </w:r>
      <w:r>
        <w:rPr>
          <w:rFonts w:ascii="Times New Roman" w:cs="Times New Roman" w:eastAsia="Times New Roman" w:hAnsi="Times New Roman"/>
          <w:sz w:val="21"/>
          <w:szCs w:val="21"/>
          <w:color w:val="auto"/>
        </w:rPr>
        <w:t>” means any electronic symbol or process attached to, or associated with, any contract or other record and adopted by a person with the intent to sign, authenticate or accept such contract or record.</w:t>
      </w:r>
    </w:p>
    <w:p>
      <w:pPr>
        <w:spacing w:after="0" w:line="141" w:lineRule="exact"/>
        <w:rPr>
          <w:sz w:val="20"/>
          <w:szCs w:val="20"/>
          <w:color w:val="auto"/>
        </w:rPr>
      </w:pPr>
    </w:p>
    <w:p>
      <w:pPr>
        <w:ind w:firstLine="1262"/>
        <w:spacing w:after="0" w:line="245" w:lineRule="auto"/>
        <w:tabs>
          <w:tab w:leader="none" w:pos="1960" w:val="left"/>
        </w:tabs>
        <w:numPr>
          <w:ilvl w:val="0"/>
          <w:numId w:val="3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Jurisdictions; Immunities</w:t>
      </w:r>
      <w:r>
        <w:rPr>
          <w:rFonts w:ascii="Times New Roman" w:cs="Times New Roman" w:eastAsia="Times New Roman" w:hAnsi="Times New Roman"/>
          <w:sz w:val="21"/>
          <w:szCs w:val="21"/>
          <w:color w:val="auto"/>
        </w:rPr>
        <w:t>. The provisions of Section 12.15 of the Credit Agreement shall apply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No. 1 and are hereby incorporated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52" w:right="339" w:bottom="1440" w:gutter="0" w:footer="0" w:header="0"/>
        </w:sectPr>
      </w:pPr>
    </w:p>
    <w:bookmarkStart w:id="578" w:name="page579"/>
    <w:bookmarkEnd w:id="578"/>
    <w:p>
      <w:pPr>
        <w:ind w:firstLine="629"/>
        <w:spacing w:after="0" w:line="284"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caused this Amendment No. 1 to be duly executed and delivered by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respective officers thereunto duly authorized as of the date first written above.</w:t>
      </w:r>
    </w:p>
    <w:p>
      <w:pPr>
        <w:spacing w:after="0" w:line="14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VORNADO REALTY L.P.,</w:t>
      </w:r>
    </w:p>
    <w:p>
      <w:pPr>
        <w:spacing w:after="0" w:line="3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a Delaware limited partnership</w:t>
      </w:r>
    </w:p>
    <w:p>
      <w:pPr>
        <w:spacing w:after="0" w:line="230" w:lineRule="exact"/>
        <w:rPr>
          <w:sz w:val="20"/>
          <w:szCs w:val="20"/>
          <w:color w:val="auto"/>
        </w:rPr>
      </w:pPr>
    </w:p>
    <w:p>
      <w:pPr>
        <w:ind w:left="3780"/>
        <w:spacing w:after="0"/>
        <w:tabs>
          <w:tab w:leader="none" w:pos="42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Vornado Realty Trust,</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color w:val="auto"/>
        </w:rPr>
        <w:t>a Maryland real estate investment trust,</w:t>
      </w:r>
    </w:p>
    <w:p>
      <w:pPr>
        <w:spacing w:after="0" w:line="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0"/>
        <w:spacing w:after="0"/>
        <w:tabs>
          <w:tab w:leader="none" w:pos="49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Steve Borenstein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-10795</wp:posOffset>
            </wp:positionV>
            <wp:extent cx="14636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39">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1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Name: Steve Borenstein</w:t>
      </w:r>
    </w:p>
    <w:p>
      <w:pPr>
        <w:spacing w:after="0" w:line="1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Amendment No. 1 to Fourth A&amp;R Revolving Credit Agreement]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3"/>
          <w:szCs w:val="13"/>
          <w:color w:val="FFFFFF"/>
        </w:rPr>
        <w:t>DB3/ 205231116.3</w:t>
      </w:r>
    </w:p>
    <w:p>
      <w:pPr>
        <w:sectPr>
          <w:pgSz w:w="11900" w:h="16838" w:orient="portrait"/>
          <w:cols w:equalWidth="0" w:num="1">
            <w:col w:w="11240"/>
          </w:cols>
          <w:pgMar w:left="320" w:top="1378" w:right="339" w:bottom="1440" w:gutter="0" w:footer="0" w:header="0"/>
        </w:sectPr>
      </w:pPr>
    </w:p>
    <w:bookmarkStart w:id="579" w:name="page580"/>
    <w:bookmarkEnd w:id="579"/>
    <w:p>
      <w:pPr>
        <w:spacing w:after="0" w:line="17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JPMORGAN CHASE BANK, N.A., as Administrative Agent and as a Fronting Bank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Cody A. Canafax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6186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40">
                      <a:extLst>
                        <a:ext uri="{28A0092B-C50C-407E-A947-70E740481C1C}"/>
                      </a:extLst>
                    </a:blip>
                    <a:srcRect/>
                    <a:stretch>
                      <a:fillRect/>
                    </a:stretch>
                  </pic:blipFill>
                  <pic:spPr bwMode="auto">
                    <a:xfrm>
                      <a:off x="0" y="0"/>
                      <a:ext cx="1618615"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Cody A. Canafax</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6"/>
          <w:szCs w:val="16"/>
          <w:color w:val="auto"/>
        </w:rPr>
        <w:t>[Signature Page to Amendment No. 1 to Fourth A&amp;R Revolving Credit Agreement]</w:t>
      </w:r>
    </w:p>
    <w:p>
      <w:pPr>
        <w:sectPr>
          <w:pgSz w:w="11900" w:h="16838" w:orient="portrait"/>
          <w:cols w:equalWidth="0" w:num="1">
            <w:col w:w="9840"/>
          </w:cols>
          <w:pgMar w:left="1440" w:top="1440" w:right="619" w:bottom="1440" w:gutter="0" w:footer="0" w:header="0"/>
        </w:sectPr>
      </w:pPr>
    </w:p>
    <w:bookmarkStart w:id="580" w:name="page581"/>
    <w:bookmarkEnd w:id="580"/>
    <w:p>
      <w:pPr>
        <w:spacing w:after="0" w:line="17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STANDARD CHARTERED BANK, as New Lender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Noubar Sofoian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5379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41">
                      <a:extLst>
                        <a:ext uri="{28A0092B-C50C-407E-A947-70E740481C1C}"/>
                      </a:extLst>
                    </a:blip>
                    <a:srcRect/>
                    <a:stretch>
                      <a:fillRect/>
                    </a:stretch>
                  </pic:blipFill>
                  <pic:spPr bwMode="auto">
                    <a:xfrm>
                      <a:off x="0" y="0"/>
                      <a:ext cx="153797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Noubar Sofoian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Amendment No. 1 to Fourth A&amp;R Revolving Credit Agreement]</w:t>
      </w:r>
    </w:p>
    <w:p>
      <w:pPr>
        <w:sectPr>
          <w:pgSz w:w="11900" w:h="16838" w:orient="portrait"/>
          <w:cols w:equalWidth="0" w:num="1">
            <w:col w:w="9019"/>
          </w:cols>
          <w:pgMar w:left="1440" w:top="1440" w:right="1440" w:bottom="1440" w:gutter="0" w:footer="0" w:header="0"/>
        </w:sectPr>
      </w:pPr>
    </w:p>
    <w:bookmarkStart w:id="581" w:name="page582"/>
    <w:bookmarkEnd w:id="581"/>
    <w:p>
      <w:pPr>
        <w:spacing w:after="0" w:line="17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BANK OF AMERICA, N.A. as a Fronting Bank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Cheryl Sneor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3970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42">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Cheryl Sneor</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Amendment No. 1 to Fourth A&amp;R Revolving Credit Agreement]</w:t>
      </w:r>
    </w:p>
    <w:p>
      <w:pPr>
        <w:sectPr>
          <w:pgSz w:w="11900" w:h="16838" w:orient="portrait"/>
          <w:cols w:equalWidth="0" w:num="1">
            <w:col w:w="9019"/>
          </w:cols>
          <w:pgMar w:left="1440" w:top="1440" w:right="1440" w:bottom="1440" w:gutter="0" w:footer="0" w:header="0"/>
        </w:sectPr>
      </w:pPr>
    </w:p>
    <w:bookmarkStart w:id="582" w:name="page583"/>
    <w:bookmarkEnd w:id="582"/>
    <w:p>
      <w:pPr>
        <w:spacing w:after="0" w:line="1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color w:val="auto"/>
        </w:rPr>
        <w:t>WELLS FARGO BANK, N.A., as a Bank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Jackson Helms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4935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43">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Jackson Helms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Amendment No. 1 to Fourth A&amp;R Revolving Credit Agreement]</w:t>
      </w:r>
    </w:p>
    <w:p>
      <w:pPr>
        <w:sectPr>
          <w:pgSz w:w="11900" w:h="16838" w:orient="portrait"/>
          <w:cols w:equalWidth="0" w:num="1">
            <w:col w:w="9019"/>
          </w:cols>
          <w:pgMar w:left="1440" w:top="1440" w:right="1440" w:bottom="1440" w:gutter="0" w:footer="0" w:header="0"/>
        </w:sectPr>
      </w:pPr>
    </w:p>
    <w:bookmarkStart w:id="583" w:name="page584"/>
    <w:bookmarkEnd w:id="583"/>
    <w:p>
      <w:pPr>
        <w:spacing w:after="0" w:line="179" w:lineRule="exact"/>
        <w:rPr>
          <w:sz w:val="20"/>
          <w:szCs w:val="20"/>
          <w:color w:val="auto"/>
        </w:rPr>
      </w:pPr>
    </w:p>
    <w:p>
      <w:pPr>
        <w:jc w:val="right"/>
        <w:ind w:right="1119"/>
        <w:spacing w:after="0"/>
        <w:rPr>
          <w:sz w:val="20"/>
          <w:szCs w:val="20"/>
          <w:color w:val="auto"/>
        </w:rPr>
      </w:pPr>
      <w:r>
        <w:rPr>
          <w:rFonts w:ascii="Times New Roman" w:cs="Times New Roman" w:eastAsia="Times New Roman" w:hAnsi="Times New Roman"/>
          <w:sz w:val="21"/>
          <w:szCs w:val="21"/>
          <w:color w:val="auto"/>
        </w:rPr>
        <w:t>U.S. BANK NATIONAL ASSOCIATION, as a Fronting Bank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Patrick T.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4909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44">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Patrick T. Brooks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Amendment No. 1 to Fourth A&amp;R Revolving Credit Agreement]</w:t>
      </w:r>
    </w:p>
    <w:p>
      <w:pPr>
        <w:sectPr>
          <w:pgSz w:w="11900" w:h="16838" w:orient="portrait"/>
          <w:cols w:equalWidth="0" w:num="1">
            <w:col w:w="9019"/>
          </w:cols>
          <w:pgMar w:left="1440" w:top="1440" w:right="1440" w:bottom="1440" w:gutter="0" w:footer="0" w:header="0"/>
        </w:sectPr>
      </w:pPr>
    </w:p>
    <w:bookmarkStart w:id="584" w:name="page585"/>
    <w:bookmarkEnd w:id="584"/>
    <w:p>
      <w:pPr>
        <w:spacing w:after="0" w:line="178"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21"/>
          <w:szCs w:val="21"/>
          <w:color w:val="auto"/>
        </w:rPr>
        <w:t>PNC BANK, NATIONAL ASSOCIATION, as a Fronting Bank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Brian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3157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45">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Brian Kelly</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Amendment No. 1 to Fourth A&amp;R Revolving Credit Agreement]</w:t>
      </w:r>
    </w:p>
    <w:p>
      <w:pPr>
        <w:sectPr>
          <w:pgSz w:w="11900" w:h="16838" w:orient="portrait"/>
          <w:cols w:equalWidth="0" w:num="1">
            <w:col w:w="9019"/>
          </w:cols>
          <w:pgMar w:left="1440" w:top="1440" w:right="1440" w:bottom="1440" w:gutter="0" w:footer="0" w:header="0"/>
        </w:sectPr>
      </w:pPr>
    </w:p>
    <w:bookmarkStart w:id="585" w:name="page586"/>
    <w:bookmarkEnd w:id="585"/>
    <w:p>
      <w:pPr>
        <w:spacing w:after="0" w:line="17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BMO BANK, N.A., as a Fronting Bank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60"/>
        <w:spacing w:after="0"/>
        <w:tabs>
          <w:tab w:leader="none" w:pos="3140" w:val="left"/>
        </w:tabs>
        <w:rPr>
          <w:sz w:val="20"/>
          <w:szCs w:val="20"/>
          <w:color w:val="auto"/>
        </w:rPr>
      </w:pPr>
      <w:r>
        <w:rPr>
          <w:rFonts w:ascii="Times New Roman" w:cs="Times New Roman" w:eastAsia="Times New Roman" w:hAnsi="Times New Roman"/>
          <w:sz w:val="21"/>
          <w:szCs w:val="21"/>
          <w:color w:val="auto"/>
        </w:rPr>
        <w:t>By:</w:t>
        <w:tab/>
        <w:t>/s/ Rebecca Liu Chabanon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-10795</wp:posOffset>
            </wp:positionV>
            <wp:extent cx="17995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46">
                      <a:extLst>
                        <a:ext uri="{28A0092B-C50C-407E-A947-70E740481C1C}"/>
                      </a:extLst>
                    </a:blip>
                    <a:srcRect/>
                    <a:stretch>
                      <a:fillRect/>
                    </a:stretch>
                  </pic:blipFill>
                  <pic:spPr bwMode="auto">
                    <a:xfrm>
                      <a:off x="0" y="0"/>
                      <a:ext cx="1799590" cy="8255"/>
                    </a:xfrm>
                    <a:prstGeom prst="rect">
                      <a:avLst/>
                    </a:prstGeom>
                    <a:noFill/>
                  </pic:spPr>
                </pic:pic>
              </a:graphicData>
            </a:graphic>
          </wp:anchor>
        </w:drawing>
      </w:r>
    </w:p>
    <w:p>
      <w:pPr>
        <w:spacing w:after="0" w:line="1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Name: Rebecca Liu Chabanon</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Amendment No. 1 to Fourth A&amp;R Revolving Credit Agreement]</w:t>
      </w:r>
    </w:p>
    <w:p>
      <w:pPr>
        <w:sectPr>
          <w:pgSz w:w="11900" w:h="16838" w:orient="portrait"/>
          <w:cols w:equalWidth="0" w:num="1">
            <w:col w:w="9019"/>
          </w:cols>
          <w:pgMar w:left="1440" w:top="1440" w:right="1440" w:bottom="1440" w:gutter="0" w:footer="0" w:header="0"/>
        </w:sectPr>
      </w:pPr>
    </w:p>
    <w:bookmarkStart w:id="586" w:name="page587"/>
    <w:bookmarkEnd w:id="586"/>
    <w:p>
      <w:pPr>
        <w:jc w:val="right"/>
        <w:spacing w:after="0"/>
        <w:rPr>
          <w:sz w:val="20"/>
          <w:szCs w:val="20"/>
          <w:color w:val="auto"/>
        </w:rPr>
      </w:pPr>
      <w:r>
        <w:rPr>
          <w:rFonts w:ascii="Times New Roman" w:cs="Times New Roman" w:eastAsia="Times New Roman" w:hAnsi="Times New Roman"/>
          <w:sz w:val="19"/>
          <w:szCs w:val="19"/>
          <w:b w:val="1"/>
          <w:bCs w:val="1"/>
          <w:color w:val="auto"/>
        </w:rPr>
        <w:t>EXHIBIT 21</w:t>
      </w:r>
    </w:p>
    <w:p>
      <w:pPr>
        <w:spacing w:after="0" w:line="200" w:lineRule="exact"/>
        <w:rPr>
          <w:sz w:val="20"/>
          <w:szCs w:val="20"/>
          <w:color w:val="auto"/>
        </w:rPr>
      </w:pPr>
    </w:p>
    <w:p>
      <w:pPr>
        <w:spacing w:after="0" w:line="400" w:lineRule="exact"/>
        <w:rPr>
          <w:sz w:val="20"/>
          <w:szCs w:val="20"/>
          <w:color w:val="auto"/>
        </w:rPr>
      </w:pPr>
    </w:p>
    <w:p>
      <w:pPr>
        <w:jc w:val="both"/>
        <w:ind w:firstLine="314"/>
        <w:spacing w:after="0" w:line="296" w:lineRule="auto"/>
        <w:rPr>
          <w:sz w:val="20"/>
          <w:szCs w:val="20"/>
          <w:color w:val="auto"/>
        </w:rPr>
      </w:pPr>
      <w:r>
        <w:rPr>
          <w:rFonts w:ascii="Times New Roman" w:cs="Times New Roman" w:eastAsia="Times New Roman" w:hAnsi="Times New Roman"/>
          <w:sz w:val="17"/>
          <w:szCs w:val="17"/>
          <w:color w:val="auto"/>
        </w:rPr>
        <w:t>All of the following are subsidiaries of both Vornado Realty Trust and Vornado Realty, L.P. as of December 31, 2025, except Vornado Realty, L.P. is a subsidiary of only Vornado Realty Trust.</w:t>
      </w:r>
    </w:p>
    <w:p>
      <w:pPr>
        <w:spacing w:after="0" w:line="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VORNADO REALTY TRUST</w:t>
      </w:r>
    </w:p>
    <w:p>
      <w:pPr>
        <w:spacing w:after="0" w:line="3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AS OF DECEMBER 31, 2025</w:t>
      </w:r>
    </w:p>
    <w:p>
      <w:pPr>
        <w:spacing w:after="0" w:line="335"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State of</w:t>
            </w:r>
          </w:p>
        </w:tc>
        <w:tc>
          <w:tcPr>
            <w:tcW w:w="660" w:type="dxa"/>
            <w:vAlign w:val="bottom"/>
          </w:tcPr>
          <w:p>
            <w:pPr>
              <w:spacing w:after="0"/>
              <w:rPr>
                <w:sz w:val="19"/>
                <w:szCs w:val="19"/>
                <w:color w:val="auto"/>
              </w:rPr>
            </w:pPr>
          </w:p>
        </w:tc>
      </w:tr>
      <w:tr>
        <w:trPr>
          <w:trHeight w:val="230"/>
        </w:trPr>
        <w:tc>
          <w:tcPr>
            <w:tcW w:w="540" w:type="dxa"/>
            <w:vAlign w:val="bottom"/>
          </w:tcPr>
          <w:p>
            <w:pPr>
              <w:spacing w:after="0"/>
              <w:rPr>
                <w:sz w:val="19"/>
                <w:szCs w:val="19"/>
                <w:color w:val="auto"/>
              </w:rPr>
            </w:pPr>
          </w:p>
        </w:tc>
        <w:tc>
          <w:tcPr>
            <w:tcW w:w="6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Name of Subsidiary</w:t>
            </w:r>
          </w:p>
        </w:tc>
        <w:tc>
          <w:tcPr>
            <w:tcW w:w="820" w:type="dxa"/>
            <w:vAlign w:val="bottom"/>
          </w:tcPr>
          <w:p>
            <w:pPr>
              <w:spacing w:after="0"/>
              <w:rPr>
                <w:sz w:val="19"/>
                <w:szCs w:val="19"/>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Organization</w:t>
            </w:r>
          </w:p>
        </w:tc>
        <w:tc>
          <w:tcPr>
            <w:tcW w:w="660" w:type="dxa"/>
            <w:vAlign w:val="bottom"/>
          </w:tcPr>
          <w:p>
            <w:pPr>
              <w:spacing w:after="0"/>
              <w:rPr>
                <w:sz w:val="19"/>
                <w:szCs w:val="19"/>
                <w:color w:val="auto"/>
              </w:rPr>
            </w:pPr>
          </w:p>
        </w:tc>
      </w:tr>
      <w:tr>
        <w:trPr>
          <w:trHeight w:val="407"/>
        </w:trPr>
        <w:tc>
          <w:tcPr>
            <w:tcW w:w="540" w:type="dxa"/>
            <w:vAlign w:val="bottom"/>
          </w:tcPr>
          <w:p>
            <w:pPr>
              <w:spacing w:after="0"/>
              <w:rPr>
                <w:sz w:val="24"/>
                <w:szCs w:val="24"/>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1290 License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24"/>
                <w:szCs w:val="24"/>
                <w:color w:val="auto"/>
              </w:rPr>
            </w:pP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3</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1290 Management II,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4</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131</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West 33rd Street Owner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4</w:t>
            </w: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136-138 West 34th Street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5</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137</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West 33rd Street Owner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5</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6</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138-142 West 32nd EAT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6</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7</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144-150 West 34th Street EAT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7</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8</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144-150 West 34th Street Owner II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8</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9</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East 58th Garage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9</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10</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East 58th Street,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10</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11</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1535 Broadway Holdings II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11</w:t>
            </w: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1535 Broadway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12</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1535 Broadway Sign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12</w:t>
            </w: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1535 Broadway TRS Subsidiary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1535/1540 Broadway Holdings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1535/1540 Broadway TRS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1540 Broadway Garage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1540 Broadway Holdings II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1540 Broadway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13</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1540 Broadway Sign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13</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14</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1540 Broadway TRS Subsidiary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14</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16</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1800 Park REIT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16</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17</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East 66th Street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17</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18</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220 CPS Garage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18</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19</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220 CPS Tower Club Corp</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19</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20</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265</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West 34th Street Owner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20</w:t>
            </w:r>
          </w:p>
        </w:tc>
      </w:tr>
      <w:tr>
        <w:trPr>
          <w:trHeight w:val="223"/>
        </w:trPr>
        <w:tc>
          <w:tcPr>
            <w:tcW w:w="54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280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Park Administration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21</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280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Park Cleaning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21</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22</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280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Park Holdings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22</w:t>
            </w:r>
          </w:p>
        </w:tc>
      </w:tr>
      <w:tr>
        <w:trPr>
          <w:trHeight w:val="223"/>
        </w:trPr>
        <w:tc>
          <w:tcPr>
            <w:tcW w:w="54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280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Park Junior Mezzanine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280 Park Management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280 Park REIT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spacing w:after="0"/>
              <w:rPr>
                <w:sz w:val="19"/>
                <w:szCs w:val="19"/>
                <w:color w:val="auto"/>
              </w:rPr>
            </w:pP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23</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280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Park Senior Mezzanine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23</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24</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280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Park Venture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24</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25</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29 West 57th Street Owner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25</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26</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304-306 Canal Street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26</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27</w:t>
            </w:r>
          </w:p>
        </w:tc>
        <w:tc>
          <w:tcPr>
            <w:tcW w:w="7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31 West 57th Street Owner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27</w:t>
            </w: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28</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330</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West 58th Garage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28</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FFFFFF"/>
              </w:rPr>
              <w:t>29</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334</w:t>
            </w:r>
          </w:p>
        </w:tc>
        <w:tc>
          <w:tcPr>
            <w:tcW w:w="6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Canal Street LLC</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29</w:t>
            </w:r>
          </w:p>
        </w:tc>
      </w:tr>
    </w:tbl>
    <w:p>
      <w:pPr>
        <w:sectPr>
          <w:pgSz w:w="11900" w:h="16838" w:orient="portrait"/>
          <w:cols w:equalWidth="0" w:num="1">
            <w:col w:w="11240"/>
          </w:cols>
          <w:pgMar w:left="320" w:top="350" w:right="339" w:bottom="1440" w:gutter="0" w:footer="0" w:header="0"/>
        </w:sectPr>
      </w:pPr>
    </w:p>
    <w:bookmarkStart w:id="587" w:name="page588"/>
    <w:bookmarkEnd w:id="5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30</w:t>
            </w: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350 Park EAT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30</w:t>
            </w:r>
          </w:p>
        </w:tc>
      </w:t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31</w:t>
            </w: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 USS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31</w:t>
            </w:r>
          </w:p>
        </w:tc>
      </w:t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32</w:t>
            </w: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40 East 14 Realty Associates, L.L.C.</w:t>
            </w:r>
          </w:p>
        </w:tc>
        <w:tc>
          <w:tcPr>
            <w:tcW w:w="374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New York</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32</w:t>
            </w:r>
          </w:p>
        </w:tc>
      </w:t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35</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401</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 L.P.</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35</w:t>
            </w:r>
          </w:p>
        </w:tc>
      </w:t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33</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401</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 Son II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33</w:t>
            </w:r>
          </w:p>
        </w:tc>
      </w:t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34</w:t>
            </w: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401 Commercial Son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34</w:t>
            </w:r>
          </w:p>
        </w:tc>
      </w:t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36</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401</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Partner,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36</w:t>
            </w:r>
          </w:p>
        </w:tc>
      </w:t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37</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401</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Hotel General Partner,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37</w:t>
            </w:r>
          </w:p>
        </w:tc>
      </w:tr>
      <w:tr>
        <w:trPr>
          <w:trHeight w:val="223"/>
        </w:trPr>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FFFFFF"/>
                <w:w w:val="93"/>
              </w:rPr>
              <w:t>38</w:t>
            </w: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401</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Hotel REIT,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FFFFFF"/>
              </w:rPr>
              <w:t>38</w:t>
            </w: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401</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Hotel TRS,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401</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Hotel, L.P.</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408</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West 15th Street Owner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510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527</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West Kinzie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58 Central Park II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58 Central Park III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58 Central Park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61 Ninth Avenue Development Holdings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61 Ninth Avenue Development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61 Ninth Avenue Development Member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61 Ninth Avenue Management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61 Ninth Retail Manager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623</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Fee Owner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623</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Leasehold Owner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640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Holdings II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640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Holdings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640 Fifth Avenue LLC</w:t>
            </w:r>
          </w:p>
        </w:tc>
        <w:tc>
          <w:tcPr>
            <w:tcW w:w="374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New York</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640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Owner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640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Mezz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650 Madison GP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650 Madison GP LP</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Madison Junior Mezz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Madison Office Manager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650 Madison Owner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Madison Retail Manager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650</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Madison Senior Mezz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655</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Holdings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655</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655</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Owner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655</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Holdings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655</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II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655</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III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666</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Retail Holdings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666</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Retail Holdings II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689</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Holdings II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689</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Holdings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689</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 Avenue L.L.C.</w:t>
            </w:r>
          </w:p>
        </w:tc>
        <w:tc>
          <w:tcPr>
            <w:tcW w:w="374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New York</w:t>
            </w:r>
          </w:p>
        </w:tc>
        <w:tc>
          <w:tcPr>
            <w:tcW w:w="880" w:type="dxa"/>
            <w:vAlign w:val="bottom"/>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697</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Street Manager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r>
        <w:trPr>
          <w:trHeight w:val="228"/>
        </w:trPr>
        <w:tc>
          <w:tcPr>
            <w:tcW w:w="36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697</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Street TIC A Holdings LLC</w:t>
            </w:r>
          </w:p>
        </w:tc>
        <w:tc>
          <w:tcPr>
            <w:tcW w:w="374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Delaware</w:t>
            </w:r>
          </w:p>
        </w:tc>
        <w:tc>
          <w:tcPr>
            <w:tcW w:w="880" w:type="dxa"/>
            <w:vAlign w:val="bottom"/>
          </w:tcPr>
          <w:p>
            <w:pPr>
              <w:spacing w:after="0"/>
              <w:rPr>
                <w:sz w:val="19"/>
                <w:szCs w:val="19"/>
                <w:color w:val="auto"/>
              </w:rPr>
            </w:pPr>
          </w:p>
        </w:tc>
      </w:tr>
    </w:tbl>
    <w:p>
      <w:pPr>
        <w:sectPr>
          <w:pgSz w:w="11900" w:h="16838" w:orient="portrait"/>
          <w:cols w:equalWidth="0" w:num="1">
            <w:col w:w="11000"/>
          </w:cols>
          <w:pgMar w:left="420" w:top="1195" w:right="479" w:bottom="1440" w:gutter="0" w:footer="0" w:header="0"/>
        </w:sectPr>
      </w:pPr>
    </w:p>
    <w:bookmarkStart w:id="588" w:name="page589"/>
    <w:bookmarkEnd w:id="5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697</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Street TIC A Mezz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697</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Street TIC A Owner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697</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Street TIC A Titleholder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697</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Street TIC B Lower-Tier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697</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Street TIC B Mezz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697</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Street TIC B Upper-Tier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697</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TIC B Holdings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697</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Fifth/2 East 55th TIC B Mortgage Borrower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6M Investor LP</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6M REIT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 West 34th Street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715 Lexington Avenue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770 Broadway Company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770 Broadway Mezzanine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770 Broadway Owner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770 Broadway Manager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770</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Broadway Retail Unit Owner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825</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Seventh Avenue Holding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85 Tenth Junior Mezz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888</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Seventh Avenue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888</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Seventh Garage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909</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 Company, L.P.</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909</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 GP,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280" w:type="dxa"/>
            <w:vAlign w:val="bottom"/>
          </w:tcPr>
          <w:p>
            <w:pPr>
              <w:spacing w:after="0"/>
              <w:rPr>
                <w:sz w:val="20"/>
                <w:szCs w:val="20"/>
                <w:color w:val="auto"/>
              </w:rPr>
            </w:pPr>
            <w:r>
              <w:rPr>
                <w:rFonts w:ascii="Times New Roman" w:cs="Times New Roman" w:eastAsia="Times New Roman" w:hAnsi="Times New Roman"/>
                <w:sz w:val="17"/>
                <w:szCs w:val="17"/>
                <w:color w:val="auto"/>
              </w:rPr>
              <w:t>968</w:t>
            </w:r>
          </w:p>
        </w:tc>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Alexander's, Inc.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 on theMart Foundation</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w w:val="99"/>
              </w:rPr>
              <w:t>Illinois</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 on theMart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Art Patron Holdings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Balena Funding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Balena Real Estate Development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Broadway 280 Park Fee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Building Maintenance Service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Carpet Care Technologies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Circle 1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Coastal Belmont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CV Harlem Park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Dock Parking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Durham Leasing II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Jersey</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Durham Leasing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Jersey</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East 54th Street NY Property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Eleven Penn Plaza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Farley Building Commercial Member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Farley Building Master Tenant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Farley Building Retail Member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Farley Building TRS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Farley Building USPS Member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Farley Commercial Master Tenant SPE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Farley Commercial Master Tenant SPE Manager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r>
        <w:trPr>
          <w:trHeight w:val="228"/>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Farley Developer LLC</w:t>
            </w:r>
          </w:p>
        </w:tc>
        <w:tc>
          <w:tcPr>
            <w:tcW w:w="2960" w:type="dxa"/>
            <w:vAlign w:val="bottom"/>
          </w:tcPr>
          <w:p>
            <w:pPr>
              <w:jc w:val="center"/>
              <w:ind w:left="2073"/>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9479"/>
          </w:cols>
          <w:pgMar w:left="980" w:top="1194" w:right="1440" w:bottom="1440" w:gutter="0" w:footer="0" w:header="0"/>
        </w:sectPr>
      </w:pPr>
    </w:p>
    <w:bookmarkStart w:id="589" w:name="page590"/>
    <w:bookmarkEnd w:id="5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Farley Lease Management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Farley Property Manager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Farley Retail Master Tenant SPE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Farley Retail Master Tenant SPE Manager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Farley USPS Master Tenant SPE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Farley USPS Master Tenant SPE Manager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Fuller Madison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Garfield Parcel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New Jersey</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Geneva Associates Owner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Green Acres 666 Fifth Retail EAT TIC Owner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Guard Management Service Corp.</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HBR Properties Annapolis,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HBR Properties,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IP Mezz Borrower I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IP Mezz Borrower II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IP Mortgage Borrower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Leva II Holdings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Leva III Holdings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Madave Holdings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Madave Properties SPE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Manhattan High Street Holdings GP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Manhattan High Street Holdings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Manhattan High Street Holdings LP</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Manhattan High Street REIT Holdings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Manhattan High Street Retail Leasing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Mart Parking II,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Mart Parking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Mart Trade Show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MC 19 East Houston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MC VNO Soho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MC VNO Soho Manager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Merchandise Mart First Mezzanine Borrower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Merchandise Mart Holdco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Merchandise Mart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Merchandise Mart Properties, Inc.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Merchandise Mart Second Mezzanine Borrower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MMPI Piers MTS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Mortgage Owner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Commercial Holdings II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Commercial Holdings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Commercial Master Landlord SPE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Food Hall Bar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Interim Tenant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Overlook Bar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Retail Holdings II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Retail Holdings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Retail Master Landlord SPE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Train Hall Developer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r>
        <w:trPr>
          <w:trHeight w:val="228"/>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Moynihan USPS Holdings II LLC</w:t>
            </w:r>
          </w:p>
        </w:tc>
        <w:tc>
          <w:tcPr>
            <w:tcW w:w="2920" w:type="dxa"/>
            <w:vAlign w:val="bottom"/>
          </w:tcPr>
          <w:p>
            <w:pPr>
              <w:jc w:val="center"/>
              <w:ind w:left="2033"/>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9479"/>
          </w:cols>
          <w:pgMar w:left="980" w:top="1194" w:right="1440" w:bottom="1440" w:gutter="0" w:footer="0" w:header="0"/>
        </w:sectPr>
      </w:pPr>
    </w:p>
    <w:bookmarkStart w:id="590" w:name="page591"/>
    <w:bookmarkEnd w:id="5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Moynihan USPS Holdings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Moynihan USPS Master Landlord SPE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MTS-MM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New Jersey GL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Ninety Park Garage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Ninety Park Lender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Ninety Park Lender QRS, Inc.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Ninety Park Manager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Ninety Park Owner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Ninety Park Property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One Park Avenue Partners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One Park Avenue Senior Mezz Partners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One Park Owner JV LP</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One Penn Plaza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One Penn Plaza TRS, Inc.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Orleans Hubbard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Paris Associates Owner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PCJ I Inc.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Peak Power One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Azure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Birtie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FC Lessee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Garage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Industrious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Platform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Powerspace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Restaurant Manager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1 WorkPlace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2 2nd Floor Tenant Lounge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2 Holdings II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2 Holdings III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2 Holdings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2 Pavilion Lounge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2 Restaurant Manager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2 Rooftop Manager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2 Town Hall Manager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District Benefits Provider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District BP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District Station Developer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Penn Plaza Insurance Company,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w w:val="99"/>
              </w:rPr>
              <w:t>Vermont</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Pier 94 Development Manager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Pier 94 JVCo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Pier 94 LeaseCo,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Pier 94 MezzCo,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Piers 92/94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Powerspace &amp; Services, Inc.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Rego Center Garage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RV Farley Developer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r>
        <w:trPr>
          <w:trHeight w:val="228"/>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RV Farley Holdings LLC</w:t>
            </w:r>
          </w:p>
        </w:tc>
        <w:tc>
          <w:tcPr>
            <w:tcW w:w="3220" w:type="dxa"/>
            <w:vAlign w:val="bottom"/>
          </w:tcPr>
          <w:p>
            <w:pPr>
              <w:jc w:val="center"/>
              <w:ind w:left="2413"/>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9479"/>
          </w:cols>
          <w:pgMar w:left="980" w:top="1195" w:right="1440" w:bottom="1440" w:gutter="0" w:footer="0" w:header="0"/>
        </w:sectPr>
      </w:pPr>
    </w:p>
    <w:bookmarkStart w:id="591" w:name="page592"/>
    <w:bookmarkEnd w:id="5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RVS Partners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Shenandoah Parent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Skyline Parent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SMB Administration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SMB Tenant Services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SO Hudson 555 Management,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SO Hudson Westside I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South William Garage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T53 Condominium, L.L.C.</w:t>
            </w:r>
          </w:p>
        </w:tc>
        <w:tc>
          <w:tcPr>
            <w:tcW w:w="3180" w:type="dxa"/>
            <w:vAlign w:val="bottom"/>
          </w:tcPr>
          <w:p>
            <w:pPr>
              <w:ind w:left="2460"/>
              <w:spacing w:after="0"/>
              <w:rPr>
                <w:sz w:val="20"/>
                <w:szCs w:val="20"/>
                <w:color w:val="auto"/>
              </w:rPr>
            </w:pPr>
            <w:r>
              <w:rPr>
                <w:rFonts w:ascii="Times New Roman" w:cs="Times New Roman" w:eastAsia="Times New Roman" w:hAnsi="Times New Roman"/>
                <w:sz w:val="17"/>
                <w:szCs w:val="17"/>
                <w:color w:val="auto"/>
                <w:w w:val="98"/>
              </w:rPr>
              <w:t>New York</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the Mart Conference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The Palisades A/V Company,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Thebes I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theMart FC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theMart Manager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TheMart Tots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TMO 1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Two Penn Plaza REIT, Inc.</w:t>
            </w:r>
          </w:p>
        </w:tc>
        <w:tc>
          <w:tcPr>
            <w:tcW w:w="3180" w:type="dxa"/>
            <w:vAlign w:val="bottom"/>
          </w:tcPr>
          <w:p>
            <w:pPr>
              <w:ind w:left="2460"/>
              <w:spacing w:after="0"/>
              <w:rPr>
                <w:sz w:val="20"/>
                <w:szCs w:val="20"/>
                <w:color w:val="auto"/>
              </w:rPr>
            </w:pPr>
            <w:r>
              <w:rPr>
                <w:rFonts w:ascii="Times New Roman" w:cs="Times New Roman" w:eastAsia="Times New Roman" w:hAnsi="Times New Roman"/>
                <w:sz w:val="17"/>
                <w:szCs w:val="17"/>
                <w:color w:val="auto"/>
                <w:w w:val="98"/>
              </w:rPr>
              <w:t>New York</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V3P Parking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VCP COI One Park LP</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VCP IM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VCP One Park Parallel REIT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VCP Parallel COI One Park LP</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Virgin Sign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VMC Parking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100 West 33rd Street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1750 Pennsylvania Avenue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1800 Park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220 Development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225 West 58th Street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225 West 58th Street Mezz Owner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280 Park JV Member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33 West 57th Street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350 Park Development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350 Park Member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40 East 52nd Street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401 Commercial Lessee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431 Seventh Avenue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435 Seventh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435 Seventh Avenue Sign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510 Fifth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510 West 22nd JV Member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510 West 22nd Lender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535-545 5th Loan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537 West 26th Street Owner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606 Broadway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606 Broadway Manager Member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61 Ninth Avenue Member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63rd Street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r>
        <w:trPr>
          <w:trHeight w:val="228"/>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VNO 650 Madison Investor LLC</w:t>
            </w:r>
          </w:p>
        </w:tc>
        <w:tc>
          <w:tcPr>
            <w:tcW w:w="3180" w:type="dxa"/>
            <w:vAlign w:val="bottom"/>
          </w:tcPr>
          <w:p>
            <w:pPr>
              <w:ind w:left="2480"/>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9479"/>
          </w:cols>
          <w:pgMar w:left="980" w:top="1194" w:right="1440" w:bottom="1440" w:gutter="0" w:footer="0" w:header="0"/>
        </w:sectPr>
      </w:pPr>
    </w:p>
    <w:bookmarkStart w:id="592" w:name="page593"/>
    <w:bookmarkEnd w:id="592"/>
    <w:p>
      <w:pPr>
        <w:spacing w:after="0"/>
        <w:rPr>
          <w:sz w:val="20"/>
          <w:szCs w:val="20"/>
          <w:color w:val="auto"/>
        </w:rPr>
      </w:pPr>
      <w:r>
        <w:rPr>
          <w:rFonts w:ascii="Times New Roman" w:cs="Times New Roman" w:eastAsia="Times New Roman" w:hAnsi="Times New Roman"/>
          <w:sz w:val="17"/>
          <w:szCs w:val="17"/>
          <w:color w:val="auto"/>
        </w:rPr>
        <w:t>VNO 650 Madison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7 West 34th Street Owner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7 West 34th Street Sub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7 West 34th Street Property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966 Third Avenue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AC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Building Acquisition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CF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IF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IP Loan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Island Global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LF 50 West 57th Street Holding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LF 50 West 57th Street JV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LF 50 West 57th Street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LF 50 West 57th Street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LNR Holdco,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Loan Acquisition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Mobility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New York Office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One Park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One Park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One Park Owner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Parking Garages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PENN District Holdings 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PENN District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Pentagon City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Pier 94 JV Member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SC Note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Wayne Towne Center Holding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 Wayne Towne Center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VNO/Farley BL Member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VNO/Farley Developer Member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VNO/Farley PM Member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VOI Parking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220 Central Park South 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220 Central Park South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330 W 34 Mezz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330 West 34th Street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40 East 66th Street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40 East 66th Street Member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40 East 66th Street TRS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401 Commercial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601 Madison Avenue,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620 Sixth Avenue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90 Park Avenue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90 Park Member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90 Park QRS,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Acquisition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Vornado Air Rights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ectPr>
          <w:pgSz w:w="11900" w:h="16838" w:orient="portrait"/>
          <w:cols w:equalWidth="0" w:num="2">
            <w:col w:w="7440" w:space="720"/>
            <w:col w:w="1319"/>
          </w:cols>
          <w:pgMar w:left="980" w:top="1195" w:right="1440" w:bottom="1440" w:gutter="0" w:footer="0" w:header="0"/>
        </w:sectPr>
      </w:pPr>
    </w:p>
    <w:bookmarkStart w:id="593" w:name="page594"/>
    <w:bookmarkEnd w:id="593"/>
    <w:tbl>
      <w:tblPr>
        <w:tblLayout w:type="fixed"/>
        <w:tblInd w:w="0" w:type="dxa"/>
        <w:tblCellMar>
          <w:top w:w="0" w:type="dxa"/>
          <w:left w:w="0" w:type="dxa"/>
          <w:bottom w:w="0" w:type="dxa"/>
          <w:right w:w="0" w:type="dxa"/>
        </w:tblCellMar>
      </w:tblP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Auto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Capital Partners GP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Capital Partners Parallel GP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Capital Partners Parallel LP</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Capital Partners, L.P.</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Cogen Holdings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Communications,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Concierge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Condominium Management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Eleven Penn Plaza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Eleven Penn Plaza Owner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Farley Holdings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Farley Member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Fort Lee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Fortress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Harlem Park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Investment Corporation</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Investments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Lending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New Jersey</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Management Corp.</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Marketing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New York RR One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NY TRS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Office Inc.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Office Management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Penn Plaza Master Plan Developer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Property Advisor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Realty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Realty, L.P.</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Retail Finance Manager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Rosslyn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RTR Urban Development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RTR Urban Development TMP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RTR, Inc.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San Jose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SC Properties II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SC Properties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Shenandoah Holdings II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Sign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Suffolk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Sun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Title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Two Penn Plaza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Two Penn Property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Vornado West 34th Street Member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V-R 350 Park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VRT Development Rights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VSPS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r>
        <w:trPr>
          <w:trHeight w:val="228"/>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WDC 666 Fifth Retail TIC Owner LLC</w:t>
            </w:r>
          </w:p>
        </w:tc>
        <w:tc>
          <w:tcPr>
            <w:tcW w:w="3140" w:type="dxa"/>
            <w:vAlign w:val="bottom"/>
          </w:tcPr>
          <w:p>
            <w:pPr>
              <w:jc w:val="center"/>
              <w:ind w:left="2253"/>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9479"/>
          </w:cols>
          <w:pgMar w:left="980" w:top="1194" w:right="1440" w:bottom="1440" w:gutter="0" w:footer="0" w:header="0"/>
        </w:sectPr>
      </w:pPr>
    </w:p>
    <w:bookmarkStart w:id="594" w:name="page595"/>
    <w:bookmarkEnd w:id="594"/>
    <w:p>
      <w:pPr>
        <w:spacing w:after="0"/>
        <w:rPr>
          <w:sz w:val="20"/>
          <w:szCs w:val="20"/>
          <w:color w:val="auto"/>
        </w:rPr>
      </w:pPr>
      <w:r>
        <w:rPr>
          <w:rFonts w:ascii="Times New Roman" w:cs="Times New Roman" w:eastAsia="Times New Roman" w:hAnsi="Times New Roman"/>
          <w:sz w:val="17"/>
          <w:szCs w:val="17"/>
          <w:color w:val="auto"/>
        </w:rPr>
        <w:t>Wells Kinzie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 34th Street NY JV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 57th Street Holding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 57th Street JV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 57th Street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WOC 666 Fifth Retail TIC Owner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ectPr>
          <w:pgSz w:w="11900" w:h="16838" w:orient="portrait"/>
          <w:cols w:equalWidth="0" w:num="2">
            <w:col w:w="7440" w:space="720"/>
            <w:col w:w="1319"/>
          </w:cols>
          <w:pgMar w:left="980" w:top="1195" w:right="1440" w:bottom="1440" w:gutter="0" w:footer="0" w:header="0"/>
        </w:sectPr>
      </w:pPr>
    </w:p>
    <w:bookmarkStart w:id="595" w:name="page596"/>
    <w:bookmarkEnd w:id="595"/>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7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 of Vornado Realty Trust of our reports dated February 9, 2026, relating to the financial statements of Vornado Realty Trust and the effectiveness of Vornado Realty Trust’s internal control over financial reporting appearing in this Annual Report on Form 10-K for the year ended December 31, 2025:</w:t>
      </w:r>
    </w:p>
    <w:p>
      <w:pPr>
        <w:spacing w:after="0" w:line="2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Amendment No.1 to Registration Statement No. 333-36080 on Form S-3</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Amendment No.1 to Registration Statement No. 333-50095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Amendment No.1 to Registration Statement No. 333-89667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Amendment No.1 to Registration Statement No. 333-102215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Amendment No.1 to Registration Statement No. 333-102217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333-105838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333-107024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333-114146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333-121929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Amendment No.1 to Registration Statement No. 333-120384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333-126963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333-139646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333-141162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333-150592 on Form S-3</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333-172880 on Form S-8</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333-191865 on Form S-4</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333-232056 on Form S-8</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Registration Statement No. 333-272385 on Form S-8</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in the joint Registration Statement No. 333-278428 on Form S-3 of Vornado Realty Trust and Vornado Realty L.P.</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9, 2026</w:t>
      </w:r>
    </w:p>
    <w:p>
      <w:pPr>
        <w:sectPr>
          <w:pgSz w:w="11900" w:h="16838" w:orient="portrait"/>
          <w:cols w:equalWidth="0" w:num="1">
            <w:col w:w="11240"/>
          </w:cols>
          <w:pgMar w:left="320" w:top="746" w:right="339" w:bottom="1440" w:gutter="0" w:footer="0" w:header="0"/>
        </w:sectPr>
      </w:pPr>
    </w:p>
    <w:bookmarkStart w:id="596" w:name="page597"/>
    <w:bookmarkEnd w:id="596"/>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consent to the incorporation by reference in the joint Registration Statement No. 333-278428 on Form S-3 of Vornado Realty Trust and Vornado Realty L.P. of our reports dated February 9, 2026, relating to the financial statements of Vornado Realty L.P. and the effectiveness of Vornado Realty L. P.’s internal control over financial reporting appearing in this Annual Report on Form 10-K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9, 2026</w:t>
      </w:r>
    </w:p>
    <w:p>
      <w:pPr>
        <w:sectPr>
          <w:pgSz w:w="11900" w:h="16838" w:orient="portrait"/>
          <w:cols w:equalWidth="0" w:num="1">
            <w:col w:w="11240"/>
          </w:cols>
          <w:pgMar w:left="320" w:top="1376" w:right="339" w:bottom="1440" w:gutter="0" w:footer="0" w:header="0"/>
        </w:sectPr>
      </w:pPr>
    </w:p>
    <w:bookmarkStart w:id="597" w:name="page598"/>
    <w:bookmarkEnd w:id="59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5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Steven Roth, certify that:</w:t>
      </w:r>
    </w:p>
    <w:p>
      <w:pPr>
        <w:spacing w:after="0" w:line="261" w:lineRule="exact"/>
        <w:rPr>
          <w:sz w:val="20"/>
          <w:szCs w:val="20"/>
          <w:color w:val="auto"/>
        </w:rPr>
      </w:pPr>
    </w:p>
    <w:p>
      <w:pPr>
        <w:ind w:left="306" w:hanging="306"/>
        <w:spacing w:after="0"/>
        <w:tabs>
          <w:tab w:leader="none" w:pos="306" w:val="left"/>
        </w:tabs>
        <w:numPr>
          <w:ilvl w:val="0"/>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Vornado Realty Trust;</w:t>
      </w:r>
    </w:p>
    <w:p>
      <w:pPr>
        <w:spacing w:after="0" w:line="143" w:lineRule="exact"/>
        <w:rPr>
          <w:rFonts w:ascii="Times New Roman" w:cs="Times New Roman" w:eastAsia="Times New Roman" w:hAnsi="Times New Roman"/>
          <w:sz w:val="16"/>
          <w:szCs w:val="16"/>
          <w:color w:val="auto"/>
        </w:rPr>
      </w:pPr>
    </w:p>
    <w:p>
      <w:pPr>
        <w:ind w:left="306" w:hanging="306"/>
        <w:spacing w:after="0" w:line="319" w:lineRule="auto"/>
        <w:tabs>
          <w:tab w:leader="none" w:pos="306" w:val="left"/>
        </w:tabs>
        <w:numPr>
          <w:ilvl w:val="0"/>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left="306" w:hanging="306"/>
        <w:spacing w:after="0" w:line="319" w:lineRule="auto"/>
        <w:tabs>
          <w:tab w:leader="none" w:pos="306" w:val="left"/>
        </w:tabs>
        <w:numPr>
          <w:ilvl w:val="0"/>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6"/>
          <w:szCs w:val="16"/>
          <w:color w:val="auto"/>
        </w:rPr>
      </w:pPr>
    </w:p>
    <w:p>
      <w:pPr>
        <w:jc w:val="both"/>
        <w:ind w:left="306" w:hanging="306"/>
        <w:spacing w:after="0" w:line="221" w:lineRule="exact"/>
        <w:tabs>
          <w:tab w:leader="none" w:pos="306" w:val="left"/>
        </w:tabs>
        <w:numPr>
          <w:ilvl w:val="0"/>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6"/>
          <w:szCs w:val="16"/>
          <w:color w:val="auto"/>
        </w:rPr>
      </w:pPr>
    </w:p>
    <w:p>
      <w:pPr>
        <w:jc w:val="both"/>
        <w:ind w:left="626" w:hanging="312"/>
        <w:spacing w:after="0" w:line="304" w:lineRule="auto"/>
        <w:tabs>
          <w:tab w:leader="none" w:pos="617" w:val="left"/>
        </w:tabs>
        <w:numPr>
          <w:ilvl w:val="1"/>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Times New Roman" w:cs="Times New Roman" w:eastAsia="Times New Roman" w:hAnsi="Times New Roman"/>
          <w:sz w:val="16"/>
          <w:szCs w:val="16"/>
          <w:color w:val="auto"/>
        </w:rPr>
      </w:pPr>
    </w:p>
    <w:p>
      <w:pPr>
        <w:jc w:val="both"/>
        <w:ind w:left="626" w:hanging="312"/>
        <w:spacing w:after="0" w:line="304" w:lineRule="auto"/>
        <w:tabs>
          <w:tab w:leader="none" w:pos="626" w:val="left"/>
        </w:tabs>
        <w:numPr>
          <w:ilvl w:val="1"/>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6"/>
          <w:szCs w:val="16"/>
          <w:color w:val="auto"/>
        </w:rPr>
      </w:pPr>
    </w:p>
    <w:p>
      <w:pPr>
        <w:ind w:left="626" w:hanging="312"/>
        <w:spacing w:after="0" w:line="336" w:lineRule="auto"/>
        <w:tabs>
          <w:tab w:leader="none" w:pos="617" w:val="left"/>
        </w:tabs>
        <w:numPr>
          <w:ilvl w:val="1"/>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6"/>
          <w:szCs w:val="16"/>
          <w:color w:val="auto"/>
        </w:rPr>
      </w:pPr>
    </w:p>
    <w:p>
      <w:pPr>
        <w:jc w:val="both"/>
        <w:ind w:left="626" w:hanging="312"/>
        <w:spacing w:after="0" w:line="313" w:lineRule="auto"/>
        <w:tabs>
          <w:tab w:leader="none" w:pos="626" w:val="left"/>
        </w:tabs>
        <w:numPr>
          <w:ilvl w:val="1"/>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Times New Roman" w:cs="Times New Roman" w:eastAsia="Times New Roman" w:hAnsi="Times New Roman"/>
          <w:sz w:val="16"/>
          <w:szCs w:val="16"/>
          <w:color w:val="auto"/>
        </w:rPr>
      </w:pPr>
    </w:p>
    <w:p>
      <w:pPr>
        <w:ind w:left="306" w:hanging="306"/>
        <w:spacing w:after="0" w:line="319" w:lineRule="auto"/>
        <w:tabs>
          <w:tab w:leader="none" w:pos="306" w:val="left"/>
        </w:tabs>
        <w:numPr>
          <w:ilvl w:val="0"/>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Times New Roman" w:cs="Times New Roman" w:eastAsia="Times New Roman" w:hAnsi="Times New Roman"/>
          <w:sz w:val="16"/>
          <w:szCs w:val="16"/>
          <w:color w:val="auto"/>
        </w:rPr>
      </w:pPr>
    </w:p>
    <w:p>
      <w:pPr>
        <w:ind w:left="626" w:hanging="312"/>
        <w:spacing w:after="0" w:line="336" w:lineRule="auto"/>
        <w:tabs>
          <w:tab w:leader="none" w:pos="617" w:val="left"/>
        </w:tabs>
        <w:numPr>
          <w:ilvl w:val="1"/>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6"/>
          <w:szCs w:val="16"/>
          <w:color w:val="auto"/>
        </w:rPr>
      </w:pPr>
    </w:p>
    <w:p>
      <w:pPr>
        <w:ind w:left="626" w:hanging="312"/>
        <w:spacing w:after="0" w:line="319" w:lineRule="auto"/>
        <w:tabs>
          <w:tab w:leader="none" w:pos="626" w:val="left"/>
        </w:tabs>
        <w:numPr>
          <w:ilvl w:val="1"/>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87"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6"/>
          <w:szCs w:val="16"/>
          <w:color w:val="auto"/>
        </w:rPr>
        <w:t>February 9, 2026</w:t>
      </w:r>
    </w:p>
    <w:p>
      <w:pPr>
        <w:spacing w:after="0" w:line="327"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6"/>
          <w:szCs w:val="16"/>
          <w:color w:val="auto"/>
        </w:rPr>
        <w:t>/s/ Steven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41910</wp:posOffset>
            </wp:positionV>
            <wp:extent cx="30441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47">
                      <a:extLst>
                        <a:ext uri="{28A0092B-C50C-407E-A947-70E740481C1C}"/>
                      </a:extLst>
                    </a:blip>
                    <a:srcRect/>
                    <a:stretch>
                      <a:fillRect/>
                    </a:stretch>
                  </pic:blipFill>
                  <pic:spPr bwMode="auto">
                    <a:xfrm>
                      <a:off x="0" y="0"/>
                      <a:ext cx="3044190" cy="8255"/>
                    </a:xfrm>
                    <a:prstGeom prst="rect">
                      <a:avLst/>
                    </a:prstGeom>
                    <a:noFill/>
                  </pic:spPr>
                </pic:pic>
              </a:graphicData>
            </a:graphic>
          </wp:anchor>
        </w:drawing>
      </w:r>
    </w:p>
    <w:p>
      <w:pPr>
        <w:spacing w:after="0" w:line="58"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6"/>
          <w:szCs w:val="16"/>
          <w:color w:val="auto"/>
        </w:rPr>
        <w:t>Steven Roth</w:t>
      </w:r>
    </w:p>
    <w:p>
      <w:pPr>
        <w:spacing w:after="0" w:line="65"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ectPr>
          <w:pgSz w:w="11900" w:h="16838" w:orient="portrait"/>
          <w:cols w:equalWidth="0" w:num="1">
            <w:col w:w="10606"/>
          </w:cols>
          <w:pgMar w:left="954" w:top="892" w:right="339" w:bottom="1440" w:gutter="0" w:footer="0" w:header="0"/>
        </w:sectPr>
      </w:pPr>
    </w:p>
    <w:bookmarkStart w:id="598" w:name="page599"/>
    <w:bookmarkEnd w:id="59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5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Michael J. Franco, certify that:</w:t>
      </w:r>
    </w:p>
    <w:p>
      <w:pPr>
        <w:spacing w:after="0" w:line="261" w:lineRule="exact"/>
        <w:rPr>
          <w:sz w:val="20"/>
          <w:szCs w:val="20"/>
          <w:color w:val="auto"/>
        </w:rPr>
      </w:pPr>
    </w:p>
    <w:p>
      <w:pPr>
        <w:ind w:left="306" w:hanging="306"/>
        <w:spacing w:after="0"/>
        <w:tabs>
          <w:tab w:leader="none" w:pos="306"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Vornado Realty Trust;</w:t>
      </w:r>
    </w:p>
    <w:p>
      <w:pPr>
        <w:spacing w:after="0" w:line="143" w:lineRule="exact"/>
        <w:rPr>
          <w:rFonts w:ascii="Times New Roman" w:cs="Times New Roman" w:eastAsia="Times New Roman" w:hAnsi="Times New Roman"/>
          <w:sz w:val="16"/>
          <w:szCs w:val="16"/>
          <w:color w:val="auto"/>
        </w:rPr>
      </w:pPr>
    </w:p>
    <w:p>
      <w:pPr>
        <w:ind w:left="306" w:hanging="306"/>
        <w:spacing w:after="0" w:line="319" w:lineRule="auto"/>
        <w:tabs>
          <w:tab w:leader="none" w:pos="306"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left="306" w:hanging="306"/>
        <w:spacing w:after="0" w:line="319" w:lineRule="auto"/>
        <w:tabs>
          <w:tab w:leader="none" w:pos="306"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6"/>
          <w:szCs w:val="16"/>
          <w:color w:val="auto"/>
        </w:rPr>
      </w:pPr>
    </w:p>
    <w:p>
      <w:pPr>
        <w:jc w:val="both"/>
        <w:ind w:left="306" w:hanging="306"/>
        <w:spacing w:after="0" w:line="221" w:lineRule="exact"/>
        <w:tabs>
          <w:tab w:leader="none" w:pos="306"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6"/>
          <w:szCs w:val="16"/>
          <w:color w:val="auto"/>
        </w:rPr>
      </w:pPr>
    </w:p>
    <w:p>
      <w:pPr>
        <w:jc w:val="both"/>
        <w:ind w:left="626" w:hanging="312"/>
        <w:spacing w:after="0" w:line="304" w:lineRule="auto"/>
        <w:tabs>
          <w:tab w:leader="none" w:pos="617" w:val="left"/>
        </w:tabs>
        <w:numPr>
          <w:ilvl w:val="1"/>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Times New Roman" w:cs="Times New Roman" w:eastAsia="Times New Roman" w:hAnsi="Times New Roman"/>
          <w:sz w:val="16"/>
          <w:szCs w:val="16"/>
          <w:color w:val="auto"/>
        </w:rPr>
      </w:pPr>
    </w:p>
    <w:p>
      <w:pPr>
        <w:jc w:val="both"/>
        <w:ind w:left="626" w:hanging="312"/>
        <w:spacing w:after="0" w:line="304" w:lineRule="auto"/>
        <w:tabs>
          <w:tab w:leader="none" w:pos="626" w:val="left"/>
        </w:tabs>
        <w:numPr>
          <w:ilvl w:val="1"/>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6"/>
          <w:szCs w:val="16"/>
          <w:color w:val="auto"/>
        </w:rPr>
      </w:pPr>
    </w:p>
    <w:p>
      <w:pPr>
        <w:ind w:left="626" w:hanging="312"/>
        <w:spacing w:after="0" w:line="336" w:lineRule="auto"/>
        <w:tabs>
          <w:tab w:leader="none" w:pos="617" w:val="left"/>
        </w:tabs>
        <w:numPr>
          <w:ilvl w:val="1"/>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6"/>
          <w:szCs w:val="16"/>
          <w:color w:val="auto"/>
        </w:rPr>
      </w:pPr>
    </w:p>
    <w:p>
      <w:pPr>
        <w:jc w:val="both"/>
        <w:ind w:left="626" w:hanging="312"/>
        <w:spacing w:after="0" w:line="313" w:lineRule="auto"/>
        <w:tabs>
          <w:tab w:leader="none" w:pos="626" w:val="left"/>
        </w:tabs>
        <w:numPr>
          <w:ilvl w:val="1"/>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Times New Roman" w:cs="Times New Roman" w:eastAsia="Times New Roman" w:hAnsi="Times New Roman"/>
          <w:sz w:val="16"/>
          <w:szCs w:val="16"/>
          <w:color w:val="auto"/>
        </w:rPr>
      </w:pPr>
    </w:p>
    <w:p>
      <w:pPr>
        <w:ind w:left="306" w:hanging="306"/>
        <w:spacing w:after="0" w:line="319" w:lineRule="auto"/>
        <w:tabs>
          <w:tab w:leader="none" w:pos="306"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Times New Roman" w:cs="Times New Roman" w:eastAsia="Times New Roman" w:hAnsi="Times New Roman"/>
          <w:sz w:val="16"/>
          <w:szCs w:val="16"/>
          <w:color w:val="auto"/>
        </w:rPr>
      </w:pPr>
    </w:p>
    <w:p>
      <w:pPr>
        <w:ind w:left="626" w:hanging="312"/>
        <w:spacing w:after="0" w:line="336" w:lineRule="auto"/>
        <w:tabs>
          <w:tab w:leader="none" w:pos="617" w:val="left"/>
        </w:tabs>
        <w:numPr>
          <w:ilvl w:val="1"/>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6"/>
          <w:szCs w:val="16"/>
          <w:color w:val="auto"/>
        </w:rPr>
      </w:pPr>
    </w:p>
    <w:p>
      <w:pPr>
        <w:ind w:left="626" w:hanging="312"/>
        <w:spacing w:after="0" w:line="319" w:lineRule="auto"/>
        <w:tabs>
          <w:tab w:leader="none" w:pos="626" w:val="left"/>
        </w:tabs>
        <w:numPr>
          <w:ilvl w:val="1"/>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87"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February 9, 2026</w:t>
      </w:r>
    </w:p>
    <w:p>
      <w:pPr>
        <w:spacing w:after="0" w:line="314"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/s/ Michael J. Franco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41910</wp:posOffset>
            </wp:positionV>
            <wp:extent cx="34270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48">
                      <a:extLst>
                        <a:ext uri="{28A0092B-C50C-407E-A947-70E740481C1C}"/>
                      </a:extLst>
                    </a:blip>
                    <a:srcRect/>
                    <a:stretch>
                      <a:fillRect/>
                    </a:stretch>
                  </pic:blipFill>
                  <pic:spPr bwMode="auto">
                    <a:xfrm>
                      <a:off x="0" y="0"/>
                      <a:ext cx="3427095" cy="8255"/>
                    </a:xfrm>
                    <a:prstGeom prst="rect">
                      <a:avLst/>
                    </a:prstGeom>
                    <a:noFill/>
                  </pic:spPr>
                </pic:pic>
              </a:graphicData>
            </a:graphic>
          </wp:anchor>
        </w:drawing>
      </w:r>
    </w:p>
    <w:p>
      <w:pPr>
        <w:spacing w:after="0" w:line="58"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Michael J. Franco</w:t>
      </w:r>
    </w:p>
    <w:p>
      <w:pPr>
        <w:spacing w:after="0" w:line="104"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President and Chief Financial Officer</w:t>
      </w:r>
    </w:p>
    <w:p>
      <w:pPr>
        <w:sectPr>
          <w:pgSz w:w="11900" w:h="16838" w:orient="portrait"/>
          <w:cols w:equalWidth="0" w:num="1">
            <w:col w:w="10606"/>
          </w:cols>
          <w:pgMar w:left="954" w:top="891" w:right="339" w:bottom="1440" w:gutter="0" w:footer="0" w:header="0"/>
        </w:sectPr>
      </w:pPr>
    </w:p>
    <w:bookmarkStart w:id="599" w:name="page600"/>
    <w:bookmarkEnd w:id="599"/>
    <w:p>
      <w:pPr>
        <w:jc w:val="right"/>
        <w:spacing w:after="0"/>
        <w:rPr>
          <w:sz w:val="20"/>
          <w:szCs w:val="20"/>
          <w:color w:val="auto"/>
        </w:rPr>
      </w:pPr>
      <w:r>
        <w:rPr>
          <w:rFonts w:ascii="Times New Roman" w:cs="Times New Roman" w:eastAsia="Times New Roman" w:hAnsi="Times New Roman"/>
          <w:sz w:val="17"/>
          <w:szCs w:val="17"/>
          <w:b w:val="1"/>
          <w:bCs w:val="1"/>
          <w:color w:val="auto"/>
        </w:rPr>
        <w:t>EXHIBIT 31.3</w:t>
      </w:r>
    </w:p>
    <w:p>
      <w:pPr>
        <w:spacing w:after="0" w:line="359" w:lineRule="exact"/>
        <w:rPr>
          <w:sz w:val="20"/>
          <w:szCs w:val="20"/>
          <w:color w:val="auto"/>
        </w:rPr>
      </w:pPr>
    </w:p>
    <w:p>
      <w:pPr>
        <w:ind w:left="4366"/>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Steven Roth, certify that:</w:t>
      </w:r>
    </w:p>
    <w:p>
      <w:pPr>
        <w:spacing w:after="0" w:line="261" w:lineRule="exact"/>
        <w:rPr>
          <w:sz w:val="20"/>
          <w:szCs w:val="20"/>
          <w:color w:val="auto"/>
        </w:rPr>
      </w:pPr>
    </w:p>
    <w:p>
      <w:pPr>
        <w:ind w:left="266" w:hanging="266"/>
        <w:spacing w:after="0"/>
        <w:tabs>
          <w:tab w:leader="none" w:pos="266" w:val="left"/>
        </w:tabs>
        <w:numPr>
          <w:ilvl w:val="0"/>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Vornado Realty L.P.;</w:t>
      </w:r>
    </w:p>
    <w:p>
      <w:pPr>
        <w:spacing w:after="0" w:line="143" w:lineRule="exact"/>
        <w:rPr>
          <w:rFonts w:ascii="Times New Roman" w:cs="Times New Roman" w:eastAsia="Times New Roman" w:hAnsi="Times New Roman"/>
          <w:sz w:val="16"/>
          <w:szCs w:val="16"/>
          <w:color w:val="auto"/>
        </w:rPr>
      </w:pPr>
    </w:p>
    <w:p>
      <w:pPr>
        <w:ind w:left="306" w:hanging="306"/>
        <w:spacing w:after="0" w:line="319" w:lineRule="auto"/>
        <w:tabs>
          <w:tab w:leader="none" w:pos="275" w:val="left"/>
        </w:tabs>
        <w:numPr>
          <w:ilvl w:val="0"/>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left="306" w:hanging="306"/>
        <w:spacing w:after="0" w:line="319" w:lineRule="auto"/>
        <w:tabs>
          <w:tab w:leader="none" w:pos="354" w:val="left"/>
        </w:tabs>
        <w:numPr>
          <w:ilvl w:val="0"/>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6"/>
          <w:szCs w:val="16"/>
          <w:color w:val="auto"/>
        </w:rPr>
      </w:pPr>
    </w:p>
    <w:p>
      <w:pPr>
        <w:jc w:val="both"/>
        <w:ind w:left="306" w:hanging="306"/>
        <w:spacing w:after="0" w:line="221" w:lineRule="exact"/>
        <w:tabs>
          <w:tab w:leader="none" w:pos="308" w:val="left"/>
        </w:tabs>
        <w:numPr>
          <w:ilvl w:val="0"/>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6"/>
          <w:szCs w:val="16"/>
          <w:color w:val="auto"/>
        </w:rPr>
      </w:pPr>
    </w:p>
    <w:p>
      <w:pPr>
        <w:jc w:val="both"/>
        <w:ind w:left="626" w:hanging="312"/>
        <w:spacing w:after="0" w:line="304" w:lineRule="auto"/>
        <w:tabs>
          <w:tab w:leader="none" w:pos="650" w:val="left"/>
        </w:tabs>
        <w:numPr>
          <w:ilvl w:val="1"/>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Times New Roman" w:cs="Times New Roman" w:eastAsia="Times New Roman" w:hAnsi="Times New Roman"/>
          <w:sz w:val="16"/>
          <w:szCs w:val="16"/>
          <w:color w:val="auto"/>
        </w:rPr>
      </w:pPr>
    </w:p>
    <w:p>
      <w:pPr>
        <w:jc w:val="both"/>
        <w:ind w:left="626" w:hanging="312"/>
        <w:spacing w:after="0" w:line="304" w:lineRule="auto"/>
        <w:tabs>
          <w:tab w:leader="none" w:pos="674" w:val="left"/>
        </w:tabs>
        <w:numPr>
          <w:ilvl w:val="1"/>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6"/>
          <w:szCs w:val="16"/>
          <w:color w:val="auto"/>
        </w:rPr>
      </w:pPr>
    </w:p>
    <w:p>
      <w:pPr>
        <w:ind w:left="626" w:hanging="312"/>
        <w:spacing w:after="0" w:line="336" w:lineRule="auto"/>
        <w:tabs>
          <w:tab w:leader="none" w:pos="635" w:val="left"/>
        </w:tabs>
        <w:numPr>
          <w:ilvl w:val="1"/>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6"/>
          <w:szCs w:val="16"/>
          <w:color w:val="auto"/>
        </w:rPr>
      </w:pPr>
    </w:p>
    <w:p>
      <w:pPr>
        <w:jc w:val="both"/>
        <w:ind w:left="626" w:hanging="312"/>
        <w:spacing w:after="0" w:line="313" w:lineRule="auto"/>
        <w:tabs>
          <w:tab w:leader="none" w:pos="632" w:val="left"/>
        </w:tabs>
        <w:numPr>
          <w:ilvl w:val="1"/>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Times New Roman" w:cs="Times New Roman" w:eastAsia="Times New Roman" w:hAnsi="Times New Roman"/>
          <w:sz w:val="16"/>
          <w:szCs w:val="16"/>
          <w:color w:val="auto"/>
        </w:rPr>
      </w:pPr>
    </w:p>
    <w:p>
      <w:pPr>
        <w:ind w:left="306" w:hanging="306"/>
        <w:spacing w:after="0" w:line="319" w:lineRule="auto"/>
        <w:tabs>
          <w:tab w:leader="none" w:pos="292" w:val="left"/>
        </w:tabs>
        <w:numPr>
          <w:ilvl w:val="0"/>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Times New Roman" w:cs="Times New Roman" w:eastAsia="Times New Roman" w:hAnsi="Times New Roman"/>
          <w:sz w:val="16"/>
          <w:szCs w:val="16"/>
          <w:color w:val="auto"/>
        </w:rPr>
      </w:pPr>
    </w:p>
    <w:p>
      <w:pPr>
        <w:ind w:left="626" w:hanging="312"/>
        <w:spacing w:after="0" w:line="336" w:lineRule="auto"/>
        <w:tabs>
          <w:tab w:leader="none" w:pos="656" w:val="left"/>
        </w:tabs>
        <w:numPr>
          <w:ilvl w:val="1"/>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6"/>
          <w:szCs w:val="16"/>
          <w:color w:val="auto"/>
        </w:rPr>
      </w:pPr>
    </w:p>
    <w:p>
      <w:pPr>
        <w:ind w:left="626" w:hanging="312"/>
        <w:spacing w:after="0" w:line="319" w:lineRule="auto"/>
        <w:tabs>
          <w:tab w:leader="none" w:pos="601" w:val="left"/>
        </w:tabs>
        <w:numPr>
          <w:ilvl w:val="1"/>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87"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February 9, 2026</w:t>
      </w:r>
    </w:p>
    <w:p>
      <w:pPr>
        <w:spacing w:after="0" w:line="222"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/s/ Steven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41910</wp:posOffset>
            </wp:positionV>
            <wp:extent cx="26949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49">
                      <a:extLst>
                        <a:ext uri="{28A0092B-C50C-407E-A947-70E740481C1C}"/>
                      </a:extLst>
                    </a:blip>
                    <a:srcRect/>
                    <a:stretch>
                      <a:fillRect/>
                    </a:stretch>
                  </pic:blipFill>
                  <pic:spPr bwMode="auto">
                    <a:xfrm>
                      <a:off x="0" y="0"/>
                      <a:ext cx="2694940" cy="8255"/>
                    </a:xfrm>
                    <a:prstGeom prst="rect">
                      <a:avLst/>
                    </a:prstGeom>
                    <a:noFill/>
                  </pic:spPr>
                </pic:pic>
              </a:graphicData>
            </a:graphic>
          </wp:anchor>
        </w:drawing>
      </w:r>
    </w:p>
    <w:p>
      <w:pPr>
        <w:spacing w:after="0" w:line="58"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Steven Roth</w:t>
      </w:r>
    </w:p>
    <w:p>
      <w:pPr>
        <w:spacing w:after="0" w:line="130"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pacing w:after="0" w:line="39"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of Vornado Realty Trust, sole General Partner of Vornado Realty</w:t>
      </w:r>
    </w:p>
    <w:p>
      <w:pPr>
        <w:spacing w:after="0" w:line="52" w:lineRule="exact"/>
        <w:rPr>
          <w:sz w:val="20"/>
          <w:szCs w:val="20"/>
          <w:color w:val="auto"/>
        </w:rPr>
      </w:pPr>
    </w:p>
    <w:p>
      <w:pPr>
        <w:ind w:left="406"/>
        <w:spacing w:after="0"/>
        <w:rPr>
          <w:sz w:val="20"/>
          <w:szCs w:val="20"/>
          <w:color w:val="auto"/>
        </w:rPr>
      </w:pPr>
      <w:r>
        <w:rPr>
          <w:rFonts w:ascii="Times New Roman" w:cs="Times New Roman" w:eastAsia="Times New Roman" w:hAnsi="Times New Roman"/>
          <w:sz w:val="16"/>
          <w:szCs w:val="16"/>
          <w:color w:val="auto"/>
        </w:rPr>
        <w:t>L.P.</w:t>
      </w:r>
    </w:p>
    <w:p>
      <w:pPr>
        <w:sectPr>
          <w:pgSz w:w="11900" w:h="16838" w:orient="portrait"/>
          <w:cols w:equalWidth="0" w:num="1">
            <w:col w:w="10606"/>
          </w:cols>
          <w:pgMar w:left="954" w:top="774" w:right="339" w:bottom="1440" w:gutter="0" w:footer="0" w:header="0"/>
        </w:sectPr>
      </w:pPr>
    </w:p>
    <w:bookmarkStart w:id="600" w:name="page601"/>
    <w:bookmarkEnd w:id="600"/>
    <w:p>
      <w:pPr>
        <w:jc w:val="right"/>
        <w:spacing w:after="0"/>
        <w:rPr>
          <w:sz w:val="20"/>
          <w:szCs w:val="20"/>
          <w:color w:val="auto"/>
        </w:rPr>
      </w:pPr>
      <w:r>
        <w:rPr>
          <w:rFonts w:ascii="Times New Roman" w:cs="Times New Roman" w:eastAsia="Times New Roman" w:hAnsi="Times New Roman"/>
          <w:sz w:val="17"/>
          <w:szCs w:val="17"/>
          <w:b w:val="1"/>
          <w:bCs w:val="1"/>
          <w:color w:val="auto"/>
        </w:rPr>
        <w:t>EXHIBIT 31.4</w:t>
      </w:r>
    </w:p>
    <w:p>
      <w:pPr>
        <w:spacing w:after="0" w:line="359" w:lineRule="exact"/>
        <w:rPr>
          <w:sz w:val="20"/>
          <w:szCs w:val="20"/>
          <w:color w:val="auto"/>
        </w:rPr>
      </w:pPr>
    </w:p>
    <w:p>
      <w:pPr>
        <w:ind w:left="4366"/>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Michael J. Franco, certify that:</w:t>
      </w:r>
    </w:p>
    <w:p>
      <w:pPr>
        <w:spacing w:after="0" w:line="261" w:lineRule="exact"/>
        <w:rPr>
          <w:sz w:val="20"/>
          <w:szCs w:val="20"/>
          <w:color w:val="auto"/>
        </w:rPr>
      </w:pPr>
    </w:p>
    <w:p>
      <w:pPr>
        <w:ind w:left="266" w:hanging="266"/>
        <w:spacing w:after="0"/>
        <w:tabs>
          <w:tab w:leader="none" w:pos="266" w:val="left"/>
        </w:tabs>
        <w:numPr>
          <w:ilvl w:val="0"/>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Vornado Realty L.P.;</w:t>
      </w:r>
    </w:p>
    <w:p>
      <w:pPr>
        <w:spacing w:after="0" w:line="143" w:lineRule="exact"/>
        <w:rPr>
          <w:rFonts w:ascii="Times New Roman" w:cs="Times New Roman" w:eastAsia="Times New Roman" w:hAnsi="Times New Roman"/>
          <w:sz w:val="16"/>
          <w:szCs w:val="16"/>
          <w:color w:val="auto"/>
        </w:rPr>
      </w:pPr>
    </w:p>
    <w:p>
      <w:pPr>
        <w:ind w:left="306" w:hanging="306"/>
        <w:spacing w:after="0" w:line="319" w:lineRule="auto"/>
        <w:tabs>
          <w:tab w:leader="none" w:pos="275" w:val="left"/>
        </w:tabs>
        <w:numPr>
          <w:ilvl w:val="0"/>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left="306" w:hanging="306"/>
        <w:spacing w:after="0" w:line="319" w:lineRule="auto"/>
        <w:tabs>
          <w:tab w:leader="none" w:pos="354" w:val="left"/>
        </w:tabs>
        <w:numPr>
          <w:ilvl w:val="0"/>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6"/>
          <w:szCs w:val="16"/>
          <w:color w:val="auto"/>
        </w:rPr>
      </w:pPr>
    </w:p>
    <w:p>
      <w:pPr>
        <w:jc w:val="both"/>
        <w:ind w:left="306" w:hanging="306"/>
        <w:spacing w:after="0" w:line="221" w:lineRule="exact"/>
        <w:tabs>
          <w:tab w:leader="none" w:pos="308" w:val="left"/>
        </w:tabs>
        <w:numPr>
          <w:ilvl w:val="0"/>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6"/>
          <w:szCs w:val="16"/>
          <w:color w:val="auto"/>
        </w:rPr>
      </w:pPr>
    </w:p>
    <w:p>
      <w:pPr>
        <w:jc w:val="both"/>
        <w:ind w:left="626" w:hanging="312"/>
        <w:spacing w:after="0" w:line="304" w:lineRule="auto"/>
        <w:tabs>
          <w:tab w:leader="none" w:pos="650" w:val="left"/>
        </w:tabs>
        <w:numPr>
          <w:ilvl w:val="1"/>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Times New Roman" w:cs="Times New Roman" w:eastAsia="Times New Roman" w:hAnsi="Times New Roman"/>
          <w:sz w:val="16"/>
          <w:szCs w:val="16"/>
          <w:color w:val="auto"/>
        </w:rPr>
      </w:pPr>
    </w:p>
    <w:p>
      <w:pPr>
        <w:jc w:val="both"/>
        <w:ind w:left="626" w:hanging="312"/>
        <w:spacing w:after="0" w:line="304" w:lineRule="auto"/>
        <w:tabs>
          <w:tab w:leader="none" w:pos="674" w:val="left"/>
        </w:tabs>
        <w:numPr>
          <w:ilvl w:val="1"/>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6"/>
          <w:szCs w:val="16"/>
          <w:color w:val="auto"/>
        </w:rPr>
      </w:pPr>
    </w:p>
    <w:p>
      <w:pPr>
        <w:ind w:left="626" w:hanging="312"/>
        <w:spacing w:after="0" w:line="336" w:lineRule="auto"/>
        <w:tabs>
          <w:tab w:leader="none" w:pos="635" w:val="left"/>
        </w:tabs>
        <w:numPr>
          <w:ilvl w:val="1"/>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6"/>
          <w:szCs w:val="16"/>
          <w:color w:val="auto"/>
        </w:rPr>
      </w:pPr>
    </w:p>
    <w:p>
      <w:pPr>
        <w:jc w:val="both"/>
        <w:ind w:left="626" w:hanging="312"/>
        <w:spacing w:after="0" w:line="313" w:lineRule="auto"/>
        <w:tabs>
          <w:tab w:leader="none" w:pos="632" w:val="left"/>
        </w:tabs>
        <w:numPr>
          <w:ilvl w:val="1"/>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Times New Roman" w:cs="Times New Roman" w:eastAsia="Times New Roman" w:hAnsi="Times New Roman"/>
          <w:sz w:val="16"/>
          <w:szCs w:val="16"/>
          <w:color w:val="auto"/>
        </w:rPr>
      </w:pPr>
    </w:p>
    <w:p>
      <w:pPr>
        <w:ind w:left="306" w:hanging="306"/>
        <w:spacing w:after="0" w:line="319" w:lineRule="auto"/>
        <w:tabs>
          <w:tab w:leader="none" w:pos="292" w:val="left"/>
        </w:tabs>
        <w:numPr>
          <w:ilvl w:val="0"/>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Times New Roman" w:cs="Times New Roman" w:eastAsia="Times New Roman" w:hAnsi="Times New Roman"/>
          <w:sz w:val="16"/>
          <w:szCs w:val="16"/>
          <w:color w:val="auto"/>
        </w:rPr>
      </w:pPr>
    </w:p>
    <w:p>
      <w:pPr>
        <w:ind w:left="626" w:hanging="312"/>
        <w:spacing w:after="0" w:line="336" w:lineRule="auto"/>
        <w:tabs>
          <w:tab w:leader="none" w:pos="656" w:val="left"/>
        </w:tabs>
        <w:numPr>
          <w:ilvl w:val="1"/>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6"/>
          <w:szCs w:val="16"/>
          <w:color w:val="auto"/>
        </w:rPr>
      </w:pPr>
    </w:p>
    <w:p>
      <w:pPr>
        <w:ind w:left="626" w:hanging="312"/>
        <w:spacing w:after="0" w:line="319" w:lineRule="auto"/>
        <w:tabs>
          <w:tab w:leader="none" w:pos="601" w:val="left"/>
        </w:tabs>
        <w:numPr>
          <w:ilvl w:val="1"/>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87" w:lineRule="exact"/>
        <w:rPr>
          <w:sz w:val="20"/>
          <w:szCs w:val="20"/>
          <w:color w:val="auto"/>
        </w:rPr>
      </w:pPr>
    </w:p>
    <w:p>
      <w:pPr>
        <w:ind w:left="386"/>
        <w:spacing w:after="0"/>
        <w:rPr>
          <w:sz w:val="20"/>
          <w:szCs w:val="20"/>
          <w:color w:val="auto"/>
        </w:rPr>
      </w:pPr>
      <w:r>
        <w:rPr>
          <w:rFonts w:ascii="Times New Roman" w:cs="Times New Roman" w:eastAsia="Times New Roman" w:hAnsi="Times New Roman"/>
          <w:sz w:val="16"/>
          <w:szCs w:val="16"/>
          <w:color w:val="auto"/>
        </w:rPr>
        <w:t>February 9, 2026</w:t>
      </w:r>
    </w:p>
    <w:p>
      <w:pPr>
        <w:spacing w:after="0" w:line="209" w:lineRule="exact"/>
        <w:rPr>
          <w:sz w:val="20"/>
          <w:szCs w:val="20"/>
          <w:color w:val="auto"/>
        </w:rPr>
      </w:pPr>
    </w:p>
    <w:p>
      <w:pPr>
        <w:ind w:left="386"/>
        <w:spacing w:after="0"/>
        <w:rPr>
          <w:sz w:val="20"/>
          <w:szCs w:val="20"/>
          <w:color w:val="auto"/>
        </w:rPr>
      </w:pPr>
      <w:r>
        <w:rPr>
          <w:rFonts w:ascii="Times New Roman" w:cs="Times New Roman" w:eastAsia="Times New Roman" w:hAnsi="Times New Roman"/>
          <w:sz w:val="16"/>
          <w:szCs w:val="16"/>
          <w:color w:val="auto"/>
        </w:rPr>
        <w:t>/s/ Michael J. Franco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41910</wp:posOffset>
            </wp:positionV>
            <wp:extent cx="30441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50">
                      <a:extLst>
                        <a:ext uri="{28A0092B-C50C-407E-A947-70E740481C1C}"/>
                      </a:extLst>
                    </a:blip>
                    <a:srcRect/>
                    <a:stretch>
                      <a:fillRect/>
                    </a:stretch>
                  </pic:blipFill>
                  <pic:spPr bwMode="auto">
                    <a:xfrm>
                      <a:off x="0" y="0"/>
                      <a:ext cx="3044190" cy="8255"/>
                    </a:xfrm>
                    <a:prstGeom prst="rect">
                      <a:avLst/>
                    </a:prstGeom>
                    <a:noFill/>
                  </pic:spPr>
                </pic:pic>
              </a:graphicData>
            </a:graphic>
          </wp:anchor>
        </w:drawing>
      </w:r>
    </w:p>
    <w:p>
      <w:pPr>
        <w:spacing w:after="0" w:line="58" w:lineRule="exact"/>
        <w:rPr>
          <w:sz w:val="20"/>
          <w:szCs w:val="20"/>
          <w:color w:val="auto"/>
        </w:rPr>
      </w:pPr>
    </w:p>
    <w:p>
      <w:pPr>
        <w:ind w:left="386"/>
        <w:spacing w:after="0"/>
        <w:rPr>
          <w:sz w:val="20"/>
          <w:szCs w:val="20"/>
          <w:color w:val="auto"/>
        </w:rPr>
      </w:pPr>
      <w:r>
        <w:rPr>
          <w:rFonts w:ascii="Times New Roman" w:cs="Times New Roman" w:eastAsia="Times New Roman" w:hAnsi="Times New Roman"/>
          <w:sz w:val="16"/>
          <w:szCs w:val="16"/>
          <w:color w:val="auto"/>
        </w:rPr>
        <w:t>Michael J. Franco</w:t>
      </w:r>
    </w:p>
    <w:p>
      <w:pPr>
        <w:spacing w:after="0" w:line="56" w:lineRule="exact"/>
        <w:rPr>
          <w:sz w:val="20"/>
          <w:szCs w:val="20"/>
          <w:color w:val="auto"/>
        </w:rPr>
      </w:pPr>
    </w:p>
    <w:p>
      <w:pPr>
        <w:ind w:left="386"/>
        <w:spacing w:after="0"/>
        <w:rPr>
          <w:sz w:val="20"/>
          <w:szCs w:val="20"/>
          <w:color w:val="auto"/>
        </w:rPr>
      </w:pPr>
      <w:r>
        <w:rPr>
          <w:rFonts w:ascii="Times New Roman" w:cs="Times New Roman" w:eastAsia="Times New Roman" w:hAnsi="Times New Roman"/>
          <w:sz w:val="16"/>
          <w:szCs w:val="16"/>
          <w:color w:val="auto"/>
        </w:rPr>
        <w:t>President and Chief Financial Officer of Vornado Realty Trust,</w:t>
      </w:r>
    </w:p>
    <w:p>
      <w:pPr>
        <w:ind w:left="386"/>
        <w:spacing w:after="0"/>
        <w:rPr>
          <w:sz w:val="20"/>
          <w:szCs w:val="20"/>
          <w:color w:val="auto"/>
        </w:rPr>
      </w:pPr>
      <w:r>
        <w:rPr>
          <w:rFonts w:ascii="Times New Roman" w:cs="Times New Roman" w:eastAsia="Times New Roman" w:hAnsi="Times New Roman"/>
          <w:sz w:val="16"/>
          <w:szCs w:val="16"/>
          <w:color w:val="auto"/>
        </w:rPr>
        <w:t>sole General Partner of Vornado Realty L.P.</w:t>
      </w:r>
    </w:p>
    <w:p>
      <w:pPr>
        <w:sectPr>
          <w:pgSz w:w="11900" w:h="16838" w:orient="portrait"/>
          <w:cols w:equalWidth="0" w:num="1">
            <w:col w:w="10606"/>
          </w:cols>
          <w:pgMar w:left="954" w:top="773" w:right="339" w:bottom="1440" w:gutter="0" w:footer="0" w:header="0"/>
        </w:sectPr>
      </w:pPr>
    </w:p>
    <w:bookmarkStart w:id="601" w:name="page602"/>
    <w:bookmarkEnd w:id="601"/>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(Subsection (a) and (b) of Section 1350 of Chapter 63 of Title 18 of the United States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314"/>
        <w:spacing w:after="0" w:line="319"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of Chapter 63 of Title 18 of the United States Code), the undersigned officer of Vornado Realty Trust (the “Company”), hereby certifies, to such officer’s knowledge, that:</w:t>
      </w:r>
    </w:p>
    <w:p>
      <w:pPr>
        <w:spacing w:after="0" w:line="205" w:lineRule="exact"/>
        <w:rPr>
          <w:sz w:val="20"/>
          <w:szCs w:val="20"/>
          <w:color w:val="auto"/>
        </w:rPr>
      </w:pPr>
    </w:p>
    <w:p>
      <w:pPr>
        <w:jc w:val="both"/>
        <w:ind w:right="100" w:firstLine="314"/>
        <w:spacing w:after="0" w:line="304" w:lineRule="auto"/>
        <w:rPr>
          <w:sz w:val="20"/>
          <w:szCs w:val="20"/>
          <w:color w:val="auto"/>
        </w:rPr>
      </w:pPr>
      <w:r>
        <w:rPr>
          <w:rFonts w:ascii="Times New Roman" w:cs="Times New Roman" w:eastAsia="Times New Roman" w:hAnsi="Times New Roman"/>
          <w:sz w:val="16"/>
          <w:szCs w:val="16"/>
          <w:color w:val="auto"/>
        </w:rPr>
        <w:t>The Annual Report on Form 10-K for the year ended December 31, 2025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20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February 9, 2026</w:t>
            </w:r>
          </w:p>
        </w:tc>
        <w:tc>
          <w:tcPr>
            <w:tcW w:w="4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Steven Roth</w:t>
            </w:r>
          </w:p>
        </w:tc>
        <w:tc>
          <w:tcPr>
            <w:tcW w:w="0" w:type="dxa"/>
            <w:vAlign w:val="bottom"/>
          </w:tcPr>
          <w:p>
            <w:pPr>
              <w:spacing w:after="0"/>
              <w:rPr>
                <w:sz w:val="1"/>
                <w:szCs w:val="1"/>
                <w:color w:val="auto"/>
              </w:rPr>
            </w:pPr>
          </w:p>
        </w:tc>
      </w:tr>
      <w:tr>
        <w:trPr>
          <w:trHeight w:val="44"/>
        </w:trPr>
        <w:tc>
          <w:tcPr>
            <w:tcW w:w="5620" w:type="dxa"/>
            <w:vAlign w:val="bottom"/>
            <w:vMerge w:val="restart"/>
          </w:tcPr>
          <w:p>
            <w:pPr>
              <w:ind w:left="4560"/>
              <w:spacing w:after="0"/>
              <w:rPr>
                <w:sz w:val="20"/>
                <w:szCs w:val="20"/>
                <w:color w:val="auto"/>
              </w:rPr>
            </w:pPr>
            <w:r>
              <w:rPr>
                <w:rFonts w:ascii="Times New Roman" w:cs="Times New Roman" w:eastAsia="Times New Roman" w:hAnsi="Times New Roman"/>
                <w:sz w:val="16"/>
                <w:szCs w:val="16"/>
                <w:color w:val="auto"/>
              </w:rPr>
              <w:t>Name:</w:t>
            </w:r>
          </w:p>
        </w:tc>
        <w:tc>
          <w:tcPr>
            <w:tcW w:w="4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620" w:type="dxa"/>
            <w:vAlign w:val="bottom"/>
            <w:vMerge w:val="continue"/>
          </w:tcPr>
          <w:p>
            <w:pPr>
              <w:spacing w:after="0"/>
              <w:rPr>
                <w:sz w:val="17"/>
                <w:szCs w:val="17"/>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Steven Roth</w:t>
            </w:r>
          </w:p>
        </w:tc>
        <w:tc>
          <w:tcPr>
            <w:tcW w:w="0" w:type="dxa"/>
            <w:vAlign w:val="bottom"/>
          </w:tcPr>
          <w:p>
            <w:pPr>
              <w:spacing w:after="0"/>
              <w:rPr>
                <w:sz w:val="1"/>
                <w:szCs w:val="1"/>
                <w:color w:val="auto"/>
              </w:rPr>
            </w:pPr>
          </w:p>
        </w:tc>
      </w:tr>
      <w:tr>
        <w:trPr>
          <w:trHeight w:val="248"/>
        </w:trPr>
        <w:tc>
          <w:tcPr>
            <w:tcW w:w="5620" w:type="dxa"/>
            <w:vAlign w:val="bottom"/>
          </w:tcPr>
          <w:p>
            <w:pPr>
              <w:ind w:left="4560"/>
              <w:spacing w:after="0"/>
              <w:rPr>
                <w:sz w:val="20"/>
                <w:szCs w:val="20"/>
                <w:color w:val="auto"/>
              </w:rPr>
            </w:pPr>
            <w:r>
              <w:rPr>
                <w:rFonts w:ascii="Times New Roman" w:cs="Times New Roman" w:eastAsia="Times New Roman" w:hAnsi="Times New Roman"/>
                <w:sz w:val="16"/>
                <w:szCs w:val="16"/>
                <w:color w:val="auto"/>
              </w:rPr>
              <w:t>Title:</w:t>
            </w:r>
          </w:p>
        </w:tc>
        <w:tc>
          <w:tcPr>
            <w:tcW w:w="4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tc>
        <w:tc>
          <w:tcPr>
            <w:tcW w:w="0" w:type="dxa"/>
            <w:vAlign w:val="bottom"/>
          </w:tcPr>
          <w:p>
            <w:pPr>
              <w:spacing w:after="0"/>
              <w:rPr>
                <w:sz w:val="1"/>
                <w:szCs w:val="1"/>
                <w:color w:val="auto"/>
              </w:rPr>
            </w:pPr>
          </w:p>
        </w:tc>
      </w:tr>
    </w:tbl>
    <w:p>
      <w:pPr>
        <w:sectPr>
          <w:pgSz w:w="11900" w:h="16838" w:orient="portrait"/>
          <w:cols w:equalWidth="0" w:num="1">
            <w:col w:w="11340"/>
          </w:cols>
          <w:pgMar w:left="320" w:top="892" w:right="239" w:bottom="1440" w:gutter="0" w:footer="0" w:header="0"/>
        </w:sectPr>
      </w:pPr>
    </w:p>
    <w:bookmarkStart w:id="602" w:name="page603"/>
    <w:bookmarkEnd w:id="602"/>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(Subsection (a) and (b) of Section 1350 of Chapter 63 of Title 18 of the United States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314"/>
        <w:spacing w:after="0" w:line="319"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of Chapter 63 of Title 18 of the United States Code), the undersigned officer of Vornado Realty Trust (the “Company”), hereby certifies, to such officer’s knowledge, that:</w:t>
      </w:r>
    </w:p>
    <w:p>
      <w:pPr>
        <w:spacing w:after="0" w:line="205" w:lineRule="exact"/>
        <w:rPr>
          <w:sz w:val="20"/>
          <w:szCs w:val="20"/>
          <w:color w:val="auto"/>
        </w:rPr>
      </w:pPr>
    </w:p>
    <w:p>
      <w:pPr>
        <w:jc w:val="both"/>
        <w:ind w:right="100" w:firstLine="314"/>
        <w:spacing w:after="0" w:line="304" w:lineRule="auto"/>
        <w:rPr>
          <w:sz w:val="20"/>
          <w:szCs w:val="20"/>
          <w:color w:val="auto"/>
        </w:rPr>
      </w:pPr>
      <w:r>
        <w:rPr>
          <w:rFonts w:ascii="Times New Roman" w:cs="Times New Roman" w:eastAsia="Times New Roman" w:hAnsi="Times New Roman"/>
          <w:sz w:val="16"/>
          <w:szCs w:val="16"/>
          <w:color w:val="auto"/>
        </w:rPr>
        <w:t>The Annual Report on Form 10-K for the year ended December 31, 2025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06"/>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February 9, 2026</w:t>
            </w:r>
          </w:p>
        </w:tc>
        <w:tc>
          <w:tcPr>
            <w:tcW w:w="4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Michael J. Franco</w:t>
            </w:r>
          </w:p>
        </w:tc>
        <w:tc>
          <w:tcPr>
            <w:tcW w:w="0" w:type="dxa"/>
            <w:vAlign w:val="bottom"/>
          </w:tcPr>
          <w:p>
            <w:pPr>
              <w:spacing w:after="0"/>
              <w:rPr>
                <w:sz w:val="1"/>
                <w:szCs w:val="1"/>
                <w:color w:val="auto"/>
              </w:rPr>
            </w:pPr>
          </w:p>
        </w:tc>
      </w:tr>
      <w:tr>
        <w:trPr>
          <w:trHeight w:val="44"/>
        </w:trPr>
        <w:tc>
          <w:tcPr>
            <w:tcW w:w="5620" w:type="dxa"/>
            <w:vAlign w:val="bottom"/>
            <w:vMerge w:val="restart"/>
          </w:tcPr>
          <w:p>
            <w:pPr>
              <w:ind w:left="4560"/>
              <w:spacing w:after="0"/>
              <w:rPr>
                <w:sz w:val="20"/>
                <w:szCs w:val="20"/>
                <w:color w:val="auto"/>
              </w:rPr>
            </w:pPr>
            <w:r>
              <w:rPr>
                <w:rFonts w:ascii="Times New Roman" w:cs="Times New Roman" w:eastAsia="Times New Roman" w:hAnsi="Times New Roman"/>
                <w:sz w:val="16"/>
                <w:szCs w:val="16"/>
                <w:color w:val="auto"/>
              </w:rPr>
              <w:t>Name:</w:t>
            </w:r>
          </w:p>
        </w:tc>
        <w:tc>
          <w:tcPr>
            <w:tcW w:w="4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620" w:type="dxa"/>
            <w:vAlign w:val="bottom"/>
            <w:vMerge w:val="continue"/>
          </w:tcPr>
          <w:p>
            <w:pPr>
              <w:spacing w:after="0"/>
              <w:rPr>
                <w:sz w:val="17"/>
                <w:szCs w:val="17"/>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 J. Franco</w:t>
            </w:r>
          </w:p>
        </w:tc>
        <w:tc>
          <w:tcPr>
            <w:tcW w:w="0" w:type="dxa"/>
            <w:vAlign w:val="bottom"/>
          </w:tcPr>
          <w:p>
            <w:pPr>
              <w:spacing w:after="0"/>
              <w:rPr>
                <w:sz w:val="1"/>
                <w:szCs w:val="1"/>
                <w:color w:val="auto"/>
              </w:rPr>
            </w:pPr>
          </w:p>
        </w:tc>
      </w:tr>
      <w:tr>
        <w:trPr>
          <w:trHeight w:val="287"/>
        </w:trPr>
        <w:tc>
          <w:tcPr>
            <w:tcW w:w="5620" w:type="dxa"/>
            <w:vAlign w:val="bottom"/>
          </w:tcPr>
          <w:p>
            <w:pPr>
              <w:ind w:left="4560"/>
              <w:spacing w:after="0"/>
              <w:rPr>
                <w:sz w:val="20"/>
                <w:szCs w:val="20"/>
                <w:color w:val="auto"/>
              </w:rPr>
            </w:pPr>
            <w:r>
              <w:rPr>
                <w:rFonts w:ascii="Times New Roman" w:cs="Times New Roman" w:eastAsia="Times New Roman" w:hAnsi="Times New Roman"/>
                <w:sz w:val="16"/>
                <w:szCs w:val="16"/>
                <w:color w:val="auto"/>
              </w:rPr>
              <w:t>Title:</w:t>
            </w:r>
          </w:p>
        </w:tc>
        <w:tc>
          <w:tcPr>
            <w:tcW w:w="4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1340"/>
          </w:cols>
          <w:pgMar w:left="320" w:top="891" w:right="239" w:bottom="1440" w:gutter="0" w:footer="0" w:header="0"/>
        </w:sectPr>
      </w:pPr>
    </w:p>
    <w:bookmarkStart w:id="603" w:name="page604"/>
    <w:bookmarkEnd w:id="603"/>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EXHIBIT 32.3</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(Subsection (a) and (b) of Section 1350 of Chapter 63 of Title 18 of the United States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firstLine="314"/>
        <w:spacing w:after="0" w:line="319"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of Chapter 63 of Title 18 of the United States Code), the undersigned officer of Vornado Realty L.P. (the “Company”), hereby certifies, to such officer’s knowledge, that:</w:t>
      </w:r>
    </w:p>
    <w:p>
      <w:pPr>
        <w:spacing w:after="0" w:line="205" w:lineRule="exact"/>
        <w:rPr>
          <w:sz w:val="20"/>
          <w:szCs w:val="20"/>
          <w:color w:val="auto"/>
        </w:rPr>
      </w:pPr>
    </w:p>
    <w:p>
      <w:pPr>
        <w:jc w:val="both"/>
        <w:ind w:right="20" w:firstLine="314"/>
        <w:spacing w:after="0" w:line="304" w:lineRule="auto"/>
        <w:rPr>
          <w:sz w:val="20"/>
          <w:szCs w:val="20"/>
          <w:color w:val="auto"/>
        </w:rPr>
      </w:pPr>
      <w:r>
        <w:rPr>
          <w:rFonts w:ascii="Times New Roman" w:cs="Times New Roman" w:eastAsia="Times New Roman" w:hAnsi="Times New Roman"/>
          <w:sz w:val="16"/>
          <w:szCs w:val="16"/>
          <w:color w:val="auto"/>
        </w:rPr>
        <w:t>The Annual Report on Form 10-K for the year ended December 31, 2025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44" w:lineRule="exact"/>
        <w:rPr>
          <w:sz w:val="20"/>
          <w:szCs w:val="20"/>
          <w:color w:val="auto"/>
        </w:rPr>
      </w:pPr>
    </w:p>
    <w:tbl>
      <w:tblPr>
        <w:tblLayout w:type="fixed"/>
        <w:tblInd w:w="800" w:type="dxa"/>
        <w:tblCellMar>
          <w:top w:w="0" w:type="dxa"/>
          <w:left w:w="0" w:type="dxa"/>
          <w:bottom w:w="0" w:type="dxa"/>
          <w:right w:w="0" w:type="dxa"/>
        </w:tblCellMar>
      </w:tblPr>
      <w:tr>
        <w:trPr>
          <w:trHeight w:val="206"/>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February 9, 2026</w:t>
            </w:r>
          </w:p>
        </w:tc>
        <w:tc>
          <w:tcPr>
            <w:tcW w:w="4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Steven Roth</w:t>
            </w:r>
          </w:p>
        </w:tc>
        <w:tc>
          <w:tcPr>
            <w:tcW w:w="0" w:type="dxa"/>
            <w:vAlign w:val="bottom"/>
          </w:tcPr>
          <w:p>
            <w:pPr>
              <w:spacing w:after="0"/>
              <w:rPr>
                <w:sz w:val="1"/>
                <w:szCs w:val="1"/>
                <w:color w:val="auto"/>
              </w:rPr>
            </w:pPr>
          </w:p>
        </w:tc>
      </w:tr>
      <w:tr>
        <w:trPr>
          <w:trHeight w:val="44"/>
        </w:trPr>
        <w:tc>
          <w:tcPr>
            <w:tcW w:w="5980" w:type="dxa"/>
            <w:vAlign w:val="bottom"/>
            <w:vMerge w:val="restart"/>
          </w:tcPr>
          <w:p>
            <w:pPr>
              <w:ind w:left="5160"/>
              <w:spacing w:after="0"/>
              <w:rPr>
                <w:sz w:val="20"/>
                <w:szCs w:val="20"/>
                <w:color w:val="auto"/>
              </w:rPr>
            </w:pPr>
            <w:r>
              <w:rPr>
                <w:rFonts w:ascii="Times New Roman" w:cs="Times New Roman" w:eastAsia="Times New Roman" w:hAnsi="Times New Roman"/>
                <w:sz w:val="16"/>
                <w:szCs w:val="16"/>
                <w:color w:val="auto"/>
              </w:rPr>
              <w:t>Name:</w:t>
            </w:r>
          </w:p>
        </w:tc>
        <w:tc>
          <w:tcPr>
            <w:tcW w:w="4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980" w:type="dxa"/>
            <w:vAlign w:val="bottom"/>
            <w:vMerge w:val="continue"/>
          </w:tcPr>
          <w:p>
            <w:pPr>
              <w:spacing w:after="0"/>
              <w:rPr>
                <w:sz w:val="17"/>
                <w:szCs w:val="17"/>
                <w:color w:val="auto"/>
              </w:rPr>
            </w:pPr>
          </w:p>
        </w:tc>
        <w:tc>
          <w:tcPr>
            <w:tcW w:w="4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Steven Roth</w:t>
            </w:r>
          </w:p>
        </w:tc>
        <w:tc>
          <w:tcPr>
            <w:tcW w:w="0" w:type="dxa"/>
            <w:vAlign w:val="bottom"/>
          </w:tcPr>
          <w:p>
            <w:pPr>
              <w:spacing w:after="0"/>
              <w:rPr>
                <w:sz w:val="1"/>
                <w:szCs w:val="1"/>
                <w:color w:val="auto"/>
              </w:rPr>
            </w:pPr>
          </w:p>
        </w:tc>
      </w:tr>
      <w:tr>
        <w:trPr>
          <w:trHeight w:val="200"/>
        </w:trPr>
        <w:tc>
          <w:tcPr>
            <w:tcW w:w="5980" w:type="dxa"/>
            <w:vAlign w:val="bottom"/>
          </w:tcPr>
          <w:p>
            <w:pPr>
              <w:ind w:left="5160"/>
              <w:spacing w:after="0"/>
              <w:rPr>
                <w:sz w:val="20"/>
                <w:szCs w:val="20"/>
                <w:color w:val="auto"/>
              </w:rPr>
            </w:pPr>
            <w:r>
              <w:rPr>
                <w:rFonts w:ascii="Times New Roman" w:cs="Times New Roman" w:eastAsia="Times New Roman" w:hAnsi="Times New Roman"/>
                <w:sz w:val="16"/>
                <w:szCs w:val="16"/>
                <w:color w:val="auto"/>
              </w:rPr>
              <w:t>Title:</w:t>
            </w:r>
          </w:p>
        </w:tc>
        <w:tc>
          <w:tcPr>
            <w:tcW w:w="4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tc>
        <w:tc>
          <w:tcPr>
            <w:tcW w:w="0" w:type="dxa"/>
            <w:vAlign w:val="bottom"/>
          </w:tcPr>
          <w:p>
            <w:pPr>
              <w:spacing w:after="0"/>
              <w:rPr>
                <w:sz w:val="1"/>
                <w:szCs w:val="1"/>
                <w:color w:val="auto"/>
              </w:rPr>
            </w:pPr>
          </w:p>
        </w:tc>
      </w:tr>
      <w:tr>
        <w:trPr>
          <w:trHeight w:val="157"/>
        </w:trPr>
        <w:tc>
          <w:tcPr>
            <w:tcW w:w="5980" w:type="dxa"/>
            <w:vAlign w:val="bottom"/>
          </w:tcPr>
          <w:p>
            <w:pPr>
              <w:spacing w:after="0"/>
              <w:rPr>
                <w:sz w:val="13"/>
                <w:szCs w:val="13"/>
                <w:color w:val="auto"/>
              </w:rPr>
            </w:pPr>
          </w:p>
        </w:tc>
        <w:tc>
          <w:tcPr>
            <w:tcW w:w="4480" w:type="dxa"/>
            <w:vAlign w:val="bottom"/>
          </w:tcPr>
          <w:p>
            <w:pPr>
              <w:ind w:left="60"/>
              <w:spacing w:after="0" w:line="158" w:lineRule="exact"/>
              <w:rPr>
                <w:sz w:val="20"/>
                <w:szCs w:val="20"/>
                <w:color w:val="auto"/>
              </w:rPr>
            </w:pPr>
            <w:r>
              <w:rPr>
                <w:rFonts w:ascii="Times New Roman" w:cs="Times New Roman" w:eastAsia="Times New Roman" w:hAnsi="Times New Roman"/>
                <w:sz w:val="16"/>
                <w:szCs w:val="16"/>
                <w:color w:val="auto"/>
              </w:rPr>
              <w:t>of Vornado Realty Trust, sole General Partner of</w:t>
            </w:r>
          </w:p>
        </w:tc>
        <w:tc>
          <w:tcPr>
            <w:tcW w:w="0" w:type="dxa"/>
            <w:vAlign w:val="bottom"/>
          </w:tcPr>
          <w:p>
            <w:pPr>
              <w:spacing w:after="0"/>
              <w:rPr>
                <w:sz w:val="1"/>
                <w:szCs w:val="1"/>
                <w:color w:val="auto"/>
              </w:rPr>
            </w:pPr>
          </w:p>
        </w:tc>
      </w:tr>
      <w:tr>
        <w:trPr>
          <w:trHeight w:val="206"/>
        </w:trPr>
        <w:tc>
          <w:tcPr>
            <w:tcW w:w="5980" w:type="dxa"/>
            <w:vAlign w:val="bottom"/>
          </w:tcPr>
          <w:p>
            <w:pPr>
              <w:spacing w:after="0"/>
              <w:rPr>
                <w:sz w:val="17"/>
                <w:szCs w:val="17"/>
                <w:color w:val="auto"/>
              </w:rPr>
            </w:pPr>
          </w:p>
        </w:tc>
        <w:tc>
          <w:tcPr>
            <w:tcW w:w="4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Vornado Realty L.P.</w:t>
            </w:r>
          </w:p>
        </w:tc>
        <w:tc>
          <w:tcPr>
            <w:tcW w:w="0" w:type="dxa"/>
            <w:vAlign w:val="bottom"/>
          </w:tcPr>
          <w:p>
            <w:pPr>
              <w:spacing w:after="0"/>
              <w:rPr>
                <w:sz w:val="1"/>
                <w:szCs w:val="1"/>
                <w:color w:val="auto"/>
              </w:rPr>
            </w:pPr>
          </w:p>
        </w:tc>
      </w:tr>
    </w:tbl>
    <w:p>
      <w:pPr>
        <w:sectPr>
          <w:pgSz w:w="11900" w:h="16838" w:orient="portrait"/>
          <w:cols w:equalWidth="0" w:num="1">
            <w:col w:w="11260"/>
          </w:cols>
          <w:pgMar w:left="320" w:top="773" w:right="319" w:bottom="1440" w:gutter="0" w:footer="0" w:header="0"/>
        </w:sectPr>
      </w:pPr>
    </w:p>
    <w:bookmarkStart w:id="604" w:name="page605"/>
    <w:bookmarkEnd w:id="604"/>
    <w:p>
      <w:pPr>
        <w:jc w:val="right"/>
        <w:spacing w:after="0"/>
        <w:rPr>
          <w:sz w:val="20"/>
          <w:szCs w:val="20"/>
          <w:color w:val="auto"/>
        </w:rPr>
      </w:pPr>
      <w:r>
        <w:rPr>
          <w:rFonts w:ascii="Times New Roman" w:cs="Times New Roman" w:eastAsia="Times New Roman" w:hAnsi="Times New Roman"/>
          <w:sz w:val="17"/>
          <w:szCs w:val="17"/>
          <w:b w:val="1"/>
          <w:bCs w:val="1"/>
          <w:color w:val="auto"/>
        </w:rPr>
        <w:t>EXHIBIT 32.4</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(Subsection (a) and (b) of Section 1350 of Chapter 63 of Title 18 of the United States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314"/>
        <w:spacing w:after="0" w:line="319" w:lineRule="auto"/>
        <w:rPr>
          <w:sz w:val="20"/>
          <w:szCs w:val="20"/>
          <w:color w:val="auto"/>
        </w:rPr>
      </w:pPr>
      <w:r>
        <w:rPr>
          <w:rFonts w:ascii="Times New Roman" w:cs="Times New Roman" w:eastAsia="Times New Roman" w:hAnsi="Times New Roman"/>
          <w:sz w:val="16"/>
          <w:szCs w:val="16"/>
          <w:color w:val="auto"/>
        </w:rPr>
        <w:t>Pursuant to Section 906 of the Sarbanes-Oxley Act of 2002 (subsections (a) and (b) of Section 1350 of Chapter 63 of Title 18 of the United States Code), the undersigned officer of Vornado Realty L.P. (the “Company”), hereby certifies, to such officer’s knowledge, that:</w:t>
      </w:r>
    </w:p>
    <w:p>
      <w:pPr>
        <w:spacing w:after="0" w:line="205" w:lineRule="exact"/>
        <w:rPr>
          <w:sz w:val="20"/>
          <w:szCs w:val="20"/>
          <w:color w:val="auto"/>
        </w:rPr>
      </w:pPr>
    </w:p>
    <w:p>
      <w:pPr>
        <w:jc w:val="both"/>
        <w:ind w:firstLine="314"/>
        <w:spacing w:after="0" w:line="304" w:lineRule="auto"/>
        <w:rPr>
          <w:sz w:val="20"/>
          <w:szCs w:val="20"/>
          <w:color w:val="auto"/>
        </w:rPr>
      </w:pPr>
      <w:r>
        <w:rPr>
          <w:rFonts w:ascii="Times New Roman" w:cs="Times New Roman" w:eastAsia="Times New Roman" w:hAnsi="Times New Roman"/>
          <w:sz w:val="16"/>
          <w:szCs w:val="16"/>
          <w:color w:val="auto"/>
        </w:rPr>
        <w:t>The Annual Report on Form 10-K for the year ended December 31, 2025 (the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44"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February 9, 2026</w:t>
            </w:r>
          </w:p>
        </w:tc>
        <w:tc>
          <w:tcPr>
            <w:tcW w:w="4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Michael J. Franco</w:t>
            </w:r>
          </w:p>
        </w:tc>
        <w:tc>
          <w:tcPr>
            <w:tcW w:w="0" w:type="dxa"/>
            <w:vAlign w:val="bottom"/>
          </w:tcPr>
          <w:p>
            <w:pPr>
              <w:spacing w:after="0"/>
              <w:rPr>
                <w:sz w:val="1"/>
                <w:szCs w:val="1"/>
                <w:color w:val="auto"/>
              </w:rPr>
            </w:pPr>
          </w:p>
        </w:tc>
      </w:tr>
      <w:tr>
        <w:trPr>
          <w:trHeight w:val="44"/>
        </w:trPr>
        <w:tc>
          <w:tcPr>
            <w:tcW w:w="6020" w:type="dxa"/>
            <w:vAlign w:val="bottom"/>
            <w:vMerge w:val="restart"/>
          </w:tcPr>
          <w:p>
            <w:pPr>
              <w:ind w:left="5220"/>
              <w:spacing w:after="0"/>
              <w:rPr>
                <w:sz w:val="20"/>
                <w:szCs w:val="20"/>
                <w:color w:val="auto"/>
              </w:rPr>
            </w:pPr>
            <w:r>
              <w:rPr>
                <w:rFonts w:ascii="Times New Roman" w:cs="Times New Roman" w:eastAsia="Times New Roman" w:hAnsi="Times New Roman"/>
                <w:sz w:val="16"/>
                <w:szCs w:val="16"/>
                <w:color w:val="auto"/>
              </w:rPr>
              <w:t>Name:</w:t>
            </w:r>
          </w:p>
        </w:tc>
        <w:tc>
          <w:tcPr>
            <w:tcW w:w="4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6020" w:type="dxa"/>
            <w:vAlign w:val="bottom"/>
            <w:vMerge w:val="continue"/>
          </w:tcPr>
          <w:p>
            <w:pPr>
              <w:spacing w:after="0"/>
              <w:rPr>
                <w:sz w:val="17"/>
                <w:szCs w:val="17"/>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Michael J. Franco</w:t>
            </w:r>
          </w:p>
        </w:tc>
        <w:tc>
          <w:tcPr>
            <w:tcW w:w="0" w:type="dxa"/>
            <w:vAlign w:val="bottom"/>
          </w:tcPr>
          <w:p>
            <w:pPr>
              <w:spacing w:after="0"/>
              <w:rPr>
                <w:sz w:val="1"/>
                <w:szCs w:val="1"/>
                <w:color w:val="auto"/>
              </w:rPr>
            </w:pPr>
          </w:p>
        </w:tc>
      </w:tr>
      <w:tr>
        <w:trPr>
          <w:trHeight w:val="200"/>
        </w:trPr>
        <w:tc>
          <w:tcPr>
            <w:tcW w:w="6020" w:type="dxa"/>
            <w:vAlign w:val="bottom"/>
          </w:tcPr>
          <w:p>
            <w:pPr>
              <w:ind w:left="5220"/>
              <w:spacing w:after="0"/>
              <w:rPr>
                <w:sz w:val="20"/>
                <w:szCs w:val="20"/>
                <w:color w:val="auto"/>
              </w:rPr>
            </w:pPr>
            <w:r>
              <w:rPr>
                <w:rFonts w:ascii="Times New Roman" w:cs="Times New Roman" w:eastAsia="Times New Roman" w:hAnsi="Times New Roman"/>
                <w:sz w:val="16"/>
                <w:szCs w:val="16"/>
                <w:color w:val="auto"/>
              </w:rPr>
              <w:t>Title:</w:t>
            </w:r>
          </w:p>
        </w:tc>
        <w:tc>
          <w:tcPr>
            <w:tcW w:w="4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President and Chief Financial Officer of Vornado Realty</w:t>
            </w:r>
          </w:p>
        </w:tc>
        <w:tc>
          <w:tcPr>
            <w:tcW w:w="0" w:type="dxa"/>
            <w:vAlign w:val="bottom"/>
          </w:tcPr>
          <w:p>
            <w:pPr>
              <w:spacing w:after="0"/>
              <w:rPr>
                <w:sz w:val="1"/>
                <w:szCs w:val="1"/>
                <w:color w:val="auto"/>
              </w:rPr>
            </w:pPr>
          </w:p>
        </w:tc>
      </w:tr>
      <w:tr>
        <w:trPr>
          <w:trHeight w:val="206"/>
        </w:trPr>
        <w:tc>
          <w:tcPr>
            <w:tcW w:w="6020" w:type="dxa"/>
            <w:vAlign w:val="bottom"/>
          </w:tcPr>
          <w:p>
            <w:pPr>
              <w:spacing w:after="0"/>
              <w:rPr>
                <w:sz w:val="17"/>
                <w:szCs w:val="17"/>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Trust, sole General Partner of Vornado Realty L.P.</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7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A5D054"/>
    <w:multiLevelType w:val="hybridMultilevel"/>
    <w:lvl w:ilvl="0">
      <w:lvlJc w:val="left"/>
      <w:lvlText w:val="☒"/>
      <w:numFmt w:val="bullet"/>
      <w:start w:val="1"/>
    </w:lvl>
  </w:abstractNum>
  <w:abstractNum w:abstractNumId="1">
    <w:nsid w:val="F3F09D8"/>
    <w:multiLevelType w:val="hybridMultilevel"/>
    <w:lvl w:ilvl="0">
      <w:lvlJc w:val="left"/>
      <w:lvlText w:val="☐"/>
      <w:numFmt w:val="bullet"/>
      <w:start w:val="1"/>
    </w:lvl>
  </w:abstractNum>
  <w:abstractNum w:abstractNumId="2">
    <w:nsid w:val="4B793735"/>
    <w:multiLevelType w:val="hybridMultilevel"/>
    <w:lvl w:ilvl="0">
      <w:lvlJc w:val="left"/>
      <w:lvlText w:val="•"/>
      <w:numFmt w:val="bullet"/>
      <w:start w:val="1"/>
    </w:lvl>
  </w:abstractNum>
  <w:abstractNum w:abstractNumId="3">
    <w:nsid w:val="4A10B4E8"/>
    <w:multiLevelType w:val="hybridMultilevel"/>
    <w:lvl w:ilvl="0">
      <w:lvlJc w:val="left"/>
      <w:lvlText w:val="•"/>
      <w:numFmt w:val="bullet"/>
      <w:start w:val="1"/>
    </w:lvl>
    <w:lvl w:ilvl="1">
      <w:lvlJc w:val="left"/>
      <w:lvlText w:val="•"/>
      <w:numFmt w:val="bullet"/>
      <w:start w:val="1"/>
    </w:lvl>
  </w:abstractNum>
  <w:abstractNum w:abstractNumId="4">
    <w:nsid w:val="43D3BCD4"/>
    <w:multiLevelType w:val="hybridMultilevel"/>
    <w:lvl w:ilvl="0">
      <w:lvlJc w:val="left"/>
      <w:lvlText w:val="(%1)"/>
      <w:numFmt w:val="decimal"/>
      <w:start w:val="1"/>
    </w:lvl>
  </w:abstractNum>
  <w:abstractNum w:abstractNumId="5">
    <w:nsid w:val="4C2A7166"/>
    <w:multiLevelType w:val="hybridMultilevel"/>
    <w:lvl w:ilvl="0">
      <w:lvlJc w:val="left"/>
      <w:lvlText w:val="•"/>
      <w:numFmt w:val="bullet"/>
      <w:start w:val="1"/>
    </w:lvl>
    <w:lvl w:ilvl="1">
      <w:lvlJc w:val="left"/>
      <w:lvlText w:val="•"/>
      <w:numFmt w:val="bullet"/>
      <w:start w:val="1"/>
    </w:lvl>
  </w:abstractNum>
  <w:abstractNum w:abstractNumId="6">
    <w:nsid w:val="2E534A82"/>
    <w:multiLevelType w:val="hybridMultilevel"/>
    <w:lvl w:ilvl="0">
      <w:lvlJc w:val="left"/>
      <w:lvlText w:val="•"/>
      <w:numFmt w:val="bullet"/>
      <w:start w:val="1"/>
    </w:lvl>
  </w:abstractNum>
  <w:abstractNum w:abstractNumId="7">
    <w:nsid w:val="26F2D364"/>
    <w:multiLevelType w:val="hybridMultilevel"/>
    <w:lvl w:ilvl="0">
      <w:lvlJc w:val="left"/>
      <w:lvlText w:val="•"/>
      <w:numFmt w:val="bullet"/>
      <w:start w:val="1"/>
    </w:lvl>
  </w:abstractNum>
  <w:abstractNum w:abstractNumId="8">
    <w:nsid w:val="71C1AF98"/>
    <w:multiLevelType w:val="hybridMultilevel"/>
    <w:lvl w:ilvl="0">
      <w:lvlJc w:val="left"/>
      <w:lvlText w:val="•"/>
      <w:numFmt w:val="bullet"/>
      <w:start w:val="1"/>
    </w:lvl>
  </w:abstractNum>
  <w:abstractNum w:abstractNumId="9">
    <w:nsid w:val="3D00B9D9"/>
    <w:multiLevelType w:val="hybridMultilevel"/>
    <w:lvl w:ilvl="0">
      <w:lvlJc w:val="left"/>
      <w:lvlText w:val="•"/>
      <w:numFmt w:val="bullet"/>
      <w:start w:val="1"/>
    </w:lvl>
  </w:abstractNum>
  <w:abstractNum w:abstractNumId="10">
    <w:nsid w:val="15BCABA8"/>
    <w:multiLevelType w:val="hybridMultilevel"/>
    <w:lvl w:ilvl="0">
      <w:lvlJc w:val="left"/>
      <w:lvlText w:val="•"/>
      <w:numFmt w:val="bullet"/>
      <w:start w:val="1"/>
    </w:lvl>
  </w:abstractNum>
  <w:abstractNum w:abstractNumId="11">
    <w:nsid w:val="4E0B9A87"/>
    <w:multiLevelType w:val="hybridMultilevel"/>
    <w:lvl w:ilvl="0">
      <w:lvlJc w:val="left"/>
      <w:lvlText w:val="•"/>
      <w:numFmt w:val="bullet"/>
      <w:start w:val="1"/>
    </w:lvl>
  </w:abstractNum>
  <w:abstractNum w:abstractNumId="12">
    <w:nsid w:val="434BAE75"/>
    <w:multiLevelType w:val="hybridMultilevel"/>
    <w:lvl w:ilvl="0">
      <w:lvlJc w:val="left"/>
      <w:lvlText w:val="•"/>
      <w:numFmt w:val="bullet"/>
      <w:start w:val="1"/>
    </w:lvl>
  </w:abstractNum>
  <w:abstractNum w:abstractNumId="13">
    <w:nsid w:val="4F38F265"/>
    <w:multiLevelType w:val="hybridMultilevel"/>
    <w:lvl w:ilvl="0">
      <w:lvlJc w:val="left"/>
      <w:lvlText w:val="•"/>
      <w:numFmt w:val="bullet"/>
      <w:start w:val="1"/>
    </w:lvl>
  </w:abstractNum>
  <w:abstractNum w:abstractNumId="14">
    <w:nsid w:val="4C502870"/>
    <w:multiLevelType w:val="hybridMultilevel"/>
    <w:lvl w:ilvl="0">
      <w:lvlJc w:val="left"/>
      <w:lvlText w:val="•"/>
      <w:numFmt w:val="bullet"/>
      <w:start w:val="1"/>
    </w:lvl>
  </w:abstractNum>
  <w:abstractNum w:abstractNumId="15">
    <w:nsid w:val="1DE8725A"/>
    <w:multiLevelType w:val="hybridMultilevel"/>
    <w:lvl w:ilvl="0">
      <w:lvlJc w:val="left"/>
      <w:lvlText w:val="•"/>
      <w:numFmt w:val="bullet"/>
      <w:start w:val="1"/>
    </w:lvl>
  </w:abstractNum>
  <w:abstractNum w:abstractNumId="16">
    <w:nsid w:val="6A37288A"/>
    <w:multiLevelType w:val="hybridMultilevel"/>
    <w:lvl w:ilvl="0">
      <w:lvlJc w:val="left"/>
      <w:lvlText w:val="•"/>
      <w:numFmt w:val="bullet"/>
      <w:start w:val="1"/>
    </w:lvl>
  </w:abstractNum>
  <w:abstractNum w:abstractNumId="17">
    <w:nsid w:val="8F8B73F"/>
    <w:multiLevelType w:val="hybridMultilevel"/>
    <w:lvl w:ilvl="0">
      <w:lvlJc w:val="left"/>
      <w:lvlText w:val="•"/>
      <w:numFmt w:val="bullet"/>
      <w:start w:val="1"/>
    </w:lvl>
  </w:abstractNum>
  <w:abstractNum w:abstractNumId="18">
    <w:nsid w:val="CA6B462"/>
    <w:multiLevelType w:val="hybridMultilevel"/>
    <w:lvl w:ilvl="0">
      <w:lvlJc w:val="left"/>
      <w:lvlText w:val="•"/>
      <w:numFmt w:val="bullet"/>
      <w:start w:val="1"/>
    </w:lvl>
  </w:abstractNum>
  <w:abstractNum w:abstractNumId="19">
    <w:nsid w:val="763CB680"/>
    <w:multiLevelType w:val="hybridMultilevel"/>
    <w:lvl w:ilvl="0">
      <w:lvlJc w:val="left"/>
      <w:lvlText w:val="(%1)"/>
      <w:numFmt w:val="decimal"/>
      <w:start w:val="1"/>
    </w:lvl>
  </w:abstractNum>
  <w:abstractNum w:abstractNumId="20">
    <w:nsid w:val="15B71329"/>
    <w:multiLevelType w:val="hybridMultilevel"/>
    <w:lvl w:ilvl="0">
      <w:lvlJc w:val="left"/>
      <w:lvlText w:val="(%1)"/>
      <w:numFmt w:val="decimal"/>
      <w:start w:val="1"/>
    </w:lvl>
  </w:abstractNum>
  <w:abstractNum w:abstractNumId="21">
    <w:nsid w:val="3DA97044"/>
    <w:multiLevelType w:val="hybridMultilevel"/>
    <w:lvl w:ilvl="0">
      <w:lvlJc w:val="left"/>
      <w:lvlText w:val="(%1)"/>
      <w:numFmt w:val="decimal"/>
      <w:start w:val="1"/>
    </w:lvl>
  </w:abstractNum>
  <w:abstractNum w:abstractNumId="22">
    <w:nsid w:val="1CDCE2DE"/>
    <w:multiLevelType w:val="hybridMultilevel"/>
    <w:lvl w:ilvl="0">
      <w:lvlJc w:val="left"/>
      <w:lvlText w:val="(%1)"/>
      <w:numFmt w:val="decimal"/>
      <w:start w:val="1"/>
    </w:lvl>
  </w:abstractNum>
  <w:abstractNum w:abstractNumId="23">
    <w:nsid w:val="69D3947C"/>
    <w:multiLevelType w:val="hybridMultilevel"/>
    <w:lvl w:ilvl="0">
      <w:lvlJc w:val="left"/>
      <w:lvlText w:val="(%1)"/>
      <w:numFmt w:val="decimal"/>
      <w:start w:val="1"/>
    </w:lvl>
  </w:abstractNum>
  <w:abstractNum w:abstractNumId="24">
    <w:nsid w:val="2539DFA5"/>
    <w:multiLevelType w:val="hybridMultilevel"/>
    <w:lvl w:ilvl="0">
      <w:lvlJc w:val="left"/>
      <w:lvlText w:val="(%1)"/>
      <w:numFmt w:val="decimal"/>
      <w:start w:val="1"/>
    </w:lvl>
  </w:abstractNum>
  <w:abstractNum w:abstractNumId="25">
    <w:nsid w:val="2DB88089"/>
    <w:multiLevelType w:val="hybridMultilevel"/>
    <w:lvl w:ilvl="0">
      <w:lvlJc w:val="left"/>
      <w:lvlText w:val="•"/>
      <w:numFmt w:val="bullet"/>
      <w:start w:val="1"/>
    </w:lvl>
  </w:abstractNum>
  <w:abstractNum w:abstractNumId="26">
    <w:nsid w:val="706B674E"/>
    <w:multiLevelType w:val="hybridMultilevel"/>
    <w:lvl w:ilvl="0">
      <w:lvlJc w:val="left"/>
      <w:lvlText w:val="(%1)"/>
      <w:numFmt w:val="decimal"/>
      <w:start w:val="1"/>
    </w:lvl>
  </w:abstractNum>
  <w:abstractNum w:abstractNumId="27">
    <w:nsid w:val="2C106A57"/>
    <w:multiLevelType w:val="hybridMultilevel"/>
    <w:lvl w:ilvl="0">
      <w:lvlJc w:val="left"/>
      <w:lvlText w:val="(%1)"/>
      <w:numFmt w:val="decimal"/>
      <w:start w:val="1"/>
    </w:lvl>
  </w:abstractNum>
  <w:abstractNum w:abstractNumId="28">
    <w:nsid w:val="684EED59"/>
    <w:multiLevelType w:val="hybridMultilevel"/>
    <w:lvl w:ilvl="0">
      <w:lvlJc w:val="left"/>
      <w:lvlText w:val="(%1)"/>
      <w:numFmt w:val="decimal"/>
      <w:start w:val="1"/>
    </w:lvl>
  </w:abstractNum>
  <w:abstractNum w:abstractNumId="29">
    <w:nsid w:val="545EE5D3"/>
    <w:multiLevelType w:val="hybridMultilevel"/>
    <w:lvl w:ilvl="0">
      <w:lvlJc w:val="left"/>
      <w:lvlText w:val="(%1)"/>
      <w:numFmt w:val="decimal"/>
      <w:start w:val="1"/>
    </w:lvl>
  </w:abstractNum>
  <w:abstractNum w:abstractNumId="30">
    <w:nsid w:val="4A66051"/>
    <w:multiLevelType w:val="hybridMultilevel"/>
    <w:lvl w:ilvl="0">
      <w:lvlJc w:val="left"/>
      <w:lvlText w:val="(%1)"/>
      <w:numFmt w:val="decimal"/>
      <w:start w:val="1"/>
    </w:lvl>
  </w:abstractNum>
  <w:abstractNum w:abstractNumId="31">
    <w:nsid w:val="20F4BDAD"/>
    <w:multiLevelType w:val="hybridMultilevel"/>
    <w:lvl w:ilvl="0">
      <w:lvlJc w:val="left"/>
      <w:lvlText w:val="(%1)"/>
      <w:numFmt w:val="decimal"/>
      <w:start w:val="1"/>
    </w:lvl>
  </w:abstractNum>
  <w:abstractNum w:abstractNumId="32">
    <w:nsid w:val="639DEFAC"/>
    <w:multiLevelType w:val="hybridMultilevel"/>
    <w:lvl w:ilvl="0">
      <w:lvlJc w:val="left"/>
      <w:lvlText w:val="(%1)"/>
      <w:numFmt w:val="decimal"/>
      <w:start w:val="1"/>
    </w:lvl>
  </w:abstractNum>
  <w:abstractNum w:abstractNumId="33">
    <w:nsid w:val="501F9786"/>
    <w:multiLevelType w:val="hybridMultilevel"/>
    <w:lvl w:ilvl="0">
      <w:lvlJc w:val="left"/>
      <w:lvlText w:val="(%1)"/>
      <w:numFmt w:val="decimal"/>
      <w:start w:val="1"/>
    </w:lvl>
  </w:abstractNum>
  <w:abstractNum w:abstractNumId="34">
    <w:nsid w:val="6B057295"/>
    <w:multiLevelType w:val="hybridMultilevel"/>
    <w:lvl w:ilvl="0">
      <w:lvlJc w:val="left"/>
      <w:lvlText w:val="(%1)"/>
      <w:numFmt w:val="decimal"/>
      <w:start w:val="1"/>
    </w:lvl>
  </w:abstractNum>
  <w:abstractNum w:abstractNumId="35">
    <w:nsid w:val="2771AC80"/>
    <w:multiLevelType w:val="hybridMultilevel"/>
    <w:lvl w:ilvl="0">
      <w:lvlJc w:val="left"/>
      <w:lvlText w:val="(%1)"/>
      <w:numFmt w:val="decimal"/>
      <w:start w:val="1"/>
    </w:lvl>
  </w:abstractNum>
  <w:abstractNum w:abstractNumId="36">
    <w:nsid w:val="1C4A08EC"/>
    <w:multiLevelType w:val="hybridMultilevel"/>
    <w:lvl w:ilvl="0">
      <w:lvlJc w:val="left"/>
      <w:lvlText w:val="•"/>
      <w:numFmt w:val="bullet"/>
      <w:start w:val="1"/>
    </w:lvl>
  </w:abstractNum>
  <w:abstractNum w:abstractNumId="37">
    <w:nsid w:val="1958BD17"/>
    <w:multiLevelType w:val="hybridMultilevel"/>
    <w:lvl w:ilvl="0">
      <w:lvlJc w:val="left"/>
      <w:lvlText w:val="•"/>
      <w:numFmt w:val="bullet"/>
      <w:start w:val="1"/>
    </w:lvl>
  </w:abstractNum>
  <w:abstractNum w:abstractNumId="38">
    <w:nsid w:val="4E647FE4"/>
    <w:multiLevelType w:val="hybridMultilevel"/>
    <w:lvl w:ilvl="0">
      <w:lvlJc w:val="left"/>
      <w:lvlText w:val="•"/>
      <w:numFmt w:val="bullet"/>
      <w:start w:val="1"/>
    </w:lvl>
    <w:lvl w:ilvl="1">
      <w:lvlJc w:val="left"/>
      <w:lvlText w:val="•"/>
      <w:numFmt w:val="bullet"/>
      <w:start w:val="1"/>
    </w:lvl>
  </w:abstractNum>
  <w:abstractNum w:abstractNumId="39">
    <w:nsid w:val="E0BB885"/>
    <w:multiLevelType w:val="hybridMultilevel"/>
    <w:lvl w:ilvl="0">
      <w:lvlJc w:val="left"/>
      <w:lvlText w:val="%1."/>
      <w:numFmt w:val="decimal"/>
      <w:start w:val="1"/>
    </w:lvl>
    <w:lvl w:ilvl="1">
      <w:lvlJc w:val="left"/>
      <w:lvlText w:val="•"/>
      <w:numFmt w:val="bullet"/>
      <w:start w:val="1"/>
    </w:lvl>
  </w:abstractNum>
  <w:abstractNum w:abstractNumId="40">
    <w:nsid w:val="565976F1"/>
    <w:multiLevelType w:val="hybridMultilevel"/>
    <w:lvl w:ilvl="0">
      <w:lvlJc w:val="left"/>
      <w:lvlText w:val="%1."/>
      <w:numFmt w:val="decimal"/>
      <w:start w:val="2"/>
    </w:lvl>
  </w:abstractNum>
  <w:abstractNum w:abstractNumId="41">
    <w:nsid w:val="64212B8C"/>
    <w:multiLevelType w:val="hybridMultilevel"/>
    <w:lvl w:ilvl="0">
      <w:lvlJc w:val="left"/>
      <w:lvlText w:val="%1."/>
      <w:numFmt w:val="decimal"/>
      <w:start w:val="2"/>
    </w:lvl>
  </w:abstractNum>
  <w:abstractNum w:abstractNumId="42">
    <w:nsid w:val="5C17530C"/>
    <w:multiLevelType w:val="hybridMultilevel"/>
    <w:lvl w:ilvl="0">
      <w:lvlJc w:val="left"/>
      <w:lvlText w:val="%1."/>
      <w:numFmt w:val="decimal"/>
      <w:start w:val="2"/>
    </w:lvl>
  </w:abstractNum>
  <w:abstractNum w:abstractNumId="43">
    <w:nsid w:val="19A52566"/>
    <w:multiLevelType w:val="hybridMultilevel"/>
    <w:lvl w:ilvl="0">
      <w:lvlJc w:val="left"/>
      <w:lvlText w:val="%1."/>
      <w:numFmt w:val="decimal"/>
      <w:start w:val="2"/>
    </w:lvl>
  </w:abstractNum>
  <w:abstractNum w:abstractNumId="44">
    <w:nsid w:val="335A1DF1"/>
    <w:multiLevelType w:val="hybridMultilevel"/>
    <w:lvl w:ilvl="0">
      <w:lvlJc w:val="left"/>
      <w:lvlText w:val="%1."/>
      <w:numFmt w:val="decimal"/>
      <w:start w:val="3"/>
    </w:lvl>
  </w:abstractNum>
  <w:abstractNum w:abstractNumId="45">
    <w:nsid w:val="28677B7C"/>
    <w:multiLevelType w:val="hybridMultilevel"/>
    <w:lvl w:ilvl="0">
      <w:lvlJc w:val="left"/>
      <w:lvlText w:val="(%1)"/>
      <w:numFmt w:val="decimal"/>
      <w:start w:val="3"/>
    </w:lvl>
  </w:abstractNum>
  <w:abstractNum w:abstractNumId="46">
    <w:nsid w:val="378D97C0"/>
    <w:multiLevelType w:val="hybridMultilevel"/>
    <w:lvl w:ilvl="0">
      <w:lvlJc w:val="left"/>
      <w:lvlText w:val="%1."/>
      <w:numFmt w:val="decimal"/>
      <w:start w:val="4"/>
    </w:lvl>
  </w:abstractNum>
  <w:abstractNum w:abstractNumId="47">
    <w:nsid w:val="1D91467C"/>
    <w:multiLevelType w:val="hybridMultilevel"/>
    <w:lvl w:ilvl="0">
      <w:lvlJc w:val="left"/>
      <w:lvlText w:val="%1."/>
      <w:numFmt w:val="decimal"/>
      <w:start w:val="4"/>
    </w:lvl>
  </w:abstractNum>
  <w:abstractNum w:abstractNumId="48">
    <w:nsid w:val="316032BB"/>
    <w:multiLevelType w:val="hybridMultilevel"/>
    <w:lvl w:ilvl="0">
      <w:lvlJc w:val="left"/>
      <w:lvlText w:val="%1."/>
      <w:numFmt w:val="decimal"/>
      <w:start w:val="4"/>
    </w:lvl>
  </w:abstractNum>
  <w:abstractNum w:abstractNumId="49">
    <w:nsid w:val="44344C22"/>
    <w:multiLevelType w:val="hybridMultilevel"/>
    <w:lvl w:ilvl="0">
      <w:lvlJc w:val="left"/>
      <w:lvlText w:val="(%1)"/>
      <w:numFmt w:val="decimal"/>
      <w:start w:val="1"/>
    </w:lvl>
  </w:abstractNum>
  <w:abstractNum w:abstractNumId="50">
    <w:nsid w:val="13CDFCFC"/>
    <w:multiLevelType w:val="hybridMultilevel"/>
    <w:lvl w:ilvl="0">
      <w:lvlJc w:val="left"/>
      <w:lvlText w:val="(%1)"/>
      <w:numFmt w:val="decimal"/>
      <w:start w:val="1"/>
    </w:lvl>
  </w:abstractNum>
  <w:abstractNum w:abstractNumId="51">
    <w:nsid w:val="471745E4"/>
    <w:multiLevelType w:val="hybridMultilevel"/>
    <w:lvl w:ilvl="0">
      <w:lvlJc w:val="left"/>
      <w:lvlText w:val="%1."/>
      <w:numFmt w:val="decimal"/>
      <w:start w:val="4"/>
    </w:lvl>
  </w:abstractNum>
  <w:abstractNum w:abstractNumId="52">
    <w:nsid w:val="1DDBC66"/>
    <w:multiLevelType w:val="hybridMultilevel"/>
    <w:lvl w:ilvl="0">
      <w:lvlJc w:val="left"/>
      <w:lvlText w:val="(%1)"/>
      <w:numFmt w:val="decimal"/>
      <w:start w:val="1"/>
    </w:lvl>
  </w:abstractNum>
  <w:abstractNum w:abstractNumId="53">
    <w:nsid w:val="30AADFDA"/>
    <w:multiLevelType w:val="hybridMultilevel"/>
    <w:lvl w:ilvl="0">
      <w:lvlJc w:val="left"/>
      <w:lvlText w:val="%1."/>
      <w:numFmt w:val="decimal"/>
      <w:start w:val="6"/>
    </w:lvl>
  </w:abstractNum>
  <w:abstractNum w:abstractNumId="54">
    <w:nsid w:val="30EADA61"/>
    <w:multiLevelType w:val="hybridMultilevel"/>
    <w:lvl w:ilvl="0">
      <w:lvlJc w:val="left"/>
      <w:lvlText w:val="%1."/>
      <w:numFmt w:val="decimal"/>
      <w:start w:val="8"/>
    </w:lvl>
  </w:abstractNum>
  <w:abstractNum w:abstractNumId="55">
    <w:nsid w:val="27179C0B"/>
    <w:multiLevelType w:val="hybridMultilevel"/>
    <w:lvl w:ilvl="0">
      <w:lvlJc w:val="left"/>
      <w:lvlText w:val="%1."/>
      <w:numFmt w:val="decimal"/>
      <w:start w:val="9"/>
    </w:lvl>
  </w:abstractNum>
  <w:abstractNum w:abstractNumId="56">
    <w:nsid w:val="5E636063"/>
    <w:multiLevelType w:val="hybridMultilevel"/>
    <w:lvl w:ilvl="0">
      <w:lvlJc w:val="left"/>
      <w:lvlText w:val="(%1)"/>
      <w:numFmt w:val="decimal"/>
      <w:start w:val="1"/>
    </w:lvl>
  </w:abstractNum>
  <w:abstractNum w:abstractNumId="57">
    <w:nsid w:val="215641AF"/>
    <w:multiLevelType w:val="hybridMultilevel"/>
    <w:lvl w:ilvl="0">
      <w:lvlJc w:val="left"/>
      <w:lvlText w:val="%1"/>
      <w:numFmt w:val="decimal"/>
      <w:start w:val="1"/>
    </w:lvl>
    <w:lvl w:ilvl="1">
      <w:lvlJc w:val="left"/>
      <w:lvlText w:val="(%2)"/>
      <w:numFmt w:val="decimal"/>
      <w:start w:val="1"/>
    </w:lvl>
  </w:abstractNum>
  <w:abstractNum w:abstractNumId="58">
    <w:nsid w:val="53280662"/>
    <w:multiLevelType w:val="hybridMultilevel"/>
    <w:lvl w:ilvl="0">
      <w:lvlJc w:val="left"/>
      <w:lvlText w:val="%1."/>
      <w:numFmt w:val="decimal"/>
      <w:start w:val="10"/>
    </w:lvl>
    <w:lvl w:ilvl="1">
      <w:lvlJc w:val="left"/>
      <w:lvlText w:val="%2"/>
      <w:numFmt w:val="decimal"/>
      <w:start w:val="1"/>
    </w:lvl>
  </w:abstractNum>
  <w:abstractNum w:abstractNumId="59">
    <w:nsid w:val="46B24DBC"/>
    <w:multiLevelType w:val="hybridMultilevel"/>
    <w:lvl w:ilvl="0">
      <w:lvlJc w:val="left"/>
      <w:lvlText w:val="(%1)"/>
      <w:numFmt w:val="decimal"/>
      <w:start w:val="1"/>
    </w:lvl>
  </w:abstractNum>
  <w:abstractNum w:abstractNumId="60">
    <w:nsid w:val="75B52783"/>
    <w:multiLevelType w:val="hybridMultilevel"/>
    <w:lvl w:ilvl="0">
      <w:lvlJc w:val="left"/>
      <w:lvlText w:val="%1."/>
      <w:numFmt w:val="decimal"/>
      <w:start w:val="10"/>
    </w:lvl>
  </w:abstractNum>
  <w:abstractNum w:abstractNumId="61">
    <w:nsid w:val="57CE66B4"/>
    <w:multiLevelType w:val="hybridMultilevel"/>
    <w:lvl w:ilvl="0">
      <w:lvlJc w:val="left"/>
      <w:lvlText w:val="%1."/>
      <w:numFmt w:val="decimal"/>
      <w:start w:val="11"/>
    </w:lvl>
  </w:abstractNum>
  <w:abstractNum w:abstractNumId="62">
    <w:nsid w:val="67A70B69"/>
    <w:multiLevelType w:val="hybridMultilevel"/>
    <w:lvl w:ilvl="0">
      <w:lvlJc w:val="left"/>
      <w:lvlText w:val="%1."/>
      <w:numFmt w:val="decimal"/>
      <w:start w:val="11"/>
    </w:lvl>
  </w:abstractNum>
  <w:abstractNum w:abstractNumId="63">
    <w:nsid w:val="5953172F"/>
    <w:multiLevelType w:val="hybridMultilevel"/>
    <w:lvl w:ilvl="0">
      <w:lvlJc w:val="left"/>
      <w:lvlText w:val="(%1)"/>
      <w:numFmt w:val="decimal"/>
      <w:start w:val="1"/>
    </w:lvl>
  </w:abstractNum>
  <w:abstractNum w:abstractNumId="64">
    <w:nsid w:val="27EDFE3A"/>
    <w:multiLevelType w:val="hybridMultilevel"/>
    <w:lvl w:ilvl="0">
      <w:lvlJc w:val="left"/>
      <w:lvlText w:val="%1."/>
      <w:numFmt w:val="decimal"/>
      <w:start w:val="12"/>
    </w:lvl>
  </w:abstractNum>
  <w:abstractNum w:abstractNumId="65">
    <w:nsid w:val="52AC7DFF"/>
    <w:multiLevelType w:val="hybridMultilevel"/>
    <w:lvl w:ilvl="0">
      <w:lvlJc w:val="left"/>
      <w:lvlText w:val="•"/>
      <w:numFmt w:val="bullet"/>
      <w:start w:val="1"/>
    </w:lvl>
  </w:abstractNum>
  <w:abstractNum w:abstractNumId="66">
    <w:nsid w:val="C4C3AF"/>
    <w:multiLevelType w:val="hybridMultilevel"/>
    <w:lvl w:ilvl="0">
      <w:lvlJc w:val="left"/>
      <w:lvlText w:val="%1."/>
      <w:numFmt w:val="decimal"/>
      <w:start w:val="12"/>
    </w:lvl>
  </w:abstractNum>
  <w:abstractNum w:abstractNumId="67">
    <w:nsid w:val="44380727"/>
    <w:multiLevelType w:val="hybridMultilevel"/>
    <w:lvl w:ilvl="0">
      <w:lvlJc w:val="left"/>
      <w:lvlText w:val="%1."/>
      <w:numFmt w:val="decimal"/>
      <w:start w:val="12"/>
    </w:lvl>
  </w:abstractNum>
  <w:abstractNum w:abstractNumId="68">
    <w:nsid w:val="6C053B16"/>
    <w:multiLevelType w:val="hybridMultilevel"/>
    <w:lvl w:ilvl="0">
      <w:lvlJc w:val="left"/>
      <w:lvlText w:val="%1."/>
      <w:numFmt w:val="decimal"/>
      <w:start w:val="13"/>
    </w:lvl>
  </w:abstractNum>
  <w:abstractNum w:abstractNumId="69">
    <w:nsid w:val="4F294393"/>
    <w:multiLevelType w:val="hybridMultilevel"/>
    <w:lvl w:ilvl="0">
      <w:lvlJc w:val="left"/>
      <w:lvlText w:val="(%1)"/>
      <w:numFmt w:val="decimal"/>
      <w:start w:val="1"/>
    </w:lvl>
  </w:abstractNum>
  <w:abstractNum w:abstractNumId="70">
    <w:nsid w:val="5243BFAC"/>
    <w:multiLevelType w:val="hybridMultilevel"/>
    <w:lvl w:ilvl="0">
      <w:lvlJc w:val="left"/>
      <w:lvlText w:val="%1."/>
      <w:numFmt w:val="decimal"/>
      <w:start w:val="13"/>
    </w:lvl>
  </w:abstractNum>
  <w:abstractNum w:abstractNumId="71">
    <w:nsid w:val="425EB207"/>
    <w:multiLevelType w:val="hybridMultilevel"/>
    <w:lvl w:ilvl="0">
      <w:lvlJc w:val="left"/>
      <w:lvlText w:val="(%1)"/>
      <w:numFmt w:val="decimal"/>
      <w:start w:val="1"/>
    </w:lvl>
  </w:abstractNum>
  <w:abstractNum w:abstractNumId="72">
    <w:nsid w:val="334A6F1F"/>
    <w:multiLevelType w:val="hybridMultilevel"/>
    <w:lvl w:ilvl="0">
      <w:lvlJc w:val="left"/>
      <w:lvlText w:val="%1."/>
      <w:numFmt w:val="decimal"/>
      <w:start w:val="14"/>
    </w:lvl>
  </w:abstractNum>
  <w:abstractNum w:abstractNumId="73">
    <w:nsid w:val="2E5B12B8"/>
    <w:multiLevelType w:val="hybridMultilevel"/>
    <w:lvl w:ilvl="0">
      <w:lvlJc w:val="left"/>
      <w:lvlText w:val="%1."/>
      <w:numFmt w:val="decimal"/>
      <w:start w:val="15"/>
    </w:lvl>
  </w:abstractNum>
  <w:abstractNum w:abstractNumId="74">
    <w:nsid w:val="5C03D76D"/>
    <w:multiLevelType w:val="hybridMultilevel"/>
    <w:lvl w:ilvl="0">
      <w:lvlJc w:val="left"/>
      <w:lvlText w:val="%1."/>
      <w:numFmt w:val="decimal"/>
      <w:start w:val="15"/>
    </w:lvl>
  </w:abstractNum>
  <w:abstractNum w:abstractNumId="75">
    <w:nsid w:val="66A48D11"/>
    <w:multiLevelType w:val="hybridMultilevel"/>
    <w:lvl w:ilvl="0">
      <w:lvlJc w:val="left"/>
      <w:lvlText w:val="(%1)"/>
      <w:numFmt w:val="decimal"/>
      <w:start w:val="1"/>
    </w:lvl>
  </w:abstractNum>
  <w:abstractNum w:abstractNumId="76">
    <w:nsid w:val="56C28E34"/>
    <w:multiLevelType w:val="hybridMultilevel"/>
    <w:lvl w:ilvl="0">
      <w:lvlJc w:val="left"/>
      <w:lvlText w:val="%1."/>
      <w:numFmt w:val="decimal"/>
      <w:start w:val="15"/>
    </w:lvl>
  </w:abstractNum>
  <w:abstractNum w:abstractNumId="77">
    <w:nsid w:val="13916F2D"/>
    <w:multiLevelType w:val="hybridMultilevel"/>
    <w:lvl w:ilvl="0">
      <w:lvlJc w:val="left"/>
      <w:lvlText w:val="(%1)"/>
      <w:numFmt w:val="decimal"/>
      <w:start w:val="1"/>
    </w:lvl>
  </w:abstractNum>
  <w:abstractNum w:abstractNumId="78">
    <w:nsid w:val="435D38D"/>
    <w:multiLevelType w:val="hybridMultilevel"/>
    <w:lvl w:ilvl="0">
      <w:lvlJc w:val="left"/>
      <w:lvlText w:val="(%1)"/>
      <w:numFmt w:val="decimal"/>
      <w:start w:val="5"/>
    </w:lvl>
  </w:abstractNum>
  <w:abstractNum w:abstractNumId="79">
    <w:nsid w:val="822C0EF"/>
    <w:multiLevelType w:val="hybridMultilevel"/>
    <w:lvl w:ilvl="0">
      <w:lvlJc w:val="left"/>
      <w:lvlText w:val="%1."/>
      <w:numFmt w:val="decimal"/>
      <w:start w:val="15"/>
    </w:lvl>
  </w:abstractNum>
  <w:abstractNum w:abstractNumId="80">
    <w:nsid w:val="57C5BB4F"/>
    <w:multiLevelType w:val="hybridMultilevel"/>
    <w:lvl w:ilvl="0">
      <w:lvlJc w:val="left"/>
      <w:lvlText w:val="(%1)"/>
      <w:numFmt w:val="decimal"/>
      <w:start w:val="1"/>
    </w:lvl>
  </w:abstractNum>
  <w:abstractNum w:abstractNumId="81">
    <w:nsid w:val="1803D089"/>
    <w:multiLevelType w:val="hybridMultilevel"/>
    <w:lvl w:ilvl="0">
      <w:lvlJc w:val="left"/>
      <w:lvlText w:val="(%1)"/>
      <w:numFmt w:val="decimal"/>
      <w:start w:val="1"/>
    </w:lvl>
  </w:abstractNum>
  <w:abstractNum w:abstractNumId="82">
    <w:nsid w:val="4F3A06D4"/>
    <w:multiLevelType w:val="hybridMultilevel"/>
    <w:lvl w:ilvl="0">
      <w:lvlJc w:val="left"/>
      <w:lvlText w:val="%1."/>
      <w:numFmt w:val="decimal"/>
      <w:start w:val="19"/>
    </w:lvl>
  </w:abstractNum>
  <w:abstractNum w:abstractNumId="83">
    <w:nsid w:val="59A377B6"/>
    <w:multiLevelType w:val="hybridMultilevel"/>
    <w:lvl w:ilvl="0">
      <w:lvlJc w:val="left"/>
      <w:lvlText w:val="%1."/>
      <w:numFmt w:val="decimal"/>
      <w:start w:val="19"/>
    </w:lvl>
  </w:abstractNum>
  <w:abstractNum w:abstractNumId="84">
    <w:nsid w:val="48AEB063"/>
    <w:multiLevelType w:val="hybridMultilevel"/>
    <w:lvl w:ilvl="0">
      <w:lvlJc w:val="left"/>
      <w:lvlText w:val="(%1)"/>
      <w:numFmt w:val="decimal"/>
      <w:start w:val="1"/>
    </w:lvl>
  </w:abstractNum>
  <w:abstractNum w:abstractNumId="85">
    <w:nsid w:val="24E135"/>
    <w:multiLevelType w:val="hybridMultilevel"/>
    <w:lvl w:ilvl="0">
      <w:lvlJc w:val="left"/>
      <w:lvlText w:val="%1."/>
      <w:numFmt w:val="decimal"/>
      <w:start w:val="21"/>
    </w:lvl>
  </w:abstractNum>
  <w:abstractNum w:abstractNumId="86">
    <w:nsid w:val="BB13C1"/>
    <w:multiLevelType w:val="hybridMultilevel"/>
    <w:lvl w:ilvl="0">
      <w:lvlJc w:val="left"/>
      <w:lvlText w:val="%1."/>
      <w:numFmt w:val="decimal"/>
      <w:start w:val="21"/>
    </w:lvl>
  </w:abstractNum>
  <w:abstractNum w:abstractNumId="87">
    <w:nsid w:val="271210C7"/>
    <w:multiLevelType w:val="hybridMultilevel"/>
    <w:lvl w:ilvl="0">
      <w:lvlJc w:val="left"/>
      <w:lvlText w:val="%1."/>
      <w:numFmt w:val="decimal"/>
      <w:start w:val="22"/>
    </w:lvl>
  </w:abstractNum>
  <w:abstractNum w:abstractNumId="88">
    <w:nsid w:val="217B22E4"/>
    <w:multiLevelType w:val="hybridMultilevel"/>
    <w:lvl w:ilvl="0">
      <w:lvlJc w:val="left"/>
      <w:lvlText w:val="%1."/>
      <w:numFmt w:val="decimal"/>
      <w:start w:val="22"/>
    </w:lvl>
  </w:abstractNum>
  <w:abstractNum w:abstractNumId="89">
    <w:nsid w:val="53E31A24"/>
    <w:multiLevelType w:val="hybridMultilevel"/>
    <w:lvl w:ilvl="0">
      <w:lvlJc w:val="left"/>
      <w:lvlText w:val="(%1)"/>
      <w:numFmt w:val="decimal"/>
      <w:start w:val="1"/>
    </w:lvl>
  </w:abstractNum>
  <w:abstractNum w:abstractNumId="90">
    <w:nsid w:val="6DC45E83"/>
    <w:multiLevelType w:val="hybridMultilevel"/>
    <w:lvl w:ilvl="0">
      <w:lvlJc w:val="left"/>
      <w:lvlText w:val="(%1)"/>
      <w:numFmt w:val="decimal"/>
      <w:start w:val="1"/>
    </w:lvl>
  </w:abstractNum>
  <w:abstractNum w:abstractNumId="91">
    <w:nsid w:val="17304A67"/>
    <w:multiLevelType w:val="hybridMultilevel"/>
    <w:lvl w:ilvl="0">
      <w:lvlJc w:val="left"/>
      <w:lvlText w:val="%1."/>
      <w:numFmt w:val="decimal"/>
      <w:start w:val="1"/>
    </w:lvl>
  </w:abstractNum>
  <w:abstractNum w:abstractNumId="92">
    <w:nsid w:val="2BB180D8"/>
    <w:multiLevelType w:val="hybridMultilevel"/>
    <w:lvl w:ilvl="0">
      <w:lvlJc w:val="left"/>
      <w:lvlText w:val="(%1)"/>
      <w:numFmt w:val="decimal"/>
      <w:start w:val="1"/>
    </w:lvl>
  </w:abstractNum>
  <w:abstractNum w:abstractNumId="93">
    <w:nsid w:val="556B69ED"/>
    <w:multiLevelType w:val="hybridMultilevel"/>
    <w:lvl w:ilvl="0">
      <w:lvlJc w:val="left"/>
      <w:lvlText w:val="*"/>
      <w:numFmt w:val="bullet"/>
      <w:start w:val="1"/>
    </w:lvl>
  </w:abstractNum>
  <w:abstractNum w:abstractNumId="94">
    <w:nsid w:val="70836196"/>
    <w:multiLevelType w:val="hybridMultilevel"/>
    <w:lvl w:ilvl="0">
      <w:lvlJc w:val="left"/>
      <w:lvlText w:val="*"/>
      <w:numFmt w:val="bullet"/>
      <w:start w:val="1"/>
    </w:lvl>
  </w:abstractNum>
  <w:abstractNum w:abstractNumId="95">
    <w:nsid w:val="539F7F12"/>
    <w:multiLevelType w:val="hybridMultilevel"/>
    <w:lvl w:ilvl="0">
      <w:lvlJc w:val="left"/>
      <w:lvlText w:val="*"/>
      <w:numFmt w:val="bullet"/>
      <w:start w:val="1"/>
    </w:lvl>
  </w:abstractNum>
  <w:abstractNum w:abstractNumId="96">
    <w:nsid w:val="2817E7EC"/>
    <w:multiLevelType w:val="hybridMultilevel"/>
    <w:lvl w:ilvl="0">
      <w:lvlJc w:val="left"/>
      <w:lvlText w:val="**"/>
      <w:numFmt w:val="bullet"/>
      <w:start w:val="1"/>
    </w:lvl>
  </w:abstractNum>
  <w:abstractNum w:abstractNumId="97">
    <w:nsid w:val="71482545"/>
    <w:multiLevelType w:val="hybridMultilevel"/>
    <w:lvl w:ilvl="0">
      <w:lvlJc w:val="left"/>
      <w:lvlText w:val="***"/>
      <w:numFmt w:val="bullet"/>
      <w:start w:val="1"/>
    </w:lvl>
  </w:abstractNum>
  <w:abstractNum w:abstractNumId="98">
    <w:nsid w:val="17D78639"/>
    <w:multiLevelType w:val="hybridMultilevel"/>
    <w:lvl w:ilvl="0">
      <w:lvlJc w:val="left"/>
      <w:lvlText w:val="*"/>
      <w:numFmt w:val="bullet"/>
      <w:start w:val="1"/>
    </w:lvl>
  </w:abstractNum>
  <w:abstractNum w:abstractNumId="99">
    <w:nsid w:val="141D2302"/>
    <w:multiLevelType w:val="hybridMultilevel"/>
    <w:lvl w:ilvl="0">
      <w:lvlJc w:val="left"/>
      <w:lvlText w:val="**"/>
      <w:numFmt w:val="bullet"/>
      <w:start w:val="1"/>
    </w:lvl>
  </w:abstractNum>
  <w:abstractNum w:abstractNumId="100">
    <w:nsid w:val="407168D8"/>
    <w:multiLevelType w:val="hybridMultilevel"/>
    <w:lvl w:ilvl="0">
      <w:lvlJc w:val="left"/>
      <w:lvlText w:val="*"/>
      <w:numFmt w:val="bullet"/>
      <w:start w:val="1"/>
    </w:lvl>
  </w:abstractNum>
  <w:abstractNum w:abstractNumId="101">
    <w:nsid w:val="6A1B45E5"/>
    <w:multiLevelType w:val="hybridMultilevel"/>
    <w:lvl w:ilvl="0">
      <w:lvlJc w:val="left"/>
      <w:lvlText w:val="**"/>
      <w:numFmt w:val="bullet"/>
      <w:start w:val="1"/>
    </w:lvl>
  </w:abstractNum>
  <w:abstractNum w:abstractNumId="102">
    <w:nsid w:val="567BD50A"/>
    <w:multiLevelType w:val="hybridMultilevel"/>
    <w:lvl w:ilvl="0">
      <w:lvlJc w:val="left"/>
      <w:lvlText w:val="***"/>
      <w:numFmt w:val="bullet"/>
      <w:start w:val="1"/>
    </w:lvl>
  </w:abstractNum>
  <w:abstractNum w:abstractNumId="103">
    <w:nsid w:val="73BBD7F8"/>
    <w:multiLevelType w:val="hybridMultilevel"/>
    <w:lvl w:ilvl="0">
      <w:lvlJc w:val="left"/>
      <w:lvlText w:val="*"/>
      <w:numFmt w:val="bullet"/>
      <w:start w:val="1"/>
    </w:lvl>
  </w:abstractNum>
  <w:abstractNum w:abstractNumId="104">
    <w:nsid w:val="1876589D"/>
    <w:multiLevelType w:val="hybridMultilevel"/>
    <w:lvl w:ilvl="0">
      <w:lvlJc w:val="left"/>
      <w:lvlText w:val="**"/>
      <w:numFmt w:val="bullet"/>
      <w:start w:val="1"/>
    </w:lvl>
  </w:abstractNum>
  <w:abstractNum w:abstractNumId="105">
    <w:nsid w:val="327FAC77"/>
    <w:multiLevelType w:val="hybridMultilevel"/>
    <w:lvl w:ilvl="0">
      <w:lvlJc w:val="left"/>
      <w:lvlText w:val="***"/>
      <w:numFmt w:val="bullet"/>
      <w:start w:val="1"/>
    </w:lvl>
  </w:abstractNum>
  <w:abstractNum w:abstractNumId="106">
    <w:nsid w:val="5A606509"/>
    <w:multiLevelType w:val="hybridMultilevel"/>
    <w:lvl w:ilvl="0">
      <w:lvlJc w:val="left"/>
      <w:lvlText w:val="***"/>
      <w:numFmt w:val="bullet"/>
      <w:start w:val="1"/>
    </w:lvl>
  </w:abstractNum>
  <w:abstractNum w:abstractNumId="107">
    <w:nsid w:val="6F38E6D1"/>
    <w:multiLevelType w:val="hybridMultilevel"/>
    <w:lvl w:ilvl="0">
      <w:lvlJc w:val="left"/>
      <w:lvlText w:val="(%1)"/>
      <w:numFmt w:val="lowerLetter"/>
      <w:start w:val="1"/>
    </w:lvl>
  </w:abstractNum>
  <w:abstractNum w:abstractNumId="108">
    <w:nsid w:val="46111BA5"/>
    <w:multiLevelType w:val="hybridMultilevel"/>
    <w:lvl w:ilvl="0">
      <w:lvlJc w:val="left"/>
      <w:lvlText w:val="•"/>
      <w:numFmt w:val="bullet"/>
      <w:start w:val="1"/>
    </w:lvl>
  </w:abstractNum>
  <w:abstractNum w:abstractNumId="109">
    <w:nsid w:val="5E963896"/>
    <w:multiLevelType w:val="hybridMultilevel"/>
    <w:lvl w:ilvl="0">
      <w:lvlJc w:val="left"/>
      <w:lvlText w:val="•"/>
      <w:numFmt w:val="bullet"/>
      <w:start w:val="1"/>
    </w:lvl>
  </w:abstractNum>
  <w:abstractNum w:abstractNumId="110">
    <w:nsid w:val="775BA7C1"/>
    <w:multiLevelType w:val="hybridMultilevel"/>
    <w:lvl w:ilvl="0">
      <w:lvlJc w:val="left"/>
      <w:lvlText w:val="•"/>
      <w:numFmt w:val="bullet"/>
      <w:start w:val="1"/>
    </w:lvl>
  </w:abstractNum>
  <w:abstractNum w:abstractNumId="111">
    <w:nsid w:val="1DD6D6F4"/>
    <w:multiLevelType w:val="hybridMultilevel"/>
    <w:lvl w:ilvl="0">
      <w:lvlJc w:val="left"/>
      <w:lvlText w:val="•"/>
      <w:numFmt w:val="bullet"/>
      <w:start w:val="1"/>
    </w:lvl>
  </w:abstractNum>
  <w:abstractNum w:abstractNumId="112">
    <w:nsid w:val="769A091F"/>
    <w:multiLevelType w:val="hybridMultilevel"/>
    <w:lvl w:ilvl="0">
      <w:lvlJc w:val="left"/>
      <w:lvlText w:val="•"/>
      <w:numFmt w:val="bullet"/>
      <w:start w:val="1"/>
    </w:lvl>
  </w:abstractNum>
  <w:abstractNum w:abstractNumId="113">
    <w:nsid w:val="4695AE95"/>
    <w:multiLevelType w:val="hybridMultilevel"/>
    <w:lvl w:ilvl="0">
      <w:lvlJc w:val="left"/>
      <w:lvlText w:val="•"/>
      <w:numFmt w:val="bullet"/>
      <w:start w:val="1"/>
    </w:lvl>
  </w:abstractNum>
  <w:abstractNum w:abstractNumId="114">
    <w:nsid w:val="777A4EAA"/>
    <w:multiLevelType w:val="hybridMultilevel"/>
    <w:lvl w:ilvl="0">
      <w:lvlJc w:val="left"/>
      <w:lvlText w:val="•"/>
      <w:numFmt w:val="bullet"/>
      <w:start w:val="1"/>
    </w:lvl>
  </w:abstractNum>
  <w:abstractNum w:abstractNumId="115">
    <w:nsid w:val="3F48B982"/>
    <w:multiLevelType w:val="hybridMultilevel"/>
    <w:lvl w:ilvl="0">
      <w:lvlJc w:val="left"/>
      <w:lvlText w:val="•"/>
      <w:numFmt w:val="bullet"/>
      <w:start w:val="1"/>
    </w:lvl>
  </w:abstractNum>
  <w:abstractNum w:abstractNumId="116">
    <w:nsid w:val="46BA8FCA"/>
    <w:multiLevelType w:val="hybridMultilevel"/>
    <w:lvl w:ilvl="0">
      <w:lvlJc w:val="left"/>
      <w:lvlText w:val="•"/>
      <w:numFmt w:val="bullet"/>
      <w:start w:val="1"/>
    </w:lvl>
  </w:abstractNum>
  <w:abstractNum w:abstractNumId="117">
    <w:nsid w:val="7835626C"/>
    <w:multiLevelType w:val="hybridMultilevel"/>
    <w:lvl w:ilvl="0">
      <w:lvlJc w:val="left"/>
      <w:lvlText w:val="•"/>
      <w:numFmt w:val="bullet"/>
      <w:start w:val="1"/>
    </w:lvl>
  </w:abstractNum>
  <w:abstractNum w:abstractNumId="118">
    <w:nsid w:val="665ACA49"/>
    <w:multiLevelType w:val="hybridMultilevel"/>
    <w:lvl w:ilvl="0">
      <w:lvlJc w:val="left"/>
      <w:lvlText w:val="•"/>
      <w:numFmt w:val="bullet"/>
      <w:start w:val="1"/>
    </w:lvl>
  </w:abstractNum>
  <w:abstractNum w:abstractNumId="119">
    <w:nsid w:val="6835B2AE"/>
    <w:multiLevelType w:val="hybridMultilevel"/>
    <w:lvl w:ilvl="0">
      <w:lvlJc w:val="left"/>
      <w:lvlText w:val="•"/>
      <w:numFmt w:val="bullet"/>
      <w:start w:val="1"/>
    </w:lvl>
  </w:abstractNum>
  <w:abstractNum w:abstractNumId="120">
    <w:nsid w:val="4C187C90"/>
    <w:multiLevelType w:val="hybridMultilevel"/>
    <w:lvl w:ilvl="0">
      <w:lvlJc w:val="left"/>
      <w:lvlText w:val="•"/>
      <w:numFmt w:val="bullet"/>
      <w:start w:val="1"/>
    </w:lvl>
  </w:abstractNum>
  <w:abstractNum w:abstractNumId="121">
    <w:nsid w:val="541F28CD"/>
    <w:multiLevelType w:val="hybridMultilevel"/>
    <w:lvl w:ilvl="0">
      <w:lvlJc w:val="left"/>
      <w:lvlText w:val="•"/>
      <w:numFmt w:val="bullet"/>
      <w:start w:val="1"/>
    </w:lvl>
  </w:abstractNum>
  <w:abstractNum w:abstractNumId="122">
    <w:nsid w:val="7F65FD16"/>
    <w:multiLevelType w:val="hybridMultilevel"/>
    <w:lvl w:ilvl="0">
      <w:lvlJc w:val="left"/>
      <w:lvlText w:val="•"/>
      <w:numFmt w:val="bullet"/>
      <w:start w:val="1"/>
    </w:lvl>
  </w:abstractNum>
  <w:abstractNum w:abstractNumId="123">
    <w:nsid w:val="77C9FD68"/>
    <w:multiLevelType w:val="hybridMultilevel"/>
    <w:lvl w:ilvl="0">
      <w:lvlJc w:val="left"/>
      <w:lvlText w:val="(%1)"/>
      <w:numFmt w:val="decimal"/>
      <w:start w:val="1"/>
    </w:lvl>
  </w:abstractNum>
  <w:abstractNum w:abstractNumId="124">
    <w:nsid w:val="298A92BA"/>
    <w:multiLevelType w:val="hybridMultilevel"/>
    <w:lvl w:ilvl="0">
      <w:lvlJc w:val="left"/>
      <w:lvlText w:val="(%1)"/>
      <w:numFmt w:val="decimal"/>
      <w:start w:val="1"/>
    </w:lvl>
  </w:abstractNum>
  <w:abstractNum w:abstractNumId="125">
    <w:nsid w:val="6FE95EAC"/>
    <w:multiLevelType w:val="hybridMultilevel"/>
    <w:lvl w:ilvl="0">
      <w:lvlJc w:val="left"/>
      <w:lvlText w:val="%1"/>
      <w:numFmt w:val="lowerRoman"/>
      <w:start w:val="1"/>
    </w:lvl>
    <w:lvl w:ilvl="1">
      <w:lvlJc w:val="left"/>
      <w:lvlText w:val="(%2)"/>
      <w:numFmt w:val="decimal"/>
      <w:start w:val="1"/>
    </w:lvl>
  </w:abstractNum>
  <w:abstractNum w:abstractNumId="126">
    <w:nsid w:val="4B697C7A"/>
    <w:multiLevelType w:val="hybridMultilevel"/>
    <w:lvl w:ilvl="0">
      <w:lvlJc w:val="left"/>
      <w:lvlText w:val="(%1)"/>
      <w:numFmt w:val="lowerRoman"/>
      <w:start w:val="10"/>
    </w:lvl>
    <w:lvl w:ilvl="1">
      <w:lvlJc w:val="left"/>
      <w:lvlText w:val="(%2)"/>
      <w:numFmt w:val="decimal"/>
      <w:start w:val="2"/>
    </w:lvl>
  </w:abstractNum>
  <w:abstractNum w:abstractNumId="127">
    <w:nsid w:val="51A27AA6"/>
    <w:multiLevelType w:val="hybridMultilevel"/>
    <w:lvl w:ilvl="0">
      <w:lvlJc w:val="left"/>
      <w:lvlText w:val="(%1)"/>
      <w:numFmt w:val="decimal"/>
      <w:start w:val="1"/>
    </w:lvl>
  </w:abstractNum>
  <w:abstractNum w:abstractNumId="128">
    <w:nsid w:val="613183F2"/>
    <w:multiLevelType w:val="hybridMultilevel"/>
    <w:lvl w:ilvl="0">
      <w:lvlJc w:val="left"/>
      <w:lvlText w:val="(%1)"/>
      <w:numFmt w:val="decimal"/>
      <w:start w:val="3"/>
    </w:lvl>
  </w:abstractNum>
  <w:abstractNum w:abstractNumId="129">
    <w:nsid w:val="634102B4"/>
    <w:multiLevelType w:val="hybridMultilevel"/>
    <w:lvl w:ilvl="0">
      <w:lvlJc w:val="left"/>
      <w:lvlText w:val="(%1)"/>
      <w:numFmt w:val="decimal"/>
      <w:start w:val="519"/>
    </w:lvl>
  </w:abstractNum>
  <w:abstractNum w:abstractNumId="130">
    <w:nsid w:val="65BF9DA8"/>
    <w:multiLevelType w:val="hybridMultilevel"/>
    <w:lvl w:ilvl="0">
      <w:lvlJc w:val="left"/>
      <w:lvlText w:val="(%1)"/>
      <w:numFmt w:val="lowerLetter"/>
      <w:start w:val="2"/>
    </w:lvl>
  </w:abstractNum>
  <w:abstractNum w:abstractNumId="131">
    <w:nsid w:val="21A2ECCA"/>
    <w:multiLevelType w:val="hybridMultilevel"/>
    <w:lvl w:ilvl="0">
      <w:lvlJc w:val="left"/>
      <w:lvlText w:val="(%1)"/>
      <w:numFmt w:val="lowerLetter"/>
      <w:start w:val="1"/>
    </w:lvl>
  </w:abstractNum>
  <w:abstractNum w:abstractNumId="132">
    <w:nsid w:val="4D5C4899"/>
    <w:multiLevelType w:val="hybridMultilevel"/>
    <w:lvl w:ilvl="0">
      <w:lvlJc w:val="left"/>
      <w:lvlText w:val="(%1)"/>
      <w:numFmt w:val="lowerLetter"/>
      <w:start w:val="1"/>
    </w:lvl>
  </w:abstractNum>
  <w:abstractNum w:abstractNumId="133">
    <w:nsid w:val="3C3B72B2"/>
    <w:multiLevelType w:val="hybridMultilevel"/>
    <w:lvl w:ilvl="0">
      <w:lvlJc w:val="left"/>
      <w:lvlText w:val="(%1)"/>
      <w:numFmt w:val="lowerLetter"/>
      <w:start w:val="5"/>
    </w:lvl>
  </w:abstractNum>
  <w:abstractNum w:abstractNumId="134">
    <w:nsid w:val="155EC4C2"/>
    <w:multiLevelType w:val="hybridMultilevel"/>
    <w:lvl w:ilvl="0">
      <w:lvlJc w:val="left"/>
      <w:lvlText w:val="%1"/>
      <w:numFmt w:val="upperLetter"/>
      <w:start w:val="1"/>
    </w:lvl>
    <w:lvl w:ilvl="1">
      <w:lvlJc w:val="left"/>
      <w:lvlText w:val="(%2)"/>
      <w:numFmt w:val="lowerLetter"/>
      <w:start w:val="6"/>
    </w:lvl>
  </w:abstractNum>
  <w:abstractNum w:abstractNumId="135">
    <w:nsid w:val="65D2A137"/>
    <w:multiLevelType w:val="hybridMultilevel"/>
    <w:lvl w:ilvl="0">
      <w:lvlJc w:val="left"/>
      <w:lvlText w:val="(%1)"/>
      <w:numFmt w:val="upperLetter"/>
      <w:start w:val="1"/>
    </w:lvl>
    <w:lvl w:ilvl="1">
      <w:lvlJc w:val="left"/>
      <w:lvlText w:val="(%2)"/>
      <w:numFmt w:val="lowerLetter"/>
      <w:start w:val="8"/>
    </w:lvl>
  </w:abstractNum>
  <w:abstractNum w:abstractNumId="136">
    <w:nsid w:val="6EBB1F2A"/>
    <w:multiLevelType w:val="hybridMultilevel"/>
    <w:lvl w:ilvl="0">
      <w:lvlJc w:val="left"/>
      <w:lvlText w:val="(%1)"/>
      <w:numFmt w:val="lowerLetter"/>
      <w:start w:val="2"/>
    </w:lvl>
  </w:abstractNum>
  <w:abstractNum w:abstractNumId="137">
    <w:nsid w:val="6FBF29CB"/>
    <w:multiLevelType w:val="hybridMultilevel"/>
    <w:lvl w:ilvl="0">
      <w:lvlJc w:val="left"/>
      <w:lvlText w:val="(%1)"/>
      <w:numFmt w:val="lowerRoman"/>
      <w:start w:val="1"/>
    </w:lvl>
  </w:abstractNum>
  <w:abstractNum w:abstractNumId="138">
    <w:nsid w:val="550B8808"/>
    <w:multiLevelType w:val="hybridMultilevel"/>
    <w:lvl w:ilvl="0">
      <w:lvlJc w:val="left"/>
      <w:lvlText w:val="(%1)"/>
      <w:numFmt w:val="lowerLetter"/>
      <w:start w:val="1"/>
    </w:lvl>
  </w:abstractNum>
  <w:abstractNum w:abstractNumId="139">
    <w:nsid w:val="34CC3ACF"/>
    <w:multiLevelType w:val="hybridMultilevel"/>
    <w:lvl w:ilvl="0">
      <w:lvlJc w:val="left"/>
      <w:lvlText w:val="(%1)"/>
      <w:numFmt w:val="lowerLetter"/>
      <w:start w:val="4"/>
    </w:lvl>
    <w:lvl w:ilvl="1">
      <w:lvlJc w:val="left"/>
      <w:lvlText w:val="(%2)"/>
      <w:numFmt w:val="lowerRoman"/>
      <w:start w:val="2"/>
    </w:lvl>
    <w:lvl w:ilvl="2">
      <w:lvlJc w:val="left"/>
      <w:lvlText w:val="(%3)"/>
      <w:numFmt w:val="upperLetter"/>
      <w:start w:val="1"/>
    </w:lvl>
  </w:abstractNum>
  <w:abstractNum w:abstractNumId="140">
    <w:nsid w:val="4E556261"/>
    <w:multiLevelType w:val="hybridMultilevel"/>
    <w:lvl w:ilvl="0">
      <w:lvlJc w:val="left"/>
      <w:lvlText w:val="%1"/>
      <w:numFmt w:val="lowerRoman"/>
      <w:start w:val="1"/>
    </w:lvl>
    <w:lvl w:ilvl="1">
      <w:lvlJc w:val="left"/>
      <w:lvlText w:val="(%2)"/>
      <w:numFmt w:val="upperLetter"/>
      <w:start w:val="4"/>
    </w:lvl>
  </w:abstractNum>
  <w:abstractNum w:abstractNumId="141">
    <w:nsid w:val="4C672FC9"/>
    <w:multiLevelType w:val="hybridMultilevel"/>
    <w:lvl w:ilvl="0">
      <w:lvlJc w:val="left"/>
      <w:lvlText w:val="(%1)"/>
      <w:numFmt w:val="lowerRoman"/>
      <w:start w:val="3"/>
    </w:lvl>
    <w:lvl w:ilvl="1">
      <w:lvlJc w:val="left"/>
      <w:lvlText w:val="(%2)"/>
      <w:numFmt w:val="upperLetter"/>
      <w:start w:val="1"/>
    </w:lvl>
  </w:abstractNum>
  <w:abstractNum w:abstractNumId="142">
    <w:nsid w:val="52A311C3"/>
    <w:multiLevelType w:val="hybridMultilevel"/>
    <w:lvl w:ilvl="0">
      <w:lvlJc w:val="left"/>
      <w:lvlText w:val="(%1)"/>
      <w:numFmt w:val="lowerLetter"/>
      <w:start w:val="25"/>
    </w:lvl>
  </w:abstractNum>
  <w:abstractNum w:abstractNumId="143">
    <w:nsid w:val="44EF6B80"/>
    <w:multiLevelType w:val="hybridMultilevel"/>
    <w:lvl w:ilvl="0">
      <w:lvlJc w:val="left"/>
      <w:lvlText w:val="(%1)"/>
      <w:numFmt w:val="decimal"/>
      <w:start w:val="1"/>
    </w:lvl>
  </w:abstractNum>
  <w:abstractNum w:abstractNumId="144">
    <w:nsid w:val="12FCDE5E"/>
    <w:multiLevelType w:val="hybridMultilevel"/>
    <w:lvl w:ilvl="0">
      <w:lvlJc w:val="left"/>
      <w:lvlText w:val="(%1)"/>
      <w:numFmt w:val="lowerRoman"/>
      <w:start w:val="1"/>
    </w:lvl>
  </w:abstractNum>
  <w:abstractNum w:abstractNumId="145">
    <w:nsid w:val="4A1D606E"/>
    <w:multiLevelType w:val="hybridMultilevel"/>
    <w:lvl w:ilvl="0">
      <w:lvlJc w:val="left"/>
      <w:lvlText w:val="(%1)"/>
      <w:numFmt w:val="lowerLetter"/>
      <w:start w:val="25"/>
    </w:lvl>
    <w:lvl w:ilvl="1">
      <w:lvlJc w:val="left"/>
      <w:lvlText w:val="(%2)"/>
      <w:numFmt w:val="lowerLetter"/>
      <w:start w:val="2"/>
    </w:lvl>
  </w:abstractNum>
  <w:abstractNum w:abstractNumId="146">
    <w:nsid w:val="4382503"/>
    <w:multiLevelType w:val="hybridMultilevel"/>
    <w:lvl w:ilvl="0">
      <w:lvlJc w:val="left"/>
      <w:lvlText w:val="(%1)"/>
      <w:numFmt w:val="lowerLetter"/>
      <w:start w:val="22"/>
    </w:lvl>
    <w:lvl w:ilvl="1">
      <w:lvlJc w:val="left"/>
      <w:lvlText w:val="(%2)"/>
      <w:numFmt w:val="lowerLetter"/>
      <w:start w:val="5"/>
    </w:lvl>
  </w:abstractNum>
  <w:abstractNum w:abstractNumId="147">
    <w:nsid w:val="59B76E28"/>
    <w:multiLevelType w:val="hybridMultilevel"/>
    <w:lvl w:ilvl="0">
      <w:lvlJc w:val="left"/>
      <w:lvlText w:val="(%1)"/>
      <w:numFmt w:val="lowerLetter"/>
      <w:start w:val="6"/>
    </w:lvl>
  </w:abstractNum>
  <w:abstractNum w:abstractNumId="148">
    <w:nsid w:val="4252C2DA"/>
    <w:multiLevelType w:val="hybridMultilevel"/>
    <w:lvl w:ilvl="0">
      <w:lvlJc w:val="left"/>
      <w:lvlText w:val="(%1)"/>
      <w:numFmt w:val="decimal"/>
      <w:start w:val="1"/>
    </w:lvl>
  </w:abstractNum>
  <w:abstractNum w:abstractNumId="149">
    <w:nsid w:val="6A92EF4C"/>
    <w:multiLevelType w:val="hybridMultilevel"/>
    <w:lvl w:ilvl="0">
      <w:lvlJc w:val="left"/>
      <w:lvlText w:val="(%1)"/>
      <w:numFmt w:val="decimal"/>
      <w:start w:val="1"/>
    </w:lvl>
  </w:abstractNum>
  <w:abstractNum w:abstractNumId="150">
    <w:nsid w:val="41ED20D7"/>
    <w:multiLevelType w:val="hybridMultilevel"/>
    <w:lvl w:ilvl="0">
      <w:lvlJc w:val="left"/>
      <w:lvlText w:val="(%1)"/>
      <w:numFmt w:val="decimal"/>
      <w:start w:val="9"/>
    </w:lvl>
  </w:abstractNum>
  <w:abstractNum w:abstractNumId="151">
    <w:nsid w:val="E6B3F6A"/>
    <w:multiLevelType w:val="hybridMultilevel"/>
    <w:lvl w:ilvl="0">
      <w:lvlJc w:val="left"/>
      <w:lvlText w:val="(%1)"/>
      <w:numFmt w:val="lowerLetter"/>
      <w:start w:val="1"/>
    </w:lvl>
  </w:abstractNum>
  <w:abstractNum w:abstractNumId="152">
    <w:nsid w:val="3EB21819"/>
    <w:multiLevelType w:val="hybridMultilevel"/>
    <w:lvl w:ilvl="0">
      <w:lvlJc w:val="left"/>
      <w:lvlText w:val="(%1)"/>
      <w:numFmt w:val="decimal"/>
      <w:start w:val="16"/>
    </w:lvl>
  </w:abstractNum>
  <w:abstractNum w:abstractNumId="153">
    <w:nsid w:val="41531DED"/>
    <w:multiLevelType w:val="hybridMultilevel"/>
    <w:lvl w:ilvl="0">
      <w:lvlJc w:val="left"/>
      <w:lvlText w:val="(%1)"/>
      <w:numFmt w:val="lowerLetter"/>
      <w:start w:val="2"/>
    </w:lvl>
  </w:abstractNum>
  <w:abstractNum w:abstractNumId="154">
    <w:nsid w:val="6353CD2"/>
    <w:multiLevelType w:val="hybridMultilevel"/>
    <w:lvl w:ilvl="0">
      <w:lvlJc w:val="left"/>
      <w:lvlText w:val="(%1)"/>
      <w:numFmt w:val="decimal"/>
      <w:start w:val="1"/>
    </w:lvl>
  </w:abstractNum>
  <w:abstractNum w:abstractNumId="155">
    <w:nsid w:val="683CAAD3"/>
    <w:multiLevelType w:val="hybridMultilevel"/>
    <w:lvl w:ilvl="0">
      <w:lvlJc w:val="left"/>
      <w:lvlText w:val="(%1)"/>
      <w:numFmt w:val="decimal"/>
      <w:start w:val="1"/>
    </w:lvl>
  </w:abstractNum>
  <w:abstractNum w:abstractNumId="156">
    <w:nsid w:val="313C7C99"/>
    <w:multiLevelType w:val="hybridMultilevel"/>
    <w:lvl w:ilvl="0">
      <w:lvlJc w:val="left"/>
      <w:lvlText w:val="(%1)"/>
      <w:numFmt w:val="decimal"/>
      <w:start w:val="4"/>
    </w:lvl>
  </w:abstractNum>
  <w:abstractNum w:abstractNumId="157">
    <w:nsid w:val="519EB94C"/>
    <w:multiLevelType w:val="hybridMultilevel"/>
    <w:lvl w:ilvl="0">
      <w:lvlJc w:val="left"/>
      <w:lvlText w:val="(%1)"/>
      <w:numFmt w:val="decimal"/>
      <w:start w:val="10"/>
    </w:lvl>
  </w:abstractNum>
  <w:abstractNum w:abstractNumId="158">
    <w:nsid w:val="39DF2579"/>
    <w:multiLevelType w:val="hybridMultilevel"/>
    <w:lvl w:ilvl="0">
      <w:lvlJc w:val="left"/>
      <w:lvlText w:val="(%1)"/>
      <w:numFmt w:val="lowerLetter"/>
      <w:start w:val="1"/>
    </w:lvl>
  </w:abstractNum>
  <w:abstractNum w:abstractNumId="159">
    <w:nsid w:val="126E008B"/>
    <w:multiLevelType w:val="hybridMultilevel"/>
    <w:lvl w:ilvl="0">
      <w:lvlJc w:val="left"/>
      <w:lvlText w:val="(%1)"/>
      <w:numFmt w:val="lowerLetter"/>
      <w:start w:val="2"/>
    </w:lvl>
  </w:abstractNum>
  <w:abstractNum w:abstractNumId="160">
    <w:nsid w:val="34DFBC00"/>
    <w:multiLevelType w:val="hybridMultilevel"/>
    <w:lvl w:ilvl="0">
      <w:lvlJc w:val="left"/>
      <w:lvlText w:val="(%1)"/>
      <w:numFmt w:val="lowerRoman"/>
      <w:start w:val="1"/>
    </w:lvl>
  </w:abstractNum>
  <w:abstractNum w:abstractNumId="161">
    <w:nsid w:val="1F9EC322"/>
    <w:multiLevelType w:val="hybridMultilevel"/>
    <w:lvl w:ilvl="0">
      <w:lvlJc w:val="left"/>
      <w:lvlText w:val="(%1)"/>
      <w:numFmt w:val="lowerLetter"/>
      <w:start w:val="25"/>
    </w:lvl>
  </w:abstractNum>
  <w:abstractNum w:abstractNumId="162">
    <w:nsid w:val="3410ED56"/>
    <w:multiLevelType w:val="hybridMultilevel"/>
    <w:lvl w:ilvl="0">
      <w:lvlJc w:val="left"/>
      <w:lvlText w:val="(%1)"/>
      <w:numFmt w:val="decimal"/>
      <w:start w:val="1"/>
    </w:lvl>
  </w:abstractNum>
  <w:abstractNum w:abstractNumId="163">
    <w:nsid w:val="23C049A"/>
    <w:multiLevelType w:val="hybridMultilevel"/>
    <w:lvl w:ilvl="0">
      <w:lvlJc w:val="left"/>
      <w:lvlText w:val="%1"/>
      <w:numFmt w:val="lowerLetter"/>
      <w:start w:val="1"/>
    </w:lvl>
    <w:lvl w:ilvl="1">
      <w:lvlJc w:val="left"/>
      <w:lvlText w:val="(%2)"/>
      <w:numFmt w:val="decimal"/>
      <w:start w:val="4"/>
    </w:lvl>
  </w:abstractNum>
  <w:abstractNum w:abstractNumId="164">
    <w:nsid w:val="5BDA35D4"/>
    <w:multiLevelType w:val="hybridMultilevel"/>
    <w:lvl w:ilvl="0">
      <w:lvlJc w:val="left"/>
      <w:lvlText w:val="(%1)"/>
      <w:numFmt w:val="lowerLetter"/>
      <w:start w:val="5"/>
    </w:lvl>
    <w:lvl w:ilvl="1">
      <w:lvlJc w:val="left"/>
      <w:lvlText w:val="(%2)"/>
      <w:numFmt w:val="decimal"/>
      <w:start w:val="6"/>
    </w:lvl>
  </w:abstractNum>
  <w:abstractNum w:abstractNumId="165">
    <w:nsid w:val="496FB218"/>
    <w:multiLevelType w:val="hybridMultilevel"/>
    <w:lvl w:ilvl="0">
      <w:lvlJc w:val="left"/>
      <w:lvlText w:val="%1"/>
      <w:numFmt w:val="lowerRoman"/>
      <w:start w:val="1"/>
    </w:lvl>
    <w:lvl w:ilvl="1">
      <w:lvlJc w:val="left"/>
      <w:lvlText w:val="(%2)"/>
      <w:numFmt w:val="decimal"/>
      <w:start w:val="7"/>
    </w:lvl>
  </w:abstractNum>
  <w:abstractNum w:abstractNumId="166">
    <w:nsid w:val="680EA5D1"/>
    <w:multiLevelType w:val="hybridMultilevel"/>
    <w:lvl w:ilvl="0">
      <w:lvlJc w:val="left"/>
      <w:lvlText w:val="(%1)"/>
      <w:numFmt w:val="lowerRoman"/>
      <w:start w:val="2"/>
    </w:lvl>
    <w:lvl w:ilvl="1">
      <w:lvlJc w:val="left"/>
      <w:lvlText w:val="(%2)"/>
      <w:numFmt w:val="decimal"/>
      <w:start w:val="9"/>
    </w:lvl>
  </w:abstractNum>
  <w:abstractNum w:abstractNumId="167">
    <w:nsid w:val="4A9554FE"/>
    <w:multiLevelType w:val="hybridMultilevel"/>
    <w:lvl w:ilvl="0">
      <w:lvlJc w:val="left"/>
      <w:lvlText w:val="(%1)"/>
      <w:numFmt w:val="lowerRoman"/>
      <w:start w:val="1"/>
    </w:lvl>
  </w:abstractNum>
  <w:abstractNum w:abstractNumId="168">
    <w:nsid w:val="392EDBE4"/>
    <w:multiLevelType w:val="hybridMultilevel"/>
    <w:lvl w:ilvl="0">
      <w:lvlJc w:val="left"/>
      <w:lvlText w:val="(%1)"/>
      <w:numFmt w:val="lowerRoman"/>
      <w:start w:val="5"/>
    </w:lvl>
  </w:abstractNum>
  <w:abstractNum w:abstractNumId="169">
    <w:nsid w:val="3D1A2DD9"/>
    <w:multiLevelType w:val="hybridMultilevel"/>
    <w:lvl w:ilvl="0">
      <w:lvlJc w:val="left"/>
      <w:lvlText w:val="(%1)"/>
      <w:numFmt w:val="lowerRoman"/>
      <w:start w:val="1"/>
    </w:lvl>
  </w:abstractNum>
  <w:abstractNum w:abstractNumId="170">
    <w:nsid w:val="7F618FCD"/>
    <w:multiLevelType w:val="hybridMultilevel"/>
    <w:lvl w:ilvl="0">
      <w:lvlJc w:val="left"/>
      <w:lvlText w:val="(%1)"/>
      <w:numFmt w:val="lowerLetter"/>
      <w:start w:val="2"/>
    </w:lvl>
  </w:abstractNum>
  <w:abstractNum w:abstractNumId="171">
    <w:nsid w:val="7843E45"/>
    <w:multiLevelType w:val="hybridMultilevel"/>
    <w:lvl w:ilvl="0">
      <w:lvlJc w:val="left"/>
      <w:lvlText w:val="(%1)"/>
      <w:numFmt w:val="lowerRoman"/>
      <w:start w:val="2"/>
    </w:lvl>
  </w:abstractNum>
  <w:abstractNum w:abstractNumId="172">
    <w:nsid w:val="9815DA3"/>
    <w:multiLevelType w:val="hybridMultilevel"/>
    <w:lvl w:ilvl="0">
      <w:lvlJc w:val="left"/>
      <w:lvlText w:val="(%1)"/>
      <w:numFmt w:val="lowerRoman"/>
      <w:start w:val="3"/>
    </w:lvl>
  </w:abstractNum>
  <w:abstractNum w:abstractNumId="173">
    <w:nsid w:val="5204A191"/>
    <w:multiLevelType w:val="hybridMultilevel"/>
    <w:lvl w:ilvl="0">
      <w:lvlJc w:val="left"/>
      <w:lvlText w:val="(%1)"/>
      <w:numFmt w:val="lowerLetter"/>
      <w:start w:val="1"/>
    </w:lvl>
  </w:abstractNum>
  <w:abstractNum w:abstractNumId="174">
    <w:nsid w:val="4C73A9C6"/>
    <w:multiLevelType w:val="hybridMultilevel"/>
    <w:lvl w:ilvl="0">
      <w:lvlJc w:val="left"/>
      <w:lvlText w:val="(%1)"/>
      <w:numFmt w:val="lowerLetter"/>
      <w:start w:val="4"/>
    </w:lvl>
  </w:abstractNum>
  <w:abstractNum w:abstractNumId="175">
    <w:nsid w:val="1C7E3C01"/>
    <w:multiLevelType w:val="hybridMultilevel"/>
    <w:lvl w:ilvl="0">
      <w:lvlJc w:val="left"/>
      <w:lvlText w:val="(%1)"/>
      <w:numFmt w:val="lowerRoman"/>
      <w:start w:val="2"/>
    </w:lvl>
  </w:abstractNum>
  <w:abstractNum w:abstractNumId="176">
    <w:nsid w:val="1C2201FF"/>
    <w:multiLevelType w:val="hybridMultilevel"/>
    <w:lvl w:ilvl="0">
      <w:lvlJc w:val="left"/>
      <w:lvlText w:val="(%1)"/>
      <w:numFmt w:val="upperLetter"/>
      <w:start w:val="1"/>
    </w:lvl>
  </w:abstractNum>
  <w:abstractNum w:abstractNumId="177">
    <w:nsid w:val="50ABCEC9"/>
    <w:multiLevelType w:val="hybridMultilevel"/>
    <w:lvl w:ilvl="0">
      <w:lvlJc w:val="left"/>
      <w:lvlText w:val="(%1)"/>
      <w:numFmt w:val="decimal"/>
      <w:start w:val="1"/>
    </w:lvl>
  </w:abstractNum>
  <w:abstractNum w:abstractNumId="178">
    <w:nsid w:val="7635AA2A"/>
    <w:multiLevelType w:val="hybridMultilevel"/>
    <w:lvl w:ilvl="0">
      <w:lvlJc w:val="left"/>
      <w:lvlText w:val="(%1)"/>
      <w:numFmt w:val="upperLetter"/>
      <w:start w:val="3"/>
    </w:lvl>
  </w:abstractNum>
  <w:abstractNum w:abstractNumId="179">
    <w:nsid w:val="5E74C4D9"/>
    <w:multiLevelType w:val="hybridMultilevel"/>
    <w:lvl w:ilvl="0">
      <w:lvlJc w:val="left"/>
      <w:lvlText w:val="(%1)"/>
      <w:numFmt w:val="lowerLetter"/>
      <w:start w:val="7"/>
    </w:lvl>
  </w:abstractNum>
  <w:abstractNum w:abstractNumId="180">
    <w:nsid w:val="3B3EBE15"/>
    <w:multiLevelType w:val="hybridMultilevel"/>
    <w:lvl w:ilvl="0">
      <w:lvlJc w:val="left"/>
      <w:lvlText w:val="(%1)"/>
      <w:numFmt w:val="lowerLetter"/>
      <w:start w:val="8"/>
    </w:lvl>
  </w:abstractNum>
  <w:abstractNum w:abstractNumId="181">
    <w:nsid w:val="3822CB01"/>
    <w:multiLevelType w:val="hybridMultilevel"/>
    <w:lvl w:ilvl="0">
      <w:lvlJc w:val="left"/>
      <w:lvlText w:val="(%1)"/>
      <w:numFmt w:val="lowerLetter"/>
      <w:start w:val="1"/>
    </w:lvl>
    <w:lvl w:ilvl="1">
      <w:lvlJc w:val="left"/>
      <w:lvlText w:val="(%2)"/>
      <w:numFmt w:val="lowerRoman"/>
      <w:start w:val="1"/>
    </w:lvl>
  </w:abstractNum>
  <w:abstractNum w:abstractNumId="182">
    <w:nsid w:val="6CE00443"/>
    <w:multiLevelType w:val="hybridMultilevel"/>
    <w:lvl w:ilvl="0">
      <w:lvlJc w:val="left"/>
      <w:lvlText w:val="%1"/>
      <w:numFmt w:val="lowerLetter"/>
      <w:start w:val="1"/>
    </w:lvl>
    <w:lvl w:ilvl="1">
      <w:lvlJc w:val="left"/>
      <w:lvlText w:val="(%2)"/>
      <w:numFmt w:val="lowerLetter"/>
      <w:start w:val="3"/>
    </w:lvl>
  </w:abstractNum>
  <w:abstractNum w:abstractNumId="183">
    <w:nsid w:val="79F0D62F"/>
    <w:multiLevelType w:val="hybridMultilevel"/>
    <w:lvl w:ilvl="0">
      <w:lvlJc w:val="left"/>
      <w:lvlText w:val="(%1)"/>
      <w:numFmt w:val="lowerLetter"/>
      <w:start w:val="9"/>
    </w:lvl>
    <w:lvl w:ilvl="1">
      <w:lvlJc w:val="left"/>
      <w:lvlText w:val="%2"/>
      <w:numFmt w:val="lowerLetter"/>
      <w:start w:val="1"/>
    </w:lvl>
  </w:abstractNum>
  <w:abstractNum w:abstractNumId="184">
    <w:nsid w:val="7975E8EE"/>
    <w:multiLevelType w:val="hybridMultilevel"/>
    <w:lvl w:ilvl="0">
      <w:lvlJc w:val="left"/>
      <w:lvlText w:val="(%1)"/>
      <w:numFmt w:val="decimal"/>
      <w:start w:val="5"/>
    </w:lvl>
  </w:abstractNum>
  <w:abstractNum w:abstractNumId="185">
    <w:nsid w:val="73154115"/>
    <w:multiLevelType w:val="hybridMultilevel"/>
    <w:lvl w:ilvl="0">
      <w:lvlJc w:val="left"/>
      <w:lvlText w:val="(%1)"/>
      <w:numFmt w:val="lowerLetter"/>
      <w:start w:val="23"/>
    </w:lvl>
  </w:abstractNum>
  <w:abstractNum w:abstractNumId="186">
    <w:nsid w:val="622D8102"/>
    <w:multiLevelType w:val="hybridMultilevel"/>
    <w:lvl w:ilvl="0">
      <w:lvlJc w:val="left"/>
      <w:lvlText w:val="(%1)"/>
      <w:numFmt w:val="lowerLetter"/>
      <w:start w:val="2"/>
    </w:lvl>
  </w:abstractNum>
  <w:abstractNum w:abstractNumId="187">
    <w:nsid w:val="2AB26587"/>
    <w:multiLevelType w:val="hybridMultilevel"/>
    <w:lvl w:ilvl="0">
      <w:lvlJc w:val="left"/>
      <w:lvlText w:val="(%1)"/>
      <w:numFmt w:val="lowerLetter"/>
      <w:start w:val="3"/>
    </w:lvl>
  </w:abstractNum>
  <w:abstractNum w:abstractNumId="188">
    <w:nsid w:val="44B3FA61"/>
    <w:multiLevelType w:val="hybridMultilevel"/>
    <w:lvl w:ilvl="0">
      <w:lvlJc w:val="left"/>
      <w:lvlText w:val="(%1)"/>
      <w:numFmt w:val="lowerLetter"/>
      <w:start w:val="4"/>
    </w:lvl>
  </w:abstractNum>
  <w:abstractNum w:abstractNumId="189">
    <w:nsid w:val="1C0CA67C"/>
    <w:multiLevelType w:val="hybridMultilevel"/>
    <w:lvl w:ilvl="0">
      <w:lvlJc w:val="left"/>
      <w:lvlText w:val="(%1)"/>
      <w:numFmt w:val="lowerLetter"/>
      <w:start w:val="6"/>
    </w:lvl>
  </w:abstractNum>
  <w:abstractNum w:abstractNumId="190">
    <w:nsid w:val="3D206613"/>
    <w:multiLevelType w:val="hybridMultilevel"/>
    <w:lvl w:ilvl="0">
      <w:lvlJc w:val="left"/>
      <w:lvlText w:val="(%1)"/>
      <w:numFmt w:val="lowerLetter"/>
      <w:start w:val="2"/>
    </w:lvl>
  </w:abstractNum>
  <w:abstractNum w:abstractNumId="191">
    <w:nsid w:val="7993B662"/>
    <w:multiLevelType w:val="hybridMultilevel"/>
    <w:lvl w:ilvl="0">
      <w:lvlJc w:val="left"/>
      <w:lvlText w:val="(%1)"/>
      <w:numFmt w:val="lowerLetter"/>
      <w:start w:val="3"/>
    </w:lvl>
    <w:lvl w:ilvl="1">
      <w:lvlJc w:val="left"/>
      <w:lvlText w:val="(%2)"/>
      <w:numFmt w:val="lowerRoman"/>
      <w:start w:val="1"/>
    </w:lvl>
  </w:abstractNum>
  <w:abstractNum w:abstractNumId="192">
    <w:nsid w:val="3BAB699E"/>
    <w:multiLevelType w:val="hybridMultilevel"/>
    <w:lvl w:ilvl="0">
      <w:lvlJc w:val="left"/>
      <w:lvlText w:val="%1"/>
      <w:numFmt w:val="lowerLetter"/>
      <w:start w:val="1"/>
    </w:lvl>
    <w:lvl w:ilvl="1">
      <w:lvlJc w:val="left"/>
      <w:lvlText w:val="(%2)"/>
      <w:numFmt w:val="lowerRoman"/>
      <w:start w:val="4"/>
    </w:lvl>
  </w:abstractNum>
  <w:abstractNum w:abstractNumId="193">
    <w:nsid w:val="71315369"/>
    <w:multiLevelType w:val="hybridMultilevel"/>
    <w:lvl w:ilvl="0">
      <w:lvlJc w:val="left"/>
      <w:lvlText w:val="(%1)"/>
      <w:numFmt w:val="lowerLetter"/>
      <w:start w:val="5"/>
    </w:lvl>
    <w:lvl w:ilvl="1">
      <w:lvlJc w:val="left"/>
      <w:lvlText w:val="(%2)"/>
      <w:numFmt w:val="lowerRoman"/>
      <w:start w:val="1"/>
    </w:lvl>
  </w:abstractNum>
  <w:abstractNum w:abstractNumId="194">
    <w:nsid w:val="7BCFBAFC"/>
    <w:multiLevelType w:val="hybridMultilevel"/>
    <w:lvl w:ilvl="0">
      <w:lvlJc w:val="left"/>
      <w:lvlText w:val="(%1)"/>
      <w:numFmt w:val="lowerRoman"/>
      <w:start w:val="3"/>
    </w:lvl>
  </w:abstractNum>
  <w:abstractNum w:abstractNumId="195">
    <w:nsid w:val="17859F72"/>
    <w:multiLevelType w:val="hybridMultilevel"/>
    <w:lvl w:ilvl="0">
      <w:lvlJc w:val="left"/>
      <w:lvlText w:val="(%1)"/>
      <w:numFmt w:val="lowerRoman"/>
      <w:start w:val="4"/>
    </w:lvl>
  </w:abstractNum>
  <w:abstractNum w:abstractNumId="196">
    <w:nsid w:val="3AA10581"/>
    <w:multiLevelType w:val="hybridMultilevel"/>
    <w:lvl w:ilvl="0">
      <w:lvlJc w:val="left"/>
      <w:lvlText w:val="(%1)"/>
      <w:numFmt w:val="lowerRoman"/>
      <w:start w:val="5"/>
    </w:lvl>
  </w:abstractNum>
  <w:abstractNum w:abstractNumId="197">
    <w:nsid w:val="63DE60CD"/>
    <w:multiLevelType w:val="hybridMultilevel"/>
    <w:lvl w:ilvl="0">
      <w:lvlJc w:val="left"/>
      <w:lvlText w:val="(%1)"/>
      <w:numFmt w:val="lowerLetter"/>
      <w:start w:val="1"/>
    </w:lvl>
  </w:abstractNum>
  <w:abstractNum w:abstractNumId="198">
    <w:nsid w:val="621AF471"/>
    <w:multiLevelType w:val="hybridMultilevel"/>
    <w:lvl w:ilvl="0">
      <w:lvlJc w:val="left"/>
      <w:lvlText w:val="(%1)"/>
      <w:numFmt w:val="lowerLetter"/>
      <w:start w:val="3"/>
    </w:lvl>
  </w:abstractNum>
  <w:abstractNum w:abstractNumId="199">
    <w:nsid w:val="73CFE165"/>
    <w:multiLevelType w:val="hybridMultilevel"/>
    <w:lvl w:ilvl="0">
      <w:lvlJc w:val="left"/>
      <w:lvlText w:val="(%1)"/>
      <w:numFmt w:val="lowerLetter"/>
      <w:start w:val="25"/>
    </w:lvl>
  </w:abstractNum>
  <w:abstractNum w:abstractNumId="200">
    <w:nsid w:val="20F88EA6"/>
    <w:multiLevelType w:val="hybridMultilevel"/>
    <w:lvl w:ilvl="0">
      <w:lvlJc w:val="left"/>
      <w:lvlText w:val="(%1)"/>
      <w:numFmt w:val="lowerLetter"/>
      <w:start w:val="2"/>
    </w:lvl>
  </w:abstractNum>
  <w:abstractNum w:abstractNumId="201">
    <w:nsid w:val="617C843E"/>
    <w:multiLevelType w:val="hybridMultilevel"/>
    <w:lvl w:ilvl="0">
      <w:lvlJc w:val="left"/>
      <w:lvlText w:val="(%1)"/>
      <w:numFmt w:val="lowerLetter"/>
      <w:start w:val="1"/>
    </w:lvl>
    <w:lvl w:ilvl="1">
      <w:lvlJc w:val="left"/>
      <w:lvlText w:val="(%2)"/>
      <w:numFmt w:val="lowerRoman"/>
      <w:start w:val="1"/>
    </w:lvl>
  </w:abstractNum>
  <w:abstractNum w:abstractNumId="202">
    <w:nsid w:val="7B541FAB"/>
    <w:multiLevelType w:val="hybridMultilevel"/>
    <w:lvl w:ilvl="0">
      <w:lvlJc w:val="left"/>
      <w:lvlText w:val="(%1)"/>
      <w:numFmt w:val="lowerLetter"/>
      <w:start w:val="1"/>
    </w:lvl>
  </w:abstractNum>
  <w:abstractNum w:abstractNumId="203">
    <w:nsid w:val="2A79EC49"/>
    <w:multiLevelType w:val="hybridMultilevel"/>
    <w:lvl w:ilvl="0">
      <w:lvlJc w:val="left"/>
      <w:lvlText w:val="(%1)"/>
      <w:numFmt w:val="lowerLetter"/>
      <w:start w:val="2"/>
    </w:lvl>
  </w:abstractNum>
  <w:abstractNum w:abstractNumId="204">
    <w:nsid w:val="338125CF"/>
    <w:multiLevelType w:val="hybridMultilevel"/>
    <w:lvl w:ilvl="0">
      <w:lvlJc w:val="left"/>
      <w:lvlText w:val="(%1)"/>
      <w:numFmt w:val="lowerRoman"/>
      <w:start w:val="1"/>
    </w:lvl>
  </w:abstractNum>
  <w:abstractNum w:abstractNumId="205">
    <w:nsid w:val="47C7C971"/>
    <w:multiLevelType w:val="hybridMultilevel"/>
    <w:lvl w:ilvl="0">
      <w:lvlJc w:val="left"/>
      <w:lvlText w:val="(%1)"/>
      <w:numFmt w:val="lowerRoman"/>
      <w:start w:val="5"/>
    </w:lvl>
  </w:abstractNum>
  <w:abstractNum w:abstractNumId="206">
    <w:nsid w:val="46F8284B"/>
    <w:multiLevelType w:val="hybridMultilevel"/>
    <w:lvl w:ilvl="0">
      <w:lvlJc w:val="left"/>
      <w:lvlText w:val="(%1)"/>
      <w:numFmt w:val="lowerRoman"/>
      <w:start w:val="6"/>
    </w:lvl>
  </w:abstractNum>
  <w:abstractNum w:abstractNumId="207">
    <w:nsid w:val="4FA327CE"/>
    <w:multiLevelType w:val="hybridMultilevel"/>
    <w:lvl w:ilvl="0">
      <w:lvlJc w:val="left"/>
      <w:lvlText w:val="%1."/>
      <w:numFmt w:val="upperLetter"/>
      <w:start w:val="1"/>
    </w:lvl>
  </w:abstractNum>
  <w:abstractNum w:abstractNumId="208">
    <w:nsid w:val="1873983A"/>
    <w:multiLevelType w:val="hybridMultilevel"/>
    <w:lvl w:ilvl="0">
      <w:lvlJc w:val="left"/>
      <w:lvlText w:val="%1."/>
      <w:numFmt w:val="upperLetter"/>
      <w:start w:val="5"/>
    </w:lvl>
  </w:abstractNum>
  <w:abstractNum w:abstractNumId="209">
    <w:nsid w:val="3D2DD275"/>
    <w:multiLevelType w:val="hybridMultilevel"/>
    <w:lvl w:ilvl="0">
      <w:lvlJc w:val="left"/>
      <w:lvlText w:val="%1."/>
      <w:numFmt w:val="upperLetter"/>
      <w:start w:val="1"/>
    </w:lvl>
  </w:abstractNum>
  <w:abstractNum w:abstractNumId="210">
    <w:nsid w:val="2E17ECA7"/>
    <w:multiLevelType w:val="hybridMultilevel"/>
    <w:lvl w:ilvl="0">
      <w:lvlJc w:val="left"/>
      <w:lvlText w:val="(%1)"/>
      <w:numFmt w:val="lowerRoman"/>
      <w:start w:val="1"/>
    </w:lvl>
  </w:abstractNum>
  <w:abstractNum w:abstractNumId="211">
    <w:nsid w:val="53B2564F"/>
    <w:multiLevelType w:val="hybridMultilevel"/>
    <w:lvl w:ilvl="0">
      <w:lvlJc w:val="left"/>
      <w:lvlText w:val="%1."/>
      <w:numFmt w:val="upperLetter"/>
      <w:start w:val="2"/>
    </w:lvl>
  </w:abstractNum>
  <w:abstractNum w:abstractNumId="212">
    <w:nsid w:val="75509D76"/>
    <w:multiLevelType w:val="hybridMultilevel"/>
    <w:lvl w:ilvl="0">
      <w:lvlJc w:val="left"/>
      <w:lvlText w:val="%1."/>
      <w:numFmt w:val="upperLetter"/>
      <w:start w:val="3"/>
    </w:lvl>
  </w:abstractNum>
  <w:abstractNum w:abstractNumId="213">
    <w:nsid w:val="1AF7F0EA"/>
    <w:multiLevelType w:val="hybridMultilevel"/>
    <w:lvl w:ilvl="0">
      <w:lvlJc w:val="left"/>
      <w:lvlText w:val="(%1)"/>
      <w:numFmt w:val="decimal"/>
      <w:start w:val="1"/>
    </w:lvl>
  </w:abstractNum>
  <w:abstractNum w:abstractNumId="214">
    <w:nsid w:val="4DA32C7E"/>
    <w:multiLevelType w:val="hybridMultilevel"/>
    <w:lvl w:ilvl="0">
      <w:lvlJc w:val="left"/>
      <w:lvlText w:val="(%1)"/>
      <w:numFmt w:val="decimal"/>
      <w:start w:val="1"/>
    </w:lvl>
  </w:abstractNum>
  <w:abstractNum w:abstractNumId="215">
    <w:nsid w:val="6EC68664"/>
    <w:multiLevelType w:val="hybridMultilevel"/>
    <w:lvl w:ilvl="0">
      <w:lvlJc w:val="left"/>
      <w:lvlText w:val="(%1)"/>
      <w:numFmt w:val="decimal"/>
      <w:start w:val="1"/>
    </w:lvl>
    <w:lvl w:ilvl="1">
      <w:lvlJc w:val="left"/>
      <w:lvlText w:val="(%2)"/>
      <w:numFmt w:val="lowerRoman"/>
      <w:start w:val="10"/>
    </w:lvl>
  </w:abstractNum>
  <w:abstractNum w:abstractNumId="216">
    <w:nsid w:val="E0D31FF"/>
    <w:multiLevelType w:val="hybridMultilevel"/>
    <w:lvl w:ilvl="0">
      <w:lvlJc w:val="left"/>
      <w:lvlText w:val="(%1)"/>
      <w:numFmt w:val="decimal"/>
      <w:start w:val="2"/>
    </w:lvl>
  </w:abstractNum>
  <w:abstractNum w:abstractNumId="217">
    <w:nsid w:val="2FD0AD81"/>
    <w:multiLevelType w:val="hybridMultilevel"/>
    <w:lvl w:ilvl="0">
      <w:lvlJc w:val="left"/>
      <w:lvlText w:val="(%1)"/>
      <w:numFmt w:val="decimal"/>
      <w:start w:val="1"/>
    </w:lvl>
  </w:abstractNum>
  <w:abstractNum w:abstractNumId="218">
    <w:nsid w:val="1978EBEB"/>
    <w:multiLevelType w:val="hybridMultilevel"/>
    <w:lvl w:ilvl="0">
      <w:lvlJc w:val="left"/>
      <w:lvlText w:val="(%1)"/>
      <w:numFmt w:val="decimal"/>
      <w:start w:val="2"/>
    </w:lvl>
  </w:abstractNum>
  <w:abstractNum w:abstractNumId="219">
    <w:nsid w:val="52C12C61"/>
    <w:multiLevelType w:val="hybridMultilevel"/>
    <w:lvl w:ilvl="0">
      <w:lvlJc w:val="left"/>
      <w:lvlText w:val="(%1)"/>
      <w:numFmt w:val="lowerLetter"/>
      <w:start w:val="1"/>
    </w:lvl>
  </w:abstractNum>
  <w:abstractNum w:abstractNumId="220">
    <w:nsid w:val="4BDD53FD"/>
    <w:multiLevelType w:val="hybridMultilevel"/>
    <w:lvl w:ilvl="0">
      <w:lvlJc w:val="left"/>
      <w:lvlText w:val="(%1)"/>
      <w:numFmt w:val="decimal"/>
      <w:start w:val="519"/>
    </w:lvl>
  </w:abstractNum>
  <w:abstractNum w:abstractNumId="221">
    <w:nsid w:val="569951FE"/>
    <w:multiLevelType w:val="hybridMultilevel"/>
    <w:lvl w:ilvl="0">
      <w:lvlJc w:val="left"/>
      <w:lvlText w:val="(%1)"/>
      <w:numFmt w:val="decimal"/>
      <w:start w:val="2"/>
    </w:lvl>
  </w:abstractNum>
  <w:abstractNum w:abstractNumId="222">
    <w:nsid w:val="4C54E2C3"/>
    <w:multiLevelType w:val="hybridMultilevel"/>
    <w:lvl w:ilvl="0">
      <w:lvlJc w:val="left"/>
      <w:lvlText w:val="(%1)"/>
      <w:numFmt w:val="lowerLetter"/>
      <w:start w:val="1"/>
    </w:lvl>
  </w:abstractNum>
  <w:abstractNum w:abstractNumId="223">
    <w:nsid w:val="788BD9B"/>
    <w:multiLevelType w:val="hybridMultilevel"/>
    <w:lvl w:ilvl="0">
      <w:lvlJc w:val="left"/>
      <w:lvlText w:val="(%1)"/>
      <w:numFmt w:val="lowerLetter"/>
      <w:start w:val="1"/>
    </w:lvl>
  </w:abstractNum>
  <w:abstractNum w:abstractNumId="224">
    <w:nsid w:val="47CAA567"/>
    <w:multiLevelType w:val="hybridMultilevel"/>
    <w:lvl w:ilvl="0">
      <w:lvlJc w:val="left"/>
      <w:lvlText w:val="(%1)"/>
      <w:numFmt w:val="lowerLetter"/>
      <w:start w:val="5"/>
    </w:lvl>
  </w:abstractNum>
  <w:abstractNum w:abstractNumId="225">
    <w:nsid w:val="48249DBF"/>
    <w:multiLevelType w:val="hybridMultilevel"/>
    <w:lvl w:ilvl="0">
      <w:lvlJc w:val="left"/>
      <w:lvlText w:val="(%1)"/>
      <w:numFmt w:val="lowerLetter"/>
      <w:start w:val="8"/>
    </w:lvl>
  </w:abstractNum>
  <w:abstractNum w:abstractNumId="226">
    <w:nsid w:val="1F0E5D0D"/>
    <w:multiLevelType w:val="hybridMultilevel"/>
    <w:lvl w:ilvl="0">
      <w:lvlJc w:val="left"/>
      <w:lvlText w:val="(%1)"/>
      <w:numFmt w:val="lowerLetter"/>
      <w:start w:val="1"/>
    </w:lvl>
  </w:abstractNum>
  <w:abstractNum w:abstractNumId="227">
    <w:nsid w:val="26BAAE9"/>
    <w:multiLevelType w:val="hybridMultilevel"/>
    <w:lvl w:ilvl="0">
      <w:lvlJc w:val="left"/>
      <w:lvlText w:val="(%1)"/>
      <w:numFmt w:val="lowerLetter"/>
      <w:start w:val="2"/>
    </w:lvl>
  </w:abstractNum>
  <w:abstractNum w:abstractNumId="228">
    <w:nsid w:val="2C02FE8C"/>
    <w:multiLevelType w:val="hybridMultilevel"/>
    <w:lvl w:ilvl="0">
      <w:lvlJc w:val="left"/>
      <w:lvlText w:val="(%1)"/>
      <w:numFmt w:val="lowerRoman"/>
      <w:start w:val="1"/>
    </w:lvl>
  </w:abstractNum>
  <w:abstractNum w:abstractNumId="229">
    <w:nsid w:val="129517E"/>
    <w:multiLevelType w:val="hybridMultilevel"/>
    <w:lvl w:ilvl="0">
      <w:lvlJc w:val="left"/>
      <w:lvlText w:val="(%1)"/>
      <w:numFmt w:val="decimal"/>
      <w:start w:val="3"/>
    </w:lvl>
  </w:abstractNum>
  <w:abstractNum w:abstractNumId="230">
    <w:nsid w:val="763B8C4E"/>
    <w:multiLevelType w:val="hybridMultilevel"/>
    <w:lvl w:ilvl="0">
      <w:lvlJc w:val="left"/>
      <w:lvlText w:val="(%1)"/>
      <w:numFmt w:val="lowerLetter"/>
      <w:start w:val="1"/>
    </w:lvl>
  </w:abstractNum>
  <w:abstractNum w:abstractNumId="231">
    <w:nsid w:val="4CFB8D32"/>
    <w:multiLevelType w:val="hybridMultilevel"/>
    <w:lvl w:ilvl="0">
      <w:lvlJc w:val="left"/>
      <w:lvlText w:val="(%1)"/>
      <w:numFmt w:val="lowerLetter"/>
      <w:start w:val="2"/>
    </w:lvl>
  </w:abstractNum>
  <w:abstractNum w:abstractNumId="232">
    <w:nsid w:val="62A5D5BD"/>
    <w:multiLevelType w:val="hybridMultilevel"/>
    <w:lvl w:ilvl="0">
      <w:lvlJc w:val="left"/>
      <w:lvlText w:val="(%1)"/>
      <w:numFmt w:val="lowerRoman"/>
      <w:start w:val="2"/>
    </w:lvl>
  </w:abstractNum>
  <w:abstractNum w:abstractNumId="233">
    <w:nsid w:val="718FABF9"/>
    <w:multiLevelType w:val="hybridMultilevel"/>
    <w:lvl w:ilvl="0">
      <w:lvlJc w:val="left"/>
      <w:lvlText w:val="(%1)"/>
      <w:numFmt w:val="lowerRoman"/>
      <w:start w:val="3"/>
    </w:lvl>
  </w:abstractNum>
  <w:abstractNum w:abstractNumId="234">
    <w:nsid w:val="7775797C"/>
    <w:multiLevelType w:val="hybridMultilevel"/>
    <w:lvl w:ilvl="0">
      <w:lvlJc w:val="left"/>
      <w:lvlText w:val="(%1)"/>
      <w:numFmt w:val="lowerRoman"/>
      <w:start w:val="6"/>
    </w:lvl>
  </w:abstractNum>
  <w:abstractNum w:abstractNumId="235">
    <w:nsid w:val="1626FB8C"/>
    <w:multiLevelType w:val="hybridMultilevel"/>
    <w:lvl w:ilvl="0">
      <w:lvlJc w:val="left"/>
      <w:lvlText w:val="(%1)"/>
      <w:numFmt w:val="lowerLetter"/>
      <w:start w:val="1"/>
    </w:lvl>
  </w:abstractNum>
  <w:abstractNum w:abstractNumId="236">
    <w:nsid w:val="3957756A"/>
    <w:multiLevelType w:val="hybridMultilevel"/>
    <w:lvl w:ilvl="0">
      <w:lvlJc w:val="left"/>
      <w:lvlText w:val="(%1)"/>
      <w:numFmt w:val="lowerLetter"/>
      <w:start w:val="2"/>
    </w:lvl>
  </w:abstractNum>
  <w:abstractNum w:abstractNumId="237">
    <w:nsid w:val="3E6DA1C7"/>
    <w:multiLevelType w:val="hybridMultilevel"/>
    <w:lvl w:ilvl="0">
      <w:lvlJc w:val="left"/>
      <w:lvlText w:val="(%1)"/>
      <w:numFmt w:val="lowerLetter"/>
      <w:start w:val="3"/>
    </w:lvl>
  </w:abstractNum>
  <w:abstractNum w:abstractNumId="238">
    <w:nsid w:val="65CA235B"/>
    <w:multiLevelType w:val="hybridMultilevel"/>
    <w:lvl w:ilvl="0">
      <w:lvlJc w:val="left"/>
      <w:lvlText w:val="(%1)"/>
      <w:numFmt w:val="lowerLetter"/>
      <w:start w:val="8"/>
    </w:lvl>
  </w:abstractNum>
  <w:abstractNum w:abstractNumId="239">
    <w:nsid w:val="51CB0DA4"/>
    <w:multiLevelType w:val="hybridMultilevel"/>
    <w:lvl w:ilvl="0">
      <w:lvlJc w:val="left"/>
      <w:lvlText w:val="(%1)"/>
      <w:numFmt w:val="lowerLetter"/>
      <w:start w:val="11"/>
    </w:lvl>
  </w:abstractNum>
  <w:abstractNum w:abstractNumId="240">
    <w:nsid w:val="7B9B743C"/>
    <w:multiLevelType w:val="hybridMultilevel"/>
    <w:lvl w:ilvl="0">
      <w:lvlJc w:val="left"/>
      <w:lvlText w:val="(%1)"/>
      <w:numFmt w:val="lowerRoman"/>
      <w:start w:val="1"/>
    </w:lvl>
  </w:abstractNum>
  <w:abstractNum w:abstractNumId="241">
    <w:nsid w:val="13E21002"/>
    <w:multiLevelType w:val="hybridMultilevel"/>
    <w:lvl w:ilvl="0">
      <w:lvlJc w:val="left"/>
      <w:lvlText w:val="(%1)"/>
      <w:numFmt w:val="lowerLetter"/>
      <w:start w:val="13"/>
    </w:lvl>
  </w:abstractNum>
  <w:abstractNum w:abstractNumId="242">
    <w:nsid w:val="257D63F4"/>
    <w:multiLevelType w:val="hybridMultilevel"/>
    <w:lvl w:ilvl="0">
      <w:lvlJc w:val="left"/>
      <w:lvlText w:val="(%1)"/>
      <w:numFmt w:val="decimal"/>
      <w:start w:val="1"/>
    </w:lvl>
  </w:abstractNum>
  <w:abstractNum w:abstractNumId="243">
    <w:nsid w:val="70EC11B2"/>
    <w:multiLevelType w:val="hybridMultilevel"/>
    <w:lvl w:ilvl="0">
      <w:lvlJc w:val="left"/>
      <w:lvlText w:val="(%1)"/>
      <w:numFmt w:val="lowerRoman"/>
      <w:start w:val="1"/>
    </w:lvl>
  </w:abstractNum>
  <w:abstractNum w:abstractNumId="244">
    <w:nsid w:val="2EDA00ED"/>
    <w:multiLevelType w:val="hybridMultilevel"/>
    <w:lvl w:ilvl="0">
      <w:lvlJc w:val="left"/>
      <w:lvlText w:val="(%1)"/>
      <w:numFmt w:val="lowerLetter"/>
      <w:start w:val="2"/>
    </w:lvl>
  </w:abstractNum>
  <w:abstractNum w:abstractNumId="245">
    <w:nsid w:val="73209072"/>
    <w:multiLevelType w:val="hybridMultilevel"/>
    <w:lvl w:ilvl="0">
      <w:lvlJc w:val="left"/>
      <w:lvlText w:val="(%1)"/>
      <w:numFmt w:val="lowerLetter"/>
      <w:start w:val="5"/>
    </w:lvl>
  </w:abstractNum>
  <w:abstractNum w:abstractNumId="246">
    <w:nsid w:val="5FB29816"/>
    <w:multiLevelType w:val="hybridMultilevel"/>
    <w:lvl w:ilvl="0">
      <w:lvlJc w:val="left"/>
      <w:lvlText w:val="(%1)"/>
      <w:numFmt w:val="decimal"/>
      <w:start w:val="1"/>
    </w:lvl>
  </w:abstractNum>
  <w:abstractNum w:abstractNumId="247">
    <w:nsid w:val="3CE732EC"/>
    <w:multiLevelType w:val="hybridMultilevel"/>
    <w:lvl w:ilvl="0">
      <w:lvlJc w:val="left"/>
      <w:lvlText w:val="(%1)"/>
      <w:numFmt w:val="decimal"/>
      <w:start w:val="1"/>
    </w:lvl>
  </w:abstractNum>
  <w:abstractNum w:abstractNumId="248">
    <w:nsid w:val="22F13DF3"/>
    <w:multiLevelType w:val="hybridMultilevel"/>
    <w:lvl w:ilvl="0">
      <w:lvlJc w:val="left"/>
      <w:lvlText w:val="(%1)"/>
      <w:numFmt w:val="decimal"/>
      <w:start w:val="4"/>
    </w:lvl>
  </w:abstractNum>
  <w:abstractNum w:abstractNumId="249">
    <w:nsid w:val="792B8401"/>
    <w:multiLevelType w:val="hybridMultilevel"/>
    <w:lvl w:ilvl="0">
      <w:lvlJc w:val="left"/>
      <w:lvlText w:val="%1"/>
      <w:numFmt w:val="decimal"/>
      <w:start w:val="1"/>
    </w:lvl>
    <w:lvl w:ilvl="1">
      <w:lvlJc w:val="left"/>
      <w:lvlText w:val="(%2)"/>
      <w:numFmt w:val="lowerLetter"/>
      <w:start w:val="1"/>
    </w:lvl>
  </w:abstractNum>
  <w:abstractNum w:abstractNumId="250">
    <w:nsid w:val="FA85F4D"/>
    <w:multiLevelType w:val="hybridMultilevel"/>
    <w:lvl w:ilvl="0">
      <w:lvlJc w:val="left"/>
      <w:lvlText w:val="(%1)"/>
      <w:numFmt w:val="decimal"/>
      <w:start w:val="16"/>
    </w:lvl>
    <w:lvl w:ilvl="1">
      <w:lvlJc w:val="left"/>
      <w:lvlText w:val="%2"/>
      <w:numFmt w:val="lowerLetter"/>
      <w:start w:val="1"/>
    </w:lvl>
  </w:abstractNum>
  <w:abstractNum w:abstractNumId="251">
    <w:nsid w:val="6ECE91F0"/>
    <w:multiLevelType w:val="hybridMultilevel"/>
    <w:lvl w:ilvl="0">
      <w:lvlJc w:val="left"/>
      <w:lvlText w:val="(%1)"/>
      <w:numFmt w:val="decimal"/>
      <w:start w:val="1"/>
    </w:lvl>
  </w:abstractNum>
  <w:abstractNum w:abstractNumId="252">
    <w:nsid w:val="4FC4D600"/>
    <w:multiLevelType w:val="hybridMultilevel"/>
    <w:lvl w:ilvl="0">
      <w:lvlJc w:val="left"/>
      <w:lvlText w:val="(%1)"/>
      <w:numFmt w:val="lowerLetter"/>
      <w:start w:val="2"/>
    </w:lvl>
  </w:abstractNum>
  <w:abstractNum w:abstractNumId="253">
    <w:nsid w:val="5BFD4210"/>
    <w:multiLevelType w:val="hybridMultilevel"/>
    <w:lvl w:ilvl="0">
      <w:lvlJc w:val="left"/>
      <w:lvlText w:val="(%1)"/>
      <w:numFmt w:val="decimal"/>
      <w:start w:val="1"/>
    </w:lvl>
  </w:abstractNum>
  <w:abstractNum w:abstractNumId="254">
    <w:nsid w:val="76574F8B"/>
    <w:multiLevelType w:val="hybridMultilevel"/>
    <w:lvl w:ilvl="0">
      <w:lvlJc w:val="left"/>
      <w:lvlText w:val="(%1)"/>
      <w:numFmt w:val="decimal"/>
      <w:start w:val="1"/>
    </w:lvl>
  </w:abstractNum>
  <w:abstractNum w:abstractNumId="255">
    <w:nsid w:val="178F7B67"/>
    <w:multiLevelType w:val="hybridMultilevel"/>
    <w:lvl w:ilvl="0">
      <w:lvlJc w:val="left"/>
      <w:lvlText w:val="(%1)"/>
      <w:numFmt w:val="decimal"/>
      <w:start w:val="4"/>
    </w:lvl>
  </w:abstractNum>
  <w:abstractNum w:abstractNumId="256">
    <w:nsid w:val="2421DFCF"/>
    <w:multiLevelType w:val="hybridMultilevel"/>
    <w:lvl w:ilvl="0">
      <w:lvlJc w:val="left"/>
      <w:lvlText w:val="(%1)"/>
      <w:numFmt w:val="decimal"/>
      <w:start w:val="10"/>
    </w:lvl>
  </w:abstractNum>
  <w:abstractNum w:abstractNumId="257">
    <w:nsid w:val="1565AC99"/>
    <w:multiLevelType w:val="hybridMultilevel"/>
    <w:lvl w:ilvl="0">
      <w:lvlJc w:val="left"/>
      <w:lvlText w:val="(%1)"/>
      <w:numFmt w:val="lowerLetter"/>
      <w:start w:val="2"/>
    </w:lvl>
  </w:abstractNum>
  <w:abstractNum w:abstractNumId="258">
    <w:nsid w:val="19FB2650"/>
    <w:multiLevelType w:val="hybridMultilevel"/>
    <w:lvl w:ilvl="0">
      <w:lvlJc w:val="left"/>
      <w:lvlText w:val="(%1)"/>
      <w:numFmt w:val="lowerLetter"/>
      <w:start w:val="1"/>
    </w:lvl>
  </w:abstractNum>
  <w:abstractNum w:abstractNumId="259">
    <w:nsid w:val="5024DE5B"/>
    <w:multiLevelType w:val="hybridMultilevel"/>
    <w:lvl w:ilvl="0">
      <w:lvlJc w:val="left"/>
      <w:lvlText w:val="(%1)"/>
      <w:numFmt w:val="lowerLetter"/>
      <w:start w:val="2"/>
    </w:lvl>
  </w:abstractNum>
  <w:abstractNum w:abstractNumId="260">
    <w:nsid w:val="168EFE17"/>
    <w:multiLevelType w:val="hybridMultilevel"/>
    <w:lvl w:ilvl="0">
      <w:lvlJc w:val="left"/>
      <w:lvlText w:val="(%1)"/>
      <w:numFmt w:val="lowerLetter"/>
      <w:start w:val="25"/>
    </w:lvl>
  </w:abstractNum>
  <w:abstractNum w:abstractNumId="261">
    <w:nsid w:val="1036B29F"/>
    <w:multiLevelType w:val="hybridMultilevel"/>
    <w:lvl w:ilvl="0">
      <w:lvlJc w:val="left"/>
      <w:lvlText w:val="(%1)"/>
      <w:numFmt w:val="decimal"/>
      <w:start w:val="1"/>
    </w:lvl>
  </w:abstractNum>
  <w:abstractNum w:abstractNumId="262">
    <w:nsid w:val="1D206B8E"/>
    <w:multiLevelType w:val="hybridMultilevel"/>
    <w:lvl w:ilvl="0">
      <w:lvlJc w:val="left"/>
      <w:lvlText w:val="%1"/>
      <w:numFmt w:val="lowerLetter"/>
      <w:start w:val="1"/>
    </w:lvl>
    <w:lvl w:ilvl="1">
      <w:lvlJc w:val="left"/>
      <w:lvlText w:val="(%2)"/>
      <w:numFmt w:val="decimal"/>
      <w:start w:val="5"/>
    </w:lvl>
  </w:abstractNum>
  <w:abstractNum w:abstractNumId="263">
    <w:nsid w:val="7934D3D4"/>
    <w:multiLevelType w:val="hybridMultilevel"/>
    <w:lvl w:ilvl="0">
      <w:lvlJc w:val="left"/>
      <w:lvlText w:val="(%1)"/>
      <w:numFmt w:val="lowerLetter"/>
      <w:start w:val="5"/>
    </w:lvl>
    <w:lvl w:ilvl="1">
      <w:lvlJc w:val="left"/>
      <w:lvlText w:val="(%2)"/>
      <w:numFmt w:val="decimal"/>
      <w:start w:val="6"/>
    </w:lvl>
  </w:abstractNum>
  <w:abstractNum w:abstractNumId="264">
    <w:nsid w:val="1C65E98"/>
    <w:multiLevelType w:val="hybridMultilevel"/>
    <w:lvl w:ilvl="0">
      <w:lvlJc w:val="left"/>
      <w:lvlText w:val="%1"/>
      <w:numFmt w:val="lowerRoman"/>
      <w:start w:val="1"/>
    </w:lvl>
    <w:lvl w:ilvl="1">
      <w:lvlJc w:val="left"/>
      <w:lvlText w:val="(%2)"/>
      <w:numFmt w:val="decimal"/>
      <w:start w:val="8"/>
    </w:lvl>
  </w:abstractNum>
  <w:abstractNum w:abstractNumId="265">
    <w:nsid w:val="1495E50A"/>
    <w:multiLevelType w:val="hybridMultilevel"/>
    <w:lvl w:ilvl="0">
      <w:lvlJc w:val="left"/>
      <w:lvlText w:val="(%1)"/>
      <w:numFmt w:val="lowerRoman"/>
      <w:start w:val="2"/>
    </w:lvl>
    <w:lvl w:ilvl="1">
      <w:lvlJc w:val="left"/>
      <w:lvlText w:val="(%2)"/>
      <w:numFmt w:val="decimal"/>
      <w:start w:val="9"/>
    </w:lvl>
  </w:abstractNum>
  <w:abstractNum w:abstractNumId="266">
    <w:nsid w:val="F5BCF61"/>
    <w:multiLevelType w:val="hybridMultilevel"/>
    <w:lvl w:ilvl="0">
      <w:lvlJc w:val="left"/>
      <w:lvlText w:val="(%1)"/>
      <w:numFmt w:val="lowerLetter"/>
      <w:start w:val="1"/>
    </w:lvl>
    <w:lvl w:ilvl="1">
      <w:lvlJc w:val="left"/>
      <w:lvlText w:val="(%2)"/>
      <w:numFmt w:val="lowerRoman"/>
      <w:start w:val="1"/>
    </w:lvl>
  </w:abstractNum>
  <w:abstractNum w:abstractNumId="267">
    <w:nsid w:val="3B1DD403"/>
    <w:multiLevelType w:val="hybridMultilevel"/>
    <w:lvl w:ilvl="0">
      <w:lvlJc w:val="left"/>
      <w:lvlText w:val="%1"/>
      <w:numFmt w:val="lowerLetter"/>
      <w:start w:val="1"/>
    </w:lvl>
    <w:lvl w:ilvl="1">
      <w:lvlJc w:val="left"/>
      <w:lvlText w:val="(%2)"/>
      <w:numFmt w:val="lowerRoman"/>
      <w:start w:val="6"/>
    </w:lvl>
  </w:abstractNum>
  <w:abstractNum w:abstractNumId="268">
    <w:nsid w:val="530386D1"/>
    <w:multiLevelType w:val="hybridMultilevel"/>
    <w:lvl w:ilvl="0">
      <w:lvlJc w:val="left"/>
      <w:lvlText w:val="(%1)"/>
      <w:numFmt w:val="lowerLetter"/>
      <w:start w:val="2"/>
    </w:lvl>
    <w:lvl w:ilvl="1">
      <w:lvlJc w:val="left"/>
      <w:lvlText w:val="%2"/>
      <w:numFmt w:val="lowerRoman"/>
      <w:start w:val="1"/>
    </w:lvl>
  </w:abstractNum>
  <w:abstractNum w:abstractNumId="269">
    <w:nsid w:val="7525F2BC"/>
    <w:multiLevelType w:val="hybridMultilevel"/>
    <w:lvl w:ilvl="0">
      <w:lvlJc w:val="left"/>
      <w:lvlText w:val="(%1)"/>
      <w:numFmt w:val="lowerLetter"/>
      <w:start w:val="2"/>
    </w:lvl>
  </w:abstractNum>
  <w:abstractNum w:abstractNumId="270">
    <w:nsid w:val="CE8E1A7"/>
    <w:multiLevelType w:val="hybridMultilevel"/>
    <w:lvl w:ilvl="0">
      <w:lvlJc w:val="left"/>
      <w:lvlText w:val="(%1)"/>
      <w:numFmt w:val="lowerRoman"/>
      <w:start w:val="2"/>
    </w:lvl>
  </w:abstractNum>
  <w:abstractNum w:abstractNumId="271">
    <w:nsid w:val="4E9EFB0D"/>
    <w:multiLevelType w:val="hybridMultilevel"/>
    <w:lvl w:ilvl="0">
      <w:lvlJc w:val="left"/>
      <w:lvlText w:val="(%1)"/>
      <w:numFmt w:val="lowerLetter"/>
      <w:start w:val="2"/>
    </w:lvl>
  </w:abstractNum>
  <w:abstractNum w:abstractNumId="272">
    <w:nsid w:val="90802B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73">
    <w:nsid w:val="3266459B"/>
    <w:multiLevelType w:val="hybridMultilevel"/>
    <w:lvl w:ilvl="0">
      <w:lvlJc w:val="left"/>
      <w:lvlText w:val="(%1)"/>
      <w:numFmt w:val="upperLetter"/>
      <w:start w:val="3"/>
    </w:lvl>
  </w:abstractNum>
  <w:abstractNum w:abstractNumId="274">
    <w:nsid w:val="3F8B0CBF"/>
    <w:multiLevelType w:val="hybridMultilevel"/>
    <w:lvl w:ilvl="0">
      <w:lvlJc w:val="left"/>
      <w:lvlText w:val="(%1)"/>
      <w:numFmt w:val="lowerLetter"/>
      <w:start w:val="7"/>
    </w:lvl>
  </w:abstractNum>
  <w:abstractNum w:abstractNumId="275">
    <w:nsid w:val="37E203AB"/>
    <w:multiLevelType w:val="hybridMultilevel"/>
    <w:lvl w:ilvl="0">
      <w:lvlJc w:val="left"/>
      <w:lvlText w:val="(%1)"/>
      <w:numFmt w:val="lowerLetter"/>
      <w:start w:val="8"/>
    </w:lvl>
  </w:abstractNum>
  <w:abstractNum w:abstractNumId="276">
    <w:nsid w:val="2586D60E"/>
    <w:multiLevelType w:val="hybridMultilevel"/>
    <w:lvl w:ilvl="0">
      <w:lvlJc w:val="left"/>
      <w:lvlText w:val="(%1)"/>
      <w:numFmt w:val="lowerLetter"/>
      <w:start w:val="1"/>
    </w:lvl>
    <w:lvl w:ilvl="1">
      <w:lvlJc w:val="left"/>
      <w:lvlText w:val="(%2)"/>
      <w:numFmt w:val="lowerRoman"/>
      <w:start w:val="1"/>
    </w:lvl>
  </w:abstractNum>
  <w:abstractNum w:abstractNumId="277">
    <w:nsid w:val="1F3DA4D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278">
    <w:nsid w:val="74C9369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79">
    <w:nsid w:val="48781401"/>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280">
    <w:nsid w:val="186928D6"/>
    <w:multiLevelType w:val="hybridMultilevel"/>
    <w:lvl w:ilvl="0">
      <w:lvlJc w:val="left"/>
      <w:lvlText w:val="(%1)"/>
      <w:numFmt w:val="lowerRoman"/>
      <w:start w:val="10"/>
    </w:lvl>
  </w:abstractNum>
  <w:abstractNum w:abstractNumId="281">
    <w:nsid w:val="47195E5"/>
    <w:multiLevelType w:val="hybridMultilevel"/>
    <w:lvl w:ilvl="0">
      <w:lvlJc w:val="left"/>
      <w:lvlText w:val="(%1)"/>
      <w:numFmt w:val="lowerLetter"/>
      <w:start w:val="1"/>
    </w:lvl>
  </w:abstractNum>
  <w:abstractNum w:abstractNumId="282">
    <w:nsid w:val="3746A5F2"/>
    <w:multiLevelType w:val="hybridMultilevel"/>
    <w:lvl w:ilvl="0">
      <w:lvlJc w:val="left"/>
      <w:lvlText w:val="%1"/>
      <w:numFmt w:val="lowerLetter"/>
      <w:start w:val="1"/>
    </w:lvl>
    <w:lvl w:ilvl="1">
      <w:lvlJc w:val="left"/>
      <w:lvlText w:val="(%2)"/>
      <w:numFmt w:val="lowerLetter"/>
      <w:start w:val="3"/>
    </w:lvl>
  </w:abstractNum>
  <w:abstractNum w:abstractNumId="283">
    <w:nsid w:val="682DFED6"/>
    <w:multiLevelType w:val="hybridMultilevel"/>
    <w:lvl w:ilvl="0">
      <w:lvlJc w:val="left"/>
      <w:lvlText w:val="(%1)"/>
      <w:numFmt w:val="lowerLetter"/>
      <w:start w:val="9"/>
    </w:lvl>
    <w:lvl w:ilvl="1">
      <w:lvlJc w:val="left"/>
      <w:lvlText w:val="%2"/>
      <w:numFmt w:val="lowerLetter"/>
      <w:start w:val="1"/>
    </w:lvl>
  </w:abstractNum>
  <w:abstractNum w:abstractNumId="284">
    <w:nsid w:val="606ED7F6"/>
    <w:multiLevelType w:val="hybridMultilevel"/>
    <w:lvl w:ilvl="0">
      <w:lvlJc w:val="left"/>
      <w:lvlText w:val="(%1)"/>
      <w:numFmt w:val="decimal"/>
      <w:start w:val="10"/>
    </w:lvl>
    <w:lvl w:ilvl="1">
      <w:lvlJc w:val="left"/>
      <w:lvlText w:val="(%2)"/>
      <w:numFmt w:val="lowerLetter"/>
      <w:start w:val="4"/>
    </w:lvl>
  </w:abstractNum>
  <w:abstractNum w:abstractNumId="285">
    <w:nsid w:val="2D9DF57D"/>
    <w:multiLevelType w:val="hybridMultilevel"/>
    <w:lvl w:ilvl="0">
      <w:lvlJc w:val="left"/>
      <w:lvlText w:val="(%1)"/>
      <w:numFmt w:val="lowerLetter"/>
      <w:start w:val="25"/>
    </w:lvl>
    <w:lvl w:ilvl="1">
      <w:lvlJc w:val="left"/>
      <w:lvlText w:val="(%2)"/>
      <w:numFmt w:val="lowerLetter"/>
      <w:start w:val="6"/>
    </w:lvl>
  </w:abstractNum>
  <w:abstractNum w:abstractNumId="286">
    <w:nsid w:val="7FBD7A3E"/>
    <w:multiLevelType w:val="hybridMultilevel"/>
    <w:lvl w:ilvl="0">
      <w:lvlJc w:val="left"/>
      <w:lvlText w:val="(%1)"/>
      <w:numFmt w:val="lowerLetter"/>
      <w:start w:val="2"/>
    </w:lvl>
  </w:abstractNum>
  <w:abstractNum w:abstractNumId="287">
    <w:nsid w:val="490B7C5"/>
    <w:multiLevelType w:val="hybridMultilevel"/>
    <w:lvl w:ilvl="0">
      <w:lvlJc w:val="left"/>
      <w:lvlText w:val="(%1)"/>
      <w:numFmt w:val="lowerLetter"/>
      <w:start w:val="3"/>
    </w:lvl>
    <w:lvl w:ilvl="1">
      <w:lvlJc w:val="left"/>
      <w:lvlText w:val="(%2)"/>
      <w:numFmt w:val="lowerRoman"/>
      <w:start w:val="1"/>
    </w:lvl>
  </w:abstractNum>
  <w:abstractNum w:abstractNumId="288">
    <w:nsid w:val="4303A216"/>
    <w:multiLevelType w:val="hybridMultilevel"/>
    <w:lvl w:ilvl="0">
      <w:lvlJc w:val="left"/>
      <w:lvlText w:val="%1"/>
      <w:numFmt w:val="lowerLetter"/>
      <w:start w:val="1"/>
    </w:lvl>
    <w:lvl w:ilvl="1">
      <w:lvlJc w:val="left"/>
      <w:lvlText w:val="(%2)"/>
      <w:numFmt w:val="lowerRoman"/>
      <w:start w:val="3"/>
    </w:lvl>
  </w:abstractNum>
  <w:abstractNum w:abstractNumId="289">
    <w:nsid w:val="19B8A08E"/>
    <w:multiLevelType w:val="hybridMultilevel"/>
    <w:lvl w:ilvl="0">
      <w:lvlJc w:val="left"/>
      <w:lvlText w:val="(%1)"/>
      <w:numFmt w:val="lowerLetter"/>
      <w:start w:val="5"/>
    </w:lvl>
    <w:lvl w:ilvl="1">
      <w:lvlJc w:val="left"/>
      <w:lvlText w:val="(%2)"/>
      <w:numFmt w:val="lowerRoman"/>
      <w:start w:val="1"/>
    </w:lvl>
  </w:abstractNum>
  <w:abstractNum w:abstractNumId="290">
    <w:nsid w:val="54B59621"/>
    <w:multiLevelType w:val="hybridMultilevel"/>
    <w:lvl w:ilvl="0">
      <w:lvlJc w:val="left"/>
      <w:lvlText w:val="(%1)"/>
      <w:numFmt w:val="lowerRoman"/>
      <w:start w:val="3"/>
    </w:lvl>
  </w:abstractNum>
  <w:abstractNum w:abstractNumId="291">
    <w:nsid w:val="5992A02E"/>
    <w:multiLevelType w:val="hybridMultilevel"/>
    <w:lvl w:ilvl="0">
      <w:lvlJc w:val="left"/>
      <w:lvlText w:val="(%1)"/>
      <w:numFmt w:val="lowerRoman"/>
      <w:start w:val="4"/>
    </w:lvl>
  </w:abstractNum>
  <w:abstractNum w:abstractNumId="292">
    <w:nsid w:val="29EF532D"/>
    <w:multiLevelType w:val="hybridMultilevel"/>
    <w:lvl w:ilvl="0">
      <w:lvlJc w:val="left"/>
      <w:lvlText w:val="(%1)"/>
      <w:numFmt w:val="lowerLetter"/>
      <w:start w:val="1"/>
    </w:lvl>
    <w:lvl w:ilvl="1">
      <w:lvlJc w:val="left"/>
      <w:lvlText w:val="(%2)"/>
      <w:numFmt w:val="decimal"/>
      <w:start w:val="1"/>
    </w:lvl>
  </w:abstractNum>
  <w:abstractNum w:abstractNumId="293">
    <w:nsid w:val="71D601AF"/>
    <w:multiLevelType w:val="hybridMultilevel"/>
    <w:lvl w:ilvl="0">
      <w:lvlJc w:val="left"/>
      <w:lvlText w:val="%1"/>
      <w:numFmt w:val="lowerLetter"/>
      <w:start w:val="1"/>
    </w:lvl>
    <w:lvl w:ilvl="1">
      <w:lvlJc w:val="left"/>
      <w:lvlText w:val="(%2)"/>
      <w:numFmt w:val="decimal"/>
      <w:start w:val="5"/>
    </w:lvl>
  </w:abstractNum>
  <w:abstractNum w:abstractNumId="294">
    <w:nsid w:val="52C77402"/>
    <w:multiLevelType w:val="hybridMultilevel"/>
    <w:lvl w:ilvl="0">
      <w:lvlJc w:val="left"/>
      <w:lvlText w:val="(%1)"/>
      <w:numFmt w:val="lowerLetter"/>
      <w:start w:val="4"/>
    </w:lvl>
    <w:lvl w:ilvl="1">
      <w:lvlJc w:val="left"/>
      <w:lvlText w:val="%2"/>
      <w:numFmt w:val="decimal"/>
      <w:start w:val="1"/>
    </w:lvl>
  </w:abstractNum>
  <w:abstractNum w:abstractNumId="295">
    <w:nsid w:val="2BB5B1C6"/>
    <w:multiLevelType w:val="hybridMultilevel"/>
    <w:lvl w:ilvl="0">
      <w:lvlJc w:val="left"/>
      <w:lvlText w:val="(%1)"/>
      <w:numFmt w:val="lowerLetter"/>
      <w:start w:val="1"/>
    </w:lvl>
  </w:abstractNum>
  <w:abstractNum w:abstractNumId="296">
    <w:nsid w:val="66BE6B9"/>
    <w:multiLevelType w:val="hybridMultilevel"/>
    <w:lvl w:ilvl="0">
      <w:lvlJc w:val="left"/>
      <w:lvlText w:val="(%1)"/>
      <w:numFmt w:val="lowerLetter"/>
      <w:start w:val="2"/>
    </w:lvl>
  </w:abstractNum>
  <w:abstractNum w:abstractNumId="297">
    <w:nsid w:val="62234363"/>
    <w:multiLevelType w:val="hybridMultilevel"/>
    <w:lvl w:ilvl="0">
      <w:lvlJc w:val="left"/>
      <w:lvlText w:val="(%1)"/>
      <w:numFmt w:val="lowerLetter"/>
      <w:start w:val="2"/>
    </w:lvl>
  </w:abstractNum>
  <w:abstractNum w:abstractNumId="298">
    <w:nsid w:val="66D385C9"/>
    <w:multiLevelType w:val="hybridMultilevel"/>
    <w:lvl w:ilvl="0">
      <w:lvlJc w:val="left"/>
      <w:lvlText w:val="(%1)"/>
      <w:numFmt w:val="lowerLetter"/>
      <w:start w:val="1"/>
    </w:lvl>
    <w:lvl w:ilvl="1">
      <w:lvlJc w:val="left"/>
      <w:lvlText w:val="(%2)"/>
      <w:numFmt w:val="lowerRoman"/>
      <w:start w:val="1"/>
    </w:lvl>
  </w:abstractNum>
  <w:abstractNum w:abstractNumId="299">
    <w:nsid w:val="596F6D8A"/>
    <w:multiLevelType w:val="hybridMultilevel"/>
    <w:lvl w:ilvl="0">
      <w:lvlJc w:val="left"/>
      <w:lvlText w:val="(%1)"/>
      <w:numFmt w:val="lowerRoman"/>
      <w:start w:val="3"/>
    </w:lvl>
  </w:abstractNum>
  <w:abstractNum w:abstractNumId="300">
    <w:nsid w:val="5749361F"/>
    <w:multiLevelType w:val="hybridMultilevel"/>
    <w:lvl w:ilvl="0">
      <w:lvlJc w:val="left"/>
      <w:lvlText w:val="(%1)"/>
      <w:numFmt w:val="decimal"/>
      <w:start w:val="1"/>
    </w:lvl>
  </w:abstractNum>
  <w:abstractNum w:abstractNumId="301">
    <w:nsid w:val="73BC6770"/>
    <w:multiLevelType w:val="hybridMultilevel"/>
    <w:lvl w:ilvl="0">
      <w:lvlJc w:val="left"/>
      <w:lvlText w:val="(%1)"/>
      <w:numFmt w:val="decimal"/>
      <w:start w:val="1"/>
    </w:lvl>
  </w:abstractNum>
  <w:abstractNum w:abstractNumId="302">
    <w:nsid w:val="280E6897"/>
    <w:multiLevelType w:val="hybridMultilevel"/>
    <w:lvl w:ilvl="0">
      <w:lvlJc w:val="left"/>
      <w:lvlText w:val="(%1)"/>
      <w:numFmt w:val="decimal"/>
      <w:start w:val="3"/>
    </w:lvl>
  </w:abstractNum>
  <w:abstractNum w:abstractNumId="303">
    <w:nsid w:val="605138DE"/>
    <w:multiLevelType w:val="hybridMultilevel"/>
    <w:lvl w:ilvl="0">
      <w:lvlJc w:val="left"/>
      <w:lvlText w:val="(%1)"/>
      <w:numFmt w:val="decimal"/>
      <w:start w:val="1"/>
    </w:lvl>
  </w:abstractNum>
  <w:abstractNum w:abstractNumId="304">
    <w:nsid w:val="2622AD0C"/>
    <w:multiLevelType w:val="hybridMultilevel"/>
    <w:lvl w:ilvl="0">
      <w:lvlJc w:val="left"/>
      <w:lvlText w:val="(%1)"/>
      <w:numFmt w:val="decimal"/>
      <w:start w:val="6"/>
    </w:lvl>
  </w:abstractNum>
  <w:abstractNum w:abstractNumId="305">
    <w:nsid w:val="67997556"/>
    <w:multiLevelType w:val="hybridMultilevel"/>
    <w:lvl w:ilvl="0">
      <w:lvlJc w:val="left"/>
      <w:lvlText w:val="(%1)"/>
      <w:numFmt w:val="decimal"/>
      <w:start w:val="1"/>
    </w:lvl>
  </w:abstractNum>
  <w:abstractNum w:abstractNumId="306">
    <w:nsid w:val="18333C89"/>
    <w:multiLevelType w:val="hybridMultilevel"/>
    <w:lvl w:ilvl="0">
      <w:lvlJc w:val="left"/>
      <w:lvlText w:val="(%1)"/>
      <w:numFmt w:val="decimal"/>
      <w:start w:val="2"/>
    </w:lvl>
  </w:abstractNum>
  <w:abstractNum w:abstractNumId="307">
    <w:nsid w:val="4BA9831A"/>
    <w:multiLevelType w:val="hybridMultilevel"/>
    <w:lvl w:ilvl="0">
      <w:lvlJc w:val="left"/>
      <w:lvlText w:val="(%1)"/>
      <w:numFmt w:val="lowerLetter"/>
      <w:start w:val="1"/>
    </w:lvl>
  </w:abstractNum>
  <w:abstractNum w:abstractNumId="308">
    <w:nsid w:val="6D71A2B"/>
    <w:multiLevelType w:val="hybridMultilevel"/>
    <w:lvl w:ilvl="0">
      <w:lvlJc w:val="left"/>
      <w:lvlText w:val="(%1)"/>
      <w:numFmt w:val="decimal"/>
      <w:start w:val="519"/>
    </w:lvl>
  </w:abstractNum>
  <w:abstractNum w:abstractNumId="309">
    <w:nsid w:val="CFC7321"/>
    <w:multiLevelType w:val="hybridMultilevel"/>
    <w:lvl w:ilvl="0">
      <w:lvlJc w:val="left"/>
      <w:lvlText w:val="(%1)"/>
      <w:numFmt w:val="decimal"/>
      <w:start w:val="2"/>
    </w:lvl>
  </w:abstractNum>
  <w:abstractNum w:abstractNumId="310">
    <w:nsid w:val="1421971B"/>
    <w:multiLevelType w:val="hybridMultilevel"/>
    <w:lvl w:ilvl="0">
      <w:lvlJc w:val="left"/>
      <w:lvlText w:val="(%1)"/>
      <w:numFmt w:val="lowerLetter"/>
      <w:start w:val="1"/>
    </w:lvl>
  </w:abstractNum>
  <w:abstractNum w:abstractNumId="311">
    <w:nsid w:val="1F404301"/>
    <w:multiLevelType w:val="hybridMultilevel"/>
    <w:lvl w:ilvl="0">
      <w:lvlJc w:val="left"/>
      <w:lvlText w:val="(%1)"/>
      <w:numFmt w:val="lowerLetter"/>
      <w:start w:val="1"/>
    </w:lvl>
  </w:abstractNum>
  <w:abstractNum w:abstractNumId="312">
    <w:nsid w:val="116E0907"/>
    <w:multiLevelType w:val="hybridMultilevel"/>
    <w:lvl w:ilvl="0">
      <w:lvlJc w:val="left"/>
      <w:lvlText w:val="(%1)"/>
      <w:numFmt w:val="lowerLetter"/>
      <w:start w:val="5"/>
    </w:lvl>
  </w:abstractNum>
  <w:abstractNum w:abstractNumId="313">
    <w:nsid w:val="4B683D0D"/>
    <w:multiLevelType w:val="hybridMultilevel"/>
    <w:lvl w:ilvl="0">
      <w:lvlJc w:val="left"/>
      <w:lvlText w:val="(%1)"/>
      <w:numFmt w:val="lowerLetter"/>
      <w:start w:val="8"/>
    </w:lvl>
  </w:abstractNum>
  <w:abstractNum w:abstractNumId="314">
    <w:nsid w:val="76E41D8"/>
    <w:multiLevelType w:val="hybridMultilevel"/>
    <w:lvl w:ilvl="0">
      <w:lvlJc w:val="left"/>
      <w:lvlText w:val="(%1)"/>
      <w:numFmt w:val="lowerLetter"/>
      <w:start w:val="2"/>
    </w:lvl>
  </w:abstractNum>
  <w:abstractNum w:abstractNumId="315">
    <w:nsid w:val="71DCE0FD"/>
    <w:multiLevelType w:val="hybridMultilevel"/>
    <w:lvl w:ilvl="0">
      <w:lvlJc w:val="left"/>
      <w:lvlText w:val="(%1)"/>
      <w:numFmt w:val="lowerRoman"/>
      <w:start w:val="1"/>
    </w:lvl>
  </w:abstractNum>
  <w:abstractNum w:abstractNumId="316">
    <w:nsid w:val="7906328B"/>
    <w:multiLevelType w:val="hybridMultilevel"/>
    <w:lvl w:ilvl="0">
      <w:lvlJc w:val="left"/>
      <w:lvlText w:val="(%1)"/>
      <w:numFmt w:val="decimal"/>
      <w:start w:val="3"/>
    </w:lvl>
  </w:abstractNum>
  <w:abstractNum w:abstractNumId="317">
    <w:nsid w:val="72BBC16"/>
    <w:multiLevelType w:val="hybridMultilevel"/>
    <w:lvl w:ilvl="0">
      <w:lvlJc w:val="left"/>
      <w:lvlText w:val="(%1)"/>
      <w:numFmt w:val="lowerLetter"/>
      <w:start w:val="1"/>
    </w:lvl>
  </w:abstractNum>
  <w:abstractNum w:abstractNumId="318">
    <w:nsid w:val="766D98C2"/>
    <w:multiLevelType w:val="hybridMultilevel"/>
    <w:lvl w:ilvl="0">
      <w:lvlJc w:val="left"/>
      <w:lvlText w:val="(%1)"/>
      <w:numFmt w:val="lowerLetter"/>
      <w:start w:val="3"/>
    </w:lvl>
    <w:lvl w:ilvl="1">
      <w:lvlJc w:val="left"/>
      <w:lvlText w:val="(%2)"/>
      <w:numFmt w:val="lowerLetter"/>
      <w:start w:val="35"/>
    </w:lvl>
  </w:abstractNum>
  <w:abstractNum w:abstractNumId="319">
    <w:nsid w:val="3C09D4A1"/>
    <w:multiLevelType w:val="hybridMultilevel"/>
    <w:lvl w:ilvl="0">
      <w:lvlJc w:val="left"/>
      <w:lvlText w:val="(%1)"/>
      <w:numFmt w:val="lowerRoman"/>
      <w:start w:val="3"/>
    </w:lvl>
  </w:abstractNum>
  <w:abstractNum w:abstractNumId="320">
    <w:nsid w:val="20E45CA4"/>
    <w:multiLevelType w:val="hybridMultilevel"/>
    <w:lvl w:ilvl="0">
      <w:lvlJc w:val="left"/>
      <w:lvlText w:val="(%1)"/>
      <w:numFmt w:val="lowerRoman"/>
      <w:start w:val="7"/>
    </w:lvl>
  </w:abstractNum>
  <w:abstractNum w:abstractNumId="321">
    <w:nsid w:val="4B232EE3"/>
    <w:multiLevelType w:val="hybridMultilevel"/>
    <w:lvl w:ilvl="0">
      <w:lvlJc w:val="left"/>
      <w:lvlText w:val="(%1)"/>
      <w:numFmt w:val="lowerLetter"/>
      <w:start w:val="1"/>
    </w:lvl>
  </w:abstractNum>
  <w:abstractNum w:abstractNumId="322">
    <w:nsid w:val="159C74CF"/>
    <w:multiLevelType w:val="hybridMultilevel"/>
    <w:lvl w:ilvl="0">
      <w:lvlJc w:val="left"/>
      <w:lvlText w:val="(%1)"/>
      <w:numFmt w:val="lowerLetter"/>
      <w:start w:val="2"/>
    </w:lvl>
  </w:abstractNum>
  <w:abstractNum w:abstractNumId="323">
    <w:nsid w:val="4AD3AFD2"/>
    <w:multiLevelType w:val="hybridMultilevel"/>
    <w:lvl w:ilvl="0">
      <w:lvlJc w:val="left"/>
      <w:lvlText w:val="(%1)"/>
      <w:numFmt w:val="lowerLetter"/>
      <w:start w:val="3"/>
    </w:lvl>
  </w:abstractNum>
  <w:abstractNum w:abstractNumId="324">
    <w:nsid w:val="3CF93092"/>
    <w:multiLevelType w:val="hybridMultilevel"/>
    <w:lvl w:ilvl="0">
      <w:lvlJc w:val="left"/>
      <w:lvlText w:val="(%1)"/>
      <w:numFmt w:val="lowerLetter"/>
      <w:start w:val="8"/>
    </w:lvl>
  </w:abstractNum>
  <w:abstractNum w:abstractNumId="325">
    <w:nsid w:val="6863E8D2"/>
    <w:multiLevelType w:val="hybridMultilevel"/>
    <w:lvl w:ilvl="0">
      <w:lvlJc w:val="left"/>
      <w:lvlText w:val="(%1)"/>
      <w:numFmt w:val="lowerLetter"/>
      <w:start w:val="25"/>
    </w:lvl>
    <w:lvl w:ilvl="1">
      <w:lvlJc w:val="left"/>
      <w:lvlText w:val="(%2)"/>
      <w:numFmt w:val="lowerLetter"/>
      <w:start w:val="12"/>
    </w:lvl>
  </w:abstractNum>
  <w:abstractNum w:abstractNumId="326">
    <w:nsid w:val="76896198"/>
    <w:multiLevelType w:val="hybridMultilevel"/>
    <w:lvl w:ilvl="0">
      <w:lvlJc w:val="left"/>
      <w:lvlText w:val="(%1)"/>
      <w:numFmt w:val="lowerRoman"/>
      <w:start w:val="1"/>
    </w:lvl>
  </w:abstractNum>
  <w:abstractNum w:abstractNumId="327">
    <w:nsid w:val="4365174B"/>
    <w:multiLevelType w:val="hybridMultilevel"/>
    <w:lvl w:ilvl="0">
      <w:lvlJc w:val="left"/>
      <w:lvlText w:val="(%1)"/>
      <w:numFmt w:val="lowerLetter"/>
      <w:start w:val="13"/>
    </w:lvl>
  </w:abstractNum>
  <w:abstractNum w:abstractNumId="328">
    <w:nsid w:val="4A872C35"/>
    <w:multiLevelType w:val="hybridMultilevel"/>
    <w:lvl w:ilvl="0">
      <w:lvlJc w:val="left"/>
      <w:lvlText w:val="(%1)"/>
      <w:numFmt w:val="decimal"/>
      <w:start w:val="1"/>
    </w:lvl>
  </w:abstractNum>
  <w:abstractNum w:abstractNumId="329">
    <w:nsid w:val="5D5CE761"/>
    <w:multiLevelType w:val="hybridMultilevel"/>
    <w:lvl w:ilvl="0">
      <w:lvlJc w:val="left"/>
      <w:lvlText w:val="(%1)"/>
      <w:numFmt w:val="lowerRoman"/>
      <w:start w:val="1"/>
    </w:lvl>
  </w:abstractNum>
  <w:abstractNum w:abstractNumId="330">
    <w:nsid w:val="1CD484D5"/>
    <w:multiLevelType w:val="hybridMultilevel"/>
    <w:lvl w:ilvl="0">
      <w:lvlJc w:val="left"/>
      <w:lvlText w:val="(%1)"/>
      <w:numFmt w:val="lowerLetter"/>
      <w:start w:val="2"/>
    </w:lvl>
  </w:abstractNum>
  <w:abstractNum w:abstractNumId="331">
    <w:nsid w:val="21D06255"/>
    <w:multiLevelType w:val="hybridMultilevel"/>
    <w:lvl w:ilvl="0">
      <w:lvlJc w:val="left"/>
      <w:lvlText w:val="(%1)"/>
      <w:numFmt w:val="lowerLetter"/>
      <w:start w:val="4"/>
    </w:lvl>
  </w:abstractNum>
  <w:abstractNum w:abstractNumId="332">
    <w:nsid w:val="51194ED1"/>
    <w:multiLevelType w:val="hybridMultilevel"/>
    <w:lvl w:ilvl="0">
      <w:lvlJc w:val="left"/>
      <w:lvlText w:val="(%1)"/>
      <w:numFmt w:val="decimal"/>
      <w:start w:val="1"/>
    </w:lvl>
  </w:abstractNum>
  <w:abstractNum w:abstractNumId="333">
    <w:nsid w:val="44E2ED6C"/>
    <w:multiLevelType w:val="hybridMultilevel"/>
    <w:lvl w:ilvl="0">
      <w:lvlJc w:val="left"/>
      <w:lvlText w:val="(%1)"/>
      <w:numFmt w:val="decimal"/>
      <w:start w:val="3"/>
    </w:lvl>
  </w:abstractNum>
  <w:abstractNum w:abstractNumId="334">
    <w:nsid w:val="2219B33"/>
    <w:multiLevelType w:val="hybridMultilevel"/>
    <w:lvl w:ilvl="0">
      <w:lvlJc w:val="left"/>
      <w:lvlText w:val="(%1)"/>
      <w:numFmt w:val="decimal"/>
      <w:start w:val="1"/>
    </w:lvl>
  </w:abstractNum>
  <w:abstractNum w:abstractNumId="335">
    <w:nsid w:val="773BFBDD"/>
    <w:multiLevelType w:val="hybridMultilevel"/>
    <w:lvl w:ilvl="0">
      <w:lvlJc w:val="left"/>
      <w:lvlText w:val="(%1)"/>
      <w:numFmt w:val="decimal"/>
      <w:start w:val="3"/>
    </w:lvl>
  </w:abstractNum>
  <w:abstractNum w:abstractNumId="336">
    <w:nsid w:val="2C7C62C2"/>
    <w:multiLevelType w:val="hybridMultilevel"/>
    <w:lvl w:ilvl="0">
      <w:lvlJc w:val="left"/>
      <w:lvlText w:val="(%1)"/>
      <w:numFmt w:val="decimal"/>
      <w:start w:val="14"/>
    </w:lvl>
    <w:lvl w:ilvl="1">
      <w:lvlJc w:val="left"/>
      <w:lvlText w:val="(%2)"/>
      <w:numFmt w:val="lowerLetter"/>
      <w:start w:val="1"/>
    </w:lvl>
  </w:abstractNum>
  <w:abstractNum w:abstractNumId="337">
    <w:nsid w:val="1A54D7BC"/>
    <w:multiLevelType w:val="hybridMultilevel"/>
    <w:lvl w:ilvl="0">
      <w:lvlJc w:val="left"/>
      <w:lvlText w:val="(%1)"/>
      <w:numFmt w:val="decimal"/>
      <w:start w:val="1"/>
    </w:lvl>
  </w:abstractNum>
  <w:abstractNum w:abstractNumId="338">
    <w:nsid w:val="42E57EF7"/>
    <w:multiLevelType w:val="hybridMultilevel"/>
    <w:lvl w:ilvl="0">
      <w:lvlJc w:val="left"/>
      <w:lvlText w:val="(%1)"/>
      <w:numFmt w:val="decimal"/>
      <w:start w:val="3"/>
    </w:lvl>
  </w:abstractNum>
  <w:abstractNum w:abstractNumId="339">
    <w:nsid w:val="33537CED"/>
    <w:multiLevelType w:val="hybridMultilevel"/>
    <w:lvl w:ilvl="0">
      <w:lvlJc w:val="left"/>
      <w:lvlText w:val="(%1)"/>
      <w:numFmt w:val="lowerLetter"/>
      <w:start w:val="26"/>
    </w:lvl>
  </w:abstractNum>
  <w:abstractNum w:abstractNumId="340">
    <w:nsid w:val="27514ADE"/>
    <w:multiLevelType w:val="hybridMultilevel"/>
    <w:lvl w:ilvl="0">
      <w:lvlJc w:val="left"/>
      <w:lvlText w:val="(%1)"/>
      <w:numFmt w:val="lowerLetter"/>
      <w:start w:val="2"/>
    </w:lvl>
  </w:abstractNum>
  <w:abstractNum w:abstractNumId="341">
    <w:nsid w:val="57071613"/>
    <w:multiLevelType w:val="hybridMultilevel"/>
    <w:lvl w:ilvl="0">
      <w:lvlJc w:val="left"/>
      <w:lvlText w:val="(%1)"/>
      <w:numFmt w:val="decimal"/>
      <w:start w:val="1"/>
    </w:lvl>
  </w:abstractNum>
  <w:abstractNum w:abstractNumId="342">
    <w:nsid w:val="5293BFEF"/>
    <w:multiLevelType w:val="hybridMultilevel"/>
    <w:lvl w:ilvl="0">
      <w:lvlJc w:val="left"/>
      <w:lvlText w:val="(%1)"/>
      <w:numFmt w:val="decimal"/>
      <w:start w:val="1"/>
    </w:lvl>
  </w:abstractNum>
  <w:abstractNum w:abstractNumId="343">
    <w:nsid w:val="38BF53E5"/>
    <w:multiLevelType w:val="hybridMultilevel"/>
    <w:lvl w:ilvl="0">
      <w:lvlJc w:val="left"/>
      <w:lvlText w:val="(%1)"/>
      <w:numFmt w:val="decimal"/>
      <w:start w:val="4"/>
    </w:lvl>
  </w:abstractNum>
  <w:abstractNum w:abstractNumId="344">
    <w:nsid w:val="226F5320"/>
    <w:multiLevelType w:val="hybridMultilevel"/>
    <w:lvl w:ilvl="0">
      <w:lvlJc w:val="left"/>
      <w:lvlText w:val="(%1)"/>
      <w:numFmt w:val="decimal"/>
      <w:start w:val="9"/>
    </w:lvl>
  </w:abstractNum>
  <w:abstractNum w:abstractNumId="345">
    <w:nsid w:val="5A0201C7"/>
    <w:multiLevelType w:val="hybridMultilevel"/>
    <w:lvl w:ilvl="0">
      <w:lvlJc w:val="left"/>
      <w:lvlText w:val="(%1)"/>
      <w:numFmt w:val="decimal"/>
      <w:start w:val="18"/>
    </w:lvl>
  </w:abstractNum>
  <w:abstractNum w:abstractNumId="346">
    <w:nsid w:val="2A9C34E2"/>
    <w:multiLevelType w:val="hybridMultilevel"/>
    <w:lvl w:ilvl="0">
      <w:lvlJc w:val="left"/>
      <w:lvlText w:val="(%1)"/>
      <w:numFmt w:val="lowerLetter"/>
      <w:start w:val="1"/>
    </w:lvl>
  </w:abstractNum>
  <w:abstractNum w:abstractNumId="347">
    <w:nsid w:val="1B7585AB"/>
    <w:multiLevelType w:val="hybridMultilevel"/>
    <w:lvl w:ilvl="0">
      <w:lvlJc w:val="left"/>
      <w:lvlText w:val="(%1)"/>
      <w:numFmt w:val="lowerLetter"/>
      <w:start w:val="25"/>
    </w:lvl>
  </w:abstractNum>
  <w:abstractNum w:abstractNumId="348">
    <w:nsid w:val="612DBDDD"/>
    <w:multiLevelType w:val="hybridMultilevel"/>
    <w:lvl w:ilvl="0">
      <w:lvlJc w:val="left"/>
      <w:lvlText w:val="(%1)"/>
      <w:numFmt w:val="decimal"/>
      <w:start w:val="1"/>
    </w:lvl>
  </w:abstractNum>
  <w:abstractNum w:abstractNumId="349">
    <w:nsid w:val="2109CDA4"/>
    <w:multiLevelType w:val="hybridMultilevel"/>
    <w:lvl w:ilvl="0">
      <w:lvlJc w:val="left"/>
      <w:lvlText w:val="%1"/>
      <w:numFmt w:val="lowerLetter"/>
      <w:start w:val="1"/>
    </w:lvl>
    <w:lvl w:ilvl="1">
      <w:lvlJc w:val="left"/>
      <w:lvlText w:val="(%2)"/>
      <w:numFmt w:val="decimal"/>
      <w:start w:val="4"/>
    </w:lvl>
  </w:abstractNum>
  <w:abstractNum w:abstractNumId="350">
    <w:nsid w:val="577F5A4D"/>
    <w:multiLevelType w:val="hybridMultilevel"/>
    <w:lvl w:ilvl="0">
      <w:lvlJc w:val="left"/>
      <w:lvlText w:val="(%1)"/>
      <w:numFmt w:val="lowerLetter"/>
      <w:start w:val="5"/>
    </w:lvl>
    <w:lvl w:ilvl="1">
      <w:lvlJc w:val="left"/>
      <w:lvlText w:val="%2"/>
      <w:numFmt w:val="decimal"/>
      <w:start w:val="1"/>
    </w:lvl>
  </w:abstractNum>
  <w:abstractNum w:abstractNumId="351">
    <w:nsid w:val="2121A81"/>
    <w:multiLevelType w:val="hybridMultilevel"/>
    <w:lvl w:ilvl="0">
      <w:lvlJc w:val="left"/>
      <w:lvlText w:val="%1"/>
      <w:numFmt w:val="lowerRoman"/>
      <w:start w:val="1"/>
    </w:lvl>
    <w:lvl w:ilvl="1">
      <w:lvlJc w:val="left"/>
      <w:lvlText w:val="(%2)"/>
      <w:numFmt w:val="decimal"/>
      <w:start w:val="6"/>
    </w:lvl>
  </w:abstractNum>
  <w:abstractNum w:abstractNumId="352">
    <w:nsid w:val="6C2CFC88"/>
    <w:multiLevelType w:val="hybridMultilevel"/>
    <w:lvl w:ilvl="0">
      <w:lvlJc w:val="left"/>
      <w:lvlText w:val="(%1)"/>
      <w:numFmt w:val="lowerRoman"/>
      <w:start w:val="2"/>
    </w:lvl>
    <w:lvl w:ilvl="1">
      <w:lvlJc w:val="left"/>
      <w:lvlText w:val="(%2)"/>
      <w:numFmt w:val="decimal"/>
      <w:start w:val="9"/>
    </w:lvl>
  </w:abstractNum>
  <w:abstractNum w:abstractNumId="353">
    <w:nsid w:val="6D1BCF1C"/>
    <w:multiLevelType w:val="hybridMultilevel"/>
    <w:lvl w:ilvl="0">
      <w:lvlJc w:val="left"/>
      <w:lvlText w:val="(%1)"/>
      <w:numFmt w:val="decimal"/>
      <w:start w:val="12"/>
    </w:lvl>
  </w:abstractNum>
  <w:abstractNum w:abstractNumId="354">
    <w:nsid w:val="4CE5CA53"/>
    <w:multiLevelType w:val="hybridMultilevel"/>
    <w:lvl w:ilvl="0">
      <w:lvlJc w:val="left"/>
      <w:lvlText w:val="(%1)"/>
      <w:numFmt w:val="lowerLetter"/>
      <w:start w:val="1"/>
    </w:lvl>
    <w:lvl w:ilvl="1">
      <w:lvlJc w:val="left"/>
      <w:lvlText w:val="(%2)"/>
      <w:numFmt w:val="lowerRoman"/>
      <w:start w:val="1"/>
    </w:lvl>
  </w:abstractNum>
  <w:abstractNum w:abstractNumId="355">
    <w:nsid w:val="29262D1A"/>
    <w:multiLevelType w:val="hybridMultilevel"/>
    <w:lvl w:ilvl="0">
      <w:lvlJc w:val="left"/>
      <w:lvlText w:val="(%1)"/>
      <w:numFmt w:val="lowerRoman"/>
      <w:start w:val="3"/>
    </w:lvl>
  </w:abstractNum>
  <w:abstractNum w:abstractNumId="356">
    <w:nsid w:val="557FB7EE"/>
    <w:multiLevelType w:val="hybridMultilevel"/>
    <w:lvl w:ilvl="0">
      <w:lvlJc w:val="left"/>
      <w:lvlText w:val="(%1)"/>
      <w:numFmt w:val="lowerLetter"/>
      <w:start w:val="2"/>
    </w:lvl>
  </w:abstractNum>
  <w:abstractNum w:abstractNumId="357">
    <w:nsid w:val="436F2BEB"/>
    <w:multiLevelType w:val="hybridMultilevel"/>
    <w:lvl w:ilvl="0">
      <w:lvlJc w:val="left"/>
      <w:lvlText w:val="(%1)"/>
      <w:numFmt w:val="lowerLetter"/>
      <w:start w:val="2"/>
    </w:lvl>
  </w:abstractNum>
  <w:abstractNum w:abstractNumId="358">
    <w:nsid w:val="6C8B4466"/>
    <w:multiLevelType w:val="hybridMultilevel"/>
    <w:lvl w:ilvl="0">
      <w:lvlJc w:val="left"/>
      <w:lvlText w:val="(%1)"/>
      <w:numFmt w:val="lowerRoman"/>
      <w:start w:val="2"/>
    </w:lvl>
  </w:abstractNum>
  <w:abstractNum w:abstractNumId="359">
    <w:nsid w:val="2006E424"/>
    <w:multiLevelType w:val="hybridMultilevel"/>
    <w:lvl w:ilvl="0">
      <w:lvlJc w:val="left"/>
      <w:lvlText w:val="(%1)"/>
      <w:numFmt w:val="lowerLetter"/>
      <w:start w:val="2"/>
    </w:lvl>
  </w:abstractNum>
  <w:abstractNum w:abstractNumId="360">
    <w:nsid w:val="20CC134C"/>
    <w:multiLevelType w:val="hybridMultilevel"/>
    <w:lvl w:ilvl="0">
      <w:lvlJc w:val="left"/>
      <w:lvlText w:val="(%1)"/>
      <w:numFmt w:val="lowerLetter"/>
      <w:start w:val="6"/>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361">
    <w:nsid w:val="95FC93B"/>
    <w:multiLevelType w:val="hybridMultilevel"/>
    <w:lvl w:ilvl="0">
      <w:lvlJc w:val="left"/>
      <w:lvlText w:val="%1"/>
      <w:numFmt w:val="upperLetter"/>
      <w:start w:val="1"/>
    </w:lvl>
    <w:lvl w:ilvl="1">
      <w:lvlJc w:val="left"/>
      <w:lvlText w:val="(%2)"/>
      <w:numFmt w:val="decimal"/>
      <w:start w:val="4"/>
    </w:lvl>
  </w:abstractNum>
  <w:abstractNum w:abstractNumId="362">
    <w:nsid w:val="41D74679"/>
    <w:multiLevelType w:val="hybridMultilevel"/>
    <w:lvl w:ilvl="0">
      <w:lvlJc w:val="left"/>
      <w:lvlText w:val="(%1)"/>
      <w:numFmt w:val="upperLetter"/>
      <w:start w:val="3"/>
    </w:lvl>
    <w:lvl w:ilvl="1">
      <w:lvlJc w:val="left"/>
      <w:lvlText w:val="%2"/>
      <w:numFmt w:val="decimal"/>
      <w:start w:val="1"/>
    </w:lvl>
  </w:abstractNum>
  <w:abstractNum w:abstractNumId="363">
    <w:nsid w:val="71E5621E"/>
    <w:multiLevelType w:val="hybridMultilevel"/>
    <w:lvl w:ilvl="0">
      <w:lvlJc w:val="left"/>
      <w:lvlText w:val="(%1)"/>
      <w:numFmt w:val="lowerLetter"/>
      <w:start w:val="7"/>
    </w:lvl>
  </w:abstractNum>
  <w:abstractNum w:abstractNumId="364">
    <w:nsid w:val="4E42B6A8"/>
    <w:multiLevelType w:val="hybridMultilevel"/>
    <w:lvl w:ilvl="0">
      <w:lvlJc w:val="left"/>
      <w:lvlText w:val="(%1)"/>
      <w:numFmt w:val="lowerLetter"/>
      <w:start w:val="1"/>
    </w:lvl>
  </w:abstractNum>
  <w:abstractNum w:abstractNumId="365">
    <w:nsid w:val="43F8E1AC"/>
    <w:multiLevelType w:val="hybridMultilevel"/>
    <w:lvl w:ilvl="0">
      <w:lvlJc w:val="left"/>
      <w:lvlText w:val="%1"/>
      <w:numFmt w:val="lowerLetter"/>
      <w:start w:val="1"/>
    </w:lvl>
    <w:lvl w:ilvl="1">
      <w:lvlJc w:val="left"/>
      <w:lvlText w:val="(%2)"/>
      <w:numFmt w:val="lowerRoman"/>
      <w:start w:val="1"/>
    </w:lvl>
  </w:abstractNum>
  <w:abstractNum w:abstractNumId="366">
    <w:nsid w:val="69215DFB"/>
    <w:multiLevelType w:val="hybridMultilevel"/>
    <w:lvl w:ilvl="0">
      <w:lvlJc w:val="left"/>
      <w:lvlText w:val="(%1)"/>
      <w:numFmt w:val="lowerLetter"/>
      <w:start w:val="2"/>
    </w:lvl>
    <w:lvl w:ilvl="1">
      <w:lvlJc w:val="left"/>
      <w:lvlText w:val="%2"/>
      <w:numFmt w:val="lowerRoman"/>
      <w:start w:val="1"/>
    </w:lvl>
  </w:abstractNum>
  <w:abstractNum w:abstractNumId="367">
    <w:nsid w:val="7ABF196A"/>
    <w:multiLevelType w:val="hybridMultilevel"/>
    <w:lvl w:ilvl="0">
      <w:lvlJc w:val="left"/>
      <w:lvlText w:val="%1"/>
      <w:numFmt w:val="upperLetter"/>
      <w:start w:val="1"/>
    </w:lvl>
    <w:lvl w:ilvl="1">
      <w:lvlJc w:val="left"/>
      <w:lvlText w:val="(%2)"/>
      <w:numFmt w:val="lowerLetter"/>
      <w:start w:val="1"/>
    </w:lvl>
  </w:abstractNum>
  <w:abstractNum w:abstractNumId="368">
    <w:nsid w:val="5E4DB968"/>
    <w:multiLevelType w:val="hybridMultilevel"/>
    <w:lvl w:ilvl="0">
      <w:lvlJc w:val="left"/>
      <w:lvlText w:val="%1"/>
      <w:numFmt w:val="lowerLetter"/>
      <w:start w:val="1"/>
    </w:lvl>
    <w:lvl w:ilvl="1">
      <w:lvlJc w:val="left"/>
      <w:lvlText w:val="(%2)"/>
      <w:numFmt w:val="lowerLetter"/>
      <w:start w:val="3"/>
    </w:lvl>
  </w:abstractNum>
  <w:abstractNum w:abstractNumId="369">
    <w:nsid w:val="2C06DCF3"/>
    <w:multiLevelType w:val="hybridMultilevel"/>
    <w:lvl w:ilvl="0">
      <w:lvlJc w:val="left"/>
      <w:lvlText w:val="(%1)"/>
      <w:numFmt w:val="lowerLetter"/>
      <w:start w:val="9"/>
    </w:lvl>
    <w:lvl w:ilvl="1">
      <w:lvlJc w:val="left"/>
      <w:lvlText w:val="%2"/>
      <w:numFmt w:val="lowerLetter"/>
      <w:start w:val="1"/>
    </w:lvl>
  </w:abstractNum>
  <w:abstractNum w:abstractNumId="370">
    <w:nsid w:val="2E129658"/>
    <w:multiLevelType w:val="hybridMultilevel"/>
    <w:lvl w:ilvl="0">
      <w:lvlJc w:val="left"/>
      <w:lvlText w:val="(%1)"/>
      <w:numFmt w:val="lowerLetter"/>
      <w:start w:val="4"/>
    </w:lvl>
  </w:abstractNum>
  <w:abstractNum w:abstractNumId="371">
    <w:nsid w:val="59F0446"/>
    <w:multiLevelType w:val="hybridMultilevel"/>
    <w:lvl w:ilvl="0">
      <w:lvlJc w:val="left"/>
      <w:lvlText w:val="(%1)"/>
      <w:numFmt w:val="lowerLetter"/>
      <w:start w:val="2"/>
    </w:lvl>
  </w:abstractNum>
  <w:abstractNum w:abstractNumId="372">
    <w:nsid w:val="30DF306"/>
    <w:multiLevelType w:val="hybridMultilevel"/>
    <w:lvl w:ilvl="0">
      <w:lvlJc w:val="left"/>
      <w:lvlText w:val="(%1)"/>
      <w:numFmt w:val="lowerLetter"/>
      <w:start w:val="3"/>
    </w:lvl>
    <w:lvl w:ilvl="1">
      <w:lvlJc w:val="left"/>
      <w:lvlText w:val="(%2)"/>
      <w:numFmt w:val="lowerRoman"/>
      <w:start w:val="1"/>
    </w:lvl>
  </w:abstractNum>
  <w:abstractNum w:abstractNumId="373">
    <w:nsid w:val="A65647"/>
    <w:multiLevelType w:val="hybridMultilevel"/>
    <w:lvl w:ilvl="0">
      <w:lvlJc w:val="left"/>
      <w:lvlText w:val="%1"/>
      <w:numFmt w:val="lowerLetter"/>
      <w:start w:val="1"/>
    </w:lvl>
    <w:lvl w:ilvl="1">
      <w:lvlJc w:val="left"/>
      <w:lvlText w:val="(%2)"/>
      <w:numFmt w:val="lowerRoman"/>
      <w:start w:val="3"/>
    </w:lvl>
  </w:abstractNum>
  <w:abstractNum w:abstractNumId="374">
    <w:nsid w:val="3E5E582B"/>
    <w:multiLevelType w:val="hybridMultilevel"/>
    <w:lvl w:ilvl="0">
      <w:lvlJc w:val="left"/>
      <w:lvlText w:val="(%1)"/>
      <w:numFmt w:val="lowerLetter"/>
      <w:start w:val="5"/>
    </w:lvl>
    <w:lvl w:ilvl="1">
      <w:lvlJc w:val="left"/>
      <w:lvlText w:val="(%2)"/>
      <w:numFmt w:val="lowerRoman"/>
      <w:start w:val="1"/>
    </w:lvl>
  </w:abstractNum>
  <w:abstractNum w:abstractNumId="375">
    <w:nsid w:val="257D4626"/>
    <w:multiLevelType w:val="hybridMultilevel"/>
    <w:lvl w:ilvl="0">
      <w:lvlJc w:val="left"/>
      <w:lvlText w:val="(%1)"/>
      <w:numFmt w:val="lowerRoman"/>
      <w:start w:val="3"/>
    </w:lvl>
  </w:abstractNum>
  <w:abstractNum w:abstractNumId="376">
    <w:nsid w:val="5AA8580E"/>
    <w:multiLevelType w:val="hybridMultilevel"/>
    <w:lvl w:ilvl="0">
      <w:lvlJc w:val="left"/>
      <w:lvlText w:val="(%1)"/>
      <w:numFmt w:val="lowerRoman"/>
      <w:start w:val="4"/>
    </w:lvl>
  </w:abstractNum>
  <w:abstractNum w:abstractNumId="377">
    <w:nsid w:val="68FA8D0D"/>
    <w:multiLevelType w:val="hybridMultilevel"/>
    <w:lvl w:ilvl="0">
      <w:lvlJc w:val="left"/>
      <w:lvlText w:val="(%1)"/>
      <w:numFmt w:val="lowerRoman"/>
      <w:start w:val="5"/>
    </w:lvl>
  </w:abstractNum>
  <w:abstractNum w:abstractNumId="378">
    <w:nsid w:val="40F2CBD2"/>
    <w:multiLevelType w:val="hybridMultilevel"/>
    <w:lvl w:ilvl="0">
      <w:lvlJc w:val="left"/>
      <w:lvlText w:val="(%1)"/>
      <w:numFmt w:val="lowerLetter"/>
      <w:start w:val="1"/>
    </w:lvl>
    <w:lvl w:ilvl="1">
      <w:lvlJc w:val="left"/>
      <w:lvlText w:val="(%2)"/>
      <w:numFmt w:val="decimal"/>
      <w:start w:val="1"/>
    </w:lvl>
  </w:abstractNum>
  <w:abstractNum w:abstractNumId="379">
    <w:nsid w:val="3BD615EB"/>
    <w:multiLevelType w:val="hybridMultilevel"/>
    <w:lvl w:ilvl="0">
      <w:lvlJc w:val="left"/>
      <w:lvlText w:val="%1"/>
      <w:numFmt w:val="lowerLetter"/>
      <w:start w:val="1"/>
    </w:lvl>
    <w:lvl w:ilvl="1">
      <w:lvlJc w:val="left"/>
      <w:lvlText w:val="(%2)"/>
      <w:numFmt w:val="decimal"/>
      <w:start w:val="3"/>
    </w:lvl>
  </w:abstractNum>
  <w:abstractNum w:abstractNumId="380">
    <w:nsid w:val="A045AB2"/>
    <w:multiLevelType w:val="hybridMultilevel"/>
    <w:lvl w:ilvl="0">
      <w:lvlJc w:val="left"/>
      <w:lvlText w:val="(%1)"/>
      <w:numFmt w:val="lowerLetter"/>
      <w:start w:val="4"/>
    </w:lvl>
    <w:lvl w:ilvl="1">
      <w:lvlJc w:val="left"/>
      <w:lvlText w:val="%2"/>
      <w:numFmt w:val="decimal"/>
      <w:start w:val="1"/>
    </w:lvl>
  </w:abstractNum>
  <w:abstractNum w:abstractNumId="381">
    <w:nsid w:val="1872261F"/>
    <w:multiLevelType w:val="hybridMultilevel"/>
    <w:lvl w:ilvl="0">
      <w:lvlJc w:val="left"/>
      <w:lvlText w:val="(%1)"/>
      <w:numFmt w:val="lowerRoman"/>
      <w:start w:val="10"/>
    </w:lvl>
  </w:abstractNum>
  <w:abstractNum w:abstractNumId="382">
    <w:nsid w:val="3DE8306C"/>
    <w:multiLevelType w:val="hybridMultilevel"/>
    <w:lvl w:ilvl="0">
      <w:lvlJc w:val="left"/>
      <w:lvlText w:val="(%1)"/>
      <w:numFmt w:val="lowerLetter"/>
      <w:start w:val="6"/>
    </w:lvl>
  </w:abstractNum>
  <w:abstractNum w:abstractNumId="383">
    <w:nsid w:val="7631573A"/>
    <w:multiLevelType w:val="hybridMultilevel"/>
    <w:lvl w:ilvl="0">
      <w:lvlJc w:val="left"/>
      <w:lvlText w:val="(%1)"/>
      <w:numFmt w:val="lowerLetter"/>
      <w:start w:val="1"/>
    </w:lvl>
  </w:abstractNum>
  <w:abstractNum w:abstractNumId="384">
    <w:nsid w:val="58DF53B"/>
    <w:multiLevelType w:val="hybridMultilevel"/>
    <w:lvl w:ilvl="0">
      <w:lvlJc w:val="left"/>
      <w:lvlText w:val="(%1)"/>
      <w:numFmt w:val="lowerLetter"/>
      <w:start w:val="2"/>
    </w:lvl>
  </w:abstractNum>
  <w:abstractNum w:abstractNumId="385">
    <w:nsid w:val="ACDFAC0"/>
    <w:multiLevelType w:val="hybridMultilevel"/>
    <w:lvl w:ilvl="0">
      <w:lvlJc w:val="left"/>
      <w:lvlText w:val="(%1)"/>
      <w:numFmt w:val="lowerLetter"/>
      <w:start w:val="2"/>
    </w:lvl>
  </w:abstractNum>
  <w:abstractNum w:abstractNumId="386">
    <w:nsid w:val="1F578454"/>
    <w:multiLevelType w:val="hybridMultilevel"/>
    <w:lvl w:ilvl="0">
      <w:lvlJc w:val="left"/>
      <w:lvlText w:val="(%1)"/>
      <w:numFmt w:val="lowerLetter"/>
      <w:start w:val="1"/>
    </w:lvl>
    <w:lvl w:ilvl="1">
      <w:lvlJc w:val="left"/>
      <w:lvlText w:val="(%2)"/>
      <w:numFmt w:val="lowerRoman"/>
      <w:start w:val="1"/>
    </w:lvl>
  </w:abstractNum>
  <w:abstractNum w:abstractNumId="387">
    <w:nsid w:val="5B0DAD2A"/>
    <w:multiLevelType w:val="hybridMultilevel"/>
    <w:lvl w:ilvl="0">
      <w:lvlJc w:val="left"/>
      <w:lvlText w:val="(%1)"/>
      <w:numFmt w:val="lowerRoman"/>
      <w:start w:val="1"/>
    </w:lvl>
  </w:abstractNum>
  <w:abstractNum w:abstractNumId="388">
    <w:nsid w:val="4E3D26AB"/>
    <w:multiLevelType w:val="hybridMultilevel"/>
    <w:lvl w:ilvl="0">
      <w:lvlJc w:val="left"/>
      <w:lvlText w:val="(%1)"/>
      <w:numFmt w:val="lowerRoman"/>
      <w:start w:val="2"/>
    </w:lvl>
  </w:abstractNum>
  <w:abstractNum w:abstractNumId="389">
    <w:nsid w:val="BE2C8BA"/>
    <w:multiLevelType w:val="hybridMultilevel"/>
    <w:lvl w:ilvl="0">
      <w:lvlJc w:val="left"/>
      <w:lvlText w:val="(%1)"/>
      <w:numFmt w:val="lowerRoman"/>
      <w:start w:val="7"/>
    </w:lvl>
  </w:abstractNum>
  <w:abstractNum w:abstractNumId="390">
    <w:nsid w:val="7B14914E"/>
    <w:multiLevelType w:val="hybridMultilevel"/>
    <w:lvl w:ilvl="0">
      <w:lvlJc w:val="left"/>
      <w:lvlText w:val="%1."/>
      <w:numFmt w:val="upperLetter"/>
      <w:start w:val="1"/>
    </w:lvl>
  </w:abstractNum>
  <w:abstractNum w:abstractNumId="391">
    <w:nsid w:val="6F0939F8"/>
    <w:multiLevelType w:val="hybridMultilevel"/>
    <w:lvl w:ilvl="0">
      <w:lvlJc w:val="left"/>
      <w:lvlText w:val="%1."/>
      <w:numFmt w:val="upperLetter"/>
      <w:start w:val="1"/>
    </w:lvl>
  </w:abstractNum>
  <w:abstractNum w:abstractNumId="392">
    <w:nsid w:val="154291F6"/>
    <w:multiLevelType w:val="hybridMultilevel"/>
    <w:lvl w:ilvl="0">
      <w:lvlJc w:val="left"/>
      <w:lvlText w:val="(%1)"/>
      <w:numFmt w:val="lowerRoman"/>
      <w:start w:val="1"/>
    </w:lvl>
  </w:abstractNum>
  <w:abstractNum w:abstractNumId="393">
    <w:nsid w:val="3CEBD7C7"/>
    <w:multiLevelType w:val="hybridMultilevel"/>
    <w:lvl w:ilvl="0">
      <w:lvlJc w:val="left"/>
      <w:lvlText w:val="%1."/>
      <w:numFmt w:val="upperLetter"/>
      <w:start w:val="2"/>
    </w:lvl>
  </w:abstractNum>
  <w:abstractNum w:abstractNumId="394">
    <w:nsid w:val="60EE9C16"/>
    <w:multiLevelType w:val="hybridMultilevel"/>
    <w:lvl w:ilvl="0">
      <w:lvlJc w:val="left"/>
      <w:lvlText w:val="%1."/>
      <w:numFmt w:val="upperLetter"/>
      <w:start w:val="5"/>
    </w:lvl>
  </w:abstractNum>
  <w:abstractNum w:abstractNumId="395">
    <w:nsid w:val="6385489E"/>
    <w:multiLevelType w:val="hybridMultilevel"/>
    <w:lvl w:ilvl="0">
      <w:lvlJc w:val="left"/>
      <w:lvlText w:val="%1."/>
      <w:numFmt w:val="decimal"/>
      <w:start w:val="1"/>
    </w:lvl>
    <w:lvl w:ilvl="1">
      <w:lvlJc w:val="left"/>
      <w:lvlText w:val="%2)"/>
      <w:numFmt w:val="lowerLetter"/>
      <w:start w:val="1"/>
    </w:lvl>
  </w:abstractNum>
  <w:abstractNum w:abstractNumId="396">
    <w:nsid w:val="E4B973"/>
    <w:multiLevelType w:val="hybridMultilevel"/>
    <w:lvl w:ilvl="0">
      <w:lvlJc w:val="left"/>
      <w:lvlText w:val="%1."/>
      <w:numFmt w:val="decimal"/>
      <w:start w:val="1"/>
    </w:lvl>
    <w:lvl w:ilvl="1">
      <w:lvlJc w:val="left"/>
      <w:lvlText w:val="%2)"/>
      <w:numFmt w:val="lowerLetter"/>
      <w:start w:val="1"/>
    </w:lvl>
  </w:abstractNum>
  <w:abstractNum w:abstractNumId="397">
    <w:nsid w:val="4A0FFA11"/>
    <w:multiLevelType w:val="hybridMultilevel"/>
    <w:lvl w:ilvl="0">
      <w:lvlJc w:val="left"/>
      <w:lvlText w:val="%1."/>
      <w:numFmt w:val="decimal"/>
      <w:start w:val="1"/>
    </w:lvl>
    <w:lvl w:ilvl="1">
      <w:lvlJc w:val="left"/>
      <w:lvlText w:val="%2)"/>
      <w:numFmt w:val="lowerLetter"/>
      <w:start w:val="1"/>
    </w:lvl>
  </w:abstractNum>
  <w:abstractNum w:abstractNumId="398">
    <w:nsid w:val="5E44620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78" Type="http://schemas.openxmlformats.org/officeDocument/2006/relationships/image" Target="media/image152.png"/><Relationship Id="rId204" Type="http://schemas.openxmlformats.org/officeDocument/2006/relationships/image" Target="media/image153.png"/><Relationship Id="rId223" Type="http://schemas.openxmlformats.org/officeDocument/2006/relationships/image" Target="media/image154.png"/><Relationship Id="rId243" Type="http://schemas.openxmlformats.org/officeDocument/2006/relationships/image" Target="media/image155.png"/><Relationship Id="rId258" Type="http://schemas.openxmlformats.org/officeDocument/2006/relationships/image" Target="media/image156.png"/><Relationship Id="rId267" Type="http://schemas.openxmlformats.org/officeDocument/2006/relationships/image" Target="media/image157.png"/><Relationship Id="rId268" Type="http://schemas.openxmlformats.org/officeDocument/2006/relationships/image" Target="media/image158.png"/><Relationship Id="rId269" Type="http://schemas.openxmlformats.org/officeDocument/2006/relationships/image" Target="media/image159.png"/><Relationship Id="rId270" Type="http://schemas.openxmlformats.org/officeDocument/2006/relationships/image" Target="media/image160.png"/><Relationship Id="rId271" Type="http://schemas.openxmlformats.org/officeDocument/2006/relationships/image" Target="media/image161.png"/><Relationship Id="rId272" Type="http://schemas.openxmlformats.org/officeDocument/2006/relationships/image" Target="media/image162.png"/><Relationship Id="rId273" Type="http://schemas.openxmlformats.org/officeDocument/2006/relationships/image" Target="media/image163.png"/><Relationship Id="rId274" Type="http://schemas.openxmlformats.org/officeDocument/2006/relationships/image" Target="media/image164.png"/><Relationship Id="rId275" Type="http://schemas.openxmlformats.org/officeDocument/2006/relationships/image" Target="media/image165.png"/><Relationship Id="rId276" Type="http://schemas.openxmlformats.org/officeDocument/2006/relationships/image" Target="media/image166.png"/><Relationship Id="rId277" Type="http://schemas.openxmlformats.org/officeDocument/2006/relationships/image" Target="media/image167.png"/><Relationship Id="rId278" Type="http://schemas.openxmlformats.org/officeDocument/2006/relationships/image" Target="media/image168.png"/><Relationship Id="rId279" Type="http://schemas.openxmlformats.org/officeDocument/2006/relationships/image" Target="media/image169.png"/><Relationship Id="rId280" Type="http://schemas.openxmlformats.org/officeDocument/2006/relationships/image" Target="media/image170.png"/><Relationship Id="rId281" Type="http://schemas.openxmlformats.org/officeDocument/2006/relationships/image" Target="media/image171.png"/><Relationship Id="rId282" Type="http://schemas.openxmlformats.org/officeDocument/2006/relationships/image" Target="media/image172.png"/><Relationship Id="rId283" Type="http://schemas.openxmlformats.org/officeDocument/2006/relationships/image" Target="media/image173.png"/><Relationship Id="rId284" Type="http://schemas.openxmlformats.org/officeDocument/2006/relationships/image" Target="media/image174.png"/><Relationship Id="rId285" Type="http://schemas.openxmlformats.org/officeDocument/2006/relationships/image" Target="media/image175.png"/><Relationship Id="rId286" Type="http://schemas.openxmlformats.org/officeDocument/2006/relationships/image" Target="media/image176.png"/><Relationship Id="rId287" Type="http://schemas.openxmlformats.org/officeDocument/2006/relationships/image" Target="media/image177.png"/><Relationship Id="rId288" Type="http://schemas.openxmlformats.org/officeDocument/2006/relationships/image" Target="media/image178.png"/><Relationship Id="rId289" Type="http://schemas.openxmlformats.org/officeDocument/2006/relationships/image" Target="media/image179.png"/><Relationship Id="rId290" Type="http://schemas.openxmlformats.org/officeDocument/2006/relationships/image" Target="media/image180.png"/><Relationship Id="rId291" Type="http://schemas.openxmlformats.org/officeDocument/2006/relationships/image" Target="media/image181.png"/><Relationship Id="rId292" Type="http://schemas.openxmlformats.org/officeDocument/2006/relationships/image" Target="media/image182.png"/><Relationship Id="rId293" Type="http://schemas.openxmlformats.org/officeDocument/2006/relationships/image" Target="media/image183.png"/><Relationship Id="rId294" Type="http://schemas.openxmlformats.org/officeDocument/2006/relationships/image" Target="media/image184.png"/><Relationship Id="rId295" Type="http://schemas.openxmlformats.org/officeDocument/2006/relationships/image" Target="media/image185.png"/><Relationship Id="rId296" Type="http://schemas.openxmlformats.org/officeDocument/2006/relationships/image" Target="media/image186.png"/><Relationship Id="rId297" Type="http://schemas.openxmlformats.org/officeDocument/2006/relationships/image" Target="media/image187.png"/><Relationship Id="rId298" Type="http://schemas.openxmlformats.org/officeDocument/2006/relationships/image" Target="media/image188.png"/><Relationship Id="rId299" Type="http://schemas.openxmlformats.org/officeDocument/2006/relationships/image" Target="media/image189.png"/><Relationship Id="rId300" Type="http://schemas.openxmlformats.org/officeDocument/2006/relationships/image" Target="media/image190.png"/><Relationship Id="rId301" Type="http://schemas.openxmlformats.org/officeDocument/2006/relationships/image" Target="media/image191.png"/><Relationship Id="rId302" Type="http://schemas.openxmlformats.org/officeDocument/2006/relationships/image" Target="media/image192.png"/><Relationship Id="rId303" Type="http://schemas.openxmlformats.org/officeDocument/2006/relationships/image" Target="media/image193.png"/><Relationship Id="rId304" Type="http://schemas.openxmlformats.org/officeDocument/2006/relationships/image" Target="media/image194.png"/><Relationship Id="rId305" Type="http://schemas.openxmlformats.org/officeDocument/2006/relationships/image" Target="media/image195.png"/><Relationship Id="rId306" Type="http://schemas.openxmlformats.org/officeDocument/2006/relationships/image" Target="media/image196.png"/><Relationship Id="rId307" Type="http://schemas.openxmlformats.org/officeDocument/2006/relationships/image" Target="media/image197.png"/><Relationship Id="rId308" Type="http://schemas.openxmlformats.org/officeDocument/2006/relationships/image" Target="media/image198.png"/><Relationship Id="rId309" Type="http://schemas.openxmlformats.org/officeDocument/2006/relationships/image" Target="media/image199.png"/><Relationship Id="rId310" Type="http://schemas.openxmlformats.org/officeDocument/2006/relationships/image" Target="media/image200.png"/><Relationship Id="rId311" Type="http://schemas.openxmlformats.org/officeDocument/2006/relationships/image" Target="media/image201.png"/><Relationship Id="rId312" Type="http://schemas.openxmlformats.org/officeDocument/2006/relationships/image" Target="media/image202.png"/><Relationship Id="rId313" Type="http://schemas.openxmlformats.org/officeDocument/2006/relationships/image" Target="media/image203.png"/><Relationship Id="rId314" Type="http://schemas.openxmlformats.org/officeDocument/2006/relationships/image" Target="media/image204.png"/><Relationship Id="rId315" Type="http://schemas.openxmlformats.org/officeDocument/2006/relationships/image" Target="media/image205.png"/><Relationship Id="rId316" Type="http://schemas.openxmlformats.org/officeDocument/2006/relationships/image" Target="media/image206.png"/><Relationship Id="rId317" Type="http://schemas.openxmlformats.org/officeDocument/2006/relationships/image" Target="media/image207.png"/><Relationship Id="rId318" Type="http://schemas.openxmlformats.org/officeDocument/2006/relationships/image" Target="media/image208.png"/><Relationship Id="rId319" Type="http://schemas.openxmlformats.org/officeDocument/2006/relationships/image" Target="media/image209.png"/><Relationship Id="rId320" Type="http://schemas.openxmlformats.org/officeDocument/2006/relationships/image" Target="media/image210.png"/><Relationship Id="rId321" Type="http://schemas.openxmlformats.org/officeDocument/2006/relationships/image" Target="media/image211.png"/><Relationship Id="rId322" Type="http://schemas.openxmlformats.org/officeDocument/2006/relationships/image" Target="media/image212.png"/><Relationship Id="rId323" Type="http://schemas.openxmlformats.org/officeDocument/2006/relationships/image" Target="media/image213.png"/><Relationship Id="rId324" Type="http://schemas.openxmlformats.org/officeDocument/2006/relationships/image" Target="media/image214.png"/><Relationship Id="rId325" Type="http://schemas.openxmlformats.org/officeDocument/2006/relationships/image" Target="media/image215.png"/><Relationship Id="rId326" Type="http://schemas.openxmlformats.org/officeDocument/2006/relationships/image" Target="media/image216.png"/><Relationship Id="rId327" Type="http://schemas.openxmlformats.org/officeDocument/2006/relationships/image" Target="media/image217.png"/><Relationship Id="rId328" Type="http://schemas.openxmlformats.org/officeDocument/2006/relationships/image" Target="media/image218.png"/><Relationship Id="rId329" Type="http://schemas.openxmlformats.org/officeDocument/2006/relationships/image" Target="media/image219.png"/><Relationship Id="rId330" Type="http://schemas.openxmlformats.org/officeDocument/2006/relationships/image" Target="media/image220.png"/><Relationship Id="rId331" Type="http://schemas.openxmlformats.org/officeDocument/2006/relationships/image" Target="media/image221.png"/><Relationship Id="rId332" Type="http://schemas.openxmlformats.org/officeDocument/2006/relationships/image" Target="media/image222.png"/><Relationship Id="rId333" Type="http://schemas.openxmlformats.org/officeDocument/2006/relationships/image" Target="media/image223.png"/><Relationship Id="rId334" Type="http://schemas.openxmlformats.org/officeDocument/2006/relationships/image" Target="media/image224.png"/><Relationship Id="rId335" Type="http://schemas.openxmlformats.org/officeDocument/2006/relationships/image" Target="media/image225.png"/><Relationship Id="rId336" Type="http://schemas.openxmlformats.org/officeDocument/2006/relationships/image" Target="media/image226.png"/><Relationship Id="rId337" Type="http://schemas.openxmlformats.org/officeDocument/2006/relationships/image" Target="media/image227.png"/><Relationship Id="rId338" Type="http://schemas.openxmlformats.org/officeDocument/2006/relationships/image" Target="media/image228.png"/><Relationship Id="rId339" Type="http://schemas.openxmlformats.org/officeDocument/2006/relationships/image" Target="media/image229.png"/><Relationship Id="rId340" Type="http://schemas.openxmlformats.org/officeDocument/2006/relationships/image" Target="media/image230.png"/><Relationship Id="rId341" Type="http://schemas.openxmlformats.org/officeDocument/2006/relationships/image" Target="media/image231.png"/><Relationship Id="rId342" Type="http://schemas.openxmlformats.org/officeDocument/2006/relationships/image" Target="media/image232.png"/><Relationship Id="rId343" Type="http://schemas.openxmlformats.org/officeDocument/2006/relationships/image" Target="media/image233.png"/><Relationship Id="rId344" Type="http://schemas.openxmlformats.org/officeDocument/2006/relationships/image" Target="media/image234.png"/><Relationship Id="rId345" Type="http://schemas.openxmlformats.org/officeDocument/2006/relationships/image" Target="media/image235.png"/><Relationship Id="rId346" Type="http://schemas.openxmlformats.org/officeDocument/2006/relationships/image" Target="media/image236.png"/><Relationship Id="rId347" Type="http://schemas.openxmlformats.org/officeDocument/2006/relationships/image" Target="media/image237.png"/><Relationship Id="rId348" Type="http://schemas.openxmlformats.org/officeDocument/2006/relationships/image" Target="media/image238.png"/><Relationship Id="rId349" Type="http://schemas.openxmlformats.org/officeDocument/2006/relationships/image" Target="media/image239.png"/><Relationship Id="rId350" Type="http://schemas.openxmlformats.org/officeDocument/2006/relationships/image" Target="media/image240.png"/><Relationship Id="rId159" Type="http://schemas.openxmlformats.org/officeDocument/2006/relationships/hyperlink" Target="https://www.sec.gov/Archives/edgar/data/899689/000089968907000020/exhibit375.htm" TargetMode="External"/><Relationship Id="rId160" Type="http://schemas.openxmlformats.org/officeDocument/2006/relationships/hyperlink" Target="https://www.sec.gov/Archives/edgar/data/899689/000089968922000038/ex32-63022q2.htm" TargetMode="External"/><Relationship Id="rId161" Type="http://schemas.openxmlformats.org/officeDocument/2006/relationships/hyperlink" Target="https://www.sec.gov/Archives/edgar/data/899689/000089968921000009/ex33.htm" TargetMode="External"/><Relationship Id="rId162" Type="http://schemas.openxmlformats.org/officeDocument/2006/relationships/hyperlink" Target="https://www.sec.gov/Archives/edgar/data/899689/000104746916012025/a2228065zdef14a.htm" TargetMode="External"/><Relationship Id="rId163" Type="http://schemas.openxmlformats.org/officeDocument/2006/relationships/hyperlink" Target="https://www.sec.gov/Archives/edgar/data/899689/000089968918000049/ex354-063018.htm" TargetMode="External"/><Relationship Id="rId164" Type="http://schemas.openxmlformats.org/officeDocument/2006/relationships/hyperlink" Target="https://www.sec.gov/Archives/edgar/data/899689/000089968919000060/exhibit31.htm" TargetMode="External"/><Relationship Id="rId165" Type="http://schemas.openxmlformats.org/officeDocument/2006/relationships/hyperlink" Target="https://www.sec.gov/Archives/edgar/data/899689/000110465913004808/a13-3025_5ex3d6.htm" TargetMode="External"/><Relationship Id="rId166" Type="http://schemas.openxmlformats.org/officeDocument/2006/relationships/hyperlink" Target="https://www.sec.gov/Archives/edgar/data/899689/000110465917073173/a17-27898_7ex3d7.htm" TargetMode="External"/><Relationship Id="rId167" Type="http://schemas.openxmlformats.org/officeDocument/2006/relationships/hyperlink" Target="https://www.sec.gov/Archives/edgar/data/899689/000110465920129044/tm2036325d3_ex3-1.htm" TargetMode="External"/><Relationship Id="rId168" Type="http://schemas.openxmlformats.org/officeDocument/2006/relationships/hyperlink" Target="https://www.sec.gov/Archives/edgar/data/899689/000110465921118342/tm2128021d1_ex3-1.htm" TargetMode="External"/><Relationship Id="rId169" Type="http://schemas.openxmlformats.org/officeDocument/2006/relationships/hyperlink" Target="https://www.sec.gov/Archives/edgar/data/899689/000110465903008526/j0390_ex3d26.htm" TargetMode="External"/><Relationship Id="rId170" Type="http://schemas.openxmlformats.org/officeDocument/2006/relationships/hyperlink" Target="https://www.sec.gov/Archives/edgar/data/899689/000110465903008526/j0390_ex3d27.htm" TargetMode="External"/><Relationship Id="rId171" Type="http://schemas.openxmlformats.org/officeDocument/2006/relationships/hyperlink" Target="https://www.sec.gov/Archives/edgar/data/899689/0000950123-98-003786.txt" TargetMode="External"/><Relationship Id="rId172" Type="http://schemas.openxmlformats.org/officeDocument/2006/relationships/hyperlink" Target="https://www.sec.gov/Archives/edgar/data/899689/0000950123-98-010357.txt" TargetMode="External"/><Relationship Id="rId173" Type="http://schemas.openxmlformats.org/officeDocument/2006/relationships/hyperlink" Target="https://www.sec.gov/Archives/edgar/data/899689/0000950123-99-000816.txt" TargetMode="External"/><Relationship Id="rId174" Type="http://schemas.openxmlformats.org/officeDocument/2006/relationships/hyperlink" Target="https://www.sec.gov/Archives/edgar/data/899689/0000950123-99-002200.txt" TargetMode="External"/><Relationship Id="rId175" Type="http://schemas.openxmlformats.org/officeDocument/2006/relationships/hyperlink" Target="https://www.sec.gov/Archives/edgar/data/899689/000095012399006293/0000950123-99-006293.txt" TargetMode="External"/><Relationship Id="rId176" Type="http://schemas.openxmlformats.org/officeDocument/2006/relationships/hyperlink" Target="https://www.sec.gov/Archives/edgar/data/899689/000095012399009496/0000950123-99-009496.txt" TargetMode="External"/><Relationship Id="rId177" Type="http://schemas.openxmlformats.org/officeDocument/2006/relationships/hyperlink" Target="https://www.sec.gov/Archives/edgar/data/899689/000095012399011146/0000950123-99-011146.txt" TargetMode="External"/><Relationship Id="rId179" Type="http://schemas.openxmlformats.org/officeDocument/2006/relationships/hyperlink" Target="https://www.sec.gov/Archives/edgar/data/899689/000095012300005290/0000950123-00-005290.txt" TargetMode="External"/><Relationship Id="rId180" Type="http://schemas.openxmlformats.org/officeDocument/2006/relationships/hyperlink" Target="https://www.sec.gov/Archives/edgar/data/899689/000095012300005846/0000950123-00-005846-0003.txt" TargetMode="External"/><Relationship Id="rId181" Type="http://schemas.openxmlformats.org/officeDocument/2006/relationships/hyperlink" Target="https://www.sec.gov/Archives/edgar/data/899689/000095012300011882/y43804ex3-2.txt" TargetMode="External"/><Relationship Id="rId182" Type="http://schemas.openxmlformats.org/officeDocument/2006/relationships/hyperlink" Target="https://www.sec.gov/Archives/edgar/data/899689/000095012301506008/y52869ex4-35.txt" TargetMode="External"/><Relationship Id="rId183" Type="http://schemas.openxmlformats.org/officeDocument/2006/relationships/hyperlink" Target="https://www.sec.gov/Archives/edgar/data/899689/000095012301507187/y53889ex3-3.txt" TargetMode="External"/><Relationship Id="rId184" Type="http://schemas.openxmlformats.org/officeDocument/2006/relationships/hyperlink" Target="https://www.sec.gov/Archives/edgar/data/899689/000095012301507187/y53889ex3-4.txt" TargetMode="External"/><Relationship Id="rId185" Type="http://schemas.openxmlformats.org/officeDocument/2006/relationships/hyperlink" Target="https://www.sec.gov/Archives/edgar/data/899689/000089183602000133/sc292916.txt" TargetMode="External"/><Relationship Id="rId186" Type="http://schemas.openxmlformats.org/officeDocument/2006/relationships/hyperlink" Target="https://www.sec.gov/Archives/edgar/data/899689/000091205702030320/a2085993zex-3_47.txt" TargetMode="External"/><Relationship Id="rId187" Type="http://schemas.openxmlformats.org/officeDocument/2006/relationships/hyperlink" Target="https://www.sec.gov/Archives/edgar/data/899689/000110465903008526/j0390_ex3d46.htm" TargetMode="External"/><Relationship Id="rId188" Type="http://schemas.openxmlformats.org/officeDocument/2006/relationships/hyperlink" Target="https://www.sec.gov/Archives/edgar/data/899689/000110465903025041/a03-4406_1ex3d47.htm" TargetMode="External"/><Relationship Id="rId189" Type="http://schemas.openxmlformats.org/officeDocument/2006/relationships/hyperlink" Target="https://www.sec.gov/Archives/edgar/data/899689/000110465904006309/a04-1866_1ex3d49.htm" TargetMode="External"/><Relationship Id="rId190" Type="http://schemas.openxmlformats.org/officeDocument/2006/relationships/hyperlink" Target="https://www.sec.gov/Archives/edgar/data/899689/000089183604000228/ex_99-2.htm" TargetMode="External"/><Relationship Id="rId191" Type="http://schemas.openxmlformats.org/officeDocument/2006/relationships/hyperlink" Target="https://www.sec.gov/Archives/edgar/data/899689/000104746905001600/a2150323zex-3_57.htm" TargetMode="External"/><Relationship Id="rId192" Type="http://schemas.openxmlformats.org/officeDocument/2006/relationships/hyperlink" Target="https://www.sec.gov/Archives/edgar/data/899689/000104746905001600/a2150323zex-3_58.htm" TargetMode="External"/><Relationship Id="rId193" Type="http://schemas.openxmlformats.org/officeDocument/2006/relationships/hyperlink" Target="https://www.sec.gov/Archives/edgar/data/1040765/000119312504217519/dex31.htm" TargetMode="External"/><Relationship Id="rId194" Type="http://schemas.openxmlformats.org/officeDocument/2006/relationships/hyperlink" Target="https://www.sec.gov/Archives/edgar/data/1040765/000119312504217519/dex32.htm" TargetMode="External"/><Relationship Id="rId195" Type="http://schemas.openxmlformats.org/officeDocument/2006/relationships/hyperlink" Target="https://www.sec.gov/Archives/edgar/data/1040765/000089183605000003/ex_3-1.txt" TargetMode="External"/><Relationship Id="rId196" Type="http://schemas.openxmlformats.org/officeDocument/2006/relationships/hyperlink" Target="https://www.sec.gov/Archives/edgar/data/1040765/000110465905029010/a05-11066_1ex3d1.htm" TargetMode="External"/><Relationship Id="rId197" Type="http://schemas.openxmlformats.org/officeDocument/2006/relationships/hyperlink" Target="https://www.sec.gov/Archives/edgar/data/1040765/000095012305010644/y12332exv3w1.txt" TargetMode="External"/><Relationship Id="rId198" Type="http://schemas.openxmlformats.org/officeDocument/2006/relationships/hyperlink" Target="https://www.sec.gov/Archives/edgar/data/1040765/000110465905044062/a05-16121_2ex3d1.htm" TargetMode="External"/><Relationship Id="rId199" Type="http://schemas.openxmlformats.org/officeDocument/2006/relationships/hyperlink" Target="https://www.sec.gov/Archives/edgar/data/1040765/000110465906032116/a06-9247_1ex3d59.htm" TargetMode="External"/><Relationship Id="rId200" Type="http://schemas.openxmlformats.org/officeDocument/2006/relationships/hyperlink" Target="https://www.sec.gov/Archives/edgar/data/899689/000110465906029859/a06-10648_1ex10d2.htm" TargetMode="External"/><Relationship Id="rId201" Type="http://schemas.openxmlformats.org/officeDocument/2006/relationships/hyperlink" Target="https://www.sec.gov/Archives/edgar/data/1040765/000110465906030653/a06-10951_1ex3d1.htm" TargetMode="External"/><Relationship Id="rId202" Type="http://schemas.openxmlformats.org/officeDocument/2006/relationships/hyperlink" Target="https://www.sec.gov/Archives/edgar/data/1040765/000110465906056753/a06-18576_1ex3d1.htm" TargetMode="External"/><Relationship Id="rId203" Type="http://schemas.openxmlformats.org/officeDocument/2006/relationships/hyperlink" Target="https://www.sec.gov/Archives/edgar/data/1040765/000104076507000003/vlp8k12207exhbit31.htm" TargetMode="External"/><Relationship Id="rId205" Type="http://schemas.openxmlformats.org/officeDocument/2006/relationships/hyperlink" Target="https://www.sec.gov/Archives/edgar/data/1040765/000104076507000013/exhibit31.htm" TargetMode="External"/><Relationship Id="rId206" Type="http://schemas.openxmlformats.org/officeDocument/2006/relationships/hyperlink" Target="https://www.sec.gov/Archives/edgar/data/1040765/000104076507000013/exhibit32.htm" TargetMode="External"/><Relationship Id="rId207" Type="http://schemas.openxmlformats.org/officeDocument/2006/relationships/hyperlink" Target="https://www.sec.gov/Archives/edgar/data/1040765/000104076507000013/exhibit33.htm" TargetMode="External"/><Relationship Id="rId208" Type="http://schemas.openxmlformats.org/officeDocument/2006/relationships/hyperlink" Target="https://www.sec.gov/Archives/edgar/data/1040765/000104076507000013/exhibit34.htm" TargetMode="External"/><Relationship Id="rId209" Type="http://schemas.openxmlformats.org/officeDocument/2006/relationships/hyperlink" Target="https://www.sec.gov/Archives/edgar/data/899689/000089968908000019/ex_3-44.htm" TargetMode="External"/><Relationship Id="rId210" Type="http://schemas.openxmlformats.org/officeDocument/2006/relationships/hyperlink" Target="https://www.sec.gov/Archives/edgar/data/1040765/000104076510000022/exhibit991.htm" TargetMode="External"/><Relationship Id="rId211" Type="http://schemas.openxmlformats.org/officeDocument/2006/relationships/hyperlink" Target="https://www.sec.gov/Archives/edgar/data/1040765/000110465911021464/a11-10513_1ex3d1.htm" TargetMode="External"/><Relationship Id="rId212" Type="http://schemas.openxmlformats.org/officeDocument/2006/relationships/hyperlink" Target="https://www.sec.gov/Archives/edgar/data/1040765/000110465912024117/a12-9178_1ex99d1.htm" TargetMode="External"/><Relationship Id="rId213" Type="http://schemas.openxmlformats.org/officeDocument/2006/relationships/hyperlink" Target="https://www.sec.gov/Archives/edgar/data/1040765/000110465912049617/a12-16585_3ex3d1.htm" TargetMode="External"/><Relationship Id="rId214" Type="http://schemas.openxmlformats.org/officeDocument/2006/relationships/hyperlink" Target="https://www.sec.gov/Archives/edgar/data/1040765/000110465913004810/a13-3744_1ex3d1.htm" TargetMode="External"/><Relationship Id="rId215" Type="http://schemas.openxmlformats.org/officeDocument/2006/relationships/hyperlink" Target="https://www.sec.gov/Archives/edgar/data/1040765/000110465915025517/a15-8472_1ex3d1.htm" TargetMode="External"/><Relationship Id="rId216" Type="http://schemas.openxmlformats.org/officeDocument/2006/relationships/hyperlink" Target="https://www.sec.gov/Archives/edgar/data/899689/000110465917073183/a17-27898_6ex3d2.htm" TargetMode="External"/><Relationship Id="rId217" Type="http://schemas.openxmlformats.org/officeDocument/2006/relationships/hyperlink" Target="https://www.sec.gov/Archives/edgar/data/899689/000089968918000009/ex353.htm" TargetMode="External"/><Relationship Id="rId218" Type="http://schemas.openxmlformats.org/officeDocument/2006/relationships/hyperlink" Target="https://www.sec.gov/Archives/edgar/data/899689/000089968919000060/exhibit32.htm" TargetMode="External"/><Relationship Id="rId219" Type="http://schemas.openxmlformats.org/officeDocument/2006/relationships/hyperlink" Target="https://www.sec.gov/Archives/edgar/data/899689/000110465920129044/tm2036325d3_ex3-2.htm" TargetMode="External"/><Relationship Id="rId220" Type="http://schemas.openxmlformats.org/officeDocument/2006/relationships/hyperlink" Target="https://www.sec.gov/Archives/edgar/data/899689/000110465921118342/tm2128021d1_ex3-2.htm" TargetMode="External"/><Relationship Id="rId221" Type="http://schemas.openxmlformats.org/officeDocument/2006/relationships/hyperlink" Target="https://www.sec.gov/Archives/edgar/data/899689/000110465905018616/a05-7107_1ex4d10.htm" TargetMode="External"/><Relationship Id="rId222" Type="http://schemas.openxmlformats.org/officeDocument/2006/relationships/hyperlink" Target="https://www.sec.gov/Archives/edgar/data/899689/000110465906077768/a06-24566_1ex4d1.htm" TargetMode="External"/><Relationship Id="rId224" Type="http://schemas.openxmlformats.org/officeDocument/2006/relationships/hyperlink" Target="https://www.sec.gov/Archives/edgar/data/899689/000089968910000028/ex1041.htm" TargetMode="External"/><Relationship Id="rId225" Type="http://schemas.openxmlformats.org/officeDocument/2006/relationships/hyperlink" Target="https://www.sec.gov/Archives/edgar/data/899689/000110465912024120/a12-9179_1ex99d3.htm" TargetMode="External"/><Relationship Id="rId226" Type="http://schemas.openxmlformats.org/officeDocument/2006/relationships/hyperlink" Target="https://www.sec.gov/Archives/edgar/data/899689/000089968914000028/exhibit1052.htm" TargetMode="External"/><Relationship Id="rId227" Type="http://schemas.openxmlformats.org/officeDocument/2006/relationships/hyperlink" Target="https://www.sec.gov/Archives/edgar/data/899689/000089968918000009/ex1034.htm" TargetMode="External"/><Relationship Id="rId228" Type="http://schemas.openxmlformats.org/officeDocument/2006/relationships/hyperlink" Target="https://www.sec.gov/Archives/edgar/data/899689/000089968919000010/ex1037.htm" TargetMode="External"/><Relationship Id="rId229" Type="http://schemas.openxmlformats.org/officeDocument/2006/relationships/hyperlink" Target="https://www.sec.gov/Archives/edgar/data/899689/000089968919000010/ex1038.htm" TargetMode="External"/><Relationship Id="rId230" Type="http://schemas.openxmlformats.org/officeDocument/2006/relationships/hyperlink" Target="https://www.sec.gov/Archives/edgar/data/899689/000104746919002013/a2238204zdef14a.htm" TargetMode="External"/><Relationship Id="rId231" Type="http://schemas.openxmlformats.org/officeDocument/2006/relationships/hyperlink" Target="https://www.sec.gov/Archives/edgar/data/899689/000089968919000054/ex1042.htm" TargetMode="External"/><Relationship Id="rId232" Type="http://schemas.openxmlformats.org/officeDocument/2006/relationships/hyperlink" Target="https://www.sec.gov/Archives/edgar/data/899689/000089968920000007/ex1033.htm" TargetMode="External"/><Relationship Id="rId233" Type="http://schemas.openxmlformats.org/officeDocument/2006/relationships/hyperlink" Target="https://www.sec.gov/Archives/edgar/data/899689/000089968920000007/ex1034.htm" TargetMode="External"/><Relationship Id="rId234" Type="http://schemas.openxmlformats.org/officeDocument/2006/relationships/hyperlink" Target="https://www.sec.gov/Archives/edgar/data/899689/000089968920000025/ex1035-033120.htm" TargetMode="External"/><Relationship Id="rId235" Type="http://schemas.openxmlformats.org/officeDocument/2006/relationships/hyperlink" Target="https://www.sec.gov/Archives/edgar/data/899689/000089968920000025/ex1036-033120.htm" TargetMode="External"/><Relationship Id="rId236" Type="http://schemas.openxmlformats.org/officeDocument/2006/relationships/hyperlink" Target="https://www.sec.gov/Archives/edgar/data/899689/000089968922000006/ex1036123121.htm" TargetMode="External"/><Relationship Id="rId237" Type="http://schemas.openxmlformats.org/officeDocument/2006/relationships/hyperlink" Target="https://www.sec.gov/Archives/edgar/data/899689/000089968922000021/ex1037-033122q1.htm" TargetMode="External"/><Relationship Id="rId238" Type="http://schemas.openxmlformats.org/officeDocument/2006/relationships/hyperlink" Target="https://www.sec.gov/Archives/edgar/data/899689/000089968923000010/ex1036123122.htm" TargetMode="External"/><Relationship Id="rId239" Type="http://schemas.openxmlformats.org/officeDocument/2006/relationships/hyperlink" Target="https://www.sec.gov/Archives/edgar/data/899689/000089968923000010/ex1037123122.htm" TargetMode="External"/><Relationship Id="rId240" Type="http://schemas.openxmlformats.org/officeDocument/2006/relationships/hyperlink" Target="https://www.sec.gov/ix?doc=/Archives/edgar/data/899689/000110465923043150/tm231844d2_def14a.htm#tANA" TargetMode="External"/><Relationship Id="rId241" Type="http://schemas.openxmlformats.org/officeDocument/2006/relationships/hyperlink" Target="https://www.sec.gov/Archives/edgar/data/899689/000089968923000043/exhibit101vno-ltipagreemen.htm" TargetMode="External"/><Relationship Id="rId242" Type="http://schemas.openxmlformats.org/officeDocument/2006/relationships/hyperlink" Target="https://www.sec.gov/Archives/edgar/data/899689/000089968923000043/exhibit102vno-performancex.htm" TargetMode="External"/><Relationship Id="rId244" Type="http://schemas.openxmlformats.org/officeDocument/2006/relationships/hyperlink" Target="https://www.sec.gov/Archives/edgar/data/899689/000089968924000033/ex1034vornado-2024revolvin.htm" TargetMode="External"/><Relationship Id="rId245" Type="http://schemas.openxmlformats.org/officeDocument/2006/relationships/hyperlink" Target="https://www.sec.gov/Archives/edgar/data/3499/0000950123-95-000887.txt" TargetMode="External"/><Relationship Id="rId246" Type="http://schemas.openxmlformats.org/officeDocument/2006/relationships/hyperlink" Target="https://www.sec.gov/Archives/edgar/data/3499/000095012302007503/y62648exv10wiwew3.txt" TargetMode="External"/><Relationship Id="rId247" Type="http://schemas.openxmlformats.org/officeDocument/2006/relationships/hyperlink" Target="https://www.sec.gov/Archives/edgar/data/3499/000095012302007503/y62648exv10wiwfw1.txt" TargetMode="External"/><Relationship Id="rId248" Type="http://schemas.openxmlformats.org/officeDocument/2006/relationships/hyperlink" Target="https://www.sec.gov/Archives/edgar/data/3499/000000349907000009/ex1065.htm" TargetMode="External"/><Relationship Id="rId249" Type="http://schemas.openxmlformats.org/officeDocument/2006/relationships/hyperlink" Target="https://www.sec.gov/Archives/edgar/data/3499/000000349908000003/ex1052.htm" TargetMode="External"/><Relationship Id="rId250" Type="http://schemas.openxmlformats.org/officeDocument/2006/relationships/hyperlink" Target="https://www.sec.gov/Archives/edgar/data/3499/000000349908000003/ex1053.htm" TargetMode="External"/><Relationship Id="rId251" Type="http://schemas.openxmlformats.org/officeDocument/2006/relationships/hyperlink" Target="https://www.sec.gov/Archives/edgar/data/3499/000000349908000003/ex1055.htm" TargetMode="External"/><Relationship Id="rId252" Type="http://schemas.openxmlformats.org/officeDocument/2006/relationships/hyperlink" Target="https://www.sec.gov/Archives/edgar/data/3499/000000349912000005/ex1049.htm" TargetMode="External"/><Relationship Id="rId253" Type="http://schemas.openxmlformats.org/officeDocument/2006/relationships/hyperlink" Target="https://www.sec.gov/Archives/edgar/data/3499/000000349912000020/ex102.htm" TargetMode="External"/><Relationship Id="rId254" Type="http://schemas.openxmlformats.org/officeDocument/2006/relationships/hyperlink" Target="https://www.sec.gov/Archives/edgar/data/3499/000000349913000006/exhibit1054.htm" TargetMode="External"/><Relationship Id="rId255" Type="http://schemas.openxmlformats.org/officeDocument/2006/relationships/hyperlink" Target="https://www.sec.gov/Archives/edgar/data/3499/000000349914000010/exhibit108.htm" TargetMode="External"/><Relationship Id="rId256" Type="http://schemas.openxmlformats.org/officeDocument/2006/relationships/hyperlink" Target="https://www.sec.gov/Archives/edgar/data/3499/000000349914000010/exhibit109.htm" TargetMode="External"/><Relationship Id="rId257" Type="http://schemas.openxmlformats.org/officeDocument/2006/relationships/hyperlink" Target="https://www.sec.gov/Archives/edgar/data/3499/000000349914000010/exhibit1010.htm" TargetMode="External"/><Relationship Id="rId259" Type="http://schemas.openxmlformats.org/officeDocument/2006/relationships/hyperlink" Target="https://www.sec.gov/Archives/edgar/data/3499/000000349915000003/exhibit1056.htm" TargetMode="External"/><Relationship Id="rId260" Type="http://schemas.openxmlformats.org/officeDocument/2006/relationships/hyperlink" Target="https://www.sec.gov/Archives/edgar/data/3499/000000349915000003/exhibit1058.htm" TargetMode="External"/><Relationship Id="rId261" Type="http://schemas.openxmlformats.org/officeDocument/2006/relationships/hyperlink" Target="https://www.sec.gov/Archives/edgar/data/3499/000000349915000003/exhibit1059.htm" TargetMode="External"/><Relationship Id="rId262" Type="http://schemas.openxmlformats.org/officeDocument/2006/relationships/hyperlink" Target="https://www.sec.gov/Archives/edgar/data/3499/000000349924000030/a109regoii-secondamendment.htm" TargetMode="External"/><Relationship Id="rId263" Type="http://schemas.openxmlformats.org/officeDocument/2006/relationships/hyperlink" Target="https://www.sec.gov/Archives/edgar/data/3499/000000349924000041/exhibit1013-731lexofficexs.htm" TargetMode="External"/><Relationship Id="rId264" Type="http://schemas.openxmlformats.org/officeDocument/2006/relationships/hyperlink" Target="https://www.sec.gov/Archives/edgar/data/3499/000000349926000005/exhibit1040-731lexingtonre.htm" TargetMode="External"/><Relationship Id="rId265" Type="http://schemas.openxmlformats.org/officeDocument/2006/relationships/hyperlink" Target="https://www.sec.gov/Archives/edgar/data/899689/000089968925000004/ex191vornado-insidertradin.htm" TargetMode="External"/><Relationship Id="rId266" Type="http://schemas.openxmlformats.org/officeDocument/2006/relationships/hyperlink" Target="https://www.sec.gov/Archives/edgar/data/899689/000089968924000005/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2026-02-09T15:44:23Z</dcterms:created>
  <dcterms:modified xsi:type="dcterms:W3CDTF">2026-02-09T15:44:23Z</dcterms:modified>
</cp:coreProperties>
</file>