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Vornado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of beneficial interest, $.04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13,154,795.00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13,159,589.00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13,159,589.00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Formerly in accordance with SEC Release No. 34-39538 (January 12, 1998),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Franklin Mutual Advisers, Inc. ("FMA") and Brandywine Global Investment Management, LLC ("BGIM") reported beneficial ownership separately on a disaggregated basis from Franklin Resources, Inc. ("FRI") in reliance on such release. As of the calendar quarter ended March 31, 2026, FRI went through an internal realignment such that FMA and BGIM ceased to be disaggregated and ceased to report separately from FRI and FRI is now reporting beneficial ownership of equity securities attributed to FMA and BGIM aggregated with other equity securities that may be beneficially owned by investment management subsidiaries of and reported by FRI.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60"/>
          </w:cols>
          <w:pgMar w:left="320" w:top="111" w:right="419" w:bottom="0" w:gutter="0" w:footer="0" w:header="0"/>
          <w:type w:val="continuous"/>
        </w:sectPr>
      </w:pPr>
    </w:p>
    <w:bookmarkStart w:id="2" w:name="page3"/>
    <w:bookmarkEnd w:id="2"/>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PUTNAM INVESTMENT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380"/>
          </w:cols>
          <w:pgMar w:left="360" w:top="122" w:right="115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9,961,330.00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9,961,330.00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9,961,330.00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9260"/>
          </w:cols>
          <w:pgMar w:left="360" w:top="122" w:right="11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380"/>
          </w:cols>
          <w:pgMar w:left="360" w:top="122" w:right="11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Vornado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 Seventh Avenue, New York, NY 10019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(i): Franklin Resources, Inc. (ii): Charles B. Johnson (iii): Rupert H. Johnson, Jr. (iv): Putnam Investment Management,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(ii), (iii): One Franklin Parkway San Mateo, CA 94403-1906 (iv): 100 Federal Street, Boston, MA, 02110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and (iv): Delaware (ii) and (iii): USA</w:t>
      </w:r>
    </w:p>
    <w:p>
      <w:pPr>
        <w:sectPr>
          <w:pgSz w:w="11900" w:h="16838" w:orient="portrait"/>
          <w:cols w:equalWidth="0" w:num="2">
            <w:col w:w="620" w:space="300"/>
            <w:col w:w="9460"/>
          </w:cols>
          <w:pgMar w:left="360" w:top="122" w:right="11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140"/>
          </w:cols>
          <w:pgMar w:left="360" w:top="112" w:right="399" w:bottom="2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of beneficial interest, $.04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233"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13,159,589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Putnam Investment Management, LLC: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9,961,330 The Putnam Advisory Company, LLC: 3,169,625 Franklin Advisers, Inc.: 19,886 Fiduciary Trust</w:t>
      </w:r>
    </w:p>
    <w:p>
      <w:pPr>
        <w:ind w:left="920"/>
        <w:spacing w:after="0" w:line="230" w:lineRule="auto"/>
        <w:rPr>
          <w:sz w:val="20"/>
          <w:szCs w:val="20"/>
          <w:color w:val="auto"/>
        </w:rPr>
      </w:pPr>
      <w:r>
        <w:rPr>
          <w:rFonts w:ascii="Times New Roman" w:cs="Times New Roman" w:eastAsia="Times New Roman" w:hAnsi="Times New Roman"/>
          <w:sz w:val="22"/>
          <w:szCs w:val="22"/>
          <w:color w:val="auto"/>
        </w:rPr>
        <w:t>International,LLC: 3,858 Fiduciary Trust Company International: 33 Fiduciary Trust International of California: 32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Fiduciary Trust International of the South: 31</w:t>
      </w:r>
    </w:p>
    <w:p>
      <w:pPr>
        <w:spacing w:after="0" w:line="263"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Putnam Investment Management, LLC: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9,961,330 The Putnam Advisory Company, LLC: 3,169,625 Franklin Advisers, Inc.: 24,566 Fiduciary Trust</w:t>
      </w:r>
    </w:p>
    <w:p>
      <w:pPr>
        <w:ind w:left="920"/>
        <w:spacing w:after="0"/>
        <w:rPr>
          <w:sz w:val="20"/>
          <w:szCs w:val="20"/>
          <w:color w:val="auto"/>
        </w:rPr>
      </w:pPr>
      <w:r>
        <w:rPr>
          <w:rFonts w:ascii="Times New Roman" w:cs="Times New Roman" w:eastAsia="Times New Roman" w:hAnsi="Times New Roman"/>
          <w:sz w:val="21"/>
          <w:szCs w:val="21"/>
          <w:color w:val="auto"/>
        </w:rPr>
        <w:t>International,LLC: 3,858 Fiduciary Trust Company International: 147 Fiduciary Trust International of California: 32</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Fiduciary Trust International of the South: 31</w:t>
      </w:r>
    </w:p>
    <w:p>
      <w:pPr>
        <w:spacing w:after="0" w:line="263" w:lineRule="exact"/>
        <w:rPr>
          <w:sz w:val="20"/>
          <w:szCs w:val="20"/>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233" w:gutter="0" w:footer="0" w:header="0"/>
          <w:type w:val="continuous"/>
        </w:sectPr>
      </w:pPr>
    </w:p>
    <w:bookmarkStart w:id="5" w:name="page6"/>
    <w:bookmarkEnd w:id="5"/>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clients of the Investment Management Subsidiaries, including investment companies registered under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Investment Company Act of 1940 and other managed accounts, have the right to receive or power to direct the receipt</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dividends from, and the proceeds from the sale of, the securities reported herein.</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Attached Exhibit C</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Charles B. Johnson pursuant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to Power of Attorney attached to this Schedule</w:t>
      </w:r>
    </w:p>
    <w:p>
      <w:pPr>
        <w:ind w:left="6780"/>
        <w:spacing w:after="0"/>
        <w:rPr>
          <w:sz w:val="20"/>
          <w:szCs w:val="20"/>
          <w:color w:val="auto"/>
        </w:rPr>
      </w:pPr>
      <w:r>
        <w:rPr>
          <w:rFonts w:ascii="Times New Roman" w:cs="Times New Roman" w:eastAsia="Times New Roman" w:hAnsi="Times New Roman"/>
          <w:sz w:val="22"/>
          <w:szCs w:val="22"/>
          <w:color w:val="auto"/>
        </w:rPr>
        <w:t>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Rupert H. Johnson, Jr.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pursuant to Power of Attorney attached to this</w:t>
      </w:r>
    </w:p>
    <w:p>
      <w:pPr>
        <w:ind w:left="6780"/>
        <w:spacing w:after="0"/>
        <w:rPr>
          <w:sz w:val="20"/>
          <w:szCs w:val="20"/>
          <w:color w:val="auto"/>
        </w:rPr>
      </w:pPr>
      <w:r>
        <w:rPr>
          <w:rFonts w:ascii="Times New Roman" w:cs="Times New Roman" w:eastAsia="Times New Roman" w:hAnsi="Times New Roman"/>
          <w:sz w:val="22"/>
          <w:szCs w:val="22"/>
          <w:color w:val="auto"/>
        </w:rPr>
        <w:t>Schedule 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PUTNAM INVESTMENT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James F. Clark</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Compliance Officer, Code of Ethics Officer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and Assistant Secretary of Putnam Investment</w:t>
      </w:r>
    </w:p>
    <w:p>
      <w:pPr>
        <w:ind w:left="678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LIMITED POWER OF ATTORNEY FOR SECTION 13 AND 16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w:t>
      </w:r>
    </w:p>
    <w:p>
      <w:pPr>
        <w:sectPr>
          <w:pgSz w:w="11900" w:h="16838" w:orient="portrait"/>
          <w:cols w:equalWidth="0" w:num="1">
            <w:col w:w="11220"/>
          </w:cols>
          <w:pgMar w:left="320" w:top="102" w:right="35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5" w:lineRule="exact"/>
        <w:rPr>
          <w:sz w:val="20"/>
          <w:szCs w:val="20"/>
          <w:color w:val="auto"/>
        </w:rPr>
      </w:pPr>
    </w:p>
    <w:p>
      <w:pPr>
        <w:ind w:right="20" w:firstLine="8"/>
        <w:spacing w:after="0" w:line="242" w:lineRule="auto"/>
        <w:tabs>
          <w:tab w:leader="none" w:pos="21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40"/>
        <w:spacing w:after="0" w:line="248"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Resources, Inc. Charles B. Johnson Rupert H. Johnson, Jr. By: /s/THOMAS C. MANDIA Assistant Secretary of Franklin Resources, Inc. Attorney-in-Fact for Charles B. Johnson pursuant to Power of Attorney attached to this Schedule 13G</w:t>
      </w:r>
    </w:p>
    <w:p>
      <w:pPr>
        <w:sectPr>
          <w:pgSz w:w="11900" w:h="16838" w:orient="portrait"/>
          <w:cols w:equalWidth="0" w:num="1">
            <w:col w:w="11240"/>
          </w:cols>
          <w:pgMar w:left="320" w:top="111" w:right="339" w:bottom="0" w:gutter="0" w:footer="0" w:header="0"/>
        </w:sectPr>
      </w:pPr>
    </w:p>
    <w:bookmarkStart w:id="7" w:name="page8"/>
    <w:bookmarkEnd w:id="7"/>
    <w:p>
      <w:pPr>
        <w:spacing w:after="0" w:line="242" w:lineRule="auto"/>
        <w:rPr>
          <w:sz w:val="20"/>
          <w:szCs w:val="20"/>
          <w:color w:val="auto"/>
        </w:rPr>
      </w:pPr>
      <w:r>
        <w:rPr>
          <w:rFonts w:ascii="Times New Roman" w:cs="Times New Roman" w:eastAsia="Times New Roman" w:hAnsi="Times New Roman"/>
          <w:sz w:val="21"/>
          <w:szCs w:val="21"/>
          <w:color w:val="auto"/>
        </w:rPr>
        <w:t>Attorney-in-Fact for Rupert H. Johnson, Jr. pursuant to Power of attached to this Schedule 13G Putnam Investment Management, LLC By: /s/JAMES F. CLARK Chief Compliance Officer, Code of Ethics Officer and Assistant Secretary of Putnam Investment Management, LLC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Putnam Investment Management, LLC: Item 3 Classification: 3(e) The Putnam Advisory Company, LLC: Item 3 Classification: 3(e) Franklin Templeton Institutional, LLC: Item 3 Classification: 3(e) Franklin Advisers, Inc.: Item 3 Classification: 3(e) Fiduciary Trust International LLC: Item 3 Classification: 3(e) Fiduciary Trust Company International: Item 3 Classification: 3(b) Fiduciary Trust International of the South: Item 3 Classification: 3(b)</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1)"/>
      <w:numFmt w:val="lowerLetter"/>
      <w:start w:val="1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2026-04-29T11:04:16Z</dcterms:created>
  <dcterms:modified xsi:type="dcterms:W3CDTF">2026-04-29T11:04:16Z</dcterms:modified>
</cp:coreProperties>
</file>