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583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58343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Chera Haim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640"/>
        <w:spacing w:after="0" w:line="309" w:lineRule="auto"/>
        <w:rPr>
          <w:sz w:val="20"/>
          <w:szCs w:val="20"/>
          <w:color w:val="auto"/>
        </w:rPr>
      </w:pPr>
      <w:r>
        <w:rPr>
          <w:rFonts w:ascii="Times New Roman" w:cs="Times New Roman" w:eastAsia="Times New Roman" w:hAnsi="Times New Roman"/>
          <w:sz w:val="17"/>
          <w:szCs w:val="17"/>
          <w:color w:val="0000FF"/>
        </w:rPr>
        <w:t>C/O VORNADO REALTY TRUST 888 7TH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VORNADO REALTY TRUST</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VNO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EVP- HEAD OF RETAIL</w:t>
      </w:r>
    </w:p>
    <w:p>
      <w:pPr>
        <w:spacing w:after="0" w:line="437" w:lineRule="exact"/>
        <w:rPr>
          <w:sz w:val="24"/>
          <w:szCs w:val="24"/>
          <w:color w:val="auto"/>
        </w:rPr>
      </w:pPr>
    </w:p>
    <w:p>
      <w:pPr>
        <w:sectPr>
          <w:pgSz w:w="11900" w:h="16838" w:orient="portrait"/>
          <w:cols w:equalWidth="0" w:num="3">
            <w:col w:w="3180" w:space="720"/>
            <w:col w:w="3240" w:space="58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700" w:type="dxa"/>
            <w:vAlign w:val="bottom"/>
            <w:gridSpan w:val="8"/>
          </w:tcPr>
          <w:p>
            <w:pPr>
              <w:jc w:val="center"/>
              <w:ind w:right="41"/>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26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10019</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9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6"/>
                <w:szCs w:val="6"/>
                <w:color w:val="auto"/>
              </w:rPr>
            </w:pP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48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40" w:type="dxa"/>
            <w:vAlign w:val="bottom"/>
            <w:tcBorders>
              <w:bottom w:val="single" w:sz="8" w:color="2C2C2C"/>
            </w:tcBorders>
            <w:gridSpan w:val="5"/>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4"/>
                <w:szCs w:val="14"/>
                <w:color w:val="auto"/>
              </w:rPr>
            </w:pP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02/05/2026</w:t>
            </w:r>
          </w:p>
        </w:tc>
        <w:tc>
          <w:tcPr>
            <w:tcW w:w="260" w:type="dxa"/>
            <w:vAlign w:val="bottom"/>
            <w:vMerge w:val="restart"/>
          </w:tcPr>
          <w:p>
            <w:pPr>
              <w:jc w:val="right"/>
              <w:ind w:right="71"/>
              <w:spacing w:after="0"/>
              <w:rPr>
                <w:sz w:val="20"/>
                <w:szCs w:val="20"/>
                <w:color w:val="auto"/>
              </w:rPr>
            </w:pPr>
            <w:r>
              <w:rPr>
                <w:rFonts w:ascii="Times New Roman" w:cs="Times New Roman" w:eastAsia="Times New Roman" w:hAnsi="Times New Roman"/>
                <w:sz w:val="11"/>
                <w:szCs w:val="11"/>
                <w:color w:val="008000"/>
                <w:w w:val="77"/>
              </w:rPr>
              <w:t>(2)</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16,661</w:t>
            </w:r>
          </w:p>
        </w:tc>
        <w:tc>
          <w:tcPr>
            <w:tcW w:w="340" w:type="dxa"/>
            <w:vAlign w:val="bottom"/>
          </w:tcPr>
          <w:p>
            <w:pPr>
              <w:spacing w:after="0"/>
              <w:rPr>
                <w:sz w:val="15"/>
                <w:szCs w:val="15"/>
                <w:color w:val="auto"/>
              </w:rPr>
            </w:pPr>
          </w:p>
        </w:tc>
        <w:tc>
          <w:tcPr>
            <w:tcW w:w="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(1)(3)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16,661</w:t>
            </w:r>
          </w:p>
        </w:tc>
        <w:tc>
          <w:tcPr>
            <w:tcW w:w="60" w:type="dxa"/>
            <w:vAlign w:val="bottom"/>
          </w:tcPr>
          <w:p>
            <w:pPr>
              <w:spacing w:after="0"/>
              <w:rPr>
                <w:sz w:val="15"/>
                <w:szCs w:val="1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31,572</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25"/>
                <w:szCs w:val="25"/>
                <w:color w:val="0000FF"/>
                <w:w w:val="97"/>
                <w:vertAlign w:val="subscript"/>
              </w:rPr>
              <w:t>Units</w:t>
            </w:r>
            <w:r>
              <w:rPr>
                <w:rFonts w:ascii="Times New Roman" w:cs="Times New Roman" w:eastAsia="Times New Roman" w:hAnsi="Times New Roman"/>
                <w:sz w:val="11"/>
                <w:szCs w:val="11"/>
                <w:color w:val="008000"/>
                <w:w w:val="97"/>
              </w:rPr>
              <w:t>(1)(2)</w:t>
            </w: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vMerge w:val="continue"/>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vMerge w:val="continue"/>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520" w:type="dxa"/>
            <w:vAlign w:val="bottom"/>
            <w:tcBorders>
              <w:bottom w:val="single" w:sz="8" w:color="2C2C2C"/>
            </w:tcBorders>
            <w:vMerge w:val="continue"/>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-1938655</wp:posOffset>
            </wp:positionV>
            <wp:extent cx="29210" cy="1943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437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0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LTIP Units of Vornado Realty L.P. (the "Operating Partnership"), the operating partnership of Vornado Realty Trust (the "Company"). The LTIP Units are a class of units of the Operating Partnership that following the occurrence of certain events and upon vesting are convertible by the holder into an equivalent number of Class A Units of the Operating Partnership ("Class A Units"). Class A Units of the Operating Partnership are redeemable by the holder for cash or, at the Company's election, common shares of the Company on a one-for-one basis or the cash value of such shares. The rights to convert LTIP Units into Class A Units and redeem Class A Units do not have expiration dates.</w:t>
      </w:r>
    </w:p>
    <w:p>
      <w:pPr>
        <w:spacing w:after="0" w:line="26" w:lineRule="exact"/>
        <w:rPr>
          <w:rFonts w:ascii="Times New Roman" w:cs="Times New Roman" w:eastAsia="Times New Roman" w:hAnsi="Times New Roman"/>
          <w:sz w:val="13"/>
          <w:szCs w:val="13"/>
          <w:color w:val="008000"/>
        </w:rPr>
      </w:pPr>
    </w:p>
    <w:p>
      <w:pPr>
        <w:ind w:left="40" w:right="28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LTIP Units were originally issued in January 2023 under the Company's 2023 Long Term Performance Plan and were subject to performance hurdles based on achievement of specified operational and relative performance metrics over predetermined performance periods, with the last performance period ending on January 12, 2026 (the "Relative TSR Performance Period"). On February 5, 2026, the Company's Compensation Committee determined the level of achievement of the relative performance metrics for these LTIP Units, resulting in 15,475 LTIP Units (the "LTPP Base Units") being earned at the conclusion of the Relative TSR Performance Period based on the Company's total shareholder return as compared to certain peer indices, and an additional 1,186 LTIP Units (the "LTPP Dividend Accrual Units") earned as an accrual for dividends payable on the LTPP Base Units.</w:t>
      </w:r>
    </w:p>
    <w:p>
      <w:pPr>
        <w:spacing w:after="0" w:line="26" w:lineRule="exact"/>
        <w:rPr>
          <w:rFonts w:ascii="Times New Roman" w:cs="Times New Roman" w:eastAsia="Times New Roman" w:hAnsi="Times New Roman"/>
          <w:sz w:val="13"/>
          <w:szCs w:val="13"/>
          <w:color w:val="008000"/>
        </w:rPr>
      </w:pPr>
    </w:p>
    <w:p>
      <w:pPr>
        <w:jc w:val="both"/>
        <w:ind w:left="40" w:right="20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One-half of the LTPP Dividend Accrual Units and one-half of the LTPP Base Units were vested when earned, and the other one-half of the LTPP Dividend Accrual Units and the other one-half of the LTPP Base Units vest on January 12, 2027, subject to continued employment. Each LTPP Base Units and LTPP Dividend Accrual Unit and Class A Unit acquired upon conversion of such LTIP Unit is subject to an additional one-year transfer restriction pursuant to which such LTIP Unit and Class A Unit generally may not be transferred, and the redemption right associated with the Class A Unit may not be exercised until one year after the vesting date.</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Ryan Saum, Attorney-in-</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02/06/2026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4826" TargetMode="External"/><Relationship Id="rId14" Type="http://schemas.openxmlformats.org/officeDocument/2006/relationships/hyperlink" Target="http://www.sec.gov/cgi-bin/browse-edgar?action=getcompany&amp;CIK=00008996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2026-02-06T16:01:12Z</dcterms:created>
  <dcterms:modified xsi:type="dcterms:W3CDTF">2026-02-06T16:01:12Z</dcterms:modified>
</cp:coreProperties>
</file>